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宋体" w:eastAsia="黑体"/>
          <w:b/>
          <w:color w:val="000000"/>
          <w:spacing w:val="-16"/>
          <w:w w:val="90"/>
          <w:kern w:val="22"/>
          <w:sz w:val="60"/>
          <w:szCs w:val="60"/>
          <w:lang w:val="en-US"/>
        </w:rPr>
      </w:pPr>
      <w:r>
        <w:rPr>
          <w:rFonts w:hint="eastAsia" w:ascii="黑体" w:hAnsi="黑体" w:eastAsia="黑体" w:cs="黑体"/>
          <w:b/>
          <w:bCs/>
          <w:color w:val="000000"/>
          <w:sz w:val="60"/>
          <w:szCs w:val="60"/>
          <w:shd w:val="clear" w:color="auto" w:fill="FFFFFF"/>
          <w:lang w:eastAsia="zh-CN"/>
        </w:rPr>
        <w:t>长葛市颍川路幼儿园玩具及教学用品购置</w:t>
      </w:r>
      <w:r>
        <w:rPr>
          <w:rFonts w:hint="eastAsia" w:ascii="黑体" w:hAnsi="黑体" w:eastAsia="黑体" w:cs="黑体"/>
          <w:b/>
          <w:bCs/>
          <w:color w:val="000000"/>
          <w:sz w:val="60"/>
          <w:szCs w:val="60"/>
          <w:shd w:val="clear" w:color="auto" w:fill="FFFFFF"/>
          <w:lang w:val="en-US" w:eastAsia="zh-CN"/>
        </w:rPr>
        <w:t>项目</w:t>
      </w:r>
    </w:p>
    <w:p>
      <w:pPr>
        <w:rPr>
          <w:rFonts w:ascii="微软简隶书" w:eastAsia="微软简隶书"/>
          <w:color w:val="000000"/>
          <w:u w:val="single"/>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jc w:val="center"/>
        <w:rPr>
          <w:rFonts w:hint="eastAsia" w:asciiTheme="majorEastAsia" w:hAnsiTheme="majorEastAsia" w:eastAsiaTheme="majorEastAsia" w:cstheme="majorEastAsia"/>
          <w:b/>
          <w:bCs w:val="0"/>
          <w:color w:val="000000"/>
          <w:w w:val="90"/>
          <w:sz w:val="84"/>
          <w:szCs w:val="84"/>
        </w:rPr>
      </w:pPr>
      <w:r>
        <w:rPr>
          <w:rFonts w:hint="eastAsia" w:asciiTheme="majorEastAsia" w:hAnsiTheme="majorEastAsia" w:eastAsiaTheme="majorEastAsia" w:cstheme="majorEastAsia"/>
          <w:b/>
          <w:bCs w:val="0"/>
          <w:color w:val="000000"/>
          <w:w w:val="90"/>
          <w:sz w:val="84"/>
          <w:szCs w:val="84"/>
        </w:rPr>
        <w:t>招</w:t>
      </w:r>
      <w:r>
        <w:rPr>
          <w:rFonts w:hint="eastAsia" w:asciiTheme="majorEastAsia" w:hAnsiTheme="majorEastAsia" w:eastAsiaTheme="majorEastAsia" w:cstheme="majorEastAsia"/>
          <w:b/>
          <w:bCs w:val="0"/>
          <w:color w:val="000000"/>
          <w:w w:val="90"/>
          <w:sz w:val="84"/>
          <w:szCs w:val="84"/>
          <w:lang w:val="en-US" w:eastAsia="zh-CN"/>
        </w:rPr>
        <w:t xml:space="preserve"> </w:t>
      </w:r>
      <w:r>
        <w:rPr>
          <w:rFonts w:hint="eastAsia" w:asciiTheme="majorEastAsia" w:hAnsiTheme="majorEastAsia" w:eastAsiaTheme="majorEastAsia" w:cstheme="majorEastAsia"/>
          <w:b/>
          <w:bCs w:val="0"/>
          <w:color w:val="000000"/>
          <w:w w:val="90"/>
          <w:sz w:val="84"/>
          <w:szCs w:val="84"/>
        </w:rPr>
        <w:t>标</w:t>
      </w:r>
      <w:r>
        <w:rPr>
          <w:rFonts w:hint="eastAsia" w:asciiTheme="majorEastAsia" w:hAnsiTheme="majorEastAsia" w:eastAsiaTheme="majorEastAsia" w:cstheme="majorEastAsia"/>
          <w:b/>
          <w:bCs w:val="0"/>
          <w:color w:val="000000"/>
          <w:w w:val="90"/>
          <w:sz w:val="84"/>
          <w:szCs w:val="84"/>
          <w:lang w:val="en-US" w:eastAsia="zh-CN"/>
        </w:rPr>
        <w:t xml:space="preserve"> </w:t>
      </w:r>
      <w:r>
        <w:rPr>
          <w:rFonts w:hint="eastAsia" w:asciiTheme="majorEastAsia" w:hAnsiTheme="majorEastAsia" w:eastAsiaTheme="majorEastAsia" w:cstheme="majorEastAsia"/>
          <w:b/>
          <w:bCs w:val="0"/>
          <w:color w:val="000000"/>
          <w:w w:val="90"/>
          <w:sz w:val="84"/>
          <w:szCs w:val="84"/>
        </w:rPr>
        <w:t>文</w:t>
      </w:r>
      <w:r>
        <w:rPr>
          <w:rFonts w:hint="eastAsia" w:asciiTheme="majorEastAsia" w:hAnsiTheme="majorEastAsia" w:eastAsiaTheme="majorEastAsia" w:cstheme="majorEastAsia"/>
          <w:b/>
          <w:bCs w:val="0"/>
          <w:color w:val="000000"/>
          <w:w w:val="90"/>
          <w:sz w:val="84"/>
          <w:szCs w:val="84"/>
          <w:lang w:val="en-US" w:eastAsia="zh-CN"/>
        </w:rPr>
        <w:t xml:space="preserve"> </w:t>
      </w:r>
      <w:r>
        <w:rPr>
          <w:rFonts w:hint="eastAsia" w:asciiTheme="majorEastAsia" w:hAnsiTheme="majorEastAsia" w:eastAsiaTheme="majorEastAsia" w:cstheme="majorEastAsia"/>
          <w:b/>
          <w:bCs w:val="0"/>
          <w:color w:val="000000"/>
          <w:w w:val="90"/>
          <w:sz w:val="84"/>
          <w:szCs w:val="84"/>
        </w:rPr>
        <w:t>件</w:t>
      </w: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rPr>
          <w:rFonts w:ascii="微软简隶书" w:eastAsia="微软简隶书"/>
          <w:color w:val="000000"/>
        </w:rPr>
      </w:pPr>
    </w:p>
    <w:p>
      <w:pPr>
        <w:ind w:firstLine="1084" w:firstLineChars="300"/>
        <w:rPr>
          <w:rFonts w:hint="eastAsia"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项目编号：</w:t>
      </w:r>
      <w:r>
        <w:rPr>
          <w:rFonts w:hint="eastAsia" w:asciiTheme="majorEastAsia" w:hAnsiTheme="majorEastAsia" w:eastAsiaTheme="majorEastAsia" w:cstheme="majorEastAsia"/>
          <w:b/>
          <w:bCs/>
          <w:color w:val="000000"/>
          <w:sz w:val="36"/>
          <w:szCs w:val="36"/>
          <w:lang w:eastAsia="zh-CN"/>
        </w:rPr>
        <w:t>长招采公字[2018]049号</w:t>
      </w:r>
    </w:p>
    <w:p>
      <w:pPr>
        <w:ind w:firstLine="1084" w:firstLineChars="300"/>
        <w:rPr>
          <w:rFonts w:hint="eastAsia"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采购单位：长葛市教育体育局</w:t>
      </w:r>
    </w:p>
    <w:p>
      <w:pPr>
        <w:ind w:firstLine="1084" w:firstLineChars="300"/>
        <w:rPr>
          <w:rFonts w:hint="eastAsia"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代理机构：</w:t>
      </w:r>
      <w:r>
        <w:rPr>
          <w:rFonts w:hint="eastAsia" w:asciiTheme="majorEastAsia" w:hAnsiTheme="majorEastAsia" w:eastAsiaTheme="majorEastAsia" w:cstheme="majorEastAsia"/>
          <w:b/>
          <w:bCs/>
          <w:color w:val="000000"/>
          <w:sz w:val="36"/>
          <w:szCs w:val="36"/>
          <w:lang w:eastAsia="zh-CN"/>
        </w:rPr>
        <w:t>山西文昌工程咨询有限公司</w:t>
      </w:r>
    </w:p>
    <w:p>
      <w:pPr>
        <w:rPr>
          <w:rFonts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 xml:space="preserve">      </w:t>
      </w:r>
    </w:p>
    <w:p>
      <w:pPr>
        <w:jc w:val="center"/>
        <w:rPr>
          <w:rFonts w:asciiTheme="majorEastAsia" w:hAnsiTheme="majorEastAsia" w:eastAsiaTheme="majorEastAsia" w:cstheme="majorEastAsia"/>
          <w:b/>
          <w:bCs/>
          <w:color w:val="000000"/>
          <w:sz w:val="36"/>
          <w:szCs w:val="36"/>
        </w:rPr>
      </w:pPr>
      <w:r>
        <w:rPr>
          <w:rFonts w:hint="eastAsia" w:asciiTheme="majorEastAsia" w:hAnsiTheme="majorEastAsia" w:eastAsiaTheme="majorEastAsia" w:cstheme="majorEastAsia"/>
          <w:b/>
          <w:bCs/>
          <w:color w:val="000000"/>
          <w:sz w:val="36"/>
          <w:szCs w:val="36"/>
        </w:rPr>
        <w:t>二〇一九年</w:t>
      </w:r>
      <w:r>
        <w:rPr>
          <w:rFonts w:hint="eastAsia" w:asciiTheme="majorEastAsia" w:hAnsiTheme="majorEastAsia" w:eastAsiaTheme="majorEastAsia" w:cstheme="majorEastAsia"/>
          <w:b/>
          <w:bCs/>
          <w:color w:val="000000"/>
          <w:sz w:val="36"/>
          <w:szCs w:val="36"/>
          <w:lang w:val="en-US" w:eastAsia="zh-CN"/>
        </w:rPr>
        <w:t>十二</w:t>
      </w:r>
      <w:r>
        <w:rPr>
          <w:rFonts w:hint="eastAsia" w:asciiTheme="majorEastAsia" w:hAnsiTheme="majorEastAsia" w:eastAsiaTheme="majorEastAsia" w:cstheme="majorEastAsia"/>
          <w:b/>
          <w:bCs/>
          <w:color w:val="000000"/>
          <w:sz w:val="36"/>
          <w:szCs w:val="36"/>
        </w:rPr>
        <w:t>月</w:t>
      </w:r>
    </w:p>
    <w:p>
      <w:pPr>
        <w:rPr>
          <w:rFonts w:asciiTheme="majorEastAsia" w:hAnsiTheme="majorEastAsia" w:eastAsiaTheme="majorEastAsia" w:cstheme="majorEastAsia"/>
          <w:b/>
          <w:bCs/>
          <w:color w:val="000000"/>
          <w:sz w:val="36"/>
          <w:szCs w:val="36"/>
        </w:rPr>
      </w:pPr>
    </w:p>
    <w:p>
      <w:pPr>
        <w:autoSpaceDE w:val="0"/>
        <w:autoSpaceDN w:val="0"/>
        <w:adjustRightInd w:val="0"/>
        <w:spacing w:line="700" w:lineRule="exact"/>
        <w:ind w:firstLine="551"/>
        <w:jc w:val="center"/>
        <w:rPr>
          <w:rFonts w:hint="eastAsia" w:cs="宋体" w:asciiTheme="majorEastAsia" w:hAnsiTheme="majorEastAsia" w:eastAsiaTheme="majorEastAsia"/>
          <w:b/>
          <w:kern w:val="0"/>
          <w:sz w:val="44"/>
          <w:szCs w:val="44"/>
        </w:rPr>
        <w:sectPr>
          <w:headerReference r:id="rId4" w:type="first"/>
          <w:headerReference r:id="rId3" w:type="default"/>
          <w:footerReference r:id="rId5" w:type="default"/>
          <w:pgSz w:w="11906" w:h="16838"/>
          <w:pgMar w:top="2098" w:right="1474" w:bottom="1928" w:left="1588" w:header="851" w:footer="992" w:gutter="0"/>
          <w:cols w:space="425" w:num="1"/>
          <w:titlePg/>
          <w:docGrid w:type="lines" w:linePitch="312" w:charSpace="0"/>
        </w:sectPr>
      </w:pPr>
    </w:p>
    <w:p>
      <w:pPr>
        <w:autoSpaceDE w:val="0"/>
        <w:autoSpaceDN w:val="0"/>
        <w:adjustRightInd w:val="0"/>
        <w:spacing w:line="700" w:lineRule="exact"/>
        <w:ind w:firstLine="551"/>
        <w:jc w:val="center"/>
        <w:rPr>
          <w:rFonts w:cs="宋体" w:asciiTheme="majorEastAsia" w:hAnsiTheme="majorEastAsia" w:eastAsiaTheme="majorEastAsia"/>
          <w:b/>
          <w:kern w:val="0"/>
          <w:sz w:val="44"/>
          <w:szCs w:val="44"/>
        </w:rPr>
      </w:pPr>
      <w:r>
        <w:rPr>
          <w:rFonts w:hint="eastAsia" w:cs="宋体" w:asciiTheme="majorEastAsia" w:hAnsiTheme="majorEastAsia" w:eastAsiaTheme="majorEastAsia"/>
          <w:b/>
          <w:kern w:val="0"/>
          <w:sz w:val="44"/>
          <w:szCs w:val="44"/>
        </w:rPr>
        <w:t>招标文件目录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第一章 投标邀请</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第二章 项目需求</w:t>
      </w:r>
    </w:p>
    <w:p>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第三章 </w:t>
      </w:r>
      <w:r>
        <w:rPr>
          <w:rFonts w:hint="eastAsia" w:asciiTheme="majorEastAsia" w:hAnsiTheme="majorEastAsia" w:eastAsiaTheme="majorEastAsia" w:cstheme="majorEastAsia"/>
          <w:b/>
          <w:kern w:val="0"/>
          <w:sz w:val="30"/>
          <w:szCs w:val="30"/>
        </w:rPr>
        <w:t>投标人须知前附表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第四章 </w:t>
      </w:r>
      <w:r>
        <w:rPr>
          <w:rFonts w:hint="eastAsia" w:asciiTheme="majorEastAsia" w:hAnsiTheme="majorEastAsia" w:eastAsiaTheme="majorEastAsia" w:cstheme="majorEastAsia"/>
          <w:b/>
          <w:kern w:val="0"/>
          <w:sz w:val="30"/>
          <w:szCs w:val="30"/>
        </w:rPr>
        <w:t>投标人须知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二、招标文件说明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三、投标文件的编制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四、投标文件的递交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五、开标和评标</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六、定标和授予合同</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第五章 </w:t>
      </w:r>
      <w:r>
        <w:rPr>
          <w:rFonts w:hint="eastAsia" w:asciiTheme="majorEastAsia" w:hAnsiTheme="majorEastAsia" w:eastAsiaTheme="majorEastAsia" w:cstheme="majorEastAsia"/>
          <w:b/>
          <w:kern w:val="0"/>
          <w:sz w:val="30"/>
          <w:szCs w:val="30"/>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第六章 </w:t>
      </w:r>
      <w:r>
        <w:rPr>
          <w:rFonts w:hint="eastAsia" w:asciiTheme="majorEastAsia" w:hAnsiTheme="majorEastAsia" w:eastAsiaTheme="majorEastAsia" w:cstheme="majorEastAsia"/>
          <w:b/>
          <w:kern w:val="0"/>
          <w:sz w:val="30"/>
          <w:szCs w:val="30"/>
        </w:rPr>
        <w:t>资格审查与评标</w:t>
      </w:r>
    </w:p>
    <w:p>
      <w:pPr>
        <w:autoSpaceDE w:val="0"/>
        <w:autoSpaceDN w:val="0"/>
        <w:adjustRightInd w:val="0"/>
        <w:spacing w:line="700" w:lineRule="exact"/>
        <w:ind w:firstLine="551"/>
        <w:outlineLvl w:val="0"/>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第七章 </w:t>
      </w:r>
      <w:r>
        <w:rPr>
          <w:rFonts w:hint="eastAsia" w:asciiTheme="majorEastAsia" w:hAnsiTheme="majorEastAsia" w:eastAsiaTheme="majorEastAsia" w:cstheme="majorEastAsia"/>
          <w:b/>
          <w:kern w:val="0"/>
          <w:sz w:val="30"/>
          <w:szCs w:val="30"/>
        </w:rPr>
        <w:t>合同条款及格式</w:t>
      </w:r>
    </w:p>
    <w:p>
      <w:pPr>
        <w:autoSpaceDE w:val="0"/>
        <w:autoSpaceDN w:val="0"/>
        <w:adjustRightInd w:val="0"/>
        <w:spacing w:line="700" w:lineRule="exact"/>
        <w:ind w:firstLine="551"/>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第八章 </w:t>
      </w:r>
      <w:r>
        <w:rPr>
          <w:rFonts w:hint="eastAsia" w:asciiTheme="majorEastAsia" w:hAnsiTheme="majorEastAsia" w:eastAsiaTheme="majorEastAsia" w:cstheme="majorEastAsia"/>
          <w:b/>
          <w:kern w:val="0"/>
          <w:sz w:val="30"/>
          <w:szCs w:val="30"/>
        </w:rPr>
        <w:t>投标文件有关格式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jc w:val="center"/>
        <w:rPr>
          <w:rFonts w:hint="eastAsia" w:ascii="方正小标宋简体" w:hAnsi="方正小标宋简体" w:eastAsia="方正小标宋简体" w:cs="方正小标宋简体"/>
          <w:sz w:val="32"/>
          <w:szCs w:val="32"/>
        </w:rPr>
      </w:pPr>
    </w:p>
    <w:p>
      <w:pPr>
        <w:jc w:val="center"/>
        <w:rPr>
          <w:rFonts w:ascii="仿宋" w:hAnsi="仿宋" w:eastAsia="仿宋" w:cs="仿宋"/>
          <w:sz w:val="28"/>
          <w:szCs w:val="28"/>
        </w:rPr>
      </w:pPr>
      <w:r>
        <w:rPr>
          <w:rFonts w:hint="eastAsia" w:ascii="方正小标宋简体" w:hAnsi="方正小标宋简体" w:eastAsia="方正小标宋简体" w:cs="方正小标宋简体"/>
          <w:sz w:val="32"/>
          <w:szCs w:val="32"/>
        </w:rPr>
        <w:t>供应商失信行为惩戒告知</w:t>
      </w:r>
    </w:p>
    <w:p>
      <w:pPr>
        <w:ind w:firstLine="560" w:firstLineChars="200"/>
        <w:rPr>
          <w:rFonts w:ascii="仿宋" w:hAnsi="仿宋" w:eastAsia="仿宋" w:cs="仿宋"/>
          <w:sz w:val="28"/>
          <w:szCs w:val="28"/>
        </w:rPr>
      </w:pPr>
      <w:r>
        <w:rPr>
          <w:rFonts w:hint="eastAsia" w:ascii="仿宋" w:hAnsi="仿宋" w:eastAsia="仿宋" w:cs="仿宋"/>
          <w:sz w:val="28"/>
          <w:szCs w:val="28"/>
        </w:rPr>
        <w:t>为规范公共资源交易各方主体行为，预防和惩治公共资源交易活动中的违法违规行为，保障公共资源交易公开、公平、公正，建立规范、有序、诚信的公共资源交易秩序，促进信用体系建设，根据《许昌市公共资源交易当事人不良行为管理暂行办法》、《许昌市公共资源交易管理委员会办公室关于规范公共资源交易质疑(异议)、投诉(举报)处理工作的通知》和《长葛市公共资源交易管理委员会关于印发长葛市公共资源交易失信主体失信行为惩戒暂行办法（试行）的通知》（长公管委〔2018〕1号）等文件规定，特作如下告知：</w:t>
      </w:r>
    </w:p>
    <w:p>
      <w:pPr>
        <w:ind w:firstLine="560" w:firstLineChars="200"/>
        <w:rPr>
          <w:rFonts w:ascii="黑体" w:hAnsi="黑体" w:eastAsia="黑体" w:cs="黑体"/>
          <w:sz w:val="28"/>
          <w:szCs w:val="28"/>
        </w:rPr>
      </w:pPr>
      <w:r>
        <w:rPr>
          <w:rFonts w:hint="eastAsia" w:ascii="黑体" w:hAnsi="黑体" w:eastAsia="黑体" w:cs="黑体"/>
          <w:sz w:val="28"/>
          <w:szCs w:val="28"/>
        </w:rPr>
        <w:t>一、供应商（供应商）的质疑投诉活动经调查有下列情形之一的，将实施“一案双查”，限制其一定期限内参与区域内公共资源交易活动，并在全国公共资源交易平台网上公示。</w:t>
      </w:r>
    </w:p>
    <w:p>
      <w:pPr>
        <w:ind w:firstLine="560" w:firstLineChars="200"/>
        <w:rPr>
          <w:rFonts w:ascii="仿宋" w:hAnsi="仿宋" w:eastAsia="仿宋" w:cs="仿宋"/>
          <w:sz w:val="28"/>
          <w:szCs w:val="28"/>
        </w:rPr>
      </w:pPr>
      <w:r>
        <w:rPr>
          <w:rFonts w:hint="eastAsia" w:ascii="仿宋" w:hAnsi="仿宋" w:eastAsia="仿宋" w:cs="仿宋"/>
          <w:sz w:val="28"/>
          <w:szCs w:val="28"/>
        </w:rPr>
        <w:t>1. 不符合投诉（举报）受理条件，被告知后仍进行重复投诉（举报），或多头投诉（举报）的。</w:t>
      </w:r>
    </w:p>
    <w:p>
      <w:pPr>
        <w:ind w:firstLine="560" w:firstLineChars="200"/>
        <w:rPr>
          <w:rFonts w:ascii="仿宋" w:hAnsi="仿宋" w:eastAsia="仿宋" w:cs="仿宋"/>
          <w:sz w:val="28"/>
          <w:szCs w:val="28"/>
        </w:rPr>
      </w:pPr>
      <w:r>
        <w:rPr>
          <w:rFonts w:hint="eastAsia" w:ascii="仿宋" w:hAnsi="仿宋" w:eastAsia="仿宋" w:cs="仿宋"/>
          <w:sz w:val="28"/>
          <w:szCs w:val="28"/>
        </w:rPr>
        <w:t>2. 行政监督部门受理投诉（举报）处理期间，投诉（举报）人仍就同一内容、事项向其他部门另行投诉（举报）的；同一投诉（举报）人以不同名义多次、重复投诉（举报）的。</w:t>
      </w:r>
    </w:p>
    <w:p>
      <w:pPr>
        <w:ind w:firstLine="560" w:firstLineChars="200"/>
        <w:rPr>
          <w:rFonts w:ascii="仿宋" w:hAnsi="仿宋" w:eastAsia="仿宋" w:cs="仿宋"/>
          <w:sz w:val="28"/>
          <w:szCs w:val="28"/>
        </w:rPr>
      </w:pPr>
      <w:r>
        <w:rPr>
          <w:rFonts w:hint="eastAsia" w:ascii="仿宋" w:hAnsi="仿宋" w:eastAsia="仿宋" w:cs="仿宋"/>
          <w:sz w:val="28"/>
          <w:szCs w:val="28"/>
        </w:rPr>
        <w:t>3.其他虚假恶意投诉（举报）情况。</w:t>
      </w:r>
    </w:p>
    <w:p>
      <w:pPr>
        <w:ind w:firstLine="560" w:firstLineChars="200"/>
        <w:rPr>
          <w:rFonts w:ascii="黑体" w:hAnsi="黑体" w:eastAsia="黑体" w:cs="黑体"/>
          <w:sz w:val="28"/>
          <w:szCs w:val="28"/>
        </w:rPr>
      </w:pPr>
      <w:r>
        <w:rPr>
          <w:rFonts w:hint="eastAsia" w:ascii="黑体" w:hAnsi="黑体" w:eastAsia="黑体" w:cs="黑体"/>
          <w:sz w:val="28"/>
          <w:szCs w:val="28"/>
        </w:rPr>
        <w:t>二、对以谋取私利为目的，采用要挟、敲诈、逼迫竞争对手支付费用或以质疑（异议）、投诉（举报）为名排斥竞争对手，进行虚假、恶意投诉（举报），阻碍公共资源交易活动正常进行的供应商（供应商），由行政监督部门查实后按照诚信体系建设相关规定认定为不良行为，记入诚信档案，并将问题线索移交公安机关处理。</w:t>
      </w:r>
    </w:p>
    <w:p>
      <w:pPr>
        <w:ind w:firstLine="560" w:firstLineChars="200"/>
        <w:rPr>
          <w:rFonts w:ascii="仿宋" w:hAnsi="仿宋" w:eastAsia="仿宋" w:cs="仿宋"/>
          <w:sz w:val="28"/>
          <w:szCs w:val="28"/>
        </w:rPr>
      </w:pPr>
      <w:r>
        <w:rPr>
          <w:rFonts w:hint="eastAsia" w:ascii="黑体" w:hAnsi="黑体" w:eastAsia="黑体" w:cs="黑体"/>
          <w:sz w:val="28"/>
          <w:szCs w:val="28"/>
        </w:rPr>
        <w:t>三、供应商（供应商）及其从业人员的不良行为记录期限一般为6—24个月。</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（一）存在下列行为之一的，记录期限为6个月：</w:t>
      </w:r>
    </w:p>
    <w:p>
      <w:pPr>
        <w:ind w:firstLine="560" w:firstLineChars="200"/>
        <w:rPr>
          <w:rFonts w:ascii="仿宋" w:hAnsi="仿宋" w:eastAsia="仿宋" w:cs="仿宋"/>
          <w:sz w:val="28"/>
          <w:szCs w:val="28"/>
        </w:rPr>
      </w:pPr>
      <w:r>
        <w:rPr>
          <w:rFonts w:hint="eastAsia" w:ascii="仿宋" w:hAnsi="仿宋" w:eastAsia="仿宋" w:cs="仿宋"/>
          <w:sz w:val="28"/>
          <w:szCs w:val="28"/>
        </w:rPr>
        <w:t>1.采用不正当手段干扰交易活动正常进行的；</w:t>
      </w:r>
    </w:p>
    <w:p>
      <w:pPr>
        <w:ind w:firstLine="560" w:firstLineChars="200"/>
        <w:rPr>
          <w:rFonts w:ascii="仿宋" w:hAnsi="仿宋" w:eastAsia="仿宋" w:cs="仿宋"/>
          <w:sz w:val="28"/>
          <w:szCs w:val="28"/>
        </w:rPr>
      </w:pPr>
      <w:r>
        <w:rPr>
          <w:rFonts w:hint="eastAsia" w:ascii="仿宋" w:hAnsi="仿宋" w:eastAsia="仿宋" w:cs="仿宋"/>
          <w:sz w:val="28"/>
          <w:szCs w:val="28"/>
        </w:rPr>
        <w:t>2.不服从现场工作人员管理，扰乱开评标秩序的；</w:t>
      </w:r>
    </w:p>
    <w:p>
      <w:pPr>
        <w:ind w:firstLine="560" w:firstLineChars="200"/>
        <w:rPr>
          <w:rFonts w:ascii="仿宋" w:hAnsi="仿宋" w:eastAsia="仿宋" w:cs="仿宋"/>
          <w:sz w:val="28"/>
          <w:szCs w:val="28"/>
        </w:rPr>
      </w:pPr>
      <w:r>
        <w:rPr>
          <w:rFonts w:hint="eastAsia" w:ascii="仿宋" w:hAnsi="仿宋" w:eastAsia="仿宋" w:cs="仿宋"/>
          <w:sz w:val="28"/>
          <w:szCs w:val="28"/>
        </w:rPr>
        <w:t>3.在投标截止时间后撤回投标文件的；</w:t>
      </w:r>
    </w:p>
    <w:p>
      <w:pPr>
        <w:ind w:firstLine="560" w:firstLineChars="200"/>
        <w:rPr>
          <w:rFonts w:ascii="仿宋" w:hAnsi="仿宋" w:eastAsia="仿宋" w:cs="仿宋"/>
          <w:sz w:val="28"/>
          <w:szCs w:val="28"/>
        </w:rPr>
      </w:pPr>
      <w:r>
        <w:rPr>
          <w:rFonts w:hint="eastAsia" w:ascii="仿宋" w:hAnsi="仿宋" w:eastAsia="仿宋" w:cs="仿宋"/>
          <w:sz w:val="28"/>
          <w:szCs w:val="28"/>
        </w:rPr>
        <w:t>4.质疑（异议）、投诉提供的证据证明系非法取得的。</w:t>
      </w:r>
    </w:p>
    <w:p>
      <w:pPr>
        <w:ind w:firstLine="560" w:firstLineChars="200"/>
        <w:rPr>
          <w:rFonts w:ascii="仿宋" w:hAnsi="仿宋" w:eastAsia="仿宋" w:cs="仿宋"/>
          <w:sz w:val="28"/>
          <w:szCs w:val="28"/>
        </w:rPr>
      </w:pPr>
      <w:r>
        <w:rPr>
          <w:rFonts w:hint="eastAsia" w:ascii="仿宋" w:hAnsi="仿宋" w:eastAsia="仿宋" w:cs="仿宋"/>
          <w:sz w:val="28"/>
          <w:szCs w:val="28"/>
        </w:rPr>
        <w:t>5.一年内供应商质疑（异议）后无故撤销质疑（异议）2次（含2次）以上的；</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（二）存在下列行为之一的，记录期限为12个月：</w:t>
      </w:r>
    </w:p>
    <w:p>
      <w:pPr>
        <w:ind w:firstLine="560" w:firstLineChars="200"/>
        <w:rPr>
          <w:rFonts w:ascii="仿宋" w:hAnsi="仿宋" w:eastAsia="仿宋" w:cs="仿宋"/>
          <w:sz w:val="28"/>
          <w:szCs w:val="28"/>
        </w:rPr>
      </w:pPr>
      <w:r>
        <w:rPr>
          <w:rFonts w:hint="eastAsia" w:ascii="仿宋" w:hAnsi="仿宋" w:eastAsia="仿宋" w:cs="仿宋"/>
          <w:sz w:val="28"/>
          <w:szCs w:val="28"/>
        </w:rPr>
        <w:t>1.捏造、歪曲事实或提供虚假不实的证据恶意投诉，影响交易活动正常进行的；</w:t>
      </w:r>
    </w:p>
    <w:p>
      <w:pPr>
        <w:ind w:firstLine="560" w:firstLineChars="200"/>
        <w:rPr>
          <w:rFonts w:ascii="仿宋" w:hAnsi="仿宋" w:eastAsia="仿宋" w:cs="仿宋"/>
          <w:sz w:val="28"/>
          <w:szCs w:val="28"/>
        </w:rPr>
      </w:pPr>
      <w:r>
        <w:rPr>
          <w:rFonts w:hint="eastAsia" w:ascii="仿宋" w:hAnsi="仿宋" w:eastAsia="仿宋" w:cs="仿宋"/>
          <w:sz w:val="28"/>
          <w:szCs w:val="28"/>
        </w:rPr>
        <w:t>2.质疑（异议）投诉（举报）双方当事人无正当理由拒不配合调查处理或不参加质证的；</w:t>
      </w:r>
    </w:p>
    <w:p>
      <w:pPr>
        <w:ind w:firstLine="560" w:firstLineChars="200"/>
        <w:rPr>
          <w:rFonts w:ascii="仿宋" w:hAnsi="仿宋" w:eastAsia="仿宋" w:cs="仿宋"/>
          <w:sz w:val="28"/>
          <w:szCs w:val="28"/>
        </w:rPr>
      </w:pPr>
      <w:r>
        <w:rPr>
          <w:rFonts w:hint="eastAsia" w:ascii="仿宋" w:hAnsi="仿宋" w:eastAsia="仿宋" w:cs="仿宋"/>
          <w:sz w:val="28"/>
          <w:szCs w:val="28"/>
        </w:rPr>
        <w:t>3.未提供有效证明材料支持其主张，经行政监督部门2次及以上书面答复，仍缠诉或多方投诉的；</w:t>
      </w:r>
    </w:p>
    <w:p>
      <w:pPr>
        <w:ind w:firstLine="560" w:firstLineChars="200"/>
        <w:rPr>
          <w:rFonts w:ascii="仿宋" w:hAnsi="仿宋" w:eastAsia="仿宋" w:cs="仿宋"/>
          <w:sz w:val="28"/>
          <w:szCs w:val="28"/>
        </w:rPr>
      </w:pPr>
      <w:r>
        <w:rPr>
          <w:rFonts w:hint="eastAsia" w:ascii="仿宋" w:hAnsi="仿宋" w:eastAsia="仿宋" w:cs="仿宋"/>
          <w:sz w:val="28"/>
          <w:szCs w:val="28"/>
        </w:rPr>
        <w:t>4.未按交易文件主要内容签订合同的；</w:t>
      </w:r>
    </w:p>
    <w:p>
      <w:pPr>
        <w:ind w:firstLine="560" w:firstLineChars="200"/>
        <w:rPr>
          <w:rFonts w:ascii="仿宋" w:hAnsi="仿宋" w:eastAsia="仿宋" w:cs="仿宋"/>
          <w:sz w:val="28"/>
          <w:szCs w:val="28"/>
        </w:rPr>
      </w:pPr>
      <w:r>
        <w:rPr>
          <w:rFonts w:hint="eastAsia" w:ascii="仿宋" w:hAnsi="仿宋" w:eastAsia="仿宋" w:cs="仿宋"/>
          <w:sz w:val="28"/>
          <w:szCs w:val="28"/>
        </w:rPr>
        <w:t>5.在行政监督部门联合监察委、发改委和公管办对中标项目履约情况进行督办检查过程中，查实中标单位未按承诺配备项目管理班子、或拟派管理机构人员与实际现场管理机构人员不相符的，或擅自变更、提供虚假证明更换项目管理人员的；未按合同要求组织施工、拖延工期的，经督查不及时整改的。</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（三）存在下列行为之一的，记录期限为18个月：</w:t>
      </w:r>
    </w:p>
    <w:p>
      <w:pPr>
        <w:ind w:firstLine="560" w:firstLineChars="200"/>
        <w:rPr>
          <w:rFonts w:ascii="仿宋" w:hAnsi="仿宋" w:eastAsia="仿宋" w:cs="仿宋"/>
          <w:sz w:val="28"/>
          <w:szCs w:val="28"/>
        </w:rPr>
      </w:pPr>
      <w:r>
        <w:rPr>
          <w:rFonts w:hint="eastAsia" w:ascii="仿宋" w:hAnsi="仿宋" w:eastAsia="仿宋" w:cs="仿宋"/>
          <w:sz w:val="28"/>
          <w:szCs w:val="28"/>
        </w:rPr>
        <w:t>1.在确定中标人之前就投标价格、投标方案等实质性内容与</w:t>
      </w:r>
      <w:r>
        <w:rPr>
          <w:rFonts w:hint="eastAsia" w:ascii="仿宋" w:hAnsi="仿宋" w:eastAsia="仿宋" w:cs="仿宋"/>
          <w:sz w:val="28"/>
          <w:szCs w:val="28"/>
          <w:lang w:eastAsia="zh-CN"/>
        </w:rPr>
        <w:t>采购人</w:t>
      </w:r>
      <w:r>
        <w:rPr>
          <w:rFonts w:hint="eastAsia" w:ascii="仿宋" w:hAnsi="仿宋" w:eastAsia="仿宋" w:cs="仿宋"/>
          <w:sz w:val="28"/>
          <w:szCs w:val="28"/>
        </w:rPr>
        <w:t>（采购人）进行合同谈判的；</w:t>
      </w:r>
    </w:p>
    <w:p>
      <w:pPr>
        <w:ind w:firstLine="560" w:firstLineChars="200"/>
        <w:rPr>
          <w:rFonts w:ascii="仿宋" w:hAnsi="仿宋" w:eastAsia="仿宋" w:cs="仿宋"/>
          <w:sz w:val="28"/>
          <w:szCs w:val="28"/>
        </w:rPr>
      </w:pPr>
      <w:r>
        <w:rPr>
          <w:rFonts w:hint="eastAsia" w:ascii="仿宋" w:hAnsi="仿宋" w:eastAsia="仿宋" w:cs="仿宋"/>
          <w:sz w:val="28"/>
          <w:szCs w:val="28"/>
        </w:rPr>
        <w:t>2.无正当理由放弃中标（成交）资格的；</w:t>
      </w:r>
    </w:p>
    <w:p>
      <w:pPr>
        <w:ind w:firstLine="560" w:firstLineChars="200"/>
        <w:rPr>
          <w:rFonts w:ascii="仿宋" w:hAnsi="仿宋" w:eastAsia="仿宋" w:cs="仿宋"/>
          <w:sz w:val="28"/>
          <w:szCs w:val="28"/>
        </w:rPr>
      </w:pPr>
      <w:r>
        <w:rPr>
          <w:rFonts w:hint="eastAsia" w:ascii="仿宋" w:hAnsi="仿宋" w:eastAsia="仿宋" w:cs="仿宋"/>
          <w:sz w:val="28"/>
          <w:szCs w:val="28"/>
        </w:rPr>
        <w:t>3.中标（成交）后，不按招标文件规定提交履约保证金的；</w:t>
      </w:r>
    </w:p>
    <w:p>
      <w:pPr>
        <w:ind w:firstLine="560" w:firstLineChars="200"/>
        <w:rPr>
          <w:rFonts w:ascii="仿宋" w:hAnsi="仿宋" w:eastAsia="仿宋" w:cs="仿宋"/>
          <w:sz w:val="28"/>
          <w:szCs w:val="28"/>
        </w:rPr>
      </w:pPr>
      <w:r>
        <w:rPr>
          <w:rFonts w:hint="eastAsia" w:ascii="仿宋" w:hAnsi="仿宋" w:eastAsia="仿宋" w:cs="仿宋"/>
          <w:sz w:val="28"/>
          <w:szCs w:val="28"/>
        </w:rPr>
        <w:t>4.中标（成交）后，无正当理由未在规定期限内与</w:t>
      </w:r>
      <w:r>
        <w:rPr>
          <w:rFonts w:hint="eastAsia" w:ascii="仿宋" w:hAnsi="仿宋" w:eastAsia="仿宋" w:cs="仿宋"/>
          <w:sz w:val="28"/>
          <w:szCs w:val="28"/>
          <w:lang w:eastAsia="zh-CN"/>
        </w:rPr>
        <w:t>采购人</w:t>
      </w:r>
      <w:r>
        <w:rPr>
          <w:rFonts w:hint="eastAsia" w:ascii="仿宋" w:hAnsi="仿宋" w:eastAsia="仿宋" w:cs="仿宋"/>
          <w:sz w:val="28"/>
          <w:szCs w:val="28"/>
        </w:rPr>
        <w:t>签订合同的；</w:t>
      </w:r>
    </w:p>
    <w:p>
      <w:pPr>
        <w:ind w:firstLine="560" w:firstLineChars="200"/>
        <w:rPr>
          <w:rFonts w:ascii="仿宋" w:hAnsi="仿宋" w:eastAsia="仿宋" w:cs="仿宋"/>
          <w:sz w:val="28"/>
          <w:szCs w:val="28"/>
        </w:rPr>
      </w:pPr>
      <w:r>
        <w:rPr>
          <w:rFonts w:hint="eastAsia" w:ascii="仿宋" w:hAnsi="仿宋" w:eastAsia="仿宋" w:cs="仿宋"/>
          <w:sz w:val="28"/>
          <w:szCs w:val="28"/>
        </w:rPr>
        <w:t>5.拒绝接受或者阻挠公管办和行政监督部门依法进行监督检查的。</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四）存在下列行为之一的，属于“联合惩戒备忘录”明确的十九种严重失信行为，将按有关规定依法依规记录失信主体信息，按程序上传并实施联合惩戒，依法依规限制其参与各类公共资源交易活动。记录期限为24个月：</w:t>
      </w:r>
    </w:p>
    <w:p>
      <w:pPr>
        <w:ind w:firstLine="560" w:firstLineChars="200"/>
        <w:rPr>
          <w:rFonts w:ascii="仿宋" w:hAnsi="仿宋" w:eastAsia="仿宋" w:cs="仿宋"/>
          <w:sz w:val="28"/>
          <w:szCs w:val="28"/>
        </w:rPr>
      </w:pPr>
      <w:r>
        <w:rPr>
          <w:rFonts w:hint="eastAsia" w:ascii="仿宋" w:hAnsi="仿宋" w:eastAsia="仿宋" w:cs="仿宋"/>
          <w:sz w:val="28"/>
          <w:szCs w:val="28"/>
        </w:rPr>
        <w:t>1.供应商互相串通投标或者与</w:t>
      </w:r>
      <w:r>
        <w:rPr>
          <w:rFonts w:hint="eastAsia" w:ascii="仿宋" w:hAnsi="仿宋" w:eastAsia="仿宋" w:cs="仿宋"/>
          <w:sz w:val="28"/>
          <w:szCs w:val="28"/>
          <w:lang w:eastAsia="zh-CN"/>
        </w:rPr>
        <w:t>采购人</w:t>
      </w:r>
      <w:r>
        <w:rPr>
          <w:rFonts w:hint="eastAsia" w:ascii="仿宋" w:hAnsi="仿宋" w:eastAsia="仿宋" w:cs="仿宋"/>
          <w:sz w:val="28"/>
          <w:szCs w:val="28"/>
        </w:rPr>
        <w:t>串通投标，供应商以向</w:t>
      </w:r>
      <w:r>
        <w:rPr>
          <w:rFonts w:hint="eastAsia" w:ascii="仿宋" w:hAnsi="仿宋" w:eastAsia="仿宋" w:cs="仿宋"/>
          <w:sz w:val="28"/>
          <w:szCs w:val="28"/>
          <w:lang w:eastAsia="zh-CN"/>
        </w:rPr>
        <w:t>采购人</w:t>
      </w:r>
      <w:r>
        <w:rPr>
          <w:rFonts w:hint="eastAsia" w:ascii="仿宋" w:hAnsi="仿宋" w:eastAsia="仿宋" w:cs="仿宋"/>
          <w:sz w:val="28"/>
          <w:szCs w:val="28"/>
        </w:rPr>
        <w:t>或者评标委员会成员行贿的手段谋取中标的；</w:t>
      </w:r>
    </w:p>
    <w:p>
      <w:pPr>
        <w:ind w:firstLine="560" w:firstLineChars="200"/>
        <w:rPr>
          <w:rFonts w:ascii="仿宋" w:hAnsi="仿宋" w:eastAsia="仿宋" w:cs="仿宋"/>
          <w:sz w:val="28"/>
          <w:szCs w:val="28"/>
        </w:rPr>
      </w:pPr>
      <w:r>
        <w:rPr>
          <w:rFonts w:hint="eastAsia" w:ascii="仿宋" w:hAnsi="仿宋" w:eastAsia="仿宋" w:cs="仿宋"/>
          <w:sz w:val="28"/>
          <w:szCs w:val="28"/>
        </w:rPr>
        <w:t>2.投标时提供虚假材料，或以受让、借用、涂改、盗用、伪造资质证书或年检记录、图章、签名，使用虚假身份证件以及其他弄虚作假的方式参与投标的；</w:t>
      </w:r>
    </w:p>
    <w:p>
      <w:pPr>
        <w:ind w:firstLine="560" w:firstLineChars="200"/>
        <w:rPr>
          <w:rFonts w:ascii="仿宋" w:hAnsi="仿宋" w:eastAsia="仿宋" w:cs="仿宋"/>
          <w:sz w:val="28"/>
          <w:szCs w:val="28"/>
        </w:rPr>
      </w:pPr>
      <w:r>
        <w:rPr>
          <w:rFonts w:hint="eastAsia" w:ascii="仿宋" w:hAnsi="仿宋" w:eastAsia="仿宋" w:cs="仿宋"/>
          <w:sz w:val="28"/>
          <w:szCs w:val="28"/>
        </w:rPr>
        <w:t>3.供应商以他人名义投标或者以其他方式弄虚作假，骗取中标的；以挂靠、被挂靠或其他方式允许他人以企业员工名义参与投标的；出让、出借资质，或借用其他单位资质参与投标的；经查实中标候选人项目经理有在建项目的；</w:t>
      </w:r>
    </w:p>
    <w:p>
      <w:pPr>
        <w:ind w:firstLine="560" w:firstLineChars="200"/>
        <w:rPr>
          <w:rFonts w:ascii="仿宋" w:hAnsi="仿宋" w:eastAsia="仿宋" w:cs="仿宋"/>
          <w:sz w:val="28"/>
          <w:szCs w:val="28"/>
        </w:rPr>
      </w:pPr>
      <w:r>
        <w:rPr>
          <w:rFonts w:hint="eastAsia" w:ascii="仿宋" w:hAnsi="仿宋" w:eastAsia="仿宋" w:cs="仿宋"/>
          <w:sz w:val="28"/>
          <w:szCs w:val="28"/>
        </w:rPr>
        <w:t>4.中标企业将工程转包或者违法分包的；中标人将中标项目转让给他人，将中标项目肢解后分别转让给他人的，违反法律规定将中标项目的部分主体、关键性工作分包给他人的，或者分包人再次分包的；</w:t>
      </w:r>
    </w:p>
    <w:p>
      <w:pPr>
        <w:ind w:firstLine="560" w:firstLineChars="200"/>
        <w:rPr>
          <w:rFonts w:ascii="仿宋" w:hAnsi="仿宋" w:eastAsia="仿宋" w:cs="仿宋"/>
          <w:sz w:val="28"/>
          <w:szCs w:val="28"/>
        </w:rPr>
      </w:pPr>
      <w:r>
        <w:rPr>
          <w:rFonts w:hint="eastAsia" w:ascii="仿宋" w:hAnsi="仿宋" w:eastAsia="仿宋" w:cs="仿宋"/>
          <w:sz w:val="28"/>
          <w:szCs w:val="28"/>
        </w:rPr>
        <w:t>5.中标人不按照与</w:t>
      </w:r>
      <w:r>
        <w:rPr>
          <w:rFonts w:hint="eastAsia" w:ascii="仿宋" w:hAnsi="仿宋" w:eastAsia="仿宋" w:cs="仿宋"/>
          <w:sz w:val="28"/>
          <w:szCs w:val="28"/>
          <w:lang w:eastAsia="zh-CN"/>
        </w:rPr>
        <w:t>采购人</w:t>
      </w:r>
      <w:r>
        <w:rPr>
          <w:rFonts w:hint="eastAsia" w:ascii="仿宋" w:hAnsi="仿宋" w:eastAsia="仿宋" w:cs="仿宋"/>
          <w:sz w:val="28"/>
          <w:szCs w:val="28"/>
        </w:rPr>
        <w:t>订立的合同履行义务，情节严重的；</w:t>
      </w:r>
    </w:p>
    <w:p>
      <w:pPr>
        <w:ind w:firstLine="560" w:firstLineChars="200"/>
        <w:rPr>
          <w:rFonts w:ascii="仿宋" w:hAnsi="仿宋" w:eastAsia="仿宋" w:cs="仿宋"/>
          <w:sz w:val="28"/>
          <w:szCs w:val="28"/>
        </w:rPr>
      </w:pPr>
      <w:r>
        <w:rPr>
          <w:rFonts w:hint="eastAsia" w:ascii="仿宋" w:hAnsi="仿宋" w:eastAsia="仿宋" w:cs="仿宋"/>
          <w:sz w:val="28"/>
          <w:szCs w:val="28"/>
        </w:rPr>
        <w:t>6.供应商存在提供虚假材料谋取中标、成交，采取不正当手段诋毁、排挤其他供应商，与采购人、其他供应商或者代理机构恶意串通，向采购人、采购代理机构行贿或者提供其他不当利益，在招标采购过程中与采购人进行协商谈判，或拒绝有关部门监督检查或者提供虚假情况等情形的。</w:t>
      </w:r>
    </w:p>
    <w:p>
      <w:pPr>
        <w:jc w:val="center"/>
        <w:rPr>
          <w:rFonts w:ascii="宋体" w:hAnsi="宋体" w:cs="宋体"/>
          <w:b/>
          <w:kern w:val="0"/>
          <w:sz w:val="32"/>
          <w:szCs w:val="32"/>
        </w:rPr>
      </w:pPr>
      <w:r>
        <w:rPr>
          <w:rFonts w:hint="eastAsia" w:ascii="仿宋" w:hAnsi="仿宋" w:eastAsia="仿宋" w:cs="仿宋"/>
          <w:sz w:val="28"/>
          <w:szCs w:val="28"/>
        </w:rPr>
        <w:t>7.其它违反诚信原则或公共资源交易管理规定影响恶劣的行为。</w:t>
      </w:r>
    </w:p>
    <w:p>
      <w:pPr>
        <w:autoSpaceDE w:val="0"/>
        <w:autoSpaceDN w:val="0"/>
        <w:adjustRightInd w:val="0"/>
        <w:spacing w:line="700" w:lineRule="exact"/>
        <w:ind w:firstLine="551"/>
        <w:jc w:val="center"/>
        <w:rPr>
          <w:rFonts w:hint="eastAsia" w:cs="宋体" w:asciiTheme="majorEastAsia" w:hAnsiTheme="majorEastAsia" w:eastAsiaTheme="majorEastAsia"/>
          <w:b/>
          <w:kern w:val="0"/>
          <w:sz w:val="44"/>
          <w:szCs w:val="44"/>
        </w:rPr>
      </w:pPr>
    </w:p>
    <w:p>
      <w:pPr>
        <w:autoSpaceDE w:val="0"/>
        <w:autoSpaceDN w:val="0"/>
        <w:adjustRightInd w:val="0"/>
        <w:spacing w:line="700" w:lineRule="exact"/>
        <w:ind w:firstLine="551"/>
        <w:jc w:val="center"/>
        <w:rPr>
          <w:rFonts w:hint="eastAsia" w:cs="宋体" w:asciiTheme="majorEastAsia" w:hAnsiTheme="majorEastAsia" w:eastAsiaTheme="majorEastAsia"/>
          <w:b/>
          <w:kern w:val="0"/>
          <w:sz w:val="44"/>
          <w:szCs w:val="44"/>
        </w:rPr>
      </w:pPr>
    </w:p>
    <w:p>
      <w:pPr>
        <w:autoSpaceDE w:val="0"/>
        <w:autoSpaceDN w:val="0"/>
        <w:adjustRightInd w:val="0"/>
        <w:spacing w:line="700" w:lineRule="exact"/>
        <w:ind w:firstLine="551"/>
        <w:jc w:val="center"/>
        <w:rPr>
          <w:rFonts w:hint="eastAsia" w:cs="宋体" w:asciiTheme="majorEastAsia" w:hAnsiTheme="majorEastAsia" w:eastAsiaTheme="majorEastAsia"/>
          <w:b/>
          <w:kern w:val="0"/>
          <w:sz w:val="44"/>
          <w:szCs w:val="44"/>
        </w:rPr>
      </w:pPr>
    </w:p>
    <w:p>
      <w:pPr>
        <w:autoSpaceDE w:val="0"/>
        <w:autoSpaceDN w:val="0"/>
        <w:adjustRightInd w:val="0"/>
        <w:spacing w:line="700" w:lineRule="exact"/>
        <w:ind w:firstLine="551"/>
        <w:jc w:val="center"/>
        <w:rPr>
          <w:rFonts w:hint="eastAsia" w:cs="宋体" w:asciiTheme="majorEastAsia" w:hAnsiTheme="majorEastAsia" w:eastAsiaTheme="majorEastAsia"/>
          <w:b/>
          <w:kern w:val="0"/>
          <w:sz w:val="44"/>
          <w:szCs w:val="44"/>
        </w:rPr>
      </w:pPr>
    </w:p>
    <w:p>
      <w:pPr>
        <w:autoSpaceDE w:val="0"/>
        <w:autoSpaceDN w:val="0"/>
        <w:adjustRightInd w:val="0"/>
        <w:spacing w:line="700" w:lineRule="exact"/>
        <w:ind w:firstLine="551"/>
        <w:jc w:val="center"/>
        <w:rPr>
          <w:rFonts w:hint="eastAsia" w:cs="宋体" w:asciiTheme="majorEastAsia" w:hAnsiTheme="majorEastAsia" w:eastAsiaTheme="majorEastAsia"/>
          <w:b/>
          <w:kern w:val="0"/>
          <w:sz w:val="44"/>
          <w:szCs w:val="44"/>
        </w:rPr>
      </w:pPr>
    </w:p>
    <w:p>
      <w:pPr>
        <w:jc w:val="center"/>
        <w:rPr>
          <w:rFonts w:hint="eastAsia" w:cs="宋体" w:asciiTheme="majorEastAsia" w:hAnsiTheme="majorEastAsia" w:eastAsiaTheme="majorEastAsia"/>
          <w:b/>
          <w:kern w:val="0"/>
          <w:sz w:val="32"/>
          <w:szCs w:val="32"/>
        </w:r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投标邀请</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山西文昌工程咨询有限公司(以下简称代理机构) 受</w:t>
      </w:r>
      <w:r>
        <w:rPr>
          <w:rFonts w:hint="eastAsia" w:cs="仿宋_GB2312" w:asciiTheme="minorEastAsia" w:hAnsiTheme="minorEastAsia" w:eastAsiaTheme="minorEastAsia"/>
          <w:color w:val="000000"/>
          <w:sz w:val="24"/>
          <w:szCs w:val="24"/>
          <w:shd w:val="clear" w:color="auto" w:fill="FFFFFF"/>
          <w:lang w:val="en-US" w:eastAsia="zh-CN"/>
        </w:rPr>
        <w:t>长葛市教育体育局</w:t>
      </w:r>
      <w:r>
        <w:rPr>
          <w:rFonts w:hint="eastAsia" w:cs="仿宋_GB2312" w:asciiTheme="minorEastAsia" w:hAnsiTheme="minorEastAsia" w:eastAsiaTheme="minorEastAsia"/>
          <w:color w:val="000000"/>
          <w:sz w:val="24"/>
          <w:szCs w:val="24"/>
          <w:shd w:val="clear" w:color="auto" w:fill="FFFFFF"/>
          <w:lang w:val="zh-CN"/>
        </w:rPr>
        <w:t>的委托，对</w:t>
      </w:r>
      <w:r>
        <w:rPr>
          <w:rFonts w:hint="eastAsia" w:cs="仿宋_GB2312" w:asciiTheme="minorEastAsia" w:hAnsiTheme="minorEastAsia" w:eastAsiaTheme="minorEastAsia"/>
          <w:color w:val="000000"/>
          <w:sz w:val="24"/>
          <w:szCs w:val="24"/>
          <w:shd w:val="clear" w:color="auto" w:fill="FFFFFF"/>
          <w:lang w:val="zh-CN" w:eastAsia="zh-CN"/>
        </w:rPr>
        <w:t>长葛市颍川路幼儿园玩具及教学用品购置</w:t>
      </w:r>
      <w:r>
        <w:rPr>
          <w:rFonts w:hint="eastAsia" w:cs="仿宋_GB2312" w:asciiTheme="minorEastAsia" w:hAnsiTheme="minorEastAsia" w:eastAsiaTheme="minorEastAsia"/>
          <w:color w:val="000000"/>
          <w:sz w:val="24"/>
          <w:szCs w:val="24"/>
          <w:shd w:val="clear" w:color="auto" w:fill="FFFFFF"/>
          <w:lang w:val="en-US" w:eastAsia="zh-CN"/>
        </w:rPr>
        <w:t>项目</w:t>
      </w:r>
      <w:r>
        <w:rPr>
          <w:rFonts w:hint="eastAsia" w:cs="仿宋_GB2312" w:asciiTheme="minorEastAsia" w:hAnsiTheme="minorEastAsia" w:eastAsiaTheme="minorEastAsia"/>
          <w:color w:val="000000"/>
          <w:sz w:val="24"/>
          <w:szCs w:val="24"/>
          <w:shd w:val="clear" w:color="auto" w:fill="FFFFFF"/>
          <w:lang w:val="zh-CN"/>
        </w:rPr>
        <w:t>进行公开招标。现邀请符合本招标文件规定条件的投标人前来投标。</w:t>
      </w:r>
    </w:p>
    <w:p>
      <w:pPr>
        <w:pStyle w:val="22"/>
        <w:widowControl/>
        <w:shd w:val="clear" w:color="auto" w:fill="FFFFFF"/>
        <w:spacing w:line="360" w:lineRule="auto"/>
        <w:contextualSpacing/>
        <w:jc w:val="left"/>
        <w:rPr>
          <w:rFonts w:cs="黑体" w:asciiTheme="minorEastAsia" w:hAnsiTheme="minorEastAsia" w:eastAsiaTheme="minorEastAsia"/>
          <w:b/>
          <w:bCs/>
          <w:color w:val="000000"/>
          <w:sz w:val="24"/>
          <w:szCs w:val="24"/>
        </w:rPr>
      </w:pPr>
      <w:r>
        <w:rPr>
          <w:rFonts w:hint="eastAsia" w:ascii="黑体" w:hAnsi="黑体" w:eastAsia="黑体" w:cs="黑体"/>
          <w:bCs/>
          <w:color w:val="000000"/>
          <w:sz w:val="24"/>
          <w:szCs w:val="24"/>
          <w:shd w:val="clear" w:color="auto" w:fill="FFFFFF"/>
        </w:rPr>
        <w:t xml:space="preserve">    </w:t>
      </w:r>
      <w:r>
        <w:rPr>
          <w:rFonts w:hint="eastAsia" w:cs="黑体" w:asciiTheme="minorEastAsia" w:hAnsiTheme="minorEastAsia" w:eastAsiaTheme="minorEastAsia"/>
          <w:b/>
          <w:bCs/>
          <w:color w:val="000000"/>
          <w:sz w:val="24"/>
          <w:szCs w:val="24"/>
          <w:shd w:val="clear" w:color="auto" w:fill="FFFFFF"/>
        </w:rPr>
        <w:t>一、项目基本情况</w:t>
      </w:r>
    </w:p>
    <w:p>
      <w:pPr>
        <w:pStyle w:val="22"/>
        <w:widowControl/>
        <w:shd w:val="clear" w:color="auto" w:fill="FFFFFF"/>
        <w:spacing w:line="360" w:lineRule="auto"/>
        <w:ind w:firstLine="420"/>
        <w:contextualSpacing/>
        <w:jc w:val="left"/>
        <w:rPr>
          <w:rFonts w:hint="default" w:cs="仿宋_GB2312" w:asciiTheme="minorEastAsia" w:hAnsiTheme="minorEastAsia" w:eastAsiaTheme="minorEastAsia"/>
          <w:color w:val="000000"/>
          <w:sz w:val="24"/>
          <w:szCs w:val="24"/>
          <w:shd w:val="clear" w:color="auto" w:fill="FFFFFF"/>
          <w:lang w:val="en-US"/>
        </w:rPr>
      </w:pPr>
      <w:r>
        <w:rPr>
          <w:rFonts w:hint="eastAsia" w:cs="仿宋_GB2312" w:asciiTheme="minorEastAsia" w:hAnsiTheme="minorEastAsia" w:eastAsiaTheme="minorEastAsia"/>
          <w:color w:val="000000"/>
          <w:sz w:val="24"/>
          <w:szCs w:val="24"/>
          <w:shd w:val="clear" w:color="auto" w:fill="FFFFFF"/>
        </w:rPr>
        <w:t>（一）项目名</w:t>
      </w:r>
      <w:r>
        <w:rPr>
          <w:rFonts w:hint="eastAsia" w:cs="仿宋_GB2312" w:asciiTheme="minorEastAsia" w:hAnsiTheme="minorEastAsia" w:eastAsiaTheme="minorEastAsia"/>
          <w:color w:val="000000"/>
          <w:sz w:val="24"/>
          <w:szCs w:val="24"/>
          <w:shd w:val="clear" w:color="auto" w:fill="FFFFFF"/>
          <w:lang w:val="zh-CN"/>
        </w:rPr>
        <w:t>称：</w:t>
      </w:r>
      <w:r>
        <w:rPr>
          <w:rFonts w:hint="eastAsia" w:cs="仿宋_GB2312" w:asciiTheme="minorEastAsia" w:hAnsiTheme="minorEastAsia" w:eastAsiaTheme="minorEastAsia"/>
          <w:color w:val="000000"/>
          <w:sz w:val="24"/>
          <w:szCs w:val="24"/>
          <w:shd w:val="clear" w:color="auto" w:fill="FFFFFF"/>
          <w:lang w:val="zh-CN" w:eastAsia="zh-CN"/>
        </w:rPr>
        <w:t>长葛市颍川路幼儿园玩具及教学用品购置</w:t>
      </w:r>
      <w:r>
        <w:rPr>
          <w:rFonts w:hint="eastAsia" w:cs="仿宋_GB2312" w:asciiTheme="minorEastAsia" w:hAnsiTheme="minorEastAsia" w:eastAsiaTheme="minorEastAsia"/>
          <w:color w:val="000000"/>
          <w:sz w:val="24"/>
          <w:szCs w:val="24"/>
          <w:shd w:val="clear" w:color="auto" w:fill="FFFFFF"/>
          <w:lang w:val="en-US" w:eastAsia="zh-CN"/>
        </w:rPr>
        <w:t>项目</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（二）项目编号：</w:t>
      </w:r>
      <w:r>
        <w:rPr>
          <w:rFonts w:hint="eastAsia" w:cs="仿宋_GB2312" w:asciiTheme="minorEastAsia" w:hAnsiTheme="minorEastAsia" w:eastAsiaTheme="minorEastAsia"/>
          <w:color w:val="000000"/>
          <w:sz w:val="24"/>
          <w:szCs w:val="24"/>
          <w:shd w:val="clear" w:color="auto" w:fill="FFFFFF"/>
          <w:lang w:val="zh-CN" w:eastAsia="zh-CN"/>
        </w:rPr>
        <w:t xml:space="preserve">长招采公字[2018]049号 </w:t>
      </w:r>
      <w:r>
        <w:rPr>
          <w:rFonts w:hint="eastAsia" w:cs="仿宋_GB2312" w:asciiTheme="minorEastAsia" w:hAnsiTheme="minorEastAsia" w:eastAsiaTheme="minorEastAsia"/>
          <w:color w:val="000000"/>
          <w:sz w:val="24"/>
          <w:szCs w:val="24"/>
          <w:shd w:val="clear" w:color="auto" w:fill="FFFFFF"/>
          <w:lang w:val="zh-CN"/>
        </w:rPr>
        <w:t xml:space="preserve"> </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 xml:space="preserve">（三）采购方式：公开招标                                                                                                                         </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eastAsia="zh-CN"/>
        </w:rPr>
      </w:pPr>
      <w:r>
        <w:rPr>
          <w:rFonts w:hint="eastAsia" w:cs="仿宋_GB2312" w:asciiTheme="minorEastAsia" w:hAnsiTheme="minorEastAsia" w:eastAsiaTheme="minorEastAsia"/>
          <w:color w:val="000000"/>
          <w:sz w:val="24"/>
          <w:szCs w:val="24"/>
          <w:shd w:val="clear" w:color="auto" w:fill="FFFFFF"/>
          <w:lang w:val="zh-CN"/>
        </w:rPr>
        <w:t>（四）项目主要内容、数量及要求：</w:t>
      </w:r>
      <w:r>
        <w:rPr>
          <w:rFonts w:hint="eastAsia" w:cs="仿宋_GB2312" w:asciiTheme="minorEastAsia" w:hAnsiTheme="minorEastAsia" w:eastAsiaTheme="minorEastAsia"/>
          <w:color w:val="000000"/>
          <w:sz w:val="24"/>
          <w:szCs w:val="24"/>
          <w:shd w:val="clear" w:color="auto" w:fill="FFFFFF"/>
          <w:lang w:val="zh-CN" w:eastAsia="zh-CN"/>
        </w:rPr>
        <w:t>幼儿园玩具及教学用品</w:t>
      </w:r>
      <w:r>
        <w:rPr>
          <w:rFonts w:hint="eastAsia" w:cs="仿宋_GB2312" w:asciiTheme="minorEastAsia" w:hAnsiTheme="minorEastAsia" w:eastAsiaTheme="minorEastAsia"/>
          <w:color w:val="000000"/>
          <w:sz w:val="24"/>
          <w:szCs w:val="24"/>
          <w:shd w:val="clear" w:color="auto" w:fill="FFFFFF"/>
          <w:lang w:val="en-US" w:eastAsia="zh-CN"/>
        </w:rPr>
        <w:t>采购，详细参数见采购文件。</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eastAsia="zh-CN"/>
        </w:rPr>
      </w:pPr>
      <w:r>
        <w:rPr>
          <w:rFonts w:hint="eastAsia" w:cs="仿宋_GB2312" w:asciiTheme="minorEastAsia" w:hAnsiTheme="minorEastAsia" w:eastAsiaTheme="minorEastAsia"/>
          <w:color w:val="000000"/>
          <w:sz w:val="24"/>
          <w:szCs w:val="24"/>
          <w:shd w:val="clear" w:color="auto" w:fill="FFFFFF"/>
          <w:lang w:val="zh-CN" w:eastAsia="zh-CN"/>
        </w:rPr>
        <w:t>（五）预算金额（最高限价）：1069790.00元。</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en-US" w:eastAsia="zh-CN"/>
        </w:rPr>
      </w:pPr>
      <w:r>
        <w:rPr>
          <w:rFonts w:hint="eastAsia" w:cs="仿宋_GB2312" w:asciiTheme="minorEastAsia" w:hAnsiTheme="minorEastAsia" w:eastAsiaTheme="minorEastAsia"/>
          <w:color w:val="000000"/>
          <w:sz w:val="24"/>
          <w:szCs w:val="24"/>
          <w:shd w:val="clear" w:color="auto" w:fill="FFFFFF"/>
          <w:lang w:val="zh-CN" w:eastAsia="zh-CN"/>
        </w:rPr>
        <w:t>（六）交付（服务、完工）时间 ：</w:t>
      </w:r>
      <w:bookmarkStart w:id="0" w:name="交付日期"/>
      <w:r>
        <w:rPr>
          <w:rFonts w:hint="eastAsia" w:cs="仿宋_GB2312" w:asciiTheme="minorEastAsia" w:hAnsiTheme="minorEastAsia" w:eastAsiaTheme="minorEastAsia"/>
          <w:color w:val="000000"/>
          <w:sz w:val="24"/>
          <w:szCs w:val="24"/>
          <w:shd w:val="clear" w:color="auto" w:fill="FFFFFF"/>
          <w:lang w:val="en-US" w:eastAsia="zh-CN"/>
        </w:rPr>
        <w:t>合同签后30日历天内完成供货安装</w:t>
      </w:r>
      <w:bookmarkEnd w:id="0"/>
      <w:r>
        <w:rPr>
          <w:rFonts w:hint="eastAsia" w:cs="仿宋_GB2312" w:asciiTheme="minorEastAsia" w:hAnsiTheme="minorEastAsia" w:eastAsiaTheme="minorEastAsia"/>
          <w:color w:val="000000"/>
          <w:sz w:val="24"/>
          <w:szCs w:val="24"/>
          <w:shd w:val="clear" w:color="auto" w:fill="FFFFFF"/>
          <w:lang w:val="en-US" w:eastAsia="zh-CN"/>
        </w:rPr>
        <w:t>。</w:t>
      </w:r>
    </w:p>
    <w:p>
      <w:pPr>
        <w:pStyle w:val="22"/>
        <w:widowControl/>
        <w:shd w:val="clear" w:color="auto" w:fill="FFFFFF"/>
        <w:spacing w:line="360" w:lineRule="auto"/>
        <w:ind w:firstLine="420"/>
        <w:contextualSpacing/>
        <w:jc w:val="left"/>
        <w:rPr>
          <w:rFonts w:hint="default" w:cs="仿宋_GB2312" w:asciiTheme="minorEastAsia" w:hAnsiTheme="minorEastAsia" w:eastAsiaTheme="minorEastAsia"/>
          <w:color w:val="000000"/>
          <w:sz w:val="24"/>
          <w:szCs w:val="24"/>
          <w:shd w:val="clear" w:color="auto" w:fill="FFFFFF"/>
          <w:lang w:val="en-US" w:eastAsia="zh-CN"/>
        </w:rPr>
      </w:pPr>
      <w:r>
        <w:rPr>
          <w:rFonts w:hint="eastAsia" w:cs="仿宋_GB2312" w:asciiTheme="minorEastAsia" w:hAnsiTheme="minorEastAsia" w:eastAsiaTheme="minorEastAsia"/>
          <w:color w:val="000000"/>
          <w:sz w:val="24"/>
          <w:szCs w:val="24"/>
          <w:shd w:val="clear" w:color="auto" w:fill="FFFFFF"/>
          <w:lang w:val="zh-CN" w:eastAsia="zh-CN"/>
        </w:rPr>
        <w:t>（七）交付（服务、完工）地点：长葛市</w:t>
      </w:r>
      <w:r>
        <w:rPr>
          <w:rFonts w:hint="eastAsia" w:cs="仿宋_GB2312" w:asciiTheme="minorEastAsia" w:hAnsiTheme="minorEastAsia" w:eastAsiaTheme="minorEastAsia"/>
          <w:color w:val="000000"/>
          <w:sz w:val="24"/>
          <w:szCs w:val="24"/>
          <w:shd w:val="clear" w:color="auto" w:fill="FFFFFF"/>
          <w:lang w:val="en-US" w:eastAsia="zh-CN"/>
        </w:rPr>
        <w:t>颍川路幼儿园</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（八）进口产品：不允许。</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（九）分包：不允许。</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二、需要落实的政府采购政策</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本项目落实中小微型企业、监狱企业、残疾人福利性单位扶持等相关政府采购政策。</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三、投标人资格要求</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（一）符合《中华人民共和国政府采购法》第二十二条之规定；</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（二）未被列入“信用中国”网站(www.creditchina.gov.cn)失信被执行人、重大税收违法案件当事人名单；“中国政府采购网” (www.ccgp.gov.cn)政府采购严重违法失信行为记录名单</w:t>
      </w:r>
      <w:r>
        <w:rPr>
          <w:rFonts w:hint="eastAsia" w:cs="仿宋_GB2312" w:asciiTheme="minorEastAsia" w:hAnsiTheme="minorEastAsia" w:eastAsiaTheme="minorEastAsia"/>
          <w:color w:val="000000"/>
          <w:sz w:val="24"/>
          <w:szCs w:val="24"/>
          <w:shd w:val="clear" w:color="auto" w:fill="FFFFFF"/>
          <w:lang w:val="en-US" w:eastAsia="zh-CN"/>
        </w:rPr>
        <w:t>；“中国社会组织公共服务平台”网站（www.chinanpo.gov.cn）严重违法失信名单</w:t>
      </w:r>
      <w:r>
        <w:rPr>
          <w:rFonts w:hint="eastAsia" w:cs="仿宋_GB2312" w:asciiTheme="minorEastAsia" w:hAnsiTheme="minorEastAsia" w:eastAsiaTheme="minorEastAsia"/>
          <w:color w:val="000000"/>
          <w:sz w:val="24"/>
          <w:szCs w:val="24"/>
          <w:shd w:val="clear" w:color="auto" w:fill="FFFFFF"/>
          <w:lang w:val="zh-CN"/>
        </w:rPr>
        <w:t>的投标人；</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shd w:val="clear" w:color="auto" w:fill="FFFFFF"/>
          <w:lang w:val="zh-CN"/>
        </w:rPr>
      </w:pPr>
      <w:r>
        <w:rPr>
          <w:rFonts w:hint="eastAsia" w:cs="仿宋_GB2312" w:asciiTheme="minorEastAsia" w:hAnsiTheme="minorEastAsia" w:eastAsiaTheme="minorEastAsia"/>
          <w:color w:val="000000"/>
          <w:sz w:val="24"/>
          <w:szCs w:val="24"/>
          <w:shd w:val="clear" w:color="auto" w:fill="FFFFFF"/>
          <w:lang w:val="zh-CN"/>
        </w:rPr>
        <w:t>（</w:t>
      </w:r>
      <w:r>
        <w:rPr>
          <w:rFonts w:hint="eastAsia" w:cs="仿宋_GB2312" w:asciiTheme="minorEastAsia" w:hAnsiTheme="minorEastAsia" w:eastAsiaTheme="minorEastAsia"/>
          <w:color w:val="000000"/>
          <w:sz w:val="24"/>
          <w:szCs w:val="24"/>
          <w:shd w:val="clear" w:color="auto" w:fill="FFFFFF"/>
          <w:lang w:val="zh-CN" w:eastAsia="zh-CN"/>
        </w:rPr>
        <w:t>三</w:t>
      </w:r>
      <w:r>
        <w:rPr>
          <w:rFonts w:hint="eastAsia" w:cs="仿宋_GB2312" w:asciiTheme="minorEastAsia" w:hAnsiTheme="minorEastAsia" w:eastAsiaTheme="minorEastAsia"/>
          <w:color w:val="000000"/>
          <w:sz w:val="24"/>
          <w:szCs w:val="24"/>
          <w:shd w:val="clear" w:color="auto" w:fill="FFFFFF"/>
          <w:lang w:val="zh-CN"/>
        </w:rPr>
        <w:t>）本次招标不接受联合体投标。</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四、招标文件的获取</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一）持CA数字认证证书，登录《全国公共资源交易平台（河南省·许昌市）》“系统用户注册”入口http://221.14.6.70:8088/ggzy/eps/public/RegistAllJcxx.html）进行免费注册登记（详见“常见问题解答-诚信库网上注册相关资料下载”）；</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clear" w:color="auto" w:fill="FFFFFF"/>
        </w:rPr>
      </w:pPr>
      <w:r>
        <w:rPr>
          <w:rFonts w:hint="eastAsia" w:cs="仿宋_GB2312" w:asciiTheme="minorEastAsia" w:hAnsiTheme="minorEastAsia" w:eastAsiaTheme="minorEastAsia"/>
          <w:color w:val="000000"/>
          <w:sz w:val="24"/>
          <w:szCs w:val="24"/>
          <w:shd w:val="clear" w:color="auto" w:fill="FFFFFF"/>
        </w:rPr>
        <w:t>（二）在投标截止时间前均可登录《全国公共资源交易平台（河南省·许昌市）》“投标人/供应商登录”入口（http://221.14.6.70:8088/ggzy/）自行免费下载招标文件（详见“常见问题解答-交易系统操作手册”）。</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五、投标截止时间、开标时间及地点</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（一）投标截止及开标时间</w:t>
      </w:r>
      <w:r>
        <w:rPr>
          <w:rFonts w:hint="eastAsia" w:cs="仿宋_GB2312" w:asciiTheme="minorEastAsia" w:hAnsiTheme="minorEastAsia" w:eastAsiaTheme="minorEastAsia"/>
          <w:color w:val="000000"/>
          <w:sz w:val="24"/>
          <w:szCs w:val="24"/>
          <w:u w:val="single"/>
        </w:rPr>
        <w:t>：2019年</w:t>
      </w:r>
      <w:r>
        <w:rPr>
          <w:rFonts w:hint="eastAsia" w:cs="仿宋_GB2312" w:asciiTheme="minorEastAsia" w:hAnsiTheme="minorEastAsia" w:eastAsiaTheme="minorEastAsia"/>
          <w:color w:val="000000"/>
          <w:sz w:val="24"/>
          <w:szCs w:val="24"/>
          <w:u w:val="single"/>
          <w:lang w:val="en-US" w:eastAsia="zh-CN"/>
        </w:rPr>
        <w:t>12</w:t>
      </w:r>
      <w:r>
        <w:rPr>
          <w:rFonts w:hint="eastAsia" w:cs="仿宋_GB2312" w:asciiTheme="minorEastAsia" w:hAnsiTheme="minorEastAsia" w:eastAsiaTheme="minorEastAsia"/>
          <w:color w:val="000000"/>
          <w:sz w:val="24"/>
          <w:szCs w:val="24"/>
          <w:u w:val="single"/>
        </w:rPr>
        <w:t>月</w:t>
      </w:r>
      <w:r>
        <w:rPr>
          <w:rFonts w:hint="eastAsia" w:cs="仿宋_GB2312" w:asciiTheme="minorEastAsia" w:hAnsiTheme="minorEastAsia" w:eastAsiaTheme="minorEastAsia"/>
          <w:color w:val="000000"/>
          <w:sz w:val="24"/>
          <w:szCs w:val="24"/>
          <w:u w:val="single"/>
          <w:lang w:val="en-US" w:eastAsia="zh-CN"/>
        </w:rPr>
        <w:t>27</w:t>
      </w:r>
      <w:r>
        <w:rPr>
          <w:rFonts w:hint="eastAsia" w:cs="仿宋_GB2312" w:asciiTheme="minorEastAsia" w:hAnsiTheme="minorEastAsia" w:eastAsiaTheme="minorEastAsia"/>
          <w:color w:val="000000"/>
          <w:sz w:val="24"/>
          <w:szCs w:val="24"/>
          <w:u w:val="single"/>
        </w:rPr>
        <w:t>日</w:t>
      </w:r>
      <w:r>
        <w:rPr>
          <w:rFonts w:hint="eastAsia" w:cs="仿宋_GB2312" w:asciiTheme="minorEastAsia" w:hAnsiTheme="minorEastAsia" w:eastAsiaTheme="minorEastAsia"/>
          <w:color w:val="000000"/>
          <w:sz w:val="24"/>
          <w:szCs w:val="24"/>
          <w:u w:val="single"/>
          <w:lang w:val="en-US" w:eastAsia="zh-CN"/>
        </w:rPr>
        <w:t>09</w:t>
      </w:r>
      <w:r>
        <w:rPr>
          <w:rFonts w:hint="eastAsia" w:cs="仿宋_GB2312" w:asciiTheme="minorEastAsia" w:hAnsiTheme="minorEastAsia" w:eastAsiaTheme="minorEastAsia"/>
          <w:color w:val="000000"/>
          <w:sz w:val="24"/>
          <w:szCs w:val="24"/>
          <w:u w:val="single"/>
        </w:rPr>
        <w:t>时</w:t>
      </w:r>
      <w:r>
        <w:rPr>
          <w:rFonts w:hint="eastAsia" w:cs="仿宋_GB2312" w:asciiTheme="minorEastAsia" w:hAnsiTheme="minorEastAsia" w:eastAsiaTheme="minorEastAsia"/>
          <w:color w:val="000000"/>
          <w:sz w:val="24"/>
          <w:szCs w:val="24"/>
          <w:u w:val="single"/>
          <w:lang w:val="en-US" w:eastAsia="zh-CN"/>
        </w:rPr>
        <w:t>00</w:t>
      </w:r>
      <w:r>
        <w:rPr>
          <w:rFonts w:hint="eastAsia" w:cs="仿宋_GB2312" w:asciiTheme="minorEastAsia" w:hAnsiTheme="minorEastAsia" w:eastAsiaTheme="minorEastAsia"/>
          <w:color w:val="000000"/>
          <w:sz w:val="24"/>
          <w:szCs w:val="24"/>
          <w:u w:val="single"/>
        </w:rPr>
        <w:t>分</w:t>
      </w:r>
      <w:r>
        <w:rPr>
          <w:rFonts w:hint="eastAsia" w:cs="仿宋_GB2312" w:asciiTheme="minorEastAsia" w:hAnsiTheme="minorEastAsia" w:eastAsiaTheme="minorEastAsia"/>
          <w:color w:val="000000"/>
          <w:sz w:val="24"/>
          <w:szCs w:val="24"/>
        </w:rPr>
        <w:t>（北京时间），逾期提交或不符合规定的投标文件不予接受。</w:t>
      </w:r>
    </w:p>
    <w:p>
      <w:pPr>
        <w:pStyle w:val="22"/>
        <w:widowControl/>
        <w:shd w:val="clear" w:color="auto" w:fill="FFFFFF"/>
        <w:spacing w:line="360" w:lineRule="auto"/>
        <w:ind w:firstLine="420"/>
        <w:contextualSpacing/>
        <w:jc w:val="left"/>
        <w:rPr>
          <w:rFonts w:hint="eastAsia"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（二）开标地点：长葛市公共资源交易中心开标</w:t>
      </w:r>
      <w:r>
        <w:rPr>
          <w:rFonts w:hint="eastAsia" w:cs="仿宋_GB2312" w:asciiTheme="minorEastAsia" w:hAnsiTheme="minorEastAsia" w:eastAsiaTheme="minorEastAsia"/>
          <w:color w:val="000000"/>
          <w:sz w:val="24"/>
          <w:szCs w:val="24"/>
          <w:lang w:eastAsia="zh-CN"/>
        </w:rPr>
        <w:t>二</w:t>
      </w:r>
      <w:r>
        <w:rPr>
          <w:rFonts w:hint="eastAsia" w:cs="仿宋_GB2312" w:asciiTheme="minorEastAsia" w:hAnsiTheme="minorEastAsia" w:eastAsiaTheme="minorEastAsia"/>
          <w:color w:val="000000"/>
          <w:sz w:val="24"/>
          <w:szCs w:val="24"/>
        </w:rPr>
        <w:t>室（长葛市葛天大道东段商务区6#楼</w:t>
      </w:r>
      <w:r>
        <w:rPr>
          <w:rFonts w:hint="eastAsia" w:cs="仿宋_GB2312" w:asciiTheme="minorEastAsia" w:hAnsiTheme="minorEastAsia" w:eastAsiaTheme="minorEastAsia"/>
          <w:color w:val="000000"/>
          <w:sz w:val="24"/>
          <w:szCs w:val="24"/>
          <w:lang w:val="en-US" w:eastAsia="zh-CN"/>
        </w:rPr>
        <w:t>4</w:t>
      </w:r>
      <w:r>
        <w:rPr>
          <w:rFonts w:hint="eastAsia" w:cs="仿宋_GB2312" w:asciiTheme="minorEastAsia" w:hAnsiTheme="minorEastAsia" w:eastAsiaTheme="minorEastAsia"/>
          <w:color w:val="000000"/>
          <w:sz w:val="24"/>
          <w:szCs w:val="24"/>
        </w:rPr>
        <w:t>楼</w:t>
      </w:r>
      <w:r>
        <w:rPr>
          <w:rFonts w:hint="eastAsia" w:cs="仿宋_GB2312" w:asciiTheme="minorEastAsia" w:hAnsiTheme="minorEastAsia" w:eastAsiaTheme="minorEastAsia"/>
          <w:color w:val="000000"/>
          <w:sz w:val="24"/>
          <w:szCs w:val="24"/>
          <w:lang w:val="en-US" w:eastAsia="zh-CN"/>
        </w:rPr>
        <w:t>409</w:t>
      </w:r>
      <w:r>
        <w:rPr>
          <w:rFonts w:hint="eastAsia" w:cs="仿宋_GB2312" w:asciiTheme="minorEastAsia" w:hAnsiTheme="minorEastAsia" w:eastAsiaTheme="minorEastAsia"/>
          <w:color w:val="000000"/>
          <w:sz w:val="24"/>
          <w:szCs w:val="24"/>
        </w:rPr>
        <w:t>室）。</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（三） 本项目为全流程电子化交易项目，投标人须提交电子投标文件和纸质投标文件。</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1、加密电子投标文件</w:t>
      </w:r>
      <w:r>
        <w:rPr>
          <w:rFonts w:hint="eastAsia" w:cs="宋体" w:asciiTheme="minorEastAsia" w:hAnsiTheme="minorEastAsia"/>
          <w:color w:val="000000"/>
          <w:sz w:val="24"/>
          <w:szCs w:val="24"/>
        </w:rPr>
        <w:t>（</w:t>
      </w:r>
      <w:r>
        <w:rPr>
          <w:rFonts w:asciiTheme="minorEastAsia" w:hAnsiTheme="minorEastAsia" w:eastAsiaTheme="minorEastAsia"/>
          <w:color w:val="000000"/>
          <w:sz w:val="24"/>
          <w:szCs w:val="24"/>
        </w:rPr>
        <w:t>.file</w:t>
      </w:r>
      <w:r>
        <w:rPr>
          <w:rFonts w:hint="eastAsia" w:cs="宋体" w:asciiTheme="minorEastAsia" w:hAnsiTheme="minorEastAsia"/>
          <w:color w:val="000000"/>
          <w:sz w:val="24"/>
          <w:szCs w:val="24"/>
        </w:rPr>
        <w:t>格式）须</w:t>
      </w:r>
      <w:r>
        <w:rPr>
          <w:rFonts w:hint="eastAsia" w:cs="仿宋_GB2312" w:asciiTheme="minorEastAsia" w:hAnsiTheme="minorEastAsia" w:eastAsiaTheme="minorEastAsia"/>
          <w:color w:val="000000"/>
          <w:sz w:val="24"/>
          <w:szCs w:val="24"/>
        </w:rPr>
        <w:t>在投标截止时间（开标时间）前通过《全国公共资源交易平台(河南省</w:t>
      </w:r>
      <w:r>
        <w:rPr>
          <w:rFonts w:hint="eastAsia" w:ascii="MS Mincho" w:hAnsi="MS Mincho" w:eastAsia="MS Mincho" w:cs="MS Mincho"/>
          <w:color w:val="000000"/>
          <w:sz w:val="24"/>
          <w:szCs w:val="24"/>
        </w:rPr>
        <w:t>▪</w:t>
      </w:r>
      <w:r>
        <w:rPr>
          <w:rFonts w:hint="eastAsia" w:ascii="宋体" w:hAnsi="宋体" w:cs="宋体"/>
          <w:color w:val="000000"/>
          <w:sz w:val="24"/>
          <w:szCs w:val="24"/>
        </w:rPr>
        <w:t>许昌市</w:t>
      </w:r>
      <w:r>
        <w:rPr>
          <w:rFonts w:hint="eastAsia" w:cs="仿宋_GB2312" w:asciiTheme="minorEastAsia" w:hAnsiTheme="minorEastAsia" w:eastAsiaTheme="minorEastAsia"/>
          <w:color w:val="000000"/>
          <w:sz w:val="24"/>
          <w:szCs w:val="24"/>
        </w:rPr>
        <w:t>)》公共资源交易系统成功上传。</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shd w:val="pct10" w:color="auto" w:fill="FFFFFF"/>
        </w:rPr>
      </w:pPr>
      <w:r>
        <w:rPr>
          <w:rFonts w:hint="eastAsia" w:cs="仿宋_GB2312" w:asciiTheme="minorEastAsia" w:hAnsiTheme="minorEastAsia" w:eastAsiaTheme="minorEastAsia"/>
          <w:color w:val="000000"/>
          <w:sz w:val="24"/>
          <w:szCs w:val="24"/>
        </w:rPr>
        <w:t>2、纸质投标文件（正本、副本各1份）和备份文件1份</w:t>
      </w:r>
      <w:r>
        <w:rPr>
          <w:rFonts w:hint="eastAsia" w:hAnsi="宋体"/>
          <w:color w:val="000000"/>
          <w:sz w:val="24"/>
          <w:szCs w:val="24"/>
        </w:rPr>
        <w:t>（使用电子介质存储）</w:t>
      </w:r>
      <w:r>
        <w:rPr>
          <w:rFonts w:hint="eastAsia" w:cs="仿宋_GB2312" w:asciiTheme="minorEastAsia" w:hAnsiTheme="minorEastAsia" w:eastAsiaTheme="minorEastAsia"/>
          <w:color w:val="000000"/>
          <w:sz w:val="24"/>
          <w:szCs w:val="24"/>
        </w:rPr>
        <w:t>在投标截止时间（开标时间）前递交至本项目开标地点。</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六、本次招标公告同时在《河南省政府采购网》、《全国公共资源交易平台（河南省·许昌市）》、《长葛市人民政府门户网站》发布。</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shd w:val="clear" w:color="auto" w:fill="FFFFFF"/>
        </w:rPr>
      </w:pPr>
      <w:r>
        <w:rPr>
          <w:rFonts w:hint="eastAsia" w:cs="黑体" w:asciiTheme="minorEastAsia" w:hAnsiTheme="minorEastAsia" w:eastAsiaTheme="minorEastAsia"/>
          <w:b/>
          <w:bCs/>
          <w:color w:val="000000"/>
          <w:sz w:val="24"/>
          <w:szCs w:val="24"/>
          <w:shd w:val="clear" w:color="auto" w:fill="FFFFFF"/>
        </w:rPr>
        <w:t>七、公告期限</w:t>
      </w:r>
    </w:p>
    <w:p>
      <w:pPr>
        <w:pStyle w:val="22"/>
        <w:widowControl/>
        <w:shd w:val="clear" w:color="auto" w:fill="FFFFFF"/>
        <w:spacing w:line="360" w:lineRule="auto"/>
        <w:ind w:firstLine="420"/>
        <w:contextualSpacing/>
        <w:jc w:val="left"/>
        <w:rPr>
          <w:rFonts w:cs="仿宋_GB2312" w:asciiTheme="minorEastAsia" w:hAnsiTheme="minorEastAsia" w:eastAsiaTheme="minorEastAsia"/>
          <w:color w:val="000000"/>
          <w:sz w:val="24"/>
          <w:szCs w:val="24"/>
        </w:rPr>
      </w:pPr>
      <w:r>
        <w:rPr>
          <w:rFonts w:hint="eastAsia" w:cs="仿宋_GB2312" w:asciiTheme="minorEastAsia" w:hAnsiTheme="minorEastAsia" w:eastAsiaTheme="minorEastAsia"/>
          <w:color w:val="000000"/>
          <w:sz w:val="24"/>
          <w:szCs w:val="24"/>
        </w:rPr>
        <w:t>本招标公告自发布之日起公告期限为5个工作日。</w:t>
      </w:r>
    </w:p>
    <w:p>
      <w:pPr>
        <w:pStyle w:val="22"/>
        <w:widowControl/>
        <w:shd w:val="clear" w:color="auto" w:fill="FFFFFF"/>
        <w:spacing w:line="360" w:lineRule="auto"/>
        <w:ind w:firstLine="420"/>
        <w:contextualSpacing/>
        <w:jc w:val="left"/>
        <w:rPr>
          <w:rFonts w:cs="黑体" w:asciiTheme="minorEastAsia" w:hAnsiTheme="minorEastAsia" w:eastAsiaTheme="minorEastAsia"/>
          <w:b/>
          <w:bCs/>
          <w:color w:val="000000"/>
          <w:sz w:val="24"/>
          <w:szCs w:val="24"/>
        </w:rPr>
      </w:pPr>
      <w:r>
        <w:rPr>
          <w:rFonts w:hint="eastAsia" w:cs="黑体" w:asciiTheme="minorEastAsia" w:hAnsiTheme="minorEastAsia" w:eastAsiaTheme="minorEastAsia"/>
          <w:b/>
          <w:bCs/>
          <w:color w:val="000000"/>
          <w:sz w:val="24"/>
          <w:szCs w:val="24"/>
        </w:rPr>
        <w:t>八、联系方式</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采购人：长葛市教育体育局</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 xml:space="preserve">联系人：石科长                      </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 xml:space="preserve">联系电话：03746110256  </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地址：长葛市八七路</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 xml:space="preserve">代理机构：山西文昌工程咨询有限公司 </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代理机构联系方式：张先生  13271279113</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代理机构地址：郑州市高新区冬青街7号B座1606</w:t>
      </w:r>
    </w:p>
    <w:p>
      <w:pPr>
        <w:spacing w:line="360" w:lineRule="exact"/>
        <w:ind w:firstLine="482" w:firstLineChars="200"/>
        <w:rPr>
          <w:rFonts w:hint="eastAsia" w:cs="黑体" w:asciiTheme="minorEastAsia" w:hAnsiTheme="minorEastAsia" w:eastAsiaTheme="minorEastAsia"/>
          <w:b/>
          <w:bCs/>
          <w:color w:val="000000"/>
          <w:kern w:val="2"/>
          <w:sz w:val="24"/>
          <w:szCs w:val="24"/>
          <w:lang w:val="en-US" w:eastAsia="zh-CN" w:bidi="ar-SA"/>
        </w:rPr>
      </w:pPr>
      <w:r>
        <w:rPr>
          <w:rFonts w:hint="eastAsia" w:cs="黑体" w:asciiTheme="minorEastAsia" w:hAnsiTheme="minorEastAsia" w:eastAsiaTheme="minorEastAsia"/>
          <w:b/>
          <w:bCs/>
          <w:color w:val="000000"/>
          <w:kern w:val="2"/>
          <w:sz w:val="24"/>
          <w:szCs w:val="24"/>
          <w:lang w:val="en-US" w:eastAsia="zh-CN" w:bidi="ar-SA"/>
        </w:rPr>
        <w:t>九、特别提示：</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1、所有投标单位请时刻关注全国公共资源交易平台（河南省.许昌市），澄清、答疑、变更均在全国公共资源交易平台（河南省.许昌市）发布，不再另行通知。如未及时查看影响其投标，后果自负。</w:t>
      </w:r>
    </w:p>
    <w:p>
      <w:pPr>
        <w:spacing w:line="360" w:lineRule="exact"/>
        <w:ind w:firstLine="480" w:firstLineChars="200"/>
        <w:rPr>
          <w:rFonts w:hint="eastAsia" w:cs="仿宋_GB2312" w:asciiTheme="minorEastAsia" w:hAnsiTheme="minorEastAsia" w:eastAsiaTheme="minorEastAsia"/>
          <w:color w:val="000000"/>
          <w:kern w:val="2"/>
          <w:sz w:val="24"/>
          <w:szCs w:val="24"/>
          <w:lang w:val="en-US" w:eastAsia="zh-CN" w:bidi="ar-SA"/>
        </w:rPr>
      </w:pPr>
      <w:r>
        <w:rPr>
          <w:rFonts w:hint="eastAsia" w:cs="仿宋_GB2312" w:asciiTheme="minorEastAsia" w:hAnsiTheme="minorEastAsia" w:eastAsiaTheme="minorEastAsia"/>
          <w:color w:val="000000"/>
          <w:kern w:val="2"/>
          <w:sz w:val="24"/>
          <w:szCs w:val="24"/>
          <w:lang w:val="en-US" w:eastAsia="zh-CN" w:bidi="ar-SA"/>
        </w:rPr>
        <w:t>2、各投标人对代理公司提供的服务不满意，或认为代理公司在服务过程中有不当行为的，可致电长葛市公共资源交易管理委员会办公室监管股（0374-6189576），经查实后将按规定作出处理。</w:t>
      </w:r>
    </w:p>
    <w:p>
      <w:pPr>
        <w:adjustRightInd w:val="0"/>
        <w:snapToGrid w:val="0"/>
        <w:spacing w:line="360" w:lineRule="auto"/>
        <w:ind w:firstLine="840" w:firstLineChars="400"/>
        <w:jc w:val="left"/>
        <w:rPr>
          <w:rFonts w:ascii="宋体" w:hAnsi="宋体"/>
          <w:szCs w:val="21"/>
        </w:rPr>
      </w:pPr>
    </w:p>
    <w:p>
      <w:pPr>
        <w:adjustRightInd w:val="0"/>
        <w:snapToGrid w:val="0"/>
        <w:spacing w:line="360" w:lineRule="auto"/>
        <w:ind w:firstLine="840" w:firstLineChars="400"/>
        <w:jc w:val="left"/>
        <w:rPr>
          <w:rFonts w:ascii="宋体" w:hAnsi="宋体"/>
          <w:szCs w:val="21"/>
        </w:rPr>
      </w:pPr>
    </w:p>
    <w:p>
      <w:pPr>
        <w:spacing w:line="360" w:lineRule="auto"/>
        <w:rPr>
          <w:rFonts w:hAnsi="宋体"/>
          <w:b/>
          <w:sz w:val="28"/>
          <w:szCs w:val="28"/>
        </w:rPr>
      </w:pPr>
      <w:r>
        <w:rPr>
          <w:rFonts w:hint="eastAsia" w:hAnsi="宋体"/>
          <w:b/>
          <w:sz w:val="28"/>
          <w:szCs w:val="28"/>
        </w:rPr>
        <w:t>温馨提示：</w:t>
      </w:r>
    </w:p>
    <w:p>
      <w:pPr>
        <w:spacing w:line="360" w:lineRule="auto"/>
        <w:ind w:firstLine="562" w:firstLineChars="200"/>
        <w:rPr>
          <w:rFonts w:ascii="仿宋_GB2312" w:eastAsia="仿宋_GB2312"/>
          <w:b/>
          <w:sz w:val="32"/>
          <w:szCs w:val="32"/>
        </w:rPr>
      </w:pPr>
      <w:r>
        <w:rPr>
          <w:rFonts w:hint="eastAsia" w:hAnsi="宋体"/>
          <w:b/>
          <w:sz w:val="28"/>
          <w:szCs w:val="28"/>
        </w:rPr>
        <w:t>本项目为全流程电子化交易项目，请认真阅读招标文件，并注意以下事项。</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1.</w:t>
      </w:r>
      <w:r>
        <w:rPr>
          <w:rFonts w:hint="eastAsia" w:hAnsi="宋体"/>
          <w:b/>
          <w:color w:val="000000"/>
          <w:szCs w:val="21"/>
        </w:rPr>
        <w:t>投标人应按招标文件规定编制、提交电子投标文件和纸质投标文件。开、评标现场不接受投标人递交的备份电子投标文件和纸质投标文件以外的其他资料。</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2</w:t>
      </w:r>
      <w:r>
        <w:rPr>
          <w:rFonts w:asciiTheme="minorEastAsia" w:hAnsiTheme="minorEastAsia"/>
          <w:b/>
          <w:color w:val="000000"/>
          <w:szCs w:val="21"/>
        </w:rPr>
        <w:t>.</w:t>
      </w:r>
      <w:r>
        <w:rPr>
          <w:rFonts w:hint="eastAsia" w:hAnsi="宋体"/>
          <w:b/>
          <w:color w:val="000000"/>
          <w:szCs w:val="21"/>
        </w:rPr>
        <w:t>电子文件下载、制作、提交期间和开标（</w:t>
      </w:r>
      <w:r>
        <w:rPr>
          <w:rFonts w:hint="eastAsia" w:hAnsi="宋体"/>
          <w:szCs w:val="21"/>
        </w:rPr>
        <w:t>电子投标文件的解密</w:t>
      </w:r>
      <w:r>
        <w:rPr>
          <w:rFonts w:hint="eastAsia" w:hAnsi="宋体"/>
          <w:b/>
          <w:color w:val="000000"/>
          <w:szCs w:val="21"/>
        </w:rPr>
        <w:t>）环节，投标人须使用</w:t>
      </w:r>
      <w:r>
        <w:rPr>
          <w:rFonts w:hAnsi="宋体"/>
          <w:b/>
          <w:color w:val="000000"/>
          <w:szCs w:val="21"/>
        </w:rPr>
        <w:t>CA数字证书</w:t>
      </w:r>
      <w:r>
        <w:rPr>
          <w:rFonts w:hint="eastAsia" w:hAnsi="宋体"/>
          <w:b/>
          <w:color w:val="000000"/>
          <w:szCs w:val="21"/>
        </w:rPr>
        <w:t>（证书须在有效期内）</w:t>
      </w:r>
      <w:r>
        <w:rPr>
          <w:rFonts w:hAnsi="宋体"/>
          <w:b/>
          <w:color w:val="000000"/>
          <w:szCs w:val="21"/>
        </w:rPr>
        <w:t>。</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3</w:t>
      </w:r>
      <w:r>
        <w:rPr>
          <w:rFonts w:hint="eastAsia" w:asciiTheme="minorEastAsia" w:hAnsiTheme="minorEastAsia"/>
          <w:b/>
          <w:color w:val="000000"/>
          <w:szCs w:val="21"/>
        </w:rPr>
        <w:t>.</w:t>
      </w:r>
      <w:r>
        <w:rPr>
          <w:rFonts w:hint="eastAsia" w:hAnsi="宋体"/>
          <w:b/>
          <w:color w:val="000000"/>
          <w:szCs w:val="21"/>
        </w:rPr>
        <w:t>电子投标文件的制作</w:t>
      </w:r>
    </w:p>
    <w:p>
      <w:pPr>
        <w:tabs>
          <w:tab w:val="left" w:pos="7095"/>
        </w:tabs>
        <w:spacing w:line="360" w:lineRule="auto"/>
        <w:ind w:firstLine="420" w:firstLineChars="200"/>
        <w:contextualSpacing/>
        <w:rPr>
          <w:rFonts w:hAnsi="宋体"/>
          <w:color w:val="000000"/>
          <w:szCs w:val="21"/>
          <w:highlight w:val="none"/>
        </w:rPr>
      </w:pPr>
      <w:r>
        <w:rPr>
          <w:rFonts w:asciiTheme="minorEastAsia" w:hAnsiTheme="minorEastAsia"/>
          <w:color w:val="000000"/>
          <w:szCs w:val="21"/>
        </w:rPr>
        <w:t>3</w:t>
      </w:r>
      <w:r>
        <w:rPr>
          <w:rFonts w:hint="eastAsia" w:asciiTheme="minorEastAsia" w:hAnsiTheme="minorEastAsia"/>
          <w:color w:val="000000"/>
          <w:szCs w:val="21"/>
        </w:rPr>
        <w:t>.1</w:t>
      </w:r>
      <w:r>
        <w:rPr>
          <w:rFonts w:hint="eastAsia" w:hAnsi="宋体"/>
          <w:color w:val="000000"/>
          <w:szCs w:val="21"/>
        </w:rPr>
        <w:t xml:space="preserve"> 投标人登录《全国公共资源交易平台</w:t>
      </w:r>
      <w:r>
        <w:rPr>
          <w:rFonts w:hint="eastAsia" w:asciiTheme="majorEastAsia" w:hAnsiTheme="majorEastAsia" w:eastAsiaTheme="maj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w:t>
      </w:r>
      <w:r>
        <w:rPr>
          <w:rFonts w:hint="eastAsia" w:ascii="宋体" w:hAnsi="宋体" w:eastAsia="宋体" w:cs="宋体"/>
          <w:color w:val="000000"/>
          <w:szCs w:val="21"/>
          <w:highlight w:val="none"/>
        </w:rPr>
        <w:t>昌市</w:t>
      </w:r>
      <w:r>
        <w:rPr>
          <w:rFonts w:hint="eastAsia" w:asciiTheme="minorEastAsia" w:hAnsiTheme="minorEastAsia"/>
          <w:color w:val="000000"/>
          <w:szCs w:val="21"/>
          <w:highlight w:val="none"/>
        </w:rPr>
        <w:t>)</w:t>
      </w:r>
      <w:r>
        <w:rPr>
          <w:rFonts w:hint="eastAsia" w:hAnsi="宋体"/>
          <w:color w:val="000000"/>
          <w:szCs w:val="21"/>
          <w:highlight w:val="none"/>
        </w:rPr>
        <w:t>》公共资源交易系统（</w:t>
      </w:r>
      <w:r>
        <w:rPr>
          <w:highlight w:val="none"/>
        </w:rPr>
        <w:fldChar w:fldCharType="begin"/>
      </w:r>
      <w:r>
        <w:rPr>
          <w:highlight w:val="none"/>
        </w:rPr>
        <w:instrText xml:space="preserve"> HYPERLINK "http://221.14.6.70:8088/ggzy/" </w:instrText>
      </w:r>
      <w:r>
        <w:rPr>
          <w:highlight w:val="none"/>
        </w:rPr>
        <w:fldChar w:fldCharType="separate"/>
      </w:r>
      <w:r>
        <w:rPr>
          <w:rStyle w:val="29"/>
          <w:rFonts w:hAnsi="宋体"/>
          <w:szCs w:val="21"/>
          <w:highlight w:val="none"/>
        </w:rPr>
        <w:t>http://221.14.6.70:8088/ggzy/</w:t>
      </w:r>
      <w:r>
        <w:rPr>
          <w:rStyle w:val="29"/>
          <w:rFonts w:hAnsi="宋体"/>
          <w:szCs w:val="21"/>
          <w:highlight w:val="none"/>
        </w:rPr>
        <w:fldChar w:fldCharType="end"/>
      </w:r>
      <w:r>
        <w:rPr>
          <w:rFonts w:hint="eastAsia" w:hAnsi="宋体"/>
          <w:color w:val="000000"/>
          <w:szCs w:val="21"/>
          <w:highlight w:val="none"/>
        </w:rPr>
        <w:t>）下载“许昌投标文件制作系统SEARUN 最新版本”，按招标文件要求制作电子投标文件。</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电子投标文件的制作，参考《全国公共资源交易平台</w:t>
      </w:r>
      <w:r>
        <w:rPr>
          <w:rFonts w:hint="eastAsia" w:asciiTheme="minorEastAsia" w:hAnsiTheme="minorEastAsia"/>
          <w:color w:val="000000"/>
          <w:szCs w:val="21"/>
        </w:rPr>
        <w:t>(</w:t>
      </w:r>
      <w:r>
        <w:rPr>
          <w:rFonts w:hint="eastAsia" w:hAnsi="宋体"/>
          <w:color w:val="000000"/>
          <w:szCs w:val="21"/>
        </w:rPr>
        <w:t>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asciiTheme="minorEastAsia" w:hAnsiTheme="minorEastAsia"/>
          <w:color w:val="000000"/>
          <w:szCs w:val="21"/>
        </w:rPr>
        <w:t>)</w:t>
      </w:r>
      <w:r>
        <w:rPr>
          <w:rFonts w:hint="eastAsia" w:hAnsi="宋体"/>
          <w:color w:val="000000"/>
          <w:szCs w:val="21"/>
        </w:rPr>
        <w:t>》公共资源交易系统——组件下载——交易系统操作手册（投标人、供应商）。</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w:t>
      </w:r>
      <w:r>
        <w:rPr>
          <w:rFonts w:hint="eastAsia" w:asciiTheme="minorEastAsia" w:hAnsiTheme="minorEastAsia"/>
          <w:color w:val="000000"/>
          <w:szCs w:val="21"/>
        </w:rPr>
        <w:t>.</w:t>
      </w:r>
      <w:r>
        <w:rPr>
          <w:rFonts w:asciiTheme="minorEastAsia" w:hAnsiTheme="minorEastAsia"/>
          <w:color w:val="000000"/>
          <w:szCs w:val="21"/>
        </w:rPr>
        <w:t>2</w:t>
      </w:r>
      <w:r>
        <w:rPr>
          <w:rFonts w:hint="eastAsia" w:hAnsi="宋体"/>
          <w:color w:val="000000"/>
          <w:szCs w:val="21"/>
        </w:rPr>
        <w:t xml:space="preserve"> 投标人须将招标文件要求的资质、业绩、荣誉及相关人员证明材料等资料原件扫描件（或图片）制作到所提交的电子投标文件中。</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3.3</w:t>
      </w:r>
      <w:r>
        <w:rPr>
          <w:rFonts w:hint="eastAsia" w:hAnsi="宋体"/>
          <w:color w:val="000000"/>
          <w:szCs w:val="21"/>
        </w:rPr>
        <w:t>投标人对同一项目多个标段进行投标的，应分别下载所投标段的招标文件，按标段制作电子投标文件，并</w:t>
      </w:r>
      <w:r>
        <w:rPr>
          <w:rFonts w:hAnsi="宋体"/>
          <w:color w:val="000000"/>
          <w:szCs w:val="21"/>
        </w:rPr>
        <w:t>按招标文件要求在相应位置加盖</w:t>
      </w:r>
      <w:r>
        <w:rPr>
          <w:rFonts w:hint="eastAsia" w:hAnsi="宋体"/>
          <w:color w:val="000000"/>
          <w:szCs w:val="21"/>
        </w:rPr>
        <w:t>投标人</w:t>
      </w:r>
      <w:r>
        <w:rPr>
          <w:rFonts w:hAnsi="宋体"/>
          <w:color w:val="000000"/>
          <w:szCs w:val="21"/>
        </w:rPr>
        <w:t>电子印章</w:t>
      </w:r>
      <w:r>
        <w:rPr>
          <w:rFonts w:hint="eastAsia" w:hAnsi="宋体"/>
          <w:color w:val="000000"/>
          <w:szCs w:val="21"/>
        </w:rPr>
        <w:t>和法人电子印章。</w:t>
      </w:r>
    </w:p>
    <w:p>
      <w:pPr>
        <w:tabs>
          <w:tab w:val="left" w:pos="7095"/>
        </w:tabs>
        <w:spacing w:line="360" w:lineRule="auto"/>
        <w:ind w:left="105" w:leftChars="50" w:firstLine="315" w:firstLineChars="150"/>
        <w:contextualSpacing/>
        <w:rPr>
          <w:rFonts w:hAnsi="宋体"/>
          <w:color w:val="000000"/>
          <w:szCs w:val="21"/>
        </w:rPr>
      </w:pPr>
      <w:r>
        <w:rPr>
          <w:rFonts w:hint="eastAsia" w:hAnsi="宋体"/>
          <w:color w:val="000000"/>
          <w:szCs w:val="21"/>
        </w:rPr>
        <w:t>一个标段对应生成一个文件夹（xxxx项目xx标段）, 其中包含2个文件和1个文件夹。后缀名为“</w:t>
      </w:r>
      <w:r>
        <w:rPr>
          <w:rFonts w:hAnsi="宋体"/>
          <w:color w:val="000000"/>
          <w:szCs w:val="21"/>
        </w:rPr>
        <w:t>.file</w:t>
      </w:r>
      <w:r>
        <w:rPr>
          <w:rFonts w:hint="eastAsia" w:hAnsi="宋体"/>
          <w:color w:val="000000"/>
          <w:szCs w:val="21"/>
        </w:rPr>
        <w:t>”的文件用于电子投标使用，后缀名为“.PDF”的文件用于打印纸质投标文件，名称为“备份”的文件夹使用电子介质存储，供开标现场备用。</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4</w:t>
      </w:r>
      <w:r>
        <w:rPr>
          <w:rFonts w:hint="eastAsia" w:asciiTheme="minorEastAsia" w:hAnsiTheme="minorEastAsia"/>
          <w:b/>
          <w:color w:val="000000"/>
          <w:szCs w:val="21"/>
        </w:rPr>
        <w:t>.加密</w:t>
      </w:r>
      <w:r>
        <w:rPr>
          <w:rFonts w:hint="eastAsia" w:hAnsi="宋体"/>
          <w:b/>
          <w:color w:val="000000"/>
          <w:szCs w:val="21"/>
        </w:rPr>
        <w:t>电子投标文件的提交</w:t>
      </w:r>
    </w:p>
    <w:p>
      <w:pPr>
        <w:tabs>
          <w:tab w:val="left" w:pos="7095"/>
        </w:tabs>
        <w:spacing w:line="360" w:lineRule="auto"/>
        <w:contextualSpacing/>
        <w:rPr>
          <w:rFonts w:hAnsi="宋体"/>
          <w:color w:val="000000"/>
          <w:szCs w:val="21"/>
        </w:rPr>
      </w:pPr>
      <w:r>
        <w:rPr>
          <w:rFonts w:hint="eastAsia" w:hAnsi="宋体"/>
          <w:color w:val="000000"/>
          <w:szCs w:val="21"/>
        </w:rPr>
        <w:t xml:space="preserve">    </w:t>
      </w:r>
      <w:r>
        <w:rPr>
          <w:rFonts w:asciiTheme="minorEastAsia" w:hAnsiTheme="minorEastAsia"/>
          <w:color w:val="000000"/>
          <w:szCs w:val="21"/>
        </w:rPr>
        <w:t>4</w:t>
      </w:r>
      <w:r>
        <w:rPr>
          <w:rFonts w:hint="eastAsia" w:asciiTheme="minorEastAsia" w:hAnsiTheme="minorEastAsia"/>
          <w:color w:val="000000"/>
          <w:szCs w:val="21"/>
        </w:rPr>
        <w:t>.1加密</w:t>
      </w:r>
      <w:r>
        <w:rPr>
          <w:rFonts w:hint="eastAsia" w:hAnsi="宋体"/>
          <w:color w:val="000000"/>
          <w:szCs w:val="21"/>
        </w:rPr>
        <w:t>电子投标文件应在招标文件规定的投标截止时间（开标时间）之前成功提交至《全国公共资源交易平台(河南省</w:t>
      </w:r>
      <w:r>
        <w:rPr>
          <w:rFonts w:hint="eastAsia" w:ascii="MS Mincho" w:hAnsi="MS Mincho" w:eastAsia="MS Mincho" w:cs="MS Mincho"/>
          <w:color w:val="000000"/>
          <w:szCs w:val="21"/>
        </w:rPr>
        <w:t>▪</w:t>
      </w:r>
      <w:r>
        <w:rPr>
          <w:rFonts w:hint="eastAsia" w:ascii="宋体" w:hAnsi="宋体" w:eastAsia="宋体" w:cs="宋体"/>
          <w:color w:val="000000"/>
          <w:szCs w:val="21"/>
        </w:rPr>
        <w:t>许昌市</w:t>
      </w:r>
      <w:r>
        <w:rPr>
          <w:rFonts w:hint="eastAsia" w:hAnsi="宋体"/>
          <w:color w:val="000000"/>
          <w:szCs w:val="21"/>
        </w:rPr>
        <w:t>)》公共资源交易系统（</w:t>
      </w:r>
      <w:r>
        <w:fldChar w:fldCharType="begin"/>
      </w:r>
      <w:r>
        <w:instrText xml:space="preserve"> HYPERLINK "http://221.14.6.70:8088/ggzy/" </w:instrText>
      </w:r>
      <w:r>
        <w:fldChar w:fldCharType="separate"/>
      </w:r>
      <w:r>
        <w:rPr>
          <w:rStyle w:val="29"/>
          <w:rFonts w:hAnsi="宋体"/>
          <w:szCs w:val="21"/>
        </w:rPr>
        <w:t>http://221.14.6.70:8088/ggzy/</w:t>
      </w:r>
      <w:r>
        <w:rPr>
          <w:rStyle w:val="29"/>
          <w:rFonts w:hAnsi="宋体"/>
          <w:szCs w:val="21"/>
        </w:rPr>
        <w:fldChar w:fldCharType="end"/>
      </w:r>
      <w:r>
        <w:rPr>
          <w:rFonts w:hint="eastAsia" w:hAnsi="宋体"/>
          <w:color w:val="000000"/>
          <w:szCs w:val="21"/>
        </w:rPr>
        <w:t>）。</w:t>
      </w:r>
    </w:p>
    <w:p>
      <w:pPr>
        <w:tabs>
          <w:tab w:val="left" w:pos="7095"/>
        </w:tabs>
        <w:spacing w:line="360" w:lineRule="auto"/>
        <w:ind w:firstLine="420" w:firstLineChars="200"/>
        <w:contextualSpacing/>
        <w:rPr>
          <w:rFonts w:hAnsi="宋体"/>
          <w:color w:val="000000"/>
          <w:szCs w:val="21"/>
        </w:rPr>
      </w:pPr>
      <w:r>
        <w:rPr>
          <w:rFonts w:hint="eastAsia" w:hAnsi="宋体"/>
          <w:color w:val="000000"/>
          <w:szCs w:val="21"/>
        </w:rPr>
        <w:t>投标人应充分考虑并预留技术处理和上传数据所需时间。</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 xml:space="preserve">2 </w:t>
      </w:r>
      <w:r>
        <w:rPr>
          <w:rFonts w:hint="eastAsia" w:hAnsi="宋体"/>
          <w:color w:val="000000"/>
          <w:szCs w:val="21"/>
        </w:rPr>
        <w:t>投标人对同一项目多个标段进行投标的，加密电子投标文件应按标段分别提交。</w:t>
      </w:r>
    </w:p>
    <w:p>
      <w:pPr>
        <w:tabs>
          <w:tab w:val="left" w:pos="7095"/>
        </w:tabs>
        <w:spacing w:line="360" w:lineRule="auto"/>
        <w:ind w:firstLine="420" w:firstLineChars="200"/>
        <w:contextualSpacing/>
        <w:rPr>
          <w:rFonts w:hAnsi="宋体"/>
          <w:color w:val="000000"/>
          <w:szCs w:val="21"/>
        </w:rPr>
      </w:pPr>
      <w:r>
        <w:rPr>
          <w:rFonts w:asciiTheme="minorEastAsia" w:hAnsiTheme="minorEastAsia"/>
          <w:color w:val="000000"/>
          <w:szCs w:val="21"/>
        </w:rPr>
        <w:t>4</w:t>
      </w:r>
      <w:r>
        <w:rPr>
          <w:rFonts w:hint="eastAsia" w:asciiTheme="minorEastAsia" w:hAnsiTheme="minorEastAsia"/>
          <w:color w:val="000000"/>
          <w:szCs w:val="21"/>
        </w:rPr>
        <w:t>.</w:t>
      </w:r>
      <w:r>
        <w:rPr>
          <w:rFonts w:asciiTheme="minorEastAsia" w:hAnsiTheme="minorEastAsia"/>
          <w:color w:val="000000"/>
          <w:szCs w:val="21"/>
        </w:rPr>
        <w:t>3</w:t>
      </w:r>
      <w:r>
        <w:rPr>
          <w:rFonts w:hint="eastAsia" w:asciiTheme="minorEastAsia" w:hAnsiTheme="minorEastAsia"/>
          <w:color w:val="000000"/>
          <w:szCs w:val="21"/>
        </w:rPr>
        <w:t xml:space="preserve"> 加密</w:t>
      </w:r>
      <w:r>
        <w:rPr>
          <w:rFonts w:hint="eastAsia" w:hAnsi="宋体"/>
          <w:color w:val="000000"/>
          <w:szCs w:val="21"/>
        </w:rPr>
        <w:t>电子投标文件成功提交后，投标人应打印“投标文件提交回执单”供开标现场备查。</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5</w:t>
      </w:r>
      <w:r>
        <w:rPr>
          <w:rFonts w:hint="eastAsia" w:asciiTheme="minorEastAsia" w:hAnsiTheme="minorEastAsia"/>
          <w:b/>
          <w:color w:val="000000"/>
          <w:szCs w:val="21"/>
        </w:rPr>
        <w:t>.</w:t>
      </w:r>
      <w:r>
        <w:rPr>
          <w:rFonts w:hint="eastAsia" w:hAnsi="宋体"/>
          <w:b/>
          <w:color w:val="000000"/>
          <w:szCs w:val="21"/>
        </w:rPr>
        <w:t>评标依据</w:t>
      </w:r>
    </w:p>
    <w:p>
      <w:pPr>
        <w:tabs>
          <w:tab w:val="left" w:pos="7095"/>
        </w:tabs>
        <w:spacing w:line="360" w:lineRule="auto"/>
        <w:ind w:firstLine="420" w:firstLineChars="200"/>
        <w:contextualSpacing/>
        <w:rPr>
          <w:rFonts w:hint="eastAsia" w:hAnsi="宋体"/>
          <w:color w:val="000000"/>
          <w:szCs w:val="21"/>
        </w:rPr>
        <w:sectPr>
          <w:footerReference r:id="rId6" w:type="default"/>
          <w:pgSz w:w="11906" w:h="16838"/>
          <w:pgMar w:top="2098" w:right="1474" w:bottom="1928" w:left="1588" w:header="851" w:footer="992" w:gutter="0"/>
          <w:pgNumType w:fmt="decimal" w:start="1"/>
          <w:cols w:space="425" w:num="1"/>
          <w:docGrid w:type="lines" w:linePitch="312" w:charSpace="0"/>
        </w:sectPr>
      </w:pPr>
      <w:r>
        <w:rPr>
          <w:rFonts w:hint="eastAsia" w:asciiTheme="minorEastAsia" w:hAnsiTheme="minorEastAsia"/>
          <w:color w:val="000000"/>
          <w:szCs w:val="21"/>
        </w:rPr>
        <w:t>5.1</w:t>
      </w:r>
      <w:r>
        <w:rPr>
          <w:rFonts w:hint="eastAsia" w:hAnsi="宋体"/>
          <w:color w:val="000000"/>
          <w:szCs w:val="21"/>
        </w:rPr>
        <w:t>采用全流程电子化交易评标时，评标委员会以电子投标文件为依据评标。</w:t>
      </w:r>
    </w:p>
    <w:p>
      <w:pPr>
        <w:numPr>
          <w:ilvl w:val="0"/>
          <w:numId w:val="0"/>
        </w:numPr>
        <w:ind w:firstLine="2570" w:firstLineChars="800"/>
        <w:jc w:val="center"/>
        <w:rPr>
          <w:rFonts w:cs="宋体" w:asciiTheme="majorEastAsia" w:hAnsiTheme="majorEastAsia" w:eastAsiaTheme="majorEastAsia"/>
          <w:b/>
          <w:color w:val="FF0000"/>
          <w:kern w:val="0"/>
          <w:sz w:val="32"/>
          <w:szCs w:val="32"/>
        </w:rPr>
      </w:pPr>
      <w:r>
        <w:rPr>
          <w:rFonts w:hint="eastAsia" w:cs="宋体" w:asciiTheme="majorEastAsia" w:hAnsiTheme="majorEastAsia" w:eastAsiaTheme="majorEastAsia"/>
          <w:b/>
          <w:color w:val="FF0000"/>
          <w:kern w:val="0"/>
          <w:sz w:val="32"/>
          <w:szCs w:val="32"/>
          <w:lang w:eastAsia="zh-CN"/>
        </w:rPr>
        <w:t>第二章</w:t>
      </w:r>
      <w:r>
        <w:rPr>
          <w:rFonts w:hint="eastAsia" w:cs="宋体" w:asciiTheme="majorEastAsia" w:hAnsiTheme="majorEastAsia" w:eastAsiaTheme="majorEastAsia"/>
          <w:b/>
          <w:color w:val="FF0000"/>
          <w:kern w:val="0"/>
          <w:sz w:val="32"/>
          <w:szCs w:val="32"/>
          <w:lang w:val="en-US" w:eastAsia="zh-CN"/>
        </w:rPr>
        <w:t xml:space="preserve">  </w:t>
      </w:r>
      <w:r>
        <w:rPr>
          <w:rFonts w:hint="eastAsia" w:cs="宋体" w:asciiTheme="majorEastAsia" w:hAnsiTheme="majorEastAsia" w:eastAsiaTheme="majorEastAsia"/>
          <w:b/>
          <w:color w:val="FF0000"/>
          <w:kern w:val="0"/>
          <w:sz w:val="32"/>
          <w:szCs w:val="32"/>
        </w:rPr>
        <w:t>项目需求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FF0000"/>
          <w:sz w:val="24"/>
          <w:szCs w:val="24"/>
          <w:lang w:val="en-US" w:eastAsia="zh-CN"/>
        </w:rPr>
      </w:pPr>
      <w:bookmarkStart w:id="1" w:name="_Toc98579610"/>
      <w:bookmarkStart w:id="2" w:name="_Toc46308687"/>
      <w:bookmarkStart w:id="3" w:name="_Toc50276165"/>
      <w:bookmarkStart w:id="4" w:name="_Toc42313172"/>
      <w:bookmarkStart w:id="5" w:name="_Toc272497418"/>
      <w:bookmarkStart w:id="6" w:name="_Toc41723936"/>
      <w:bookmarkStart w:id="7" w:name="_Toc42394673"/>
      <w:bookmarkStart w:id="8" w:name="_Toc101951263"/>
      <w:bookmarkStart w:id="9" w:name="_Toc98035089"/>
      <w:bookmarkStart w:id="10" w:name="_Toc101771372"/>
      <w:bookmarkStart w:id="11" w:name="_Toc46308531"/>
      <w:bookmarkStart w:id="12" w:name="_Toc41884706"/>
      <w:bookmarkStart w:id="13" w:name="_Toc98579011"/>
      <w:bookmarkStart w:id="14" w:name="_Toc101843125"/>
      <w:bookmarkStart w:id="15" w:name="_Toc98579069"/>
      <w:bookmarkStart w:id="16" w:name="_Toc42394517"/>
      <w:bookmarkStart w:id="17" w:name="_Toc175644394"/>
      <w:bookmarkStart w:id="18" w:name="_Toc101775125"/>
      <w:bookmarkStart w:id="19" w:name="_Toc50276204"/>
      <w:bookmarkStart w:id="20" w:name="_Toc98580293"/>
      <w:r>
        <w:rPr>
          <w:rFonts w:hint="eastAsia" w:ascii="Times New Roman" w:hAnsi="Times New Roman" w:cs="Times New Roman"/>
          <w:color w:val="FF0000"/>
          <w:sz w:val="24"/>
          <w:szCs w:val="24"/>
          <w:lang w:val="en-US" w:eastAsia="zh-CN"/>
        </w:rPr>
        <w:t>室外玩具为核心产品，核心产品提供相同品牌产品且通过资格审查、符合性审查的不同供应商参加同一合同项下投标的，按一家供应商计算，评审后得分最高的同品牌供应商获得中标人推荐资格；评审得分相同的，同品牌投标价格最低的获得中标人推荐资格，其他同品牌供应商不作为中标候选人。</w:t>
      </w:r>
    </w:p>
    <w:tbl>
      <w:tblPr>
        <w:tblStyle w:val="24"/>
        <w:tblW w:w="14317" w:type="dxa"/>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1"/>
        <w:gridCol w:w="1465"/>
        <w:gridCol w:w="536"/>
        <w:gridCol w:w="740"/>
        <w:gridCol w:w="5839"/>
        <w:gridCol w:w="4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5" w:hRule="atLeast"/>
        </w:trPr>
        <w:tc>
          <w:tcPr>
            <w:tcW w:w="1101" w:type="dxa"/>
            <w:vMerge w:val="restart"/>
            <w:tcBorders>
              <w:top w:val="single" w:color="auto" w:sz="4" w:space="0"/>
              <w:left w:val="single" w:color="auto" w:sz="4" w:space="0"/>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室外玩具</w:t>
            </w: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大型室外活动综合器械</w:t>
            </w:r>
          </w:p>
        </w:tc>
        <w:tc>
          <w:tcPr>
            <w:tcW w:w="536"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3</w:t>
            </w:r>
          </w:p>
        </w:tc>
        <w:tc>
          <w:tcPr>
            <w:tcW w:w="5839" w:type="dxa"/>
            <w:tcBorders>
              <w:top w:val="single" w:color="auto" w:sz="4" w:space="0"/>
              <w:left w:val="nil"/>
              <w:bottom w:val="single" w:color="auto" w:sz="4" w:space="0"/>
              <w:right w:val="single" w:color="auto" w:sz="4" w:space="0"/>
            </w:tcBorders>
            <w:vAlign w:val="center"/>
          </w:tcPr>
          <w:p>
            <w:pPr>
              <w:jc w:val="left"/>
              <w:rPr>
                <w:color w:val="auto"/>
                <w:kern w:val="0"/>
                <w:sz w:val="21"/>
                <w:szCs w:val="21"/>
                <w:highlight w:val="none"/>
              </w:rPr>
            </w:pPr>
            <w:r>
              <w:rPr>
                <w:rFonts w:hint="eastAsia"/>
                <w:color w:val="auto"/>
                <w:sz w:val="21"/>
                <w:szCs w:val="21"/>
                <w:highlight w:val="none"/>
              </w:rPr>
              <w:t>使用者建议年龄:3~15岁,可容纳人数:15~30人;游具尺寸:2460*100*170 cm;（进口柳桉木平台规格：114.5*114.5 cm，主立柱规格：9.5*9.5cm，</w:t>
            </w:r>
            <w:r>
              <w:rPr>
                <w:rFonts w:hint="eastAsia"/>
                <w:color w:val="auto"/>
                <w:kern w:val="0"/>
                <w:sz w:val="21"/>
                <w:szCs w:val="21"/>
                <w:highlight w:val="none"/>
              </w:rPr>
              <w:t>弹性和透气性强，导热性能好且保养简单。各类辅材为不低于国家标准的绿色环保粘剂和涂料，无色、无味。安全性能高，结实耐用，坚固厚实。全圆边造型设计，无任何棱角、毛刺，安全性能高</w:t>
            </w:r>
            <w:r>
              <w:rPr>
                <w:rFonts w:hint="eastAsia"/>
                <w:color w:val="auto"/>
                <w:sz w:val="21"/>
                <w:szCs w:val="21"/>
                <w:highlight w:val="none"/>
              </w:rPr>
              <w:t>）.</w:t>
            </w:r>
          </w:p>
        </w:tc>
        <w:tc>
          <w:tcPr>
            <w:tcW w:w="4636" w:type="dxa"/>
            <w:tcBorders>
              <w:top w:val="single" w:color="auto" w:sz="4" w:space="0"/>
              <w:left w:val="single" w:color="auto" w:sz="4" w:space="0"/>
              <w:bottom w:val="single" w:color="auto" w:sz="4" w:space="0"/>
              <w:right w:val="single" w:color="auto" w:sz="4" w:space="0"/>
            </w:tcBorders>
            <w:vAlign w:val="center"/>
          </w:tcPr>
          <w:p>
            <w:pPr>
              <w:jc w:val="both"/>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anchor distT="0" distB="0" distL="114300" distR="114300" simplePos="0" relativeHeight="251658240" behindDoc="0" locked="0" layoutInCell="1" allowOverlap="1">
                  <wp:simplePos x="0" y="0"/>
                  <wp:positionH relativeFrom="column">
                    <wp:posOffset>432435</wp:posOffset>
                  </wp:positionH>
                  <wp:positionV relativeFrom="paragraph">
                    <wp:posOffset>116840</wp:posOffset>
                  </wp:positionV>
                  <wp:extent cx="1975485" cy="1340485"/>
                  <wp:effectExtent l="0" t="0" r="5715" b="12065"/>
                  <wp:wrapNone/>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8">
                            <a:lum/>
                          </a:blip>
                          <a:stretch>
                            <a:fillRect/>
                          </a:stretch>
                        </pic:blipFill>
                        <pic:spPr>
                          <a:xfrm>
                            <a:off x="0" y="0"/>
                            <a:ext cx="1975485" cy="1340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跷跷板</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4</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r>
              <w:rPr>
                <w:rFonts w:hint="eastAsia" w:ascii="宋体" w:hAnsi="宋体"/>
                <w:color w:val="auto"/>
                <w:sz w:val="21"/>
                <w:szCs w:val="21"/>
                <w:highlight w:val="none"/>
              </w:rPr>
              <w:t>1、规格:210*40*70cm, 2、表面处理工艺：</w:t>
            </w:r>
            <w:r>
              <w:rPr>
                <w:rFonts w:hint="eastAsia" w:ascii="宋体" w:hAnsi="宋体" w:eastAsia="宋体" w:cs="宋体"/>
                <w:color w:val="auto"/>
                <w:sz w:val="21"/>
                <w:szCs w:val="21"/>
                <w:highlight w:val="none"/>
              </w:rPr>
              <w:t></w:t>
            </w:r>
            <w:r>
              <w:rPr>
                <w:rFonts w:hint="eastAsia" w:ascii="宋体" w:hAnsi="宋体"/>
                <w:color w:val="auto"/>
                <w:sz w:val="21"/>
                <w:szCs w:val="21"/>
                <w:highlight w:val="none"/>
              </w:rPr>
              <w:t>脱脂</w:t>
            </w:r>
            <w:r>
              <w:rPr>
                <w:rFonts w:ascii="宋体" w:hAnsi="宋体"/>
                <w:color w:val="auto"/>
                <w:sz w:val="21"/>
                <w:szCs w:val="21"/>
                <w:highlight w:val="none"/>
              </w:rPr>
              <w:t>--</w:t>
            </w:r>
            <w:r>
              <w:rPr>
                <w:rFonts w:hint="eastAsia" w:ascii="宋体" w:hAnsi="宋体"/>
                <w:color w:val="auto"/>
                <w:sz w:val="21"/>
                <w:szCs w:val="21"/>
                <w:highlight w:val="none"/>
              </w:rPr>
              <w:t>酸洗</w:t>
            </w:r>
            <w:r>
              <w:rPr>
                <w:rFonts w:ascii="宋体" w:hAnsi="宋体"/>
                <w:color w:val="auto"/>
                <w:sz w:val="21"/>
                <w:szCs w:val="21"/>
                <w:highlight w:val="none"/>
              </w:rPr>
              <w:t>--</w:t>
            </w:r>
            <w:r>
              <w:rPr>
                <w:rFonts w:hint="eastAsia" w:ascii="宋体" w:hAnsi="宋体"/>
                <w:color w:val="auto"/>
                <w:sz w:val="21"/>
                <w:szCs w:val="21"/>
                <w:highlight w:val="none"/>
              </w:rPr>
              <w:t>磷化</w:t>
            </w:r>
            <w:r>
              <w:rPr>
                <w:rFonts w:ascii="宋体" w:hAnsi="宋体"/>
                <w:color w:val="auto"/>
                <w:sz w:val="21"/>
                <w:szCs w:val="21"/>
                <w:highlight w:val="none"/>
              </w:rPr>
              <w:t>--</w:t>
            </w:r>
            <w:r>
              <w:rPr>
                <w:rFonts w:hint="eastAsia" w:ascii="宋体" w:hAnsi="宋体"/>
                <w:color w:val="auto"/>
                <w:sz w:val="21"/>
                <w:szCs w:val="21"/>
                <w:highlight w:val="none"/>
              </w:rPr>
              <w:t>静电喷涂</w:t>
            </w:r>
            <w:r>
              <w:rPr>
                <w:rFonts w:hint="eastAsia" w:ascii="宋体" w:hAnsi="宋体" w:eastAsia="宋体" w:cs="宋体"/>
                <w:color w:val="auto"/>
                <w:sz w:val="21"/>
                <w:szCs w:val="21"/>
                <w:highlight w:val="none"/>
              </w:rPr>
              <w:t></w:t>
            </w:r>
            <w:r>
              <w:rPr>
                <w:rFonts w:hint="eastAsia" w:ascii="宋体" w:hAnsi="宋体"/>
                <w:color w:val="auto"/>
                <w:sz w:val="21"/>
                <w:szCs w:val="21"/>
                <w:highlight w:val="none"/>
              </w:rPr>
              <w:t>脱脂</w:t>
            </w:r>
            <w:r>
              <w:rPr>
                <w:rFonts w:ascii="宋体" w:hAnsi="宋体"/>
                <w:color w:val="auto"/>
                <w:sz w:val="21"/>
                <w:szCs w:val="21"/>
                <w:highlight w:val="none"/>
              </w:rPr>
              <w:t>--</w:t>
            </w:r>
            <w:r>
              <w:rPr>
                <w:rFonts w:hint="eastAsia" w:ascii="宋体" w:hAnsi="宋体"/>
                <w:color w:val="auto"/>
                <w:sz w:val="21"/>
                <w:szCs w:val="21"/>
                <w:highlight w:val="none"/>
              </w:rPr>
              <w:t>抛丸</w:t>
            </w:r>
            <w:r>
              <w:rPr>
                <w:rFonts w:ascii="宋体" w:hAnsi="宋体"/>
                <w:color w:val="auto"/>
                <w:sz w:val="21"/>
                <w:szCs w:val="21"/>
                <w:highlight w:val="none"/>
              </w:rPr>
              <w:t>--</w:t>
            </w:r>
            <w:r>
              <w:rPr>
                <w:rFonts w:hint="eastAsia" w:ascii="宋体" w:hAnsi="宋体"/>
                <w:color w:val="auto"/>
                <w:sz w:val="21"/>
                <w:szCs w:val="21"/>
                <w:highlight w:val="none"/>
              </w:rPr>
              <w:t>静电喷涂</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1250950" cy="733425"/>
                  <wp:effectExtent l="0" t="0" r="6350" b="9525"/>
                  <wp:docPr id="29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5"/>
                          <pic:cNvPicPr>
                            <a:picLocks noChangeAspect="1"/>
                          </pic:cNvPicPr>
                        </pic:nvPicPr>
                        <pic:blipFill>
                          <a:blip r:embed="rId9">
                            <a:lum/>
                          </a:blip>
                          <a:stretch>
                            <a:fillRect/>
                          </a:stretch>
                        </pic:blipFill>
                        <pic:spPr>
                          <a:xfrm>
                            <a:off x="0" y="0"/>
                            <a:ext cx="1250950" cy="7334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室外滑梯等大型玩具</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2</w:t>
            </w:r>
          </w:p>
        </w:tc>
        <w:tc>
          <w:tcPr>
            <w:tcW w:w="5839" w:type="dxa"/>
            <w:tcBorders>
              <w:top w:val="single" w:color="auto" w:sz="4" w:space="0"/>
              <w:left w:val="nil"/>
              <w:bottom w:val="single" w:color="auto" w:sz="4" w:space="0"/>
              <w:right w:val="single" w:color="auto" w:sz="4" w:space="0"/>
            </w:tcBorders>
            <w:vAlign w:val="center"/>
          </w:tcPr>
          <w:p>
            <w:pPr>
              <w:autoSpaceDE w:val="0"/>
              <w:autoSpaceDN w:val="0"/>
              <w:adjustRightInd w:val="0"/>
              <w:jc w:val="left"/>
              <w:rPr>
                <w:rFonts w:hint="eastAsia"/>
                <w:color w:val="auto"/>
                <w:kern w:val="0"/>
                <w:sz w:val="21"/>
                <w:szCs w:val="21"/>
                <w:highlight w:val="none"/>
              </w:rPr>
            </w:pPr>
            <w:r>
              <w:rPr>
                <w:rFonts w:hint="eastAsia"/>
                <w:color w:val="auto"/>
                <w:kern w:val="0"/>
                <w:sz w:val="21"/>
                <w:szCs w:val="21"/>
                <w:highlight w:val="none"/>
              </w:rPr>
              <w:t xml:space="preserve">规格：长*宽*高：10.8*6.8*4.5米   功能：楼梯1组，消防滴滴车造型遮阳顶2个（尺寸：长*宽*高 ：218*198*185CM重量不低于80公斤，尺寸：长*宽*高 ：218*198*180CM重量低于80公斤 ），装饰顶不少于4个（弓形顶一个、树叶顶两个、蝴蝶顶一个），塑料挡板不少于4块，滑梯不少于4个其中4节单滑（接120cm高平台带门）、S型滑梯带平台、圆桶滑梯（中间为透明圆桶带门）双滑（接90cm高平台带门），彩虹斜桥一组，吊装一组，几何攀爬带扶手一个，立柱不少于16根，平台不少于5块。      </w:t>
            </w:r>
          </w:p>
          <w:p>
            <w:pPr>
              <w:autoSpaceDE w:val="0"/>
              <w:autoSpaceDN w:val="0"/>
              <w:adjustRightInd w:val="0"/>
              <w:jc w:val="left"/>
              <w:rPr>
                <w:rFonts w:hint="eastAsia"/>
                <w:color w:val="auto"/>
                <w:kern w:val="0"/>
                <w:sz w:val="21"/>
                <w:szCs w:val="21"/>
                <w:highlight w:val="none"/>
              </w:rPr>
            </w:pPr>
            <w:r>
              <w:rPr>
                <w:rFonts w:hint="eastAsia"/>
                <w:color w:val="auto"/>
                <w:kern w:val="0"/>
                <w:sz w:val="21"/>
                <w:szCs w:val="21"/>
                <w:highlight w:val="none"/>
              </w:rPr>
              <w:t xml:space="preserve">材质：1.立柱:采用Ø114mm，壁厚为2.0mm热镀锌钢管经机械抛光，表面用符合欧标的塑粉经静电喷塑，高温加热后，不褪色，不掉色，色彩鲜艳。2.平台和楼梯：平台尺寸 厚度2mm符合GB/T700-2006要求的冷轧板，焊接采用二氧化碳气体保护焊（符合GB/T8810-1995要求）。经特殊工艺处理表面防滑性能好，冲孔Φ≤6mm，防止儿童游戏时手指受伤，背面X字型承重钢片设计，以增加载重能力。3.配件：铁件扶手挡板均按照欧标EN1176标准，Φ60、Φ48、Φ38、Φ32，壁厚1.5mm，焊接采用二氧化碳气体保护焊（符合GB/T8810-1995要求）以上铁件经机械抛光后表面用符合欧标的塑粉静电喷塑，高温加热后，不褪色，不掉色，色彩鲜艳。 4.塑料：采用进口食品级LLDPE韩国三星滚塑644专用塑料粒子，符合GB/T4454-1996要求，无毒无味，渗入抗紫外线，光稳定剂及抗静电剂，高级颜料粉，防脱色、韧性好、高强度（壁厚≥6mm）、两面光滑、不褪色、磨砂表面滚塑成型。5.连接件及底盘：铝合金材料，外表圆形，造型美观，无棱角，安全牢固，不生锈，经久耐用，经机械抛光，表面用符合欧标的塑粉静电喷塑，高温加热后，不褪色，不掉色，色彩鲜艳。6.五金配件：采用不锈钢螺丝均采用314#材质，外露螺丝均采用半圆头、无棱角处理，具有预防任意调整功能，以维护使用者设施结构的安全                                                             </w:t>
            </w:r>
          </w:p>
          <w:p>
            <w:pPr>
              <w:autoSpaceDE w:val="0"/>
              <w:autoSpaceDN w:val="0"/>
              <w:adjustRightInd w:val="0"/>
              <w:jc w:val="left"/>
              <w:rPr>
                <w:rFonts w:hint="eastAsia" w:eastAsiaTheme="minorEastAsia"/>
                <w:color w:val="auto"/>
                <w:kern w:val="0"/>
                <w:sz w:val="21"/>
                <w:szCs w:val="21"/>
                <w:highlight w:val="none"/>
                <w:lang w:val="en-US" w:eastAsia="zh-CN"/>
              </w:rPr>
            </w:pPr>
            <w:r>
              <w:rPr>
                <w:rFonts w:hint="eastAsia"/>
                <w:color w:val="auto"/>
                <w:kern w:val="0"/>
                <w:sz w:val="21"/>
                <w:szCs w:val="21"/>
                <w:highlight w:val="none"/>
              </w:rPr>
              <w:t>★提供大型玩具造型顶样品</w:t>
            </w:r>
            <w:r>
              <w:rPr>
                <w:rFonts w:hint="eastAsia"/>
                <w:color w:val="auto"/>
                <w:kern w:val="0"/>
                <w:sz w:val="21"/>
                <w:szCs w:val="21"/>
                <w:highlight w:val="none"/>
                <w:lang w:eastAsia="zh-CN"/>
              </w:rPr>
              <w:t>材质小样</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highlight w:val="none"/>
              </w:rPr>
              <w:drawing>
                <wp:inline distT="0" distB="0" distL="114300" distR="114300">
                  <wp:extent cx="1972945" cy="1248410"/>
                  <wp:effectExtent l="0" t="0" r="8255" b="8890"/>
                  <wp:docPr id="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
                          <pic:cNvPicPr>
                            <a:picLocks noChangeAspect="1"/>
                          </pic:cNvPicPr>
                        </pic:nvPicPr>
                        <pic:blipFill>
                          <a:blip r:embed="rId10"/>
                          <a:stretch>
                            <a:fillRect/>
                          </a:stretch>
                        </pic:blipFill>
                        <pic:spPr>
                          <a:xfrm>
                            <a:off x="0" y="0"/>
                            <a:ext cx="1972945" cy="12484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单轮小推车</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辆</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30</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r>
              <w:rPr>
                <w:rFonts w:hint="eastAsia" w:ascii="宋体" w:hAnsi="宋体"/>
                <w:color w:val="auto"/>
                <w:sz w:val="21"/>
                <w:szCs w:val="21"/>
                <w:highlight w:val="none"/>
              </w:rPr>
              <w:t>83*32*40cm，</w:t>
            </w:r>
            <w:r>
              <w:rPr>
                <w:rFonts w:hint="eastAsia" w:ascii="宋体" w:hAnsi="宋体" w:cs="宋体"/>
                <w:color w:val="auto"/>
                <w:sz w:val="21"/>
                <w:szCs w:val="21"/>
                <w:highlight w:val="none"/>
              </w:rPr>
              <w:t>进口PP环保塑料，主要功能：培养宝宝动手能力，促进大脑发育。环保食品级塑料；促进儿童全身肌肉的伸展和活性化，尤其对儿童腰腹、四肢力量很有锻炼作用，同时，促进全身血液循环，增强儿童体质，提高儿童免疫力。</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anchor distT="0" distB="0" distL="114300" distR="114300" simplePos="0" relativeHeight="251916288" behindDoc="0" locked="0" layoutInCell="1" allowOverlap="1">
                  <wp:simplePos x="0" y="0"/>
                  <wp:positionH relativeFrom="column">
                    <wp:posOffset>948690</wp:posOffset>
                  </wp:positionH>
                  <wp:positionV relativeFrom="paragraph">
                    <wp:posOffset>106680</wp:posOffset>
                  </wp:positionV>
                  <wp:extent cx="1162050" cy="610870"/>
                  <wp:effectExtent l="0" t="0" r="0" b="177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lum/>
                          </a:blip>
                          <a:stretch>
                            <a:fillRect/>
                          </a:stretch>
                        </pic:blipFill>
                        <pic:spPr>
                          <a:xfrm>
                            <a:off x="0" y="0"/>
                            <a:ext cx="1162050" cy="610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三轮小拖车</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辆</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20</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r>
              <w:rPr>
                <w:rFonts w:hint="eastAsia" w:ascii="宋体" w:hAnsi="宋体" w:cs="Times New Roman"/>
                <w:color w:val="auto"/>
                <w:sz w:val="21"/>
                <w:szCs w:val="21"/>
                <w:highlight w:val="none"/>
              </w:rPr>
              <w:t>87*66*70cm，钢铁、塑胶,</w:t>
            </w:r>
            <w:r>
              <w:rPr>
                <w:rFonts w:hint="eastAsia" w:ascii="Calibri" w:hAnsi="Calibri" w:eastAsia="宋体" w:cs="Tahoma"/>
                <w:b/>
                <w:bCs/>
                <w:color w:val="auto"/>
                <w:kern w:val="44"/>
                <w:sz w:val="21"/>
                <w:szCs w:val="21"/>
                <w:highlight w:val="none"/>
              </w:rPr>
              <w:t xml:space="preserve"> </w:t>
            </w:r>
            <w:r>
              <w:rPr>
                <w:rFonts w:hint="eastAsia" w:ascii="Calibri" w:hAnsi="Calibri" w:eastAsia="宋体" w:cs="Tahoma"/>
                <w:bCs/>
                <w:color w:val="auto"/>
                <w:sz w:val="21"/>
                <w:szCs w:val="21"/>
                <w:highlight w:val="none"/>
              </w:rPr>
              <w:t>镀锌钢管 静电喷塑 无毒无味.</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 w:val="21"/>
                <w:szCs w:val="21"/>
                <w:highlight w:val="none"/>
                <w:lang w:val="en-US" w:eastAsia="zh-CN"/>
              </w:rPr>
            </w:pPr>
            <w:r>
              <w:rPr>
                <w:rFonts w:ascii="Calibri" w:hAnsi="Calibri" w:eastAsia="宋体" w:cs="Times New Roman"/>
                <w:color w:val="auto"/>
                <w:kern w:val="0"/>
                <w:sz w:val="21"/>
                <w:szCs w:val="21"/>
                <w:highlight w:val="none"/>
                <w:lang w:val="en-US" w:eastAsia="zh-CN" w:bidi="ar-SA"/>
              </w:rPr>
              <w:drawing>
                <wp:inline distT="0" distB="0" distL="114300" distR="114300">
                  <wp:extent cx="899160" cy="596265"/>
                  <wp:effectExtent l="0" t="0" r="0" b="13335"/>
                  <wp:docPr id="2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43"/>
                          <pic:cNvPicPr>
                            <a:picLocks noChangeAspect="1"/>
                          </pic:cNvPicPr>
                        </pic:nvPicPr>
                        <pic:blipFill>
                          <a:blip r:embed="rId12">
                            <a:lum/>
                          </a:blip>
                          <a:stretch>
                            <a:fillRect/>
                          </a:stretch>
                        </pic:blipFill>
                        <pic:spPr>
                          <a:xfrm>
                            <a:off x="0" y="0"/>
                            <a:ext cx="899160" cy="5962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rPr>
                <w:color w:val="auto"/>
                <w:kern w:val="0"/>
                <w:sz w:val="21"/>
                <w:szCs w:val="21"/>
                <w:highlight w:val="none"/>
              </w:rPr>
            </w:pPr>
            <w:r>
              <w:rPr>
                <w:rFonts w:hint="eastAsia"/>
                <w:color w:val="auto"/>
                <w:kern w:val="0"/>
                <w:sz w:val="21"/>
                <w:szCs w:val="21"/>
                <w:highlight w:val="none"/>
              </w:rPr>
              <w:t>室内玩具及教学用品</w:t>
            </w: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体操垫</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90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r>
              <w:rPr>
                <w:rFonts w:ascii="宋体" w:hAnsi="宋体" w:cs="宋体"/>
                <w:color w:val="auto"/>
                <w:sz w:val="21"/>
                <w:szCs w:val="21"/>
                <w:highlight w:val="none"/>
              </w:rPr>
              <w:t>1.规格：200*120*10cm。2.体操垫外套为帆布，填料为聚氨酯泡沫，软硬均匀、适宜，回弹效果好</w:t>
            </w:r>
            <w:r>
              <w:rPr>
                <w:rFonts w:hint="eastAsia" w:ascii="宋体" w:hAnsi="宋体" w:cs="宋体"/>
                <w:color w:val="auto"/>
                <w:sz w:val="21"/>
                <w:szCs w:val="21"/>
                <w:highlight w:val="none"/>
              </w:rPr>
              <w:t>。</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anchor distT="0" distB="0" distL="114300" distR="114300" simplePos="0" relativeHeight="251917312" behindDoc="0" locked="0" layoutInCell="1" allowOverlap="1">
                  <wp:simplePos x="0" y="0"/>
                  <wp:positionH relativeFrom="column">
                    <wp:posOffset>753745</wp:posOffset>
                  </wp:positionH>
                  <wp:positionV relativeFrom="paragraph">
                    <wp:posOffset>107315</wp:posOffset>
                  </wp:positionV>
                  <wp:extent cx="1134745" cy="546100"/>
                  <wp:effectExtent l="0" t="0" r="825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lum/>
                          </a:blip>
                          <a:stretch>
                            <a:fillRect/>
                          </a:stretch>
                        </pic:blipFill>
                        <pic:spPr>
                          <a:xfrm>
                            <a:off x="0" y="0"/>
                            <a:ext cx="1134745" cy="5461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皮球</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r>
              <w:rPr>
                <w:rFonts w:hint="eastAsia" w:ascii="宋体" w:hAnsi="宋体"/>
                <w:color w:val="auto"/>
                <w:sz w:val="21"/>
                <w:szCs w:val="21"/>
                <w:highlight w:val="none"/>
              </w:rPr>
              <w:t>直径 17cm。天然橡胶材质，无气味，弹性好。</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533400" cy="504825"/>
                  <wp:effectExtent l="0" t="0" r="0" b="9525"/>
                  <wp:docPr id="25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框 1032"/>
                          <pic:cNvPicPr>
                            <a:picLocks noChangeAspect="1"/>
                          </pic:cNvPicPr>
                        </pic:nvPicPr>
                        <pic:blipFill>
                          <a:blip r:embed="rId14">
                            <a:lum/>
                          </a:blip>
                          <a:stretch>
                            <a:fillRect/>
                          </a:stretch>
                        </pic:blipFill>
                        <pic:spPr>
                          <a:xfrm>
                            <a:off x="0" y="0"/>
                            <a:ext cx="533400" cy="5048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投篮架</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4</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olor w:val="auto"/>
                <w:sz w:val="21"/>
                <w:szCs w:val="21"/>
                <w:highlight w:val="none"/>
              </w:rPr>
            </w:pPr>
            <w:r>
              <w:rPr>
                <w:rFonts w:hint="eastAsia" w:ascii="宋体" w:hAnsi="宋体"/>
                <w:color w:val="auto"/>
                <w:sz w:val="21"/>
                <w:szCs w:val="21"/>
                <w:highlight w:val="none"/>
              </w:rPr>
              <w:t>规格：52*55*118cm材质为进口食品级工程塑料采用吹塑工艺，色彩鲜艳，高度可以调节。</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highlight w:val="none"/>
              </w:rPr>
              <w:drawing>
                <wp:inline distT="0" distB="0" distL="114300" distR="114300">
                  <wp:extent cx="393700" cy="747395"/>
                  <wp:effectExtent l="0" t="0" r="6350" b="14605"/>
                  <wp:docPr id="297"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41"/>
                          <pic:cNvPicPr>
                            <a:picLocks noChangeAspect="1" noChangeArrowheads="1"/>
                          </pic:cNvPicPr>
                        </pic:nvPicPr>
                        <pic:blipFill>
                          <a:blip r:embed="rId15"/>
                          <a:srcRect/>
                          <a:stretch>
                            <a:fillRect/>
                          </a:stretch>
                        </pic:blipFill>
                        <pic:spPr>
                          <a:xfrm>
                            <a:off x="0" y="0"/>
                            <a:ext cx="393700" cy="74739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沙包</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r>
              <w:rPr>
                <w:rFonts w:hint="eastAsia" w:ascii="宋体" w:hAnsi="宋体"/>
                <w:color w:val="auto"/>
                <w:sz w:val="21"/>
                <w:szCs w:val="21"/>
                <w:highlight w:val="none"/>
              </w:rPr>
              <w:t>40件/箱，正方造型 ，每个重100克左右。</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933450" cy="531495"/>
                  <wp:effectExtent l="0" t="0" r="11430" b="1905"/>
                  <wp:docPr id="260"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框 1034"/>
                          <pic:cNvPicPr>
                            <a:picLocks noChangeAspect="1"/>
                          </pic:cNvPicPr>
                        </pic:nvPicPr>
                        <pic:blipFill>
                          <a:blip r:embed="rId16">
                            <a:lum/>
                          </a:blip>
                          <a:stretch>
                            <a:fillRect/>
                          </a:stretch>
                        </pic:blipFill>
                        <pic:spPr>
                          <a:xfrm>
                            <a:off x="0" y="0"/>
                            <a:ext cx="933450" cy="5314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跳绳</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ind w:firstLine="440"/>
              <w:rPr>
                <w:rFonts w:ascii="宋体" w:hAnsi="宋体" w:cs="Tahoma"/>
                <w:color w:val="auto"/>
                <w:sz w:val="21"/>
                <w:szCs w:val="21"/>
                <w:highlight w:val="none"/>
              </w:rPr>
            </w:pPr>
            <w:r>
              <w:rPr>
                <w:rFonts w:hint="eastAsia"/>
                <w:color w:val="auto"/>
                <w:kern w:val="0"/>
                <w:sz w:val="21"/>
                <w:szCs w:val="21"/>
                <w:highlight w:val="none"/>
              </w:rPr>
              <w:t>　</w:t>
            </w:r>
            <w:r>
              <w:rPr>
                <w:rFonts w:hint="eastAsia" w:ascii="宋体" w:hAnsi="宋体" w:cs="Tahoma"/>
                <w:color w:val="auto"/>
                <w:sz w:val="21"/>
                <w:szCs w:val="21"/>
                <w:highlight w:val="none"/>
              </w:rPr>
              <w:t>绳长200cm，握感舒适，跳绳时不易脱手，高强度跳绳结实耐用。</w:t>
            </w:r>
          </w:p>
          <w:p>
            <w:pPr>
              <w:rPr>
                <w:color w:val="auto"/>
                <w:kern w:val="0"/>
                <w:sz w:val="21"/>
                <w:szCs w:val="21"/>
                <w:highlight w:val="none"/>
              </w:rPr>
            </w:pP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979805" cy="695325"/>
                  <wp:effectExtent l="0" t="0" r="10795" b="5715"/>
                  <wp:docPr id="261"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框 1035"/>
                          <pic:cNvPicPr>
                            <a:picLocks noChangeAspect="1"/>
                          </pic:cNvPicPr>
                        </pic:nvPicPr>
                        <pic:blipFill>
                          <a:blip r:embed="rId17">
                            <a:lum/>
                          </a:blip>
                          <a:stretch>
                            <a:fillRect/>
                          </a:stretch>
                        </pic:blipFill>
                        <pic:spPr>
                          <a:xfrm>
                            <a:off x="0" y="0"/>
                            <a:ext cx="979805" cy="6953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钻圈和泥拱形门</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8</w:t>
            </w:r>
          </w:p>
        </w:tc>
        <w:tc>
          <w:tcPr>
            <w:tcW w:w="5839" w:type="dxa"/>
            <w:tcBorders>
              <w:top w:val="single" w:color="auto" w:sz="4" w:space="0"/>
              <w:left w:val="nil"/>
              <w:bottom w:val="single" w:color="auto" w:sz="4" w:space="0"/>
              <w:right w:val="single" w:color="auto" w:sz="4" w:space="0"/>
            </w:tcBorders>
            <w:shd w:val="clear" w:color="auto" w:fill="auto"/>
            <w:vAlign w:val="center"/>
          </w:tcPr>
          <w:p>
            <w:pPr>
              <w:jc w:val="left"/>
              <w:rPr>
                <w:color w:val="auto"/>
                <w:kern w:val="0"/>
                <w:sz w:val="21"/>
                <w:szCs w:val="21"/>
                <w:highlight w:val="none"/>
              </w:rPr>
            </w:pPr>
            <w:r>
              <w:rPr>
                <w:rFonts w:hint="eastAsia"/>
                <w:color w:val="auto"/>
                <w:kern w:val="0"/>
                <w:sz w:val="21"/>
                <w:szCs w:val="21"/>
                <w:highlight w:val="none"/>
              </w:rPr>
              <w:t>　</w:t>
            </w:r>
            <w:r>
              <w:rPr>
                <w:rFonts w:hint="eastAsia" w:ascii="宋体" w:hAnsi="宋体" w:cs="宋体"/>
                <w:color w:val="auto"/>
                <w:kern w:val="0"/>
                <w:sz w:val="21"/>
                <w:szCs w:val="21"/>
                <w:highlight w:val="none"/>
              </w:rPr>
              <w:t xml:space="preserve">规格：600*230*1000mm,4只/套材质：进口工程塑料，环保无毒无味。                                               </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highlight w:val="none"/>
              </w:rPr>
              <w:drawing>
                <wp:inline distT="0" distB="0" distL="114300" distR="114300">
                  <wp:extent cx="962025" cy="948690"/>
                  <wp:effectExtent l="0" t="0" r="9525" b="3810"/>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8"/>
                          <a:srcRect/>
                          <a:stretch>
                            <a:fillRect/>
                          </a:stretch>
                        </pic:blipFill>
                        <pic:spPr>
                          <a:xfrm>
                            <a:off x="0" y="0"/>
                            <a:ext cx="962025" cy="948690"/>
                          </a:xfrm>
                          <a:prstGeom prst="rect">
                            <a:avLst/>
                          </a:prstGeom>
                          <a:noFill/>
                          <a:ln w="1">
                            <a:noFill/>
                            <a:miter lim="800000"/>
                            <a:headEnd/>
                            <a:tailEnd type="none" w="med" len="me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接茬构造玩具</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各种片、块、管、粒等进口PP环保塑料，工艺：前沿吹塑（光泽细腻 不退色不划手)80件</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965835" cy="492760"/>
                  <wp:effectExtent l="0" t="0" r="9525" b="10160"/>
                  <wp:docPr id="263"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框 1037"/>
                          <pic:cNvPicPr>
                            <a:picLocks noChangeAspect="1"/>
                          </pic:cNvPicPr>
                        </pic:nvPicPr>
                        <pic:blipFill>
                          <a:blip r:embed="rId19">
                            <a:lum/>
                          </a:blip>
                          <a:stretch>
                            <a:fillRect/>
                          </a:stretch>
                        </pic:blipFill>
                        <pic:spPr>
                          <a:xfrm>
                            <a:off x="0" y="0"/>
                            <a:ext cx="965835" cy="4927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大型积木</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60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大型积木进口PP环保塑料，工艺：前沿吹塑（光泽细腻 不退色不划手)80件</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688340" cy="293370"/>
                  <wp:effectExtent l="0" t="0" r="12700" b="11430"/>
                  <wp:docPr id="264"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框 1038"/>
                          <pic:cNvPicPr>
                            <a:picLocks noChangeAspect="1"/>
                          </pic:cNvPicPr>
                        </pic:nvPicPr>
                        <pic:blipFill>
                          <a:blip r:embed="rId20">
                            <a:lum/>
                          </a:blip>
                          <a:stretch>
                            <a:fillRect/>
                          </a:stretch>
                        </pic:blipFill>
                        <pic:spPr>
                          <a:xfrm>
                            <a:off x="0" y="0"/>
                            <a:ext cx="688340" cy="2933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中型积木</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中型积木进口PP环保塑料，工艺：前沿吹塑（光泽细腻 不退色不划手)80件</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645160" cy="250190"/>
                  <wp:effectExtent l="0" t="0" r="10160" b="8890"/>
                  <wp:docPr id="265"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框 1039"/>
                          <pic:cNvPicPr>
                            <a:picLocks noChangeAspect="1"/>
                          </pic:cNvPicPr>
                        </pic:nvPicPr>
                        <pic:blipFill>
                          <a:blip r:embed="rId21">
                            <a:lum/>
                          </a:blip>
                          <a:stretch>
                            <a:fillRect/>
                          </a:stretch>
                        </pic:blipFill>
                        <pic:spPr>
                          <a:xfrm>
                            <a:off x="0" y="0"/>
                            <a:ext cx="645160" cy="2501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小型积木</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小型积木进口PP环保塑料，工艺：前沿吹塑（光泽细腻 不退色不划手)80件</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643255" cy="336550"/>
                  <wp:effectExtent l="0" t="0" r="12065" b="13970"/>
                  <wp:docPr id="266"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框 1040"/>
                          <pic:cNvPicPr>
                            <a:picLocks noChangeAspect="1"/>
                          </pic:cNvPicPr>
                        </pic:nvPicPr>
                        <pic:blipFill>
                          <a:blip r:embed="rId22">
                            <a:lum/>
                          </a:blip>
                          <a:stretch>
                            <a:fillRect/>
                          </a:stretch>
                        </pic:blipFill>
                        <pic:spPr>
                          <a:xfrm>
                            <a:off x="0" y="0"/>
                            <a:ext cx="643255" cy="3365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穿编玩具（串珠、穿线、绣花版等）</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箱</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80件串珠、穿线等进口PP环保塑料，工艺：前沿吹塑（光泽细腻 不退色不划手)</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590550" cy="551180"/>
                  <wp:effectExtent l="0" t="0" r="3810" b="12700"/>
                  <wp:docPr id="267"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框 1041"/>
                          <pic:cNvPicPr>
                            <a:picLocks noChangeAspect="1"/>
                          </pic:cNvPicPr>
                        </pic:nvPicPr>
                        <pic:blipFill>
                          <a:blip r:embed="rId23">
                            <a:lum/>
                          </a:blip>
                          <a:stretch>
                            <a:fillRect/>
                          </a:stretch>
                        </pic:blipFill>
                        <pic:spPr>
                          <a:xfrm>
                            <a:off x="0" y="0"/>
                            <a:ext cx="590550" cy="5511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螺旋连接玩具</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80件,进口PP环保塑料，工艺：前沿吹塑（光泽细腻 不退色不划手)</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1045845" cy="454025"/>
                  <wp:effectExtent l="0" t="0" r="5715" b="3175"/>
                  <wp:docPr id="268"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框 1042"/>
                          <pic:cNvPicPr>
                            <a:picLocks noChangeAspect="1"/>
                          </pic:cNvPicPr>
                        </pic:nvPicPr>
                        <pic:blipFill>
                          <a:blip r:embed="rId24">
                            <a:lum/>
                          </a:blip>
                          <a:stretch>
                            <a:fillRect/>
                          </a:stretch>
                        </pic:blipFill>
                        <pic:spPr>
                          <a:xfrm>
                            <a:off x="0" y="0"/>
                            <a:ext cx="1045845" cy="4540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101" w:type="dxa"/>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巧板</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木制，环保油漆，尺寸约11cm*11cm，</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386715" cy="379095"/>
                  <wp:effectExtent l="0" t="0" r="9525" b="1905"/>
                  <wp:docPr id="269"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框 1043"/>
                          <pic:cNvPicPr>
                            <a:picLocks noChangeAspect="1"/>
                          </pic:cNvPicPr>
                        </pic:nvPicPr>
                        <pic:blipFill>
                          <a:blip r:embed="rId25">
                            <a:lum/>
                          </a:blip>
                          <a:stretch>
                            <a:fillRect/>
                          </a:stretch>
                        </pic:blipFill>
                        <pic:spPr>
                          <a:xfrm>
                            <a:off x="0" y="0"/>
                            <a:ext cx="386715" cy="3790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rPr>
                <w:color w:val="auto"/>
                <w:kern w:val="0"/>
                <w:sz w:val="21"/>
                <w:szCs w:val="21"/>
                <w:highlight w:val="none"/>
              </w:rPr>
            </w:pPr>
            <w:r>
              <w:rPr>
                <w:rFonts w:hint="eastAsia"/>
                <w:color w:val="auto"/>
                <w:kern w:val="0"/>
                <w:sz w:val="21"/>
                <w:szCs w:val="21"/>
                <w:highlight w:val="none"/>
              </w:rPr>
              <w:t>室内玩具及教学用品</w:t>
            </w: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拼图</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sz w:val="21"/>
                <w:szCs w:val="21"/>
                <w:highlight w:val="none"/>
              </w:rPr>
              <w:t>木制，安全不伤手，使用环保漆，漆面光滑漂亮，圆角打磨，更安全。</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845185" cy="713740"/>
                  <wp:effectExtent l="0" t="0" r="8255" b="2540"/>
                  <wp:docPr id="270"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框 1044"/>
                          <pic:cNvPicPr>
                            <a:picLocks noChangeAspect="1"/>
                          </pic:cNvPicPr>
                        </pic:nvPicPr>
                        <pic:blipFill>
                          <a:blip r:embed="rId26">
                            <a:lum/>
                          </a:blip>
                          <a:stretch>
                            <a:fillRect/>
                          </a:stretch>
                        </pic:blipFill>
                        <pic:spPr>
                          <a:xfrm>
                            <a:off x="0" y="0"/>
                            <a:ext cx="845185" cy="7137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多功能玩具</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ascii="Calibri" w:hAnsi="Calibri" w:eastAsia="宋体" w:cs="Times New Roman"/>
                <w:bCs/>
                <w:color w:val="auto"/>
                <w:sz w:val="21"/>
                <w:szCs w:val="21"/>
                <w:highlight w:val="none"/>
              </w:rPr>
              <w:t>　木制，安全不伤手，使用环保漆，漆面光滑漂亮，圆角打磨，更安全。</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1192530" cy="784225"/>
                  <wp:effectExtent l="0" t="0" r="11430" b="8255"/>
                  <wp:docPr id="271"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框 1045"/>
                          <pic:cNvPicPr>
                            <a:picLocks noChangeAspect="1"/>
                          </pic:cNvPicPr>
                        </pic:nvPicPr>
                        <pic:blipFill>
                          <a:blip r:embed="rId27">
                            <a:lum/>
                          </a:blip>
                          <a:stretch>
                            <a:fillRect/>
                          </a:stretch>
                        </pic:blipFill>
                        <pic:spPr>
                          <a:xfrm>
                            <a:off x="0" y="0"/>
                            <a:ext cx="1192530" cy="784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磁性玩具</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ascii="宋体" w:hAnsi="宋体" w:cs="宋体"/>
                <w:bCs/>
                <w:color w:val="auto"/>
                <w:kern w:val="0"/>
                <w:sz w:val="21"/>
                <w:szCs w:val="21"/>
                <w:highlight w:val="none"/>
              </w:rPr>
              <w:t>组成：条形1对（5*0.9*0.9cm） 马蹄形1个（4.8*4*0.8*1cm）指南针1个（直径：4.5cm）材质：磁铁（教学用磁铁，小朋友磁性实验演示用</w:t>
            </w:r>
            <w:r>
              <w:rPr>
                <w:rFonts w:hint="eastAsia" w:ascii="宋体" w:hAnsi="宋体" w:cs="宋体"/>
                <w:bCs/>
                <w:color w:val="auto"/>
                <w:kern w:val="0"/>
                <w:sz w:val="21"/>
                <w:szCs w:val="21"/>
                <w:highlight w:val="none"/>
              </w:rPr>
              <w:t>。</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697865" cy="758825"/>
                  <wp:effectExtent l="0" t="0" r="3175" b="3175"/>
                  <wp:docPr id="272"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框 1046"/>
                          <pic:cNvPicPr>
                            <a:picLocks noChangeAspect="1"/>
                          </pic:cNvPicPr>
                        </pic:nvPicPr>
                        <pic:blipFill>
                          <a:blip r:embed="rId28">
                            <a:lum/>
                          </a:blip>
                          <a:stretch>
                            <a:fillRect/>
                          </a:stretch>
                        </pic:blipFill>
                        <pic:spPr>
                          <a:xfrm>
                            <a:off x="0" y="0"/>
                            <a:ext cx="697865" cy="7588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弹簧玩具</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vAlign w:val="center"/>
          </w:tcPr>
          <w:p>
            <w:pPr>
              <w:rPr>
                <w:b/>
                <w:color w:val="auto"/>
                <w:kern w:val="0"/>
                <w:sz w:val="21"/>
                <w:szCs w:val="21"/>
                <w:highlight w:val="none"/>
              </w:rPr>
            </w:pPr>
            <w:r>
              <w:rPr>
                <w:rFonts w:hint="eastAsia"/>
                <w:b/>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vAlign w:val="center"/>
          </w:tcPr>
          <w:p>
            <w:pPr>
              <w:rPr>
                <w:rFonts w:ascii="宋体" w:hAnsi="宋体"/>
                <w:b/>
                <w:color w:val="auto"/>
                <w:kern w:val="0"/>
                <w:sz w:val="21"/>
                <w:szCs w:val="21"/>
                <w:highlight w:val="none"/>
              </w:rPr>
            </w:pPr>
            <w:r>
              <w:rPr>
                <w:rStyle w:val="26"/>
                <w:rFonts w:ascii="宋体" w:hAnsi="宋体" w:cs="Tahoma"/>
                <w:b w:val="0"/>
                <w:color w:val="auto"/>
                <w:sz w:val="21"/>
                <w:szCs w:val="21"/>
                <w:highlight w:val="none"/>
              </w:rPr>
              <w:t>直径5.5cm 高度6.5cm</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748665" cy="534670"/>
                  <wp:effectExtent l="0" t="0" r="13335" b="13970"/>
                  <wp:docPr id="273"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框 1047"/>
                          <pic:cNvPicPr>
                            <a:picLocks noChangeAspect="1"/>
                          </pic:cNvPicPr>
                        </pic:nvPicPr>
                        <pic:blipFill>
                          <a:blip r:embed="rId29">
                            <a:lum/>
                          </a:blip>
                          <a:stretch>
                            <a:fillRect/>
                          </a:stretch>
                        </pic:blipFill>
                        <pic:spPr>
                          <a:xfrm>
                            <a:off x="0" y="0"/>
                            <a:ext cx="748665" cy="5346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地球仪</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21</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直径65cm，很好的教学仪器。</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295275" cy="400050"/>
                  <wp:effectExtent l="0" t="0" r="9525" b="11430"/>
                  <wp:docPr id="274"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框 1048"/>
                          <pic:cNvPicPr>
                            <a:picLocks noChangeAspect="1"/>
                          </pic:cNvPicPr>
                        </pic:nvPicPr>
                        <pic:blipFill>
                          <a:blip r:embed="rId30">
                            <a:lum/>
                          </a:blip>
                          <a:stretch>
                            <a:fillRect/>
                          </a:stretch>
                        </pic:blipFill>
                        <pic:spPr>
                          <a:xfrm>
                            <a:off x="0" y="0"/>
                            <a:ext cx="295275" cy="4000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放大镜</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vAlign w:val="top"/>
          </w:tcPr>
          <w:p>
            <w:pPr>
              <w:rPr>
                <w:b/>
                <w:color w:val="auto"/>
                <w:kern w:val="0"/>
                <w:sz w:val="21"/>
                <w:szCs w:val="21"/>
                <w:highlight w:val="none"/>
              </w:rPr>
            </w:pPr>
            <w:r>
              <w:rPr>
                <w:rFonts w:ascii="微软雅黑" w:hAnsi="微软雅黑"/>
                <w:color w:val="auto"/>
                <w:sz w:val="21"/>
                <w:szCs w:val="21"/>
                <w:highlight w:val="none"/>
              </w:rPr>
              <w:t>大镜面13</w:t>
            </w:r>
            <w:r>
              <w:rPr>
                <w:rFonts w:hint="eastAsia" w:ascii="微软雅黑" w:hAnsi="微软雅黑"/>
                <w:color w:val="auto"/>
                <w:sz w:val="21"/>
                <w:szCs w:val="21"/>
                <w:highlight w:val="none"/>
              </w:rPr>
              <w:t>cm</w:t>
            </w:r>
            <w:r>
              <w:rPr>
                <w:rFonts w:ascii="微软雅黑" w:hAnsi="微软雅黑"/>
                <w:color w:val="auto"/>
                <w:sz w:val="21"/>
                <w:szCs w:val="21"/>
                <w:highlight w:val="none"/>
              </w:rPr>
              <w:t>高清放大镜阅读5倍</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395605" cy="358775"/>
                  <wp:effectExtent l="0" t="0" r="635" b="6985"/>
                  <wp:docPr id="275" name="图片框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框 1049"/>
                          <pic:cNvPicPr>
                            <a:picLocks noChangeAspect="1"/>
                          </pic:cNvPicPr>
                        </pic:nvPicPr>
                        <pic:blipFill>
                          <a:blip r:embed="rId31">
                            <a:lum/>
                          </a:blip>
                          <a:stretch>
                            <a:fillRect/>
                          </a:stretch>
                        </pic:blipFill>
                        <pic:spPr>
                          <a:xfrm>
                            <a:off x="0" y="0"/>
                            <a:ext cx="395605" cy="3587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天平</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个</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木制，环保水性漆，规格：30*24*6.5cm。</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1066800" cy="605790"/>
                  <wp:effectExtent l="0" t="0" r="0" b="3810"/>
                  <wp:docPr id="276" name="图片框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框 1050"/>
                          <pic:cNvPicPr>
                            <a:picLocks noChangeAspect="1"/>
                          </pic:cNvPicPr>
                        </pic:nvPicPr>
                        <pic:blipFill>
                          <a:blip r:embed="rId32">
                            <a:lum/>
                          </a:blip>
                          <a:stretch>
                            <a:fillRect/>
                          </a:stretch>
                        </pic:blipFill>
                        <pic:spPr>
                          <a:xfrm>
                            <a:off x="0" y="0"/>
                            <a:ext cx="1066800" cy="6057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几何图形片</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100件，优质塑料，色彩鲜艳，安全适用。</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895985" cy="355600"/>
                  <wp:effectExtent l="0" t="0" r="3175" b="10160"/>
                  <wp:docPr id="277" name="图片框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框 1051"/>
                          <pic:cNvPicPr>
                            <a:picLocks noChangeAspect="1"/>
                          </pic:cNvPicPr>
                        </pic:nvPicPr>
                        <pic:blipFill>
                          <a:blip r:embed="rId33">
                            <a:lum/>
                          </a:blip>
                          <a:stretch>
                            <a:fillRect/>
                          </a:stretch>
                        </pic:blipFill>
                        <pic:spPr>
                          <a:xfrm>
                            <a:off x="0" y="0"/>
                            <a:ext cx="895985" cy="355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儿童棋</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跳棋，</w:t>
            </w:r>
            <w:r>
              <w:rPr>
                <w:rStyle w:val="26"/>
                <w:rFonts w:ascii="宋体" w:hAnsi="宋体" w:cs="Tahoma"/>
                <w:b w:val="0"/>
                <w:bCs w:val="0"/>
                <w:color w:val="auto"/>
                <w:sz w:val="21"/>
                <w:szCs w:val="21"/>
                <w:highlight w:val="none"/>
              </w:rPr>
              <w:t>游戏者每人选择一种颜色的棋子并将自己的棋子放在棋盘相应的位置。游戏者轮流掷一枚骰子得分高者先行。</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829945" cy="502285"/>
                  <wp:effectExtent l="0" t="0" r="8255" b="635"/>
                  <wp:docPr id="278"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框 1052"/>
                          <pic:cNvPicPr>
                            <a:picLocks noChangeAspect="1"/>
                          </pic:cNvPicPr>
                        </pic:nvPicPr>
                        <pic:blipFill>
                          <a:blip r:embed="rId34">
                            <a:lum/>
                          </a:blip>
                          <a:stretch>
                            <a:fillRect/>
                          </a:stretch>
                        </pic:blipFill>
                        <pic:spPr>
                          <a:xfrm>
                            <a:off x="0" y="0"/>
                            <a:ext cx="829945" cy="5022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人物玩具（各类玩具娃娃）</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塑料，4个娃娃，仿真睫毛，16套衣服。</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1197610" cy="603885"/>
                  <wp:effectExtent l="0" t="0" r="6350" b="5715"/>
                  <wp:docPr id="279" name="图片框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框 1053"/>
                          <pic:cNvPicPr>
                            <a:picLocks noChangeAspect="1"/>
                          </pic:cNvPicPr>
                        </pic:nvPicPr>
                        <pic:blipFill>
                          <a:blip r:embed="rId35">
                            <a:lum/>
                          </a:blip>
                          <a:stretch>
                            <a:fillRect/>
                          </a:stretch>
                        </pic:blipFill>
                        <pic:spPr>
                          <a:xfrm>
                            <a:off x="0" y="0"/>
                            <a:ext cx="1197610" cy="6038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动植物玩具（仿真食品、蔬菜、水果等）</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r>
              <w:rPr>
                <w:bCs/>
                <w:color w:val="auto"/>
                <w:kern w:val="0"/>
                <w:sz w:val="21"/>
                <w:szCs w:val="21"/>
                <w:highlight w:val="none"/>
              </w:rPr>
              <w:t>塑料空心。重量：约0.24KG左右</w:t>
            </w:r>
            <w:r>
              <w:rPr>
                <w:rFonts w:hint="eastAsia"/>
                <w:bCs/>
                <w:color w:val="auto"/>
                <w:kern w:val="0"/>
                <w:sz w:val="21"/>
                <w:szCs w:val="21"/>
                <w:highlight w:val="none"/>
              </w:rPr>
              <w:t>，食品级工程塑料。</w:t>
            </w:r>
          </w:p>
          <w:p>
            <w:pPr>
              <w:rPr>
                <w:color w:val="auto"/>
                <w:kern w:val="0"/>
                <w:sz w:val="21"/>
                <w:szCs w:val="21"/>
                <w:highlight w:val="none"/>
              </w:rPr>
            </w:pP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652780" cy="440055"/>
                  <wp:effectExtent l="0" t="0" r="2540" b="1905"/>
                  <wp:docPr id="280" name="图片框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框 1054"/>
                          <pic:cNvPicPr>
                            <a:picLocks noChangeAspect="1"/>
                          </pic:cNvPicPr>
                        </pic:nvPicPr>
                        <pic:blipFill>
                          <a:blip r:embed="rId36">
                            <a:lum/>
                          </a:blip>
                          <a:stretch>
                            <a:fillRect/>
                          </a:stretch>
                        </pic:blipFill>
                        <pic:spPr>
                          <a:xfrm>
                            <a:off x="0" y="0"/>
                            <a:ext cx="652780" cy="4400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工具（小家电、餐具饮具等玩具）</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vAlign w:val="center"/>
          </w:tcPr>
          <w:p>
            <w:pPr>
              <w:ind w:firstLine="210" w:firstLineChars="100"/>
              <w:rPr>
                <w:color w:val="auto"/>
                <w:kern w:val="0"/>
                <w:sz w:val="21"/>
                <w:szCs w:val="21"/>
                <w:highlight w:val="none"/>
              </w:rPr>
            </w:pPr>
            <w:r>
              <w:rPr>
                <w:rFonts w:hint="eastAsia"/>
                <w:color w:val="auto"/>
                <w:kern w:val="0"/>
                <w:sz w:val="21"/>
                <w:szCs w:val="21"/>
                <w:highlight w:val="none"/>
              </w:rPr>
              <w:t>　小家电，12件，食品级工程塑料。</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highlight w:val="none"/>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1097280" cy="744855"/>
                  <wp:effectExtent l="0" t="0" r="7620" b="17145"/>
                  <wp:docPr id="281" name="图片框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框 1055"/>
                          <pic:cNvPicPr>
                            <a:picLocks noChangeAspect="1"/>
                          </pic:cNvPicPr>
                        </pic:nvPicPr>
                        <pic:blipFill>
                          <a:blip r:embed="rId37">
                            <a:lum/>
                          </a:blip>
                          <a:stretch>
                            <a:fillRect/>
                          </a:stretch>
                        </pic:blipFill>
                        <pic:spPr>
                          <a:xfrm>
                            <a:off x="0" y="0"/>
                            <a:ext cx="1097280" cy="744855"/>
                          </a:xfrm>
                          <a:prstGeom prst="rect">
                            <a:avLst/>
                          </a:prstGeom>
                          <a:noFill/>
                          <a:ln>
                            <a:noFill/>
                          </a:ln>
                        </pic:spPr>
                      </pic:pic>
                    </a:graphicData>
                  </a:graphic>
                </wp:inline>
              </w:drawing>
            </w:r>
          </w:p>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1488440" cy="793750"/>
                  <wp:effectExtent l="0" t="0" r="5080" b="13970"/>
                  <wp:docPr id="282" name="图片框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框 1056"/>
                          <pic:cNvPicPr>
                            <a:picLocks noChangeAspect="1"/>
                          </pic:cNvPicPr>
                        </pic:nvPicPr>
                        <pic:blipFill>
                          <a:blip r:embed="rId38">
                            <a:lum/>
                          </a:blip>
                          <a:stretch>
                            <a:fillRect/>
                          </a:stretch>
                        </pic:blipFill>
                        <pic:spPr>
                          <a:xfrm>
                            <a:off x="0" y="0"/>
                            <a:ext cx="1488440" cy="793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木偶（布袋偶、指偶）</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Tahoma"/>
                <w:color w:val="auto"/>
                <w:sz w:val="21"/>
                <w:szCs w:val="21"/>
                <w:highlight w:val="none"/>
                <w:shd w:val="clear" w:color="auto" w:fill="FFFFFF"/>
              </w:rPr>
            </w:pPr>
            <w:r>
              <w:rPr>
                <w:rFonts w:hint="eastAsia"/>
                <w:color w:val="auto"/>
                <w:kern w:val="0"/>
                <w:sz w:val="21"/>
                <w:szCs w:val="21"/>
                <w:highlight w:val="none"/>
              </w:rPr>
              <w:t>　 布袋偶，5个，</w:t>
            </w:r>
            <w:r>
              <w:rPr>
                <w:rFonts w:ascii="宋体" w:hAnsi="宋体" w:cs="Tahoma"/>
                <w:color w:val="auto"/>
                <w:sz w:val="21"/>
                <w:szCs w:val="21"/>
                <w:highlight w:val="none"/>
                <w:shd w:val="clear" w:color="auto" w:fill="FFFFFF"/>
              </w:rPr>
              <w:t>超柔短毛</w:t>
            </w:r>
            <w:r>
              <w:rPr>
                <w:rFonts w:hint="eastAsia" w:ascii="宋体" w:hAnsi="宋体" w:cs="Tahoma"/>
                <w:color w:val="auto"/>
                <w:sz w:val="21"/>
                <w:szCs w:val="21"/>
                <w:highlight w:val="none"/>
                <w:shd w:val="clear" w:color="auto" w:fill="FFFFFF"/>
              </w:rPr>
              <w:t>，</w:t>
            </w:r>
            <w:r>
              <w:rPr>
                <w:rFonts w:ascii="宋体" w:hAnsi="宋体" w:cs="Tahoma"/>
                <w:color w:val="auto"/>
                <w:sz w:val="21"/>
                <w:szCs w:val="21"/>
                <w:highlight w:val="none"/>
                <w:shd w:val="clear" w:color="auto" w:fill="FFFFFF"/>
              </w:rPr>
              <w:t>内衬涤纶</w:t>
            </w:r>
            <w:r>
              <w:rPr>
                <w:rFonts w:hint="eastAsia" w:ascii="宋体" w:hAnsi="宋体" w:cs="Tahoma"/>
                <w:color w:val="auto"/>
                <w:sz w:val="21"/>
                <w:szCs w:val="21"/>
                <w:highlight w:val="none"/>
                <w:shd w:val="clear" w:color="auto" w:fill="FFFFFF"/>
              </w:rPr>
              <w:t>。</w:t>
            </w:r>
          </w:p>
          <w:p>
            <w:pPr>
              <w:ind w:firstLine="315" w:firstLineChars="150"/>
              <w:rPr>
                <w:color w:val="auto"/>
                <w:kern w:val="0"/>
                <w:sz w:val="21"/>
                <w:szCs w:val="21"/>
                <w:highlight w:val="none"/>
              </w:rPr>
            </w:pPr>
            <w:r>
              <w:rPr>
                <w:rFonts w:hint="eastAsia"/>
                <w:color w:val="auto"/>
                <w:kern w:val="0"/>
                <w:sz w:val="21"/>
                <w:szCs w:val="21"/>
                <w:highlight w:val="none"/>
              </w:rPr>
              <w:t>指偶，5个，</w:t>
            </w:r>
            <w:r>
              <w:rPr>
                <w:rFonts w:ascii="宋体" w:hAnsi="宋体" w:cs="Tahoma"/>
                <w:color w:val="auto"/>
                <w:sz w:val="21"/>
                <w:szCs w:val="21"/>
                <w:highlight w:val="none"/>
                <w:shd w:val="clear" w:color="auto" w:fill="FFFFFF"/>
              </w:rPr>
              <w:t>超柔短毛</w:t>
            </w:r>
            <w:r>
              <w:rPr>
                <w:rFonts w:hint="eastAsia" w:ascii="宋体" w:hAnsi="宋体" w:cs="Tahoma"/>
                <w:color w:val="auto"/>
                <w:sz w:val="21"/>
                <w:szCs w:val="21"/>
                <w:highlight w:val="none"/>
                <w:shd w:val="clear" w:color="auto" w:fill="FFFFFF"/>
              </w:rPr>
              <w:t>，</w:t>
            </w:r>
            <w:r>
              <w:rPr>
                <w:rFonts w:ascii="宋体" w:hAnsi="宋体" w:cs="Tahoma"/>
                <w:color w:val="auto"/>
                <w:sz w:val="21"/>
                <w:szCs w:val="21"/>
                <w:highlight w:val="none"/>
                <w:shd w:val="clear" w:color="auto" w:fill="FFFFFF"/>
              </w:rPr>
              <w:t>内衬涤纶</w:t>
            </w:r>
            <w:r>
              <w:rPr>
                <w:rFonts w:hint="eastAsia" w:ascii="宋体" w:hAnsi="宋体" w:cs="Tahoma"/>
                <w:color w:val="auto"/>
                <w:sz w:val="21"/>
                <w:szCs w:val="21"/>
                <w:highlight w:val="none"/>
                <w:shd w:val="clear" w:color="auto" w:fill="FFFFFF"/>
              </w:rPr>
              <w:t>。</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900430" cy="647065"/>
                  <wp:effectExtent l="0" t="0" r="13970" b="8255"/>
                  <wp:docPr id="283" name="图片框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框 1057"/>
                          <pic:cNvPicPr>
                            <a:picLocks noChangeAspect="1"/>
                          </pic:cNvPicPr>
                        </pic:nvPicPr>
                        <pic:blipFill>
                          <a:blip r:embed="rId39">
                            <a:lum/>
                          </a:blip>
                          <a:stretch>
                            <a:fillRect/>
                          </a:stretch>
                        </pic:blipFill>
                        <pic:spPr>
                          <a:xfrm>
                            <a:off x="0" y="0"/>
                            <a:ext cx="900430" cy="647065"/>
                          </a:xfrm>
                          <a:prstGeom prst="rect">
                            <a:avLst/>
                          </a:prstGeom>
                          <a:noFill/>
                          <a:ln>
                            <a:noFill/>
                          </a:ln>
                        </pic:spPr>
                      </pic:pic>
                    </a:graphicData>
                  </a:graphic>
                </wp:inline>
              </w:drawing>
            </w:r>
            <w:r>
              <w:rPr>
                <w:rFonts w:hint="eastAsia" w:ascii="Calibri" w:hAnsi="Calibri" w:eastAsia="宋体" w:cs="Times New Roman"/>
                <w:color w:val="auto"/>
                <w:kern w:val="0"/>
                <w:sz w:val="21"/>
                <w:szCs w:val="21"/>
                <w:highlight w:val="none"/>
                <w:lang w:val="en-US" w:eastAsia="zh-CN" w:bidi="ar-SA"/>
              </w:rPr>
              <w:drawing>
                <wp:inline distT="0" distB="0" distL="114300" distR="114300">
                  <wp:extent cx="810895" cy="862330"/>
                  <wp:effectExtent l="0" t="0" r="12065" b="6350"/>
                  <wp:docPr id="284" name="图片框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框 1058"/>
                          <pic:cNvPicPr>
                            <a:picLocks noChangeAspect="1"/>
                          </pic:cNvPicPr>
                        </pic:nvPicPr>
                        <pic:blipFill>
                          <a:blip r:embed="rId40">
                            <a:lum/>
                          </a:blip>
                          <a:stretch>
                            <a:fillRect/>
                          </a:stretch>
                        </pic:blipFill>
                        <pic:spPr>
                          <a:xfrm>
                            <a:off x="0" y="0"/>
                            <a:ext cx="810895" cy="8623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rFonts w:hint="default" w:eastAsia="宋体"/>
                <w:color w:val="auto"/>
                <w:kern w:val="0"/>
                <w:sz w:val="21"/>
                <w:szCs w:val="21"/>
                <w:highlight w:val="none"/>
                <w:lang w:val="en-US" w:eastAsia="zh-CN"/>
              </w:rPr>
            </w:pPr>
            <w:r>
              <w:rPr>
                <w:rFonts w:hint="eastAsia"/>
                <w:color w:val="auto"/>
                <w:kern w:val="0"/>
                <w:sz w:val="21"/>
                <w:szCs w:val="21"/>
                <w:highlight w:val="none"/>
                <w:lang w:eastAsia="zh-CN"/>
              </w:rPr>
              <w:t>4</w:t>
            </w:r>
            <w:r>
              <w:rPr>
                <w:rFonts w:hint="eastAsia"/>
                <w:color w:val="auto"/>
                <w:kern w:val="0"/>
                <w:sz w:val="21"/>
                <w:szCs w:val="21"/>
                <w:highlight w:val="none"/>
                <w:lang w:val="en-US" w:eastAsia="zh-CN"/>
              </w:rPr>
              <w:t>8</w:t>
            </w: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头饰</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120</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5件/套，</w:t>
            </w:r>
            <w:r>
              <w:rPr>
                <w:rFonts w:ascii="宋体" w:hAnsi="宋体" w:cs="Tahoma"/>
                <w:color w:val="auto"/>
                <w:sz w:val="21"/>
                <w:szCs w:val="21"/>
                <w:highlight w:val="none"/>
                <w:shd w:val="clear" w:color="auto" w:fill="FFFFFF"/>
              </w:rPr>
              <w:t>超柔短毛</w:t>
            </w:r>
            <w:r>
              <w:rPr>
                <w:rFonts w:hint="eastAsia" w:ascii="宋体" w:hAnsi="宋体" w:cs="Tahoma"/>
                <w:color w:val="auto"/>
                <w:sz w:val="21"/>
                <w:szCs w:val="21"/>
                <w:highlight w:val="none"/>
                <w:shd w:val="clear" w:color="auto" w:fill="FFFFFF"/>
              </w:rPr>
              <w:t>，</w:t>
            </w:r>
            <w:r>
              <w:rPr>
                <w:rFonts w:ascii="宋体" w:hAnsi="宋体" w:cs="Tahoma"/>
                <w:color w:val="auto"/>
                <w:sz w:val="21"/>
                <w:szCs w:val="21"/>
                <w:highlight w:val="none"/>
                <w:shd w:val="clear" w:color="auto" w:fill="FFFFFF"/>
              </w:rPr>
              <w:t>内衬涤纶</w:t>
            </w:r>
            <w:r>
              <w:rPr>
                <w:rFonts w:hint="eastAsia" w:ascii="宋体" w:hAnsi="宋体" w:cs="Tahoma"/>
                <w:color w:val="auto"/>
                <w:sz w:val="21"/>
                <w:szCs w:val="21"/>
                <w:highlight w:val="none"/>
                <w:shd w:val="clear" w:color="auto" w:fill="FFFFFF"/>
              </w:rPr>
              <w:t>。</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hint="eastAsia" w:ascii="Calibri" w:hAnsi="Calibri" w:eastAsia="宋体" w:cs="Times New Roman"/>
                <w:color w:val="auto"/>
                <w:kern w:val="0"/>
                <w:sz w:val="21"/>
                <w:szCs w:val="21"/>
                <w:highlight w:val="none"/>
                <w:lang w:val="en-US" w:eastAsia="zh-CN" w:bidi="ar-SA"/>
              </w:rPr>
              <w:drawing>
                <wp:inline distT="0" distB="0" distL="114300" distR="114300">
                  <wp:extent cx="387985" cy="396875"/>
                  <wp:effectExtent l="0" t="0" r="8255" b="14605"/>
                  <wp:docPr id="285" name="图片框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框 1059"/>
                          <pic:cNvPicPr>
                            <a:picLocks noChangeAspect="1"/>
                          </pic:cNvPicPr>
                        </pic:nvPicPr>
                        <pic:blipFill>
                          <a:blip r:embed="rId41">
                            <a:lum/>
                          </a:blip>
                          <a:stretch>
                            <a:fillRect/>
                          </a:stretch>
                        </pic:blipFill>
                        <pic:spPr>
                          <a:xfrm>
                            <a:off x="0" y="0"/>
                            <a:ext cx="387985" cy="3968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手工制作工具及材料等</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　幼儿花边剪刀10把、A4卡纸，布织布，A4双面彩纸20张。</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inline distT="0" distB="0" distL="114300" distR="114300">
                  <wp:extent cx="627380" cy="541655"/>
                  <wp:effectExtent l="0" t="0" r="12700" b="6985"/>
                  <wp:docPr id="286" name="图片框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框 1060"/>
                          <pic:cNvPicPr>
                            <a:picLocks noChangeAspect="1"/>
                          </pic:cNvPicPr>
                        </pic:nvPicPr>
                        <pic:blipFill>
                          <a:blip r:embed="rId42">
                            <a:lum/>
                          </a:blip>
                          <a:stretch>
                            <a:fillRect/>
                          </a:stretch>
                        </pic:blipFill>
                        <pic:spPr>
                          <a:xfrm>
                            <a:off x="0" y="0"/>
                            <a:ext cx="627380" cy="541655"/>
                          </a:xfrm>
                          <a:prstGeom prst="rect">
                            <a:avLst/>
                          </a:prstGeom>
                          <a:noFill/>
                          <a:ln>
                            <a:noFill/>
                          </a:ln>
                        </pic:spPr>
                      </pic:pic>
                    </a:graphicData>
                  </a:graphic>
                </wp:inline>
              </w:drawing>
            </w:r>
            <w:r>
              <w:rPr>
                <w:rFonts w:ascii="Calibri" w:hAnsi="Calibri" w:eastAsia="宋体" w:cs="Times New Roman"/>
                <w:color w:val="auto"/>
                <w:kern w:val="0"/>
                <w:sz w:val="21"/>
                <w:szCs w:val="21"/>
                <w:highlight w:val="none"/>
                <w:lang w:val="en-US" w:eastAsia="zh-CN" w:bidi="ar-SA"/>
              </w:rPr>
              <w:drawing>
                <wp:inline distT="0" distB="0" distL="114300" distR="114300">
                  <wp:extent cx="714375" cy="461010"/>
                  <wp:effectExtent l="0" t="0" r="1905" b="11430"/>
                  <wp:docPr id="287" name="图片框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框 1061"/>
                          <pic:cNvPicPr>
                            <a:picLocks noChangeAspect="1"/>
                          </pic:cNvPicPr>
                        </pic:nvPicPr>
                        <pic:blipFill>
                          <a:blip r:embed="rId43">
                            <a:lum/>
                          </a:blip>
                          <a:stretch>
                            <a:fillRect/>
                          </a:stretch>
                        </pic:blipFill>
                        <pic:spPr>
                          <a:xfrm>
                            <a:off x="0" y="0"/>
                            <a:ext cx="714375" cy="4610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8"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户外劳动工具等</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2</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olor w:val="auto"/>
                <w:kern w:val="0"/>
                <w:sz w:val="21"/>
                <w:szCs w:val="21"/>
                <w:highlight w:val="none"/>
              </w:rPr>
            </w:pPr>
            <w:r>
              <w:rPr>
                <w:rFonts w:hint="eastAsia"/>
                <w:color w:val="auto"/>
                <w:kern w:val="0"/>
                <w:sz w:val="21"/>
                <w:szCs w:val="21"/>
                <w:highlight w:val="none"/>
              </w:rPr>
              <w:t>沙坑、吸水池：</w:t>
            </w:r>
            <w:r>
              <w:rPr>
                <w:color w:val="auto"/>
                <w:kern w:val="0"/>
                <w:sz w:val="21"/>
                <w:szCs w:val="21"/>
                <w:highlight w:val="none"/>
              </w:rPr>
              <w:t>进口工程塑料，滚塑材质坚硬，颜色香艳，使用寿命长</w:t>
            </w:r>
            <w:r>
              <w:rPr>
                <w:rFonts w:hint="eastAsia"/>
                <w:color w:val="auto"/>
                <w:kern w:val="0"/>
                <w:sz w:val="21"/>
                <w:szCs w:val="21"/>
                <w:highlight w:val="none"/>
              </w:rPr>
              <w:t>,</w:t>
            </w:r>
            <w:r>
              <w:rPr>
                <w:color w:val="auto"/>
                <w:kern w:val="0"/>
                <w:sz w:val="21"/>
                <w:szCs w:val="21"/>
                <w:highlight w:val="none"/>
              </w:rPr>
              <w:t>特点:造型新颖耐用，颜色鲜艳,宝宝超喜欢，可以作为玩沙工具，也可以作为玩水工具，是幼儿园和游乐场的必备产品</w:t>
            </w:r>
            <w:r>
              <w:rPr>
                <w:rFonts w:hint="eastAsia"/>
                <w:color w:val="auto"/>
                <w:kern w:val="0"/>
                <w:sz w:val="21"/>
                <w:szCs w:val="21"/>
                <w:highlight w:val="none"/>
              </w:rPr>
              <w:t>，</w:t>
            </w:r>
            <w:r>
              <w:rPr>
                <w:color w:val="auto"/>
                <w:kern w:val="0"/>
                <w:sz w:val="21"/>
                <w:szCs w:val="21"/>
                <w:highlight w:val="none"/>
              </w:rPr>
              <w:t>规格：100*100*35</w:t>
            </w:r>
            <w:r>
              <w:rPr>
                <w:rFonts w:hint="eastAsia"/>
                <w:color w:val="auto"/>
                <w:kern w:val="0"/>
                <w:sz w:val="21"/>
                <w:szCs w:val="21"/>
                <w:highlight w:val="none"/>
              </w:rPr>
              <w:t>cm.</w:t>
            </w:r>
          </w:p>
          <w:p>
            <w:pPr>
              <w:rPr>
                <w:color w:val="auto"/>
                <w:kern w:val="0"/>
                <w:sz w:val="21"/>
                <w:szCs w:val="21"/>
                <w:highlight w:val="none"/>
              </w:rPr>
            </w:pPr>
          </w:p>
          <w:p>
            <w:pPr>
              <w:rPr>
                <w:color w:val="auto"/>
                <w:kern w:val="0"/>
                <w:sz w:val="21"/>
                <w:szCs w:val="21"/>
                <w:highlight w:val="none"/>
              </w:rPr>
            </w:pPr>
            <w:r>
              <w:rPr>
                <w:rFonts w:hint="eastAsia"/>
                <w:color w:val="auto"/>
                <w:kern w:val="0"/>
                <w:sz w:val="21"/>
                <w:szCs w:val="21"/>
                <w:highlight w:val="none"/>
              </w:rPr>
              <w:t>30平米跑道用工具：</w:t>
            </w:r>
            <w:r>
              <w:rPr>
                <w:rFonts w:hint="eastAsia" w:ascii="宋体" w:hAnsi="宋体" w:cs="宋体"/>
                <w:color w:val="auto"/>
                <w:kern w:val="0"/>
                <w:sz w:val="21"/>
                <w:szCs w:val="21"/>
                <w:highlight w:val="none"/>
              </w:rPr>
              <w:t>短草，材质PE+PP、簇密度16800针/㎡具有防老化、抗紫外线、防晒、防火、隔热、静音等功效。透水性强，可耐高温及超低温、可室外风吹日晒并常年泡在水中。弹性好、强度高、耐磨损、耐高低温、抗腐蚀、阻燃、环保.</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kern w:val="0"/>
                <w:sz w:val="21"/>
                <w:szCs w:val="21"/>
                <w:highlight w:val="none"/>
              </w:rPr>
            </w:pPr>
            <w:r>
              <w:rPr>
                <w:rFonts w:ascii="Calibri" w:hAnsi="Calibri" w:eastAsia="宋体" w:cs="Times New Roman"/>
                <w:color w:val="auto"/>
                <w:kern w:val="0"/>
                <w:sz w:val="21"/>
                <w:szCs w:val="21"/>
                <w:highlight w:val="none"/>
                <w:lang w:val="en-US" w:eastAsia="zh-CN" w:bidi="ar-SA"/>
              </w:rPr>
              <w:drawing>
                <wp:inline distT="0" distB="0" distL="114300" distR="114300">
                  <wp:extent cx="1161415" cy="868045"/>
                  <wp:effectExtent l="0" t="0" r="12065" b="635"/>
                  <wp:docPr id="288" name="图片框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框 1062"/>
                          <pic:cNvPicPr>
                            <a:picLocks noChangeAspect="1"/>
                          </pic:cNvPicPr>
                        </pic:nvPicPr>
                        <pic:blipFill>
                          <a:blip r:embed="rId44">
                            <a:lum/>
                          </a:blip>
                          <a:stretch>
                            <a:fillRect/>
                          </a:stretch>
                        </pic:blipFill>
                        <pic:spPr>
                          <a:xfrm>
                            <a:off x="0" y="0"/>
                            <a:ext cx="1161415" cy="868045"/>
                          </a:xfrm>
                          <a:prstGeom prst="rect">
                            <a:avLst/>
                          </a:prstGeom>
                          <a:noFill/>
                          <a:ln>
                            <a:noFill/>
                          </a:ln>
                        </pic:spPr>
                      </pic:pic>
                    </a:graphicData>
                  </a:graphic>
                </wp:inline>
              </w:drawing>
            </w:r>
          </w:p>
          <w:p>
            <w:pPr>
              <w:jc w:val="center"/>
              <w:rPr>
                <w:color w:val="auto"/>
                <w:kern w:val="0"/>
                <w:sz w:val="21"/>
                <w:szCs w:val="21"/>
                <w:highlight w:val="none"/>
              </w:rPr>
            </w:pPr>
            <w:r>
              <w:rPr>
                <w:rFonts w:hint="eastAsia" w:ascii="Calibri" w:hAnsi="Calibri" w:eastAsia="宋体" w:cs="Times New Roman"/>
                <w:color w:val="auto"/>
                <w:kern w:val="0"/>
                <w:sz w:val="21"/>
                <w:szCs w:val="21"/>
                <w:highlight w:val="none"/>
                <w:lang w:val="en-US" w:eastAsia="zh-CN" w:bidi="ar-SA"/>
              </w:rPr>
              <w:drawing>
                <wp:anchor distT="0" distB="0" distL="114300" distR="114300" simplePos="0" relativeHeight="251919360" behindDoc="0" locked="0" layoutInCell="1" allowOverlap="1">
                  <wp:simplePos x="0" y="0"/>
                  <wp:positionH relativeFrom="column">
                    <wp:posOffset>715010</wp:posOffset>
                  </wp:positionH>
                  <wp:positionV relativeFrom="paragraph">
                    <wp:posOffset>85090</wp:posOffset>
                  </wp:positionV>
                  <wp:extent cx="1195070" cy="771525"/>
                  <wp:effectExtent l="0" t="0" r="5080" b="9525"/>
                  <wp:wrapNone/>
                  <wp:docPr id="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
                          <pic:cNvPicPr>
                            <a:picLocks noChangeAspect="1"/>
                          </pic:cNvPicPr>
                        </pic:nvPicPr>
                        <pic:blipFill>
                          <a:blip r:embed="rId45">
                            <a:lum/>
                          </a:blip>
                          <a:stretch>
                            <a:fillRect/>
                          </a:stretch>
                        </pic:blipFill>
                        <pic:spPr>
                          <a:xfrm>
                            <a:off x="0" y="0"/>
                            <a:ext cx="1195070" cy="771525"/>
                          </a:xfrm>
                          <a:prstGeom prst="rect">
                            <a:avLst/>
                          </a:prstGeom>
                          <a:noFill/>
                          <a:ln>
                            <a:noFill/>
                          </a:ln>
                        </pic:spPr>
                      </pic:pic>
                    </a:graphicData>
                  </a:graphic>
                </wp:anchor>
              </w:drawing>
            </w:r>
          </w:p>
          <w:p>
            <w:pPr>
              <w:jc w:val="center"/>
              <w:rPr>
                <w:color w:val="auto"/>
                <w:kern w:val="0"/>
                <w:sz w:val="21"/>
                <w:szCs w:val="21"/>
                <w:highlight w:val="none"/>
              </w:rPr>
            </w:pPr>
          </w:p>
          <w:p>
            <w:pPr>
              <w:jc w:val="center"/>
              <w:rPr>
                <w:color w:val="auto"/>
                <w:kern w:val="0"/>
                <w:sz w:val="21"/>
                <w:szCs w:val="21"/>
                <w:highlight w:val="none"/>
              </w:rPr>
            </w:pPr>
          </w:p>
          <w:p>
            <w:pPr>
              <w:jc w:val="center"/>
              <w:rPr>
                <w:rFonts w:hint="default" w:eastAsia="宋体"/>
                <w:color w:val="auto"/>
                <w:kern w:val="0"/>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百变魔圈</w:t>
            </w:r>
          </w:p>
        </w:tc>
        <w:tc>
          <w:tcPr>
            <w:tcW w:w="536"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shd w:val="clear" w:color="auto" w:fill="auto"/>
            <w:vAlign w:val="center"/>
          </w:tcPr>
          <w:p>
            <w:pPr>
              <w:rPr>
                <w:color w:val="auto"/>
                <w:kern w:val="0"/>
                <w:sz w:val="21"/>
                <w:szCs w:val="21"/>
                <w:highlight w:val="none"/>
              </w:rPr>
            </w:pPr>
            <w:r>
              <w:rPr>
                <w:rFonts w:hint="eastAsia"/>
                <w:color w:val="auto"/>
                <w:kern w:val="0"/>
                <w:sz w:val="21"/>
                <w:szCs w:val="21"/>
                <w:highlight w:val="none"/>
              </w:rPr>
              <w:t>1</w:t>
            </w:r>
          </w:p>
        </w:tc>
        <w:tc>
          <w:tcPr>
            <w:tcW w:w="5839" w:type="dxa"/>
            <w:tcBorders>
              <w:top w:val="single" w:color="auto" w:sz="4" w:space="0"/>
              <w:left w:val="nil"/>
              <w:bottom w:val="single" w:color="auto" w:sz="4" w:space="0"/>
              <w:right w:val="single" w:color="auto" w:sz="4" w:space="0"/>
            </w:tcBorders>
            <w:shd w:val="clear" w:color="auto" w:fill="auto"/>
            <w:vAlign w:val="center"/>
          </w:tcPr>
          <w:p>
            <w:pPr>
              <w:rPr>
                <w:color w:val="auto"/>
                <w:kern w:val="0"/>
                <w:sz w:val="21"/>
                <w:szCs w:val="21"/>
                <w:highlight w:val="none"/>
              </w:rPr>
            </w:pPr>
            <w:r>
              <w:rPr>
                <w:rStyle w:val="77"/>
                <w:rFonts w:hint="default"/>
                <w:color w:val="auto"/>
                <w:sz w:val="21"/>
                <w:szCs w:val="21"/>
                <w:highlight w:val="none"/>
              </w:rPr>
              <w:t>材质:塑料注塑；单个圈规格：内径65cm，外径75cm；6个圈为一套，食品级工程塑料，色彩鲜艳，不易褪色，不受气温影响而变形。</w:t>
            </w:r>
          </w:p>
        </w:tc>
        <w:tc>
          <w:tcPr>
            <w:tcW w:w="463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anchor distT="0" distB="0" distL="114300" distR="114300" simplePos="0" relativeHeight="251918336" behindDoc="0" locked="0" layoutInCell="1" allowOverlap="1">
                  <wp:simplePos x="0" y="0"/>
                  <wp:positionH relativeFrom="column">
                    <wp:posOffset>906145</wp:posOffset>
                  </wp:positionH>
                  <wp:positionV relativeFrom="paragraph">
                    <wp:posOffset>173355</wp:posOffset>
                  </wp:positionV>
                  <wp:extent cx="883920" cy="784225"/>
                  <wp:effectExtent l="0" t="0" r="11430" b="158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lum/>
                          </a:blip>
                          <a:stretch>
                            <a:fillRect/>
                          </a:stretch>
                        </pic:blipFill>
                        <pic:spPr>
                          <a:xfrm>
                            <a:off x="0" y="0"/>
                            <a:ext cx="883920" cy="784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百变小车</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套</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1</w:t>
            </w:r>
          </w:p>
        </w:tc>
        <w:tc>
          <w:tcPr>
            <w:tcW w:w="5839" w:type="dxa"/>
            <w:tcBorders>
              <w:top w:val="single" w:color="auto" w:sz="4" w:space="0"/>
              <w:left w:val="nil"/>
              <w:bottom w:val="single" w:color="auto" w:sz="4" w:space="0"/>
              <w:right w:val="single" w:color="auto" w:sz="4" w:space="0"/>
            </w:tcBorders>
            <w:vAlign w:val="center"/>
          </w:tcPr>
          <w:p>
            <w:pPr>
              <w:rPr>
                <w:rStyle w:val="77"/>
                <w:rFonts w:hint="default"/>
                <w:color w:val="auto"/>
                <w:sz w:val="21"/>
                <w:szCs w:val="21"/>
                <w:highlight w:val="none"/>
              </w:rPr>
            </w:pPr>
            <w:r>
              <w:rPr>
                <w:rStyle w:val="77"/>
                <w:rFonts w:hint="default"/>
                <w:color w:val="auto"/>
                <w:sz w:val="21"/>
                <w:szCs w:val="21"/>
                <w:highlight w:val="none"/>
              </w:rPr>
              <w:t>ABS、注塑环保食品级塑料，色彩鲜艳，抗静电能力强，安全环保，耐候性好，强度高，光滑无毛边，轻松拼搭，百变造型， 开启儿童早期智力的发育，各零配件具体尺寸要求：详见附件清单。</w:t>
            </w:r>
          </w:p>
          <w:p>
            <w:pPr>
              <w:rPr>
                <w:color w:val="auto"/>
                <w:kern w:val="0"/>
                <w:sz w:val="21"/>
                <w:szCs w:val="21"/>
                <w:highlight w:val="none"/>
              </w:rPr>
            </w:pPr>
            <w:r>
              <w:rPr>
                <w:rFonts w:hint="default" w:ascii="宋体" w:hAnsi="宋体" w:eastAsia="宋体" w:cs="宋体"/>
                <w:color w:val="auto"/>
                <w:kern w:val="2"/>
                <w:sz w:val="21"/>
                <w:szCs w:val="21"/>
                <w:highlight w:val="none"/>
                <w:u w:val="none"/>
                <w:lang w:val="en-US" w:eastAsia="zh-CN" w:bidi="ar-SA"/>
              </w:rPr>
              <w:drawing>
                <wp:inline distT="0" distB="0" distL="114300" distR="114300">
                  <wp:extent cx="3004185" cy="2640330"/>
                  <wp:effectExtent l="0" t="0" r="13335" b="11430"/>
                  <wp:docPr id="2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44"/>
                          <pic:cNvPicPr>
                            <a:picLocks noChangeAspect="1"/>
                          </pic:cNvPicPr>
                        </pic:nvPicPr>
                        <pic:blipFill>
                          <a:blip r:embed="rId47">
                            <a:lum/>
                          </a:blip>
                          <a:stretch>
                            <a:fillRect/>
                          </a:stretch>
                        </pic:blipFill>
                        <pic:spPr>
                          <a:xfrm>
                            <a:off x="0" y="0"/>
                            <a:ext cx="3004185" cy="2640330"/>
                          </a:xfrm>
                          <a:prstGeom prst="rect">
                            <a:avLst/>
                          </a:prstGeom>
                          <a:noFill/>
                          <a:ln>
                            <a:noFill/>
                          </a:ln>
                        </pic:spPr>
                      </pic:pic>
                    </a:graphicData>
                  </a:graphic>
                </wp:inline>
              </w:drawing>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color w:val="auto"/>
                <w:kern w:val="0"/>
                <w:sz w:val="21"/>
                <w:szCs w:val="21"/>
                <w:highlight w:val="none"/>
                <w:lang w:val="en-US" w:eastAsia="zh-CN" w:bidi="ar-SA"/>
              </w:rPr>
            </w:pPr>
          </w:p>
          <w:p>
            <w:pPr>
              <w:jc w:val="center"/>
              <w:rPr>
                <w:rFonts w:hint="default" w:ascii="Calibri" w:hAnsi="Calibri" w:eastAsia="宋体" w:cs="Times New Roman"/>
                <w:color w:val="auto"/>
                <w:kern w:val="0"/>
                <w:sz w:val="21"/>
                <w:szCs w:val="21"/>
                <w:highlight w:val="none"/>
                <w:lang w:val="en-US" w:eastAsia="zh-CN" w:bidi="ar-SA"/>
              </w:rPr>
            </w:pPr>
            <w:r>
              <w:rPr>
                <w:rFonts w:ascii="Calibri" w:hAnsi="Calibri" w:eastAsia="宋体" w:cs="Times New Roman"/>
                <w:color w:val="auto"/>
                <w:kern w:val="0"/>
                <w:sz w:val="21"/>
                <w:szCs w:val="21"/>
                <w:highlight w:val="none"/>
                <w:lang w:val="en-US" w:eastAsia="zh-CN" w:bidi="ar-SA"/>
              </w:rPr>
              <w:drawing>
                <wp:anchor distT="0" distB="0" distL="114300" distR="114300" simplePos="0" relativeHeight="252178432" behindDoc="0" locked="0" layoutInCell="1" allowOverlap="1">
                  <wp:simplePos x="0" y="0"/>
                  <wp:positionH relativeFrom="column">
                    <wp:posOffset>603250</wp:posOffset>
                  </wp:positionH>
                  <wp:positionV relativeFrom="paragraph">
                    <wp:posOffset>808355</wp:posOffset>
                  </wp:positionV>
                  <wp:extent cx="1722120" cy="1394460"/>
                  <wp:effectExtent l="0" t="0" r="0" b="7620"/>
                  <wp:wrapSquare wrapText="bothSides"/>
                  <wp:docPr id="289" name="图片框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框 1066"/>
                          <pic:cNvPicPr>
                            <a:picLocks noChangeAspect="1"/>
                          </pic:cNvPicPr>
                        </pic:nvPicPr>
                        <pic:blipFill>
                          <a:blip r:embed="rId48">
                            <a:lum/>
                          </a:blip>
                          <a:stretch>
                            <a:fillRect/>
                          </a:stretch>
                        </pic:blipFill>
                        <pic:spPr>
                          <a:xfrm>
                            <a:off x="0" y="0"/>
                            <a:ext cx="1722120" cy="1394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01" w:type="dxa"/>
            <w:vMerge w:val="continue"/>
            <w:tcBorders>
              <w:top w:val="nil"/>
              <w:left w:val="single" w:color="auto" w:sz="4" w:space="0"/>
              <w:bottom w:val="single" w:color="auto" w:sz="4" w:space="0"/>
              <w:right w:val="single" w:color="auto" w:sz="4" w:space="0"/>
            </w:tcBorders>
            <w:vAlign w:val="center"/>
          </w:tcPr>
          <w:p>
            <w:pPr>
              <w:rPr>
                <w:color w:val="auto"/>
                <w:kern w:val="0"/>
                <w:sz w:val="21"/>
                <w:szCs w:val="21"/>
                <w:highlight w:val="none"/>
              </w:rPr>
            </w:pPr>
          </w:p>
        </w:tc>
        <w:tc>
          <w:tcPr>
            <w:tcW w:w="1465"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小计</w:t>
            </w:r>
          </w:p>
        </w:tc>
        <w:tc>
          <w:tcPr>
            <w:tcW w:w="536"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p>
        </w:tc>
        <w:tc>
          <w:tcPr>
            <w:tcW w:w="740" w:type="dxa"/>
            <w:tcBorders>
              <w:top w:val="nil"/>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p>
        </w:tc>
        <w:tc>
          <w:tcPr>
            <w:tcW w:w="5839" w:type="dxa"/>
            <w:tcBorders>
              <w:top w:val="single" w:color="auto" w:sz="4" w:space="0"/>
              <w:left w:val="nil"/>
              <w:bottom w:val="single" w:color="auto" w:sz="4" w:space="0"/>
              <w:right w:val="single" w:color="auto" w:sz="4" w:space="0"/>
            </w:tcBorders>
            <w:vAlign w:val="center"/>
          </w:tcPr>
          <w:p>
            <w:pPr>
              <w:rPr>
                <w:color w:val="auto"/>
                <w:kern w:val="0"/>
                <w:sz w:val="21"/>
                <w:szCs w:val="21"/>
                <w:highlight w:val="none"/>
              </w:rPr>
            </w:pPr>
            <w:r>
              <w:rPr>
                <w:rFonts w:hint="eastAsia"/>
                <w:color w:val="auto"/>
                <w:kern w:val="0"/>
                <w:sz w:val="21"/>
                <w:szCs w:val="21"/>
                <w:highlight w:val="none"/>
              </w:rPr>
              <w:t>　</w:t>
            </w:r>
          </w:p>
        </w:tc>
        <w:tc>
          <w:tcPr>
            <w:tcW w:w="4636"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 w:val="21"/>
                <w:szCs w:val="21"/>
                <w:highlight w:val="none"/>
              </w:rPr>
            </w:pPr>
          </w:p>
        </w:tc>
      </w:tr>
    </w:tbl>
    <w:p/>
    <w:p/>
    <w:p/>
    <w:tbl>
      <w:tblPr>
        <w:tblStyle w:val="24"/>
        <w:tblW w:w="14040" w:type="dxa"/>
        <w:tblInd w:w="0"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
      <w:tblGrid>
        <w:gridCol w:w="874"/>
        <w:gridCol w:w="1830"/>
        <w:gridCol w:w="6030"/>
        <w:gridCol w:w="3090"/>
        <w:gridCol w:w="1125"/>
        <w:gridCol w:w="1091"/>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75" w:hRule="atLeast"/>
        </w:trPr>
        <w:tc>
          <w:tcPr>
            <w:tcW w:w="14040" w:type="dxa"/>
            <w:gridSpan w:val="6"/>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default" w:ascii="宋体" w:hAnsi="宋体" w:eastAsia="宋体" w:cs="宋体"/>
                <w:b/>
                <w:i w:val="0"/>
                <w:color w:val="auto"/>
                <w:kern w:val="0"/>
                <w:sz w:val="21"/>
                <w:szCs w:val="21"/>
                <w:highlight w:val="none"/>
                <w:u w:val="none"/>
                <w:lang w:val="en-US" w:eastAsia="zh-CN"/>
              </w:rPr>
            </w:pPr>
            <w:r>
              <w:rPr>
                <w:rFonts w:hint="eastAsia" w:ascii="宋体" w:hAnsi="宋体" w:cs="宋体"/>
                <w:b/>
                <w:i w:val="0"/>
                <w:color w:val="auto"/>
                <w:kern w:val="0"/>
                <w:sz w:val="21"/>
                <w:szCs w:val="21"/>
                <w:highlight w:val="none"/>
                <w:u w:val="none"/>
                <w:lang w:val="en-US" w:eastAsia="zh-CN"/>
              </w:rPr>
              <w:t>蒙氏教具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75"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rPr>
              <w:t>序号</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rPr>
              <w:t>名称</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rPr>
              <w:t>技术参数</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cs="宋体"/>
                <w:b/>
                <w:i w:val="0"/>
                <w:color w:val="auto"/>
                <w:kern w:val="0"/>
                <w:sz w:val="21"/>
                <w:szCs w:val="21"/>
                <w:highlight w:val="none"/>
                <w:u w:val="none"/>
                <w:lang w:val="en-US" w:eastAsia="zh-CN"/>
              </w:rPr>
              <w:t>参考样式</w:t>
            </w:r>
            <w:r>
              <w:rPr>
                <w:rFonts w:hint="eastAsia" w:ascii="宋体" w:hAnsi="宋体" w:eastAsia="宋体" w:cs="宋体"/>
                <w:b/>
                <w:i w:val="0"/>
                <w:color w:val="auto"/>
                <w:kern w:val="0"/>
                <w:sz w:val="21"/>
                <w:szCs w:val="21"/>
                <w:highlight w:val="none"/>
                <w:u w:val="none"/>
                <w:lang w:val="en-US" w:eastAsia="zh-CN"/>
              </w:rPr>
              <w:t>图片</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rPr>
              <w:t>单位</w:t>
            </w:r>
          </w:p>
        </w:tc>
        <w:tc>
          <w:tcPr>
            <w:tcW w:w="1091"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rPr>
              <w:t>数量</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插座圆柱体</w:t>
            </w:r>
          </w:p>
        </w:tc>
        <w:tc>
          <w:tcPr>
            <w:tcW w:w="6030" w:type="dxa"/>
            <w:tcBorders>
              <w:top w:val="nil"/>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w:t>
            </w:r>
            <w:r>
              <w:rPr>
                <w:rStyle w:val="79"/>
                <w:rFonts w:eastAsia="宋体"/>
                <w:color w:val="auto"/>
                <w:sz w:val="21"/>
                <w:szCs w:val="21"/>
                <w:highlight w:val="none"/>
                <w:lang w:val="en-US" w:eastAsia="zh-CN"/>
              </w:rPr>
              <w:t>4</w:t>
            </w:r>
            <w:r>
              <w:rPr>
                <w:rFonts w:hint="eastAsia" w:ascii="宋体" w:hAnsi="宋体" w:eastAsia="宋体" w:cs="宋体"/>
                <w:i w:val="0"/>
                <w:color w:val="auto"/>
                <w:kern w:val="0"/>
                <w:sz w:val="21"/>
                <w:szCs w:val="21"/>
                <w:highlight w:val="none"/>
                <w:u w:val="none"/>
                <w:lang w:val="en-US" w:eastAsia="zh-CN"/>
              </w:rPr>
              <w:t>组圆柱体组成。培养儿童辨别大小、高低、粗细、深浅的触觉、视觉能力，依圆柱体顺序对应培养逻辑思考敏锐观察能力；把握圆柄可作握笔练习和写字前准备。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25504" behindDoc="0" locked="0" layoutInCell="1" allowOverlap="1">
                  <wp:simplePos x="0" y="0"/>
                  <wp:positionH relativeFrom="column">
                    <wp:posOffset>390525</wp:posOffset>
                  </wp:positionH>
                  <wp:positionV relativeFrom="paragraph">
                    <wp:posOffset>47625</wp:posOffset>
                  </wp:positionV>
                  <wp:extent cx="1247775" cy="850265"/>
                  <wp:effectExtent l="0" t="0" r="9525" b="6985"/>
                  <wp:wrapNone/>
                  <wp:docPr id="7" name="Pict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_1"/>
                          <pic:cNvPicPr>
                            <a:picLocks noChangeAspect="1"/>
                          </pic:cNvPicPr>
                        </pic:nvPicPr>
                        <pic:blipFill>
                          <a:blip r:embed="rId49">
                            <a:lum/>
                          </a:blip>
                          <a:stretch>
                            <a:fillRect/>
                          </a:stretch>
                        </pic:blipFill>
                        <pic:spPr>
                          <a:xfrm>
                            <a:off x="0" y="0"/>
                            <a:ext cx="1247775" cy="8502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几何立体组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榉木材质。包括长方体、正方体、球体、椭球体、卵形体、三角柱、圆柱、圆椎、三角椎、四角椎，另有</w:t>
            </w:r>
            <w:r>
              <w:rPr>
                <w:rStyle w:val="79"/>
                <w:rFonts w:eastAsia="宋体"/>
                <w:color w:val="auto"/>
                <w:sz w:val="21"/>
                <w:szCs w:val="21"/>
                <w:highlight w:val="none"/>
                <w:lang w:val="en-US" w:eastAsia="zh-CN"/>
              </w:rPr>
              <w:t>11</w:t>
            </w:r>
            <w:r>
              <w:rPr>
                <w:rFonts w:hint="eastAsia" w:ascii="宋体" w:hAnsi="宋体" w:eastAsia="宋体" w:cs="宋体"/>
                <w:i w:val="0"/>
                <w:color w:val="auto"/>
                <w:kern w:val="0"/>
                <w:sz w:val="21"/>
                <w:szCs w:val="21"/>
                <w:highlight w:val="none"/>
                <w:u w:val="none"/>
                <w:lang w:val="en-US" w:eastAsia="zh-CN"/>
              </w:rPr>
              <w:t>枚与上述几何体的一个侧面相等的投影板组成。培养儿童对实体的感觉，认识各种几何体，了解其特征；进入几何学的准备，刺激肌肉的感觉。</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26528" behindDoc="0" locked="0" layoutInCell="1" allowOverlap="1">
                  <wp:simplePos x="0" y="0"/>
                  <wp:positionH relativeFrom="column">
                    <wp:posOffset>123190</wp:posOffset>
                  </wp:positionH>
                  <wp:positionV relativeFrom="paragraph">
                    <wp:posOffset>95250</wp:posOffset>
                  </wp:positionV>
                  <wp:extent cx="1563370" cy="1064895"/>
                  <wp:effectExtent l="0" t="0" r="17780" b="1905"/>
                  <wp:wrapNone/>
                  <wp:docPr id="8" name="Pictur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_19"/>
                          <pic:cNvPicPr>
                            <a:picLocks noChangeAspect="1"/>
                          </pic:cNvPicPr>
                        </pic:nvPicPr>
                        <pic:blipFill>
                          <a:blip r:embed="rId50">
                            <a:lum/>
                          </a:blip>
                          <a:stretch>
                            <a:fillRect/>
                          </a:stretch>
                        </pic:blipFill>
                        <pic:spPr>
                          <a:xfrm>
                            <a:off x="0" y="0"/>
                            <a:ext cx="1563370" cy="10648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彩色圆柱</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材质榉木。由</w:t>
            </w:r>
            <w:r>
              <w:rPr>
                <w:rStyle w:val="79"/>
                <w:rFonts w:eastAsia="宋体"/>
                <w:color w:val="auto"/>
                <w:sz w:val="21"/>
                <w:szCs w:val="21"/>
                <w:highlight w:val="none"/>
                <w:lang w:val="en-US" w:eastAsia="zh-CN"/>
              </w:rPr>
              <w:t>4</w:t>
            </w:r>
            <w:r>
              <w:rPr>
                <w:rFonts w:hint="eastAsia" w:ascii="宋体" w:hAnsi="宋体" w:eastAsia="宋体" w:cs="宋体"/>
                <w:i w:val="0"/>
                <w:color w:val="auto"/>
                <w:kern w:val="0"/>
                <w:sz w:val="21"/>
                <w:szCs w:val="21"/>
                <w:highlight w:val="none"/>
                <w:u w:val="none"/>
                <w:lang w:val="en-US" w:eastAsia="zh-CN"/>
              </w:rPr>
              <w:t>盒、每盒</w:t>
            </w:r>
            <w:r>
              <w:rPr>
                <w:rStyle w:val="79"/>
                <w:rFonts w:eastAsia="宋体"/>
                <w:color w:val="auto"/>
                <w:sz w:val="21"/>
                <w:szCs w:val="21"/>
                <w:highlight w:val="none"/>
                <w:lang w:val="en-US" w:eastAsia="zh-CN"/>
              </w:rPr>
              <w:t>10</w:t>
            </w:r>
            <w:r>
              <w:rPr>
                <w:rFonts w:hint="eastAsia" w:ascii="宋体" w:hAnsi="宋体" w:eastAsia="宋体" w:cs="宋体"/>
                <w:i w:val="0"/>
                <w:color w:val="auto"/>
                <w:kern w:val="0"/>
                <w:sz w:val="21"/>
                <w:szCs w:val="21"/>
                <w:highlight w:val="none"/>
                <w:u w:val="none"/>
                <w:lang w:val="en-US" w:eastAsia="zh-CN"/>
              </w:rPr>
              <w:t>个圆柱组成。培养视觉上识别大小、对应概念，发展手眼动作的协调，手臂肌肉控制力，培养敏锐的观察和注意力。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27552" behindDoc="0" locked="0" layoutInCell="1" allowOverlap="1">
                  <wp:simplePos x="0" y="0"/>
                  <wp:positionH relativeFrom="column">
                    <wp:posOffset>257175</wp:posOffset>
                  </wp:positionH>
                  <wp:positionV relativeFrom="paragraph">
                    <wp:posOffset>26670</wp:posOffset>
                  </wp:positionV>
                  <wp:extent cx="1320165" cy="895985"/>
                  <wp:effectExtent l="0" t="0" r="13335" b="18415"/>
                  <wp:wrapNone/>
                  <wp:docPr id="9" name="Pictur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_13"/>
                          <pic:cNvPicPr>
                            <a:picLocks noChangeAspect="1"/>
                          </pic:cNvPicPr>
                        </pic:nvPicPr>
                        <pic:blipFill>
                          <a:blip r:embed="rId51">
                            <a:lum/>
                          </a:blip>
                          <a:stretch>
                            <a:fillRect/>
                          </a:stretch>
                        </pic:blipFill>
                        <pic:spPr>
                          <a:xfrm>
                            <a:off x="0" y="0"/>
                            <a:ext cx="1320165" cy="8959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彩色圆柱投影卡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纸质此为彩色圆柱的延伸教具，颜色和大小对应彩色圆柱。可与插座圆柱体一起用</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28576" behindDoc="0" locked="0" layoutInCell="1" allowOverlap="1">
                  <wp:simplePos x="0" y="0"/>
                  <wp:positionH relativeFrom="column">
                    <wp:posOffset>495935</wp:posOffset>
                  </wp:positionH>
                  <wp:positionV relativeFrom="paragraph">
                    <wp:posOffset>191135</wp:posOffset>
                  </wp:positionV>
                  <wp:extent cx="1077595" cy="474980"/>
                  <wp:effectExtent l="0" t="0" r="8255" b="1270"/>
                  <wp:wrapNone/>
                  <wp:docPr id="10" name="Picture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_364"/>
                          <pic:cNvPicPr>
                            <a:picLocks noChangeAspect="1"/>
                          </pic:cNvPicPr>
                        </pic:nvPicPr>
                        <pic:blipFill>
                          <a:blip r:embed="rId52">
                            <a:lum/>
                          </a:blip>
                          <a:stretch>
                            <a:fillRect/>
                          </a:stretch>
                        </pic:blipFill>
                        <pic:spPr>
                          <a:xfrm>
                            <a:off x="0" y="0"/>
                            <a:ext cx="1077595" cy="4749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色板对应谱</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纸质，有九种颜色从浓到淡变化，可对应教具色板使用</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29600" behindDoc="0" locked="0" layoutInCell="1" allowOverlap="1">
                  <wp:simplePos x="0" y="0"/>
                  <wp:positionH relativeFrom="column">
                    <wp:posOffset>218440</wp:posOffset>
                  </wp:positionH>
                  <wp:positionV relativeFrom="paragraph">
                    <wp:posOffset>27940</wp:posOffset>
                  </wp:positionV>
                  <wp:extent cx="1670050" cy="476250"/>
                  <wp:effectExtent l="0" t="0" r="6350" b="0"/>
                  <wp:wrapNone/>
                  <wp:docPr id="13" name="Picture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_37"/>
                          <pic:cNvPicPr>
                            <a:picLocks noChangeAspect="1"/>
                          </pic:cNvPicPr>
                        </pic:nvPicPr>
                        <pic:blipFill>
                          <a:blip r:embed="rId53">
                            <a:lum/>
                          </a:blip>
                          <a:stretch>
                            <a:fillRect/>
                          </a:stretch>
                        </pic:blipFill>
                        <pic:spPr>
                          <a:xfrm>
                            <a:off x="0" y="0"/>
                            <a:ext cx="1670050" cy="4762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构成三角形</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材质榉木。由</w:t>
            </w:r>
            <w:r>
              <w:rPr>
                <w:rStyle w:val="79"/>
                <w:rFonts w:eastAsia="宋体"/>
                <w:color w:val="auto"/>
                <w:sz w:val="21"/>
                <w:szCs w:val="21"/>
                <w:highlight w:val="none"/>
                <w:lang w:val="en-US" w:eastAsia="zh-CN"/>
              </w:rPr>
              <w:t>5</w:t>
            </w:r>
            <w:r>
              <w:rPr>
                <w:rFonts w:hint="eastAsia" w:ascii="宋体" w:hAnsi="宋体" w:eastAsia="宋体" w:cs="宋体"/>
                <w:i w:val="0"/>
                <w:color w:val="auto"/>
                <w:kern w:val="0"/>
                <w:sz w:val="21"/>
                <w:szCs w:val="21"/>
                <w:highlight w:val="none"/>
                <w:u w:val="none"/>
                <w:lang w:val="en-US" w:eastAsia="zh-CN"/>
              </w:rPr>
              <w:t>盒不同的三角形块组成。透过视觉认识三角形，通过对多边形的组合与分解了解三角形与多边形的几何关系和相等概念。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0624" behindDoc="0" locked="0" layoutInCell="1" allowOverlap="1">
                  <wp:simplePos x="0" y="0"/>
                  <wp:positionH relativeFrom="column">
                    <wp:posOffset>219075</wp:posOffset>
                  </wp:positionH>
                  <wp:positionV relativeFrom="paragraph">
                    <wp:posOffset>55245</wp:posOffset>
                  </wp:positionV>
                  <wp:extent cx="1266825" cy="872490"/>
                  <wp:effectExtent l="0" t="0" r="9525" b="3810"/>
                  <wp:wrapNone/>
                  <wp:docPr id="14" name="Pict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_6"/>
                          <pic:cNvPicPr>
                            <a:picLocks noChangeAspect="1"/>
                          </pic:cNvPicPr>
                        </pic:nvPicPr>
                        <pic:blipFill>
                          <a:blip r:embed="rId54">
                            <a:lum/>
                          </a:blip>
                          <a:stretch>
                            <a:fillRect/>
                          </a:stretch>
                        </pic:blipFill>
                        <pic:spPr>
                          <a:xfrm>
                            <a:off x="0" y="0"/>
                            <a:ext cx="1266825" cy="8724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蓝色三角形</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榉木材质。长方形盒，里面有六片蓝色三角形，通过对多边形的组合与分解了解三角形与多边形的几何关系和相等概念。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1648" behindDoc="0" locked="0" layoutInCell="1" allowOverlap="1">
                  <wp:simplePos x="0" y="0"/>
                  <wp:positionH relativeFrom="column">
                    <wp:posOffset>142875</wp:posOffset>
                  </wp:positionH>
                  <wp:positionV relativeFrom="paragraph">
                    <wp:posOffset>48895</wp:posOffset>
                  </wp:positionV>
                  <wp:extent cx="1075690" cy="793115"/>
                  <wp:effectExtent l="0" t="0" r="10160" b="6985"/>
                  <wp:wrapNone/>
                  <wp:docPr id="15" name="Pict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_4"/>
                          <pic:cNvPicPr>
                            <a:picLocks noChangeAspect="1"/>
                          </pic:cNvPicPr>
                        </pic:nvPicPr>
                        <pic:blipFill>
                          <a:blip r:embed="rId55">
                            <a:lum/>
                          </a:blip>
                          <a:stretch>
                            <a:fillRect/>
                          </a:stretch>
                        </pic:blipFill>
                        <pic:spPr>
                          <a:xfrm>
                            <a:off x="0" y="0"/>
                            <a:ext cx="1075690" cy="7931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立方柱</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榉木材质。由多个同规格的1*1*10的长方小木棍组成。可配合棕色梯使用</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2672" behindDoc="0" locked="0" layoutInCell="1" allowOverlap="1">
                  <wp:simplePos x="0" y="0"/>
                  <wp:positionH relativeFrom="column">
                    <wp:posOffset>286385</wp:posOffset>
                  </wp:positionH>
                  <wp:positionV relativeFrom="paragraph">
                    <wp:posOffset>76200</wp:posOffset>
                  </wp:positionV>
                  <wp:extent cx="981710" cy="407670"/>
                  <wp:effectExtent l="0" t="0" r="8890" b="11430"/>
                  <wp:wrapNone/>
                  <wp:docPr id="16" name="Picture_6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_6_SpCnt_1"/>
                          <pic:cNvPicPr>
                            <a:picLocks noChangeAspect="1"/>
                          </pic:cNvPicPr>
                        </pic:nvPicPr>
                        <pic:blipFill>
                          <a:blip r:embed="rId56">
                            <a:lum/>
                          </a:blip>
                          <a:stretch>
                            <a:fillRect/>
                          </a:stretch>
                        </pic:blipFill>
                        <pic:spPr>
                          <a:xfrm>
                            <a:off x="0" y="0"/>
                            <a:ext cx="981710" cy="4076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触觉板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榉木材质。由13块表面粗糙和光滑程度不同的木板组成。培养粗糙与光滑的触觉感和分析、比较的思维能力。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3696" behindDoc="0" locked="0" layoutInCell="1" allowOverlap="1">
                  <wp:simplePos x="0" y="0"/>
                  <wp:positionH relativeFrom="column">
                    <wp:posOffset>209550</wp:posOffset>
                  </wp:positionH>
                  <wp:positionV relativeFrom="paragraph">
                    <wp:posOffset>66675</wp:posOffset>
                  </wp:positionV>
                  <wp:extent cx="1218565" cy="655320"/>
                  <wp:effectExtent l="0" t="0" r="635" b="11430"/>
                  <wp:wrapNone/>
                  <wp:docPr id="17"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_3"/>
                          <pic:cNvPicPr>
                            <a:picLocks noChangeAspect="1"/>
                          </pic:cNvPicPr>
                        </pic:nvPicPr>
                        <pic:blipFill>
                          <a:blip r:embed="rId57">
                            <a:lum/>
                          </a:blip>
                          <a:stretch>
                            <a:fillRect/>
                          </a:stretch>
                        </pic:blipFill>
                        <pic:spPr>
                          <a:xfrm>
                            <a:off x="0" y="0"/>
                            <a:ext cx="1218565" cy="6553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圆形、长方形和三角形</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榉木材质。一块长板上由圆形、长方形和三角形组成的嵌板，孩子对图形最早期的认识</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4720" behindDoc="0" locked="0" layoutInCell="1" allowOverlap="1">
                  <wp:simplePos x="0" y="0"/>
                  <wp:positionH relativeFrom="column">
                    <wp:posOffset>362585</wp:posOffset>
                  </wp:positionH>
                  <wp:positionV relativeFrom="paragraph">
                    <wp:posOffset>191135</wp:posOffset>
                  </wp:positionV>
                  <wp:extent cx="1284605" cy="408940"/>
                  <wp:effectExtent l="0" t="0" r="10795" b="10160"/>
                  <wp:wrapNone/>
                  <wp:docPr id="18" name="Pictur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_36"/>
                          <pic:cNvPicPr>
                            <a:picLocks noChangeAspect="1"/>
                          </pic:cNvPicPr>
                        </pic:nvPicPr>
                        <pic:blipFill>
                          <a:blip r:embed="rId58">
                            <a:lum/>
                          </a:blip>
                          <a:stretch>
                            <a:fillRect/>
                          </a:stretch>
                        </pic:blipFill>
                        <pic:spPr>
                          <a:xfrm>
                            <a:off x="0" y="0"/>
                            <a:ext cx="1284605" cy="4089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三色圆柱嵌盒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榉木材质。由红黄蓝三原色的3对圆柱和底盒组成。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5744" behindDoc="0" locked="0" layoutInCell="1" allowOverlap="1">
                  <wp:simplePos x="0" y="0"/>
                  <wp:positionH relativeFrom="column">
                    <wp:posOffset>409575</wp:posOffset>
                  </wp:positionH>
                  <wp:positionV relativeFrom="paragraph">
                    <wp:posOffset>123190</wp:posOffset>
                  </wp:positionV>
                  <wp:extent cx="1210945" cy="286385"/>
                  <wp:effectExtent l="0" t="0" r="8255" b="18415"/>
                  <wp:wrapNone/>
                  <wp:docPr id="19" name="Picture_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_158"/>
                          <pic:cNvPicPr>
                            <a:picLocks noChangeAspect="1"/>
                          </pic:cNvPicPr>
                        </pic:nvPicPr>
                        <pic:blipFill>
                          <a:blip r:embed="rId59">
                            <a:lum/>
                          </a:blip>
                          <a:stretch>
                            <a:fillRect/>
                          </a:stretch>
                        </pic:blipFill>
                        <pic:spPr>
                          <a:xfrm>
                            <a:off x="0" y="0"/>
                            <a:ext cx="1210945" cy="2863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吹气盒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榉木材质。盒子底部有留个洞，洞旁有一到六个点进行编号，使用者在出气孔处通过吹气，将乒乓球吹入指定的空洞内，锻炼肺活量和手眼嘴的协调</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6768" behindDoc="0" locked="0" layoutInCell="1" allowOverlap="1">
                  <wp:simplePos x="0" y="0"/>
                  <wp:positionH relativeFrom="column">
                    <wp:posOffset>238760</wp:posOffset>
                  </wp:positionH>
                  <wp:positionV relativeFrom="paragraph">
                    <wp:posOffset>144145</wp:posOffset>
                  </wp:positionV>
                  <wp:extent cx="1189990" cy="636905"/>
                  <wp:effectExtent l="0" t="0" r="10160" b="10795"/>
                  <wp:wrapNone/>
                  <wp:docPr id="20" name="Picture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_44"/>
                          <pic:cNvPicPr>
                            <a:picLocks noChangeAspect="1"/>
                          </pic:cNvPicPr>
                        </pic:nvPicPr>
                        <pic:blipFill>
                          <a:blip r:embed="rId60">
                            <a:lum/>
                          </a:blip>
                          <a:stretch>
                            <a:fillRect/>
                          </a:stretch>
                        </pic:blipFill>
                        <pic:spPr>
                          <a:xfrm>
                            <a:off x="0" y="0"/>
                            <a:ext cx="1189990" cy="6369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81"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圆柱体阶梯</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材质榉木。由1个插板，25个高低、颜色不同的圆柱组成。可作颜色分类，高-&gt;低比较，排序。</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7792" behindDoc="0" locked="0" layoutInCell="1" allowOverlap="1">
                  <wp:simplePos x="0" y="0"/>
                  <wp:positionH relativeFrom="column">
                    <wp:posOffset>104775</wp:posOffset>
                  </wp:positionH>
                  <wp:positionV relativeFrom="paragraph">
                    <wp:posOffset>76200</wp:posOffset>
                  </wp:positionV>
                  <wp:extent cx="1569720" cy="764540"/>
                  <wp:effectExtent l="0" t="0" r="11430" b="16510"/>
                  <wp:wrapNone/>
                  <wp:docPr id="21" name="Pictur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_24"/>
                          <pic:cNvPicPr>
                            <a:picLocks noChangeAspect="1"/>
                          </pic:cNvPicPr>
                        </pic:nvPicPr>
                        <pic:blipFill>
                          <a:blip r:embed="rId61">
                            <a:lum/>
                          </a:blip>
                          <a:stretch>
                            <a:fillRect/>
                          </a:stretch>
                        </pic:blipFill>
                        <pic:spPr>
                          <a:xfrm>
                            <a:off x="0" y="0"/>
                            <a:ext cx="1569720" cy="7645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三色游戏</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由红黄绿三色滑块，多个任务指示板组成，滑块可在画板上自由滑动，通过完成任务板上的摆放方法，锻炼逻辑思维和手眼协调能力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8816" behindDoc="0" locked="0" layoutInCell="1" allowOverlap="1">
                  <wp:simplePos x="0" y="0"/>
                  <wp:positionH relativeFrom="column">
                    <wp:posOffset>313690</wp:posOffset>
                  </wp:positionH>
                  <wp:positionV relativeFrom="paragraph">
                    <wp:posOffset>142240</wp:posOffset>
                  </wp:positionV>
                  <wp:extent cx="1329690" cy="771525"/>
                  <wp:effectExtent l="0" t="0" r="3810" b="9525"/>
                  <wp:wrapNone/>
                  <wp:docPr id="22" name="Picture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_438"/>
                          <pic:cNvPicPr>
                            <a:picLocks noChangeAspect="1"/>
                          </pic:cNvPicPr>
                        </pic:nvPicPr>
                        <pic:blipFill>
                          <a:blip r:embed="rId62">
                            <a:lum/>
                          </a:blip>
                          <a:stretch>
                            <a:fillRect/>
                          </a:stretch>
                        </pic:blipFill>
                        <pic:spPr>
                          <a:xfrm>
                            <a:off x="0" y="0"/>
                            <a:ext cx="1329690" cy="7715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7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几何体支柱</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材质榉木。由</w:t>
            </w:r>
            <w:r>
              <w:rPr>
                <w:rStyle w:val="79"/>
                <w:rFonts w:eastAsia="宋体"/>
                <w:color w:val="auto"/>
                <w:sz w:val="21"/>
                <w:szCs w:val="21"/>
                <w:highlight w:val="none"/>
                <w:lang w:val="en-US" w:eastAsia="zh-CN"/>
              </w:rPr>
              <w:t>1</w:t>
            </w:r>
            <w:r>
              <w:rPr>
                <w:rFonts w:hint="eastAsia" w:ascii="宋体" w:hAnsi="宋体" w:eastAsia="宋体" w:cs="宋体"/>
                <w:i w:val="0"/>
                <w:color w:val="auto"/>
                <w:kern w:val="0"/>
                <w:sz w:val="21"/>
                <w:szCs w:val="21"/>
                <w:highlight w:val="none"/>
                <w:u w:val="none"/>
                <w:lang w:val="en-US" w:eastAsia="zh-CN"/>
              </w:rPr>
              <w:t>个插板盒、</w:t>
            </w:r>
            <w:r>
              <w:rPr>
                <w:rStyle w:val="79"/>
                <w:rFonts w:eastAsia="宋体"/>
                <w:color w:val="auto"/>
                <w:sz w:val="21"/>
                <w:szCs w:val="21"/>
                <w:highlight w:val="none"/>
                <w:lang w:val="en-US" w:eastAsia="zh-CN"/>
              </w:rPr>
              <w:t>3</w:t>
            </w:r>
            <w:r>
              <w:rPr>
                <w:rFonts w:hint="eastAsia" w:ascii="宋体" w:hAnsi="宋体" w:eastAsia="宋体" w:cs="宋体"/>
                <w:i w:val="0"/>
                <w:color w:val="auto"/>
                <w:kern w:val="0"/>
                <w:sz w:val="21"/>
                <w:szCs w:val="21"/>
                <w:highlight w:val="none"/>
                <w:u w:val="none"/>
                <w:lang w:val="en-US" w:eastAsia="zh-CN"/>
              </w:rPr>
              <w:t>个圆柱、</w:t>
            </w:r>
            <w:r>
              <w:rPr>
                <w:rStyle w:val="79"/>
                <w:rFonts w:eastAsia="宋体"/>
                <w:color w:val="auto"/>
                <w:sz w:val="21"/>
                <w:szCs w:val="21"/>
                <w:highlight w:val="none"/>
                <w:lang w:val="en-US" w:eastAsia="zh-CN"/>
              </w:rPr>
              <w:t>3</w:t>
            </w:r>
            <w:r>
              <w:rPr>
                <w:rFonts w:hint="eastAsia" w:ascii="宋体" w:hAnsi="宋体" w:eastAsia="宋体" w:cs="宋体"/>
                <w:i w:val="0"/>
                <w:color w:val="auto"/>
                <w:kern w:val="0"/>
                <w:sz w:val="21"/>
                <w:szCs w:val="21"/>
                <w:highlight w:val="none"/>
                <w:u w:val="none"/>
                <w:lang w:val="en-US" w:eastAsia="zh-CN"/>
              </w:rPr>
              <w:t>个三棱柱、</w:t>
            </w:r>
            <w:r>
              <w:rPr>
                <w:rStyle w:val="79"/>
                <w:rFonts w:eastAsia="宋体"/>
                <w:color w:val="auto"/>
                <w:sz w:val="21"/>
                <w:szCs w:val="21"/>
                <w:highlight w:val="none"/>
                <w:lang w:val="en-US" w:eastAsia="zh-CN"/>
              </w:rPr>
              <w:t>3</w:t>
            </w:r>
            <w:r>
              <w:rPr>
                <w:rFonts w:hint="eastAsia" w:ascii="宋体" w:hAnsi="宋体" w:eastAsia="宋体" w:cs="宋体"/>
                <w:i w:val="0"/>
                <w:color w:val="auto"/>
                <w:kern w:val="0"/>
                <w:sz w:val="21"/>
                <w:szCs w:val="21"/>
                <w:highlight w:val="none"/>
                <w:u w:val="none"/>
                <w:lang w:val="en-US" w:eastAsia="zh-CN"/>
              </w:rPr>
              <w:t>个四方柱组成。培养儿童对实体的感觉，认识几何体特征，可作颜色分类，高</w:t>
            </w:r>
            <w:r>
              <w:rPr>
                <w:rStyle w:val="79"/>
                <w:rFonts w:eastAsia="宋体"/>
                <w:color w:val="auto"/>
                <w:sz w:val="21"/>
                <w:szCs w:val="21"/>
                <w:highlight w:val="none"/>
                <w:lang w:val="en-US" w:eastAsia="zh-CN"/>
              </w:rPr>
              <w:t>-&gt;</w:t>
            </w:r>
            <w:r>
              <w:rPr>
                <w:rFonts w:hint="eastAsia" w:ascii="宋体" w:hAnsi="宋体" w:eastAsia="宋体" w:cs="宋体"/>
                <w:i w:val="0"/>
                <w:color w:val="auto"/>
                <w:kern w:val="0"/>
                <w:sz w:val="21"/>
                <w:szCs w:val="21"/>
                <w:highlight w:val="none"/>
                <w:u w:val="none"/>
                <w:lang w:val="en-US" w:eastAsia="zh-CN"/>
              </w:rPr>
              <w:t>低比较，排序</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39840" behindDoc="0" locked="0" layoutInCell="1" allowOverlap="1">
                  <wp:simplePos x="0" y="0"/>
                  <wp:positionH relativeFrom="column">
                    <wp:posOffset>419735</wp:posOffset>
                  </wp:positionH>
                  <wp:positionV relativeFrom="paragraph">
                    <wp:posOffset>47625</wp:posOffset>
                  </wp:positionV>
                  <wp:extent cx="960755" cy="669290"/>
                  <wp:effectExtent l="0" t="0" r="10795" b="16510"/>
                  <wp:wrapNone/>
                  <wp:docPr id="23" name="Pictur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_11"/>
                          <pic:cNvPicPr>
                            <a:picLocks noChangeAspect="1"/>
                          </pic:cNvPicPr>
                        </pic:nvPicPr>
                        <pic:blipFill>
                          <a:blip r:embed="rId63">
                            <a:lum/>
                          </a:blip>
                          <a:stretch>
                            <a:fillRect/>
                          </a:stretch>
                        </pic:blipFill>
                        <pic:spPr>
                          <a:xfrm>
                            <a:off x="0" y="0"/>
                            <a:ext cx="960755" cy="6692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彩钉配对</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10对不同颜色，形状为国际象棋式的小钮，一个对应的底板，可通过颜色的配对，对孩子的逻辑，手眼协调，手臂肌肉的锻炼。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0864" behindDoc="0" locked="0" layoutInCell="1" allowOverlap="1">
                  <wp:simplePos x="0" y="0"/>
                  <wp:positionH relativeFrom="column">
                    <wp:posOffset>229235</wp:posOffset>
                  </wp:positionH>
                  <wp:positionV relativeFrom="paragraph">
                    <wp:posOffset>180340</wp:posOffset>
                  </wp:positionV>
                  <wp:extent cx="1151890" cy="409575"/>
                  <wp:effectExtent l="0" t="0" r="10160" b="9525"/>
                  <wp:wrapNone/>
                  <wp:docPr id="24"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_1"/>
                          <pic:cNvPicPr>
                            <a:picLocks noChangeAspect="1"/>
                          </pic:cNvPicPr>
                        </pic:nvPicPr>
                        <pic:blipFill>
                          <a:blip r:embed="rId64">
                            <a:lum/>
                          </a:blip>
                          <a:stretch>
                            <a:fillRect/>
                          </a:stretch>
                        </pic:blipFill>
                        <pic:spPr>
                          <a:xfrm>
                            <a:off x="0" y="0"/>
                            <a:ext cx="1151890" cy="4095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圆圆板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　由100个彩色圆组成。可做颜色的排序、对应。</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1888" behindDoc="0" locked="0" layoutInCell="1" allowOverlap="1">
                  <wp:simplePos x="0" y="0"/>
                  <wp:positionH relativeFrom="column">
                    <wp:posOffset>371475</wp:posOffset>
                  </wp:positionH>
                  <wp:positionV relativeFrom="paragraph">
                    <wp:posOffset>48895</wp:posOffset>
                  </wp:positionV>
                  <wp:extent cx="1056640" cy="790575"/>
                  <wp:effectExtent l="0" t="0" r="10160" b="9525"/>
                  <wp:wrapNone/>
                  <wp:docPr id="25" name="Picture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_91"/>
                          <pic:cNvPicPr>
                            <a:picLocks noChangeAspect="1"/>
                          </pic:cNvPicPr>
                        </pic:nvPicPr>
                        <pic:blipFill>
                          <a:blip r:embed="rId65">
                            <a:lum/>
                          </a:blip>
                          <a:stretch>
                            <a:fillRect/>
                          </a:stretch>
                        </pic:blipFill>
                        <pic:spPr>
                          <a:xfrm>
                            <a:off x="0" y="0"/>
                            <a:ext cx="1056640" cy="7905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手、眼调节投圈</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榉木材质。由5个可组装的锣口木柱和5个麻绳套圈组成，锻炼手眼协调能力。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2912" behindDoc="0" locked="0" layoutInCell="1" allowOverlap="1">
                  <wp:simplePos x="0" y="0"/>
                  <wp:positionH relativeFrom="column">
                    <wp:posOffset>371475</wp:posOffset>
                  </wp:positionH>
                  <wp:positionV relativeFrom="paragraph">
                    <wp:posOffset>38735</wp:posOffset>
                  </wp:positionV>
                  <wp:extent cx="1029335" cy="708025"/>
                  <wp:effectExtent l="0" t="0" r="18415" b="15875"/>
                  <wp:wrapNone/>
                  <wp:docPr id="26" name="Pictur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_10"/>
                          <pic:cNvPicPr>
                            <a:picLocks noChangeAspect="1"/>
                          </pic:cNvPicPr>
                        </pic:nvPicPr>
                        <pic:blipFill>
                          <a:blip r:embed="rId66">
                            <a:lum/>
                          </a:blip>
                          <a:stretch>
                            <a:fillRect/>
                          </a:stretch>
                        </pic:blipFill>
                        <pic:spPr>
                          <a:xfrm>
                            <a:off x="0" y="0"/>
                            <a:ext cx="1029335" cy="7080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5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榉木材质。由从短到长10根红、蓝相同的木棒和从1到10的10块数字片组成。数棒是代表连续“量”的教具。认识、了解数的及数词，记忆1到10，十进制法的预备，导入数的概念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3936" behindDoc="0" locked="0" layoutInCell="1" allowOverlap="1">
                  <wp:simplePos x="0" y="0"/>
                  <wp:positionH relativeFrom="column">
                    <wp:posOffset>75565</wp:posOffset>
                  </wp:positionH>
                  <wp:positionV relativeFrom="paragraph">
                    <wp:posOffset>-2540</wp:posOffset>
                  </wp:positionV>
                  <wp:extent cx="1343025" cy="798195"/>
                  <wp:effectExtent l="0" t="0" r="9525" b="1905"/>
                  <wp:wrapNone/>
                  <wp:docPr id="27" name="Pictur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_26"/>
                          <pic:cNvPicPr>
                            <a:picLocks noChangeAspect="1"/>
                          </pic:cNvPicPr>
                        </pic:nvPicPr>
                        <pic:blipFill>
                          <a:blip r:embed="rId67">
                            <a:lum/>
                          </a:blip>
                          <a:stretch>
                            <a:fillRect/>
                          </a:stretch>
                        </pic:blipFill>
                        <pic:spPr>
                          <a:xfrm>
                            <a:off x="0" y="0"/>
                            <a:ext cx="1343025" cy="7981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小型数棒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由从短到长10根红、蓝相同的木棒和从1到10的10块数字片组成。数棒是代表连续“量”的教具。认识、了解数的及数词，记忆1到10，十进制法的预备，导入数的概念。数棒最小的长5cm，以5cm递增到最长的一根50c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4960" behindDoc="0" locked="0" layoutInCell="1" allowOverlap="1">
                  <wp:simplePos x="0" y="0"/>
                  <wp:positionH relativeFrom="column">
                    <wp:posOffset>257175</wp:posOffset>
                  </wp:positionH>
                  <wp:positionV relativeFrom="paragraph">
                    <wp:posOffset>104775</wp:posOffset>
                  </wp:positionV>
                  <wp:extent cx="1085850" cy="781050"/>
                  <wp:effectExtent l="0" t="0" r="0" b="0"/>
                  <wp:wrapNone/>
                  <wp:docPr id="28" name="Picture_1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_10_SpCnt_1"/>
                          <pic:cNvPicPr>
                            <a:picLocks noChangeAspect="1"/>
                          </pic:cNvPicPr>
                        </pic:nvPicPr>
                        <pic:blipFill>
                          <a:blip r:embed="rId68">
                            <a:lum/>
                          </a:blip>
                          <a:stretch>
                            <a:fillRect/>
                          </a:stretch>
                        </pic:blipFill>
                        <pic:spPr>
                          <a:xfrm>
                            <a:off x="0" y="0"/>
                            <a:ext cx="1085850" cy="7810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纺锤棒箱</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榉木材质。由2个整理箱、45根纺棰棒，10块数字片组成。指导0的概念，加强数与量集合的概念。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5984" behindDoc="0" locked="0" layoutInCell="1" allowOverlap="1">
                  <wp:simplePos x="0" y="0"/>
                  <wp:positionH relativeFrom="column">
                    <wp:posOffset>200025</wp:posOffset>
                  </wp:positionH>
                  <wp:positionV relativeFrom="paragraph">
                    <wp:posOffset>125095</wp:posOffset>
                  </wp:positionV>
                  <wp:extent cx="1038860" cy="713105"/>
                  <wp:effectExtent l="0" t="0" r="8890" b="10795"/>
                  <wp:wrapNone/>
                  <wp:docPr id="29" name="Picture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_47"/>
                          <pic:cNvPicPr>
                            <a:picLocks noChangeAspect="1"/>
                          </pic:cNvPicPr>
                        </pic:nvPicPr>
                        <pic:blipFill>
                          <a:blip r:embed="rId69">
                            <a:lum/>
                          </a:blip>
                          <a:stretch>
                            <a:fillRect/>
                          </a:stretch>
                        </pic:blipFill>
                        <pic:spPr>
                          <a:xfrm>
                            <a:off x="0" y="0"/>
                            <a:ext cx="1038860" cy="7131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二倍数</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榉木材质。由7个木块组成。培养2倍的概念，认识简单的倍数关系，导入平方概念。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7008" behindDoc="0" locked="0" layoutInCell="1" allowOverlap="1">
                  <wp:simplePos x="0" y="0"/>
                  <wp:positionH relativeFrom="column">
                    <wp:posOffset>75565</wp:posOffset>
                  </wp:positionH>
                  <wp:positionV relativeFrom="paragraph">
                    <wp:posOffset>76200</wp:posOffset>
                  </wp:positionV>
                  <wp:extent cx="1133475" cy="788670"/>
                  <wp:effectExtent l="0" t="0" r="9525" b="11430"/>
                  <wp:wrapNone/>
                  <wp:docPr id="30" name="Pictur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_27"/>
                          <pic:cNvPicPr>
                            <a:picLocks noChangeAspect="1"/>
                          </pic:cNvPicPr>
                        </pic:nvPicPr>
                        <pic:blipFill>
                          <a:blip r:embed="rId70">
                            <a:lum/>
                          </a:blip>
                          <a:stretch>
                            <a:fillRect/>
                          </a:stretch>
                        </pic:blipFill>
                        <pic:spPr>
                          <a:xfrm>
                            <a:off x="0" y="0"/>
                            <a:ext cx="1133475" cy="7886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邮票游戏</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榉木材质。幼儿通过银行游戏认识十进制元法以后，即可进入邮票游戏的操作，熟悉数字的转换关系，并进行大数量的四则运算，培养数学思考能力。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8032" behindDoc="0" locked="0" layoutInCell="1" allowOverlap="1">
                  <wp:simplePos x="0" y="0"/>
                  <wp:positionH relativeFrom="column">
                    <wp:posOffset>333375</wp:posOffset>
                  </wp:positionH>
                  <wp:positionV relativeFrom="paragraph">
                    <wp:posOffset>132080</wp:posOffset>
                  </wp:positionV>
                  <wp:extent cx="1346835" cy="922655"/>
                  <wp:effectExtent l="0" t="0" r="5715" b="10795"/>
                  <wp:wrapNone/>
                  <wp:docPr id="31" name="Picture_3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_37_SpCnt_1"/>
                          <pic:cNvPicPr>
                            <a:picLocks noChangeAspect="1"/>
                          </pic:cNvPicPr>
                        </pic:nvPicPr>
                        <pic:blipFill>
                          <a:blip r:embed="rId71">
                            <a:lum/>
                          </a:blip>
                          <a:stretch>
                            <a:fillRect/>
                          </a:stretch>
                        </pic:blipFill>
                        <pic:spPr>
                          <a:xfrm>
                            <a:off x="0" y="0"/>
                            <a:ext cx="1346835" cy="9226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分数小人座</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榉木材质。由1个木座、小人4组10块组成。知道1个整体（=1）如何分成若干部分，作为进入分数的预备。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49056" behindDoc="0" locked="0" layoutInCell="1" allowOverlap="1">
                  <wp:simplePos x="0" y="0"/>
                  <wp:positionH relativeFrom="column">
                    <wp:posOffset>533400</wp:posOffset>
                  </wp:positionH>
                  <wp:positionV relativeFrom="paragraph">
                    <wp:posOffset>163195</wp:posOffset>
                  </wp:positionV>
                  <wp:extent cx="914400" cy="628015"/>
                  <wp:effectExtent l="0" t="0" r="0" b="635"/>
                  <wp:wrapNone/>
                  <wp:docPr id="32" name="Picture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_38"/>
                          <pic:cNvPicPr>
                            <a:picLocks noChangeAspect="1"/>
                          </pic:cNvPicPr>
                        </pic:nvPicPr>
                        <pic:blipFill>
                          <a:blip r:embed="rId72">
                            <a:lum/>
                          </a:blip>
                          <a:stretch>
                            <a:fillRect/>
                          </a:stretch>
                        </pic:blipFill>
                        <pic:spPr>
                          <a:xfrm>
                            <a:off x="0" y="0"/>
                            <a:ext cx="914400" cy="6280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乘除法板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 进行得数最大为100的乘法题目，熟练后可导入乘法心算。练习被除数最大为81以内除法题目，从感官上认识平均分配的概念，熟练后可导入除法心算。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0080" behindDoc="0" locked="0" layoutInCell="1" allowOverlap="1">
                  <wp:simplePos x="0" y="0"/>
                  <wp:positionH relativeFrom="column">
                    <wp:posOffset>285115</wp:posOffset>
                  </wp:positionH>
                  <wp:positionV relativeFrom="paragraph">
                    <wp:posOffset>86995</wp:posOffset>
                  </wp:positionV>
                  <wp:extent cx="1067435" cy="714375"/>
                  <wp:effectExtent l="0" t="0" r="18415" b="9525"/>
                  <wp:wrapNone/>
                  <wp:docPr id="33" name="Picture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_119"/>
                          <pic:cNvPicPr>
                            <a:picLocks noChangeAspect="1"/>
                          </pic:cNvPicPr>
                        </pic:nvPicPr>
                        <pic:blipFill>
                          <a:blip r:embed="rId73">
                            <a:lum/>
                          </a:blip>
                          <a:stretch>
                            <a:fillRect/>
                          </a:stretch>
                        </pic:blipFill>
                        <pic:spPr>
                          <a:xfrm>
                            <a:off x="0" y="0"/>
                            <a:ext cx="1067435" cy="7143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数字拼板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榉木材质。熟悉数字，理解数与量的关系，培养数学学习兴趣</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1104" behindDoc="0" locked="0" layoutInCell="1" allowOverlap="1">
                  <wp:simplePos x="0" y="0"/>
                  <wp:positionH relativeFrom="column">
                    <wp:posOffset>95250</wp:posOffset>
                  </wp:positionH>
                  <wp:positionV relativeFrom="paragraph">
                    <wp:posOffset>86995</wp:posOffset>
                  </wp:positionV>
                  <wp:extent cx="1028065" cy="704215"/>
                  <wp:effectExtent l="0" t="0" r="635" b="635"/>
                  <wp:wrapNone/>
                  <wp:docPr id="34" name="Picture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_58"/>
                          <pic:cNvPicPr>
                            <a:picLocks noChangeAspect="1"/>
                          </pic:cNvPicPr>
                        </pic:nvPicPr>
                        <pic:blipFill>
                          <a:blip r:embed="rId74">
                            <a:lum/>
                          </a:blip>
                          <a:stretch>
                            <a:fillRect/>
                          </a:stretch>
                        </pic:blipFill>
                        <pic:spPr>
                          <a:xfrm>
                            <a:off x="0" y="0"/>
                            <a:ext cx="1028065" cy="7042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数字拼板对应卡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纸质。可指示数字拼板的正确对应法，也对数字与筹码的使用纠错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2128" behindDoc="0" locked="0" layoutInCell="1" allowOverlap="1">
                  <wp:simplePos x="0" y="0"/>
                  <wp:positionH relativeFrom="column">
                    <wp:posOffset>57785</wp:posOffset>
                  </wp:positionH>
                  <wp:positionV relativeFrom="paragraph">
                    <wp:posOffset>38100</wp:posOffset>
                  </wp:positionV>
                  <wp:extent cx="1591310" cy="476250"/>
                  <wp:effectExtent l="0" t="0" r="8890" b="0"/>
                  <wp:wrapNone/>
                  <wp:docPr id="35" name="Picture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_361"/>
                          <pic:cNvPicPr>
                            <a:picLocks noChangeAspect="1"/>
                          </pic:cNvPicPr>
                        </pic:nvPicPr>
                        <pic:blipFill>
                          <a:blip r:embed="rId75">
                            <a:lum/>
                          </a:blip>
                          <a:stretch>
                            <a:fillRect/>
                          </a:stretch>
                        </pic:blipFill>
                        <pic:spPr>
                          <a:xfrm>
                            <a:off x="0" y="0"/>
                            <a:ext cx="1591310" cy="4762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加法心算盒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榉木材质。用于加法的计算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3152" behindDoc="0" locked="0" layoutInCell="1" allowOverlap="1">
                  <wp:simplePos x="0" y="0"/>
                  <wp:positionH relativeFrom="column">
                    <wp:posOffset>38100</wp:posOffset>
                  </wp:positionH>
                  <wp:positionV relativeFrom="paragraph">
                    <wp:posOffset>27940</wp:posOffset>
                  </wp:positionV>
                  <wp:extent cx="1018540" cy="829310"/>
                  <wp:effectExtent l="0" t="0" r="10160" b="8890"/>
                  <wp:wrapNone/>
                  <wp:docPr id="36" name="Picture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_250"/>
                          <pic:cNvPicPr>
                            <a:picLocks noChangeAspect="1"/>
                          </pic:cNvPicPr>
                        </pic:nvPicPr>
                        <pic:blipFill>
                          <a:blip r:embed="rId76">
                            <a:lum/>
                          </a:blip>
                          <a:stretch>
                            <a:fillRect/>
                          </a:stretch>
                        </pic:blipFill>
                        <pic:spPr>
                          <a:xfrm>
                            <a:off x="0" y="0"/>
                            <a:ext cx="1018540" cy="8293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加法背数盘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6块板和一个数字带，用于加法的计算和纠错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4176" behindDoc="0" locked="0" layoutInCell="1" allowOverlap="1">
                  <wp:simplePos x="0" y="0"/>
                  <wp:positionH relativeFrom="column">
                    <wp:posOffset>46990</wp:posOffset>
                  </wp:positionH>
                  <wp:positionV relativeFrom="paragraph">
                    <wp:posOffset>66040</wp:posOffset>
                  </wp:positionV>
                  <wp:extent cx="1200785" cy="276860"/>
                  <wp:effectExtent l="0" t="0" r="18415" b="8890"/>
                  <wp:wrapNone/>
                  <wp:docPr id="37" name="Picture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_48"/>
                          <pic:cNvPicPr>
                            <a:picLocks noChangeAspect="1"/>
                          </pic:cNvPicPr>
                        </pic:nvPicPr>
                        <pic:blipFill>
                          <a:blip r:embed="rId77">
                            <a:lum/>
                          </a:blip>
                          <a:stretch>
                            <a:fillRect/>
                          </a:stretch>
                        </pic:blipFill>
                        <pic:spPr>
                          <a:xfrm>
                            <a:off x="0" y="0"/>
                            <a:ext cx="1200785" cy="2768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减法心算盒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榉木材质。用于减法的计算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5200" behindDoc="0" locked="0" layoutInCell="1" allowOverlap="1">
                  <wp:simplePos x="0" y="0"/>
                  <wp:positionH relativeFrom="column">
                    <wp:posOffset>275590</wp:posOffset>
                  </wp:positionH>
                  <wp:positionV relativeFrom="paragraph">
                    <wp:posOffset>38100</wp:posOffset>
                  </wp:positionV>
                  <wp:extent cx="970915" cy="809625"/>
                  <wp:effectExtent l="0" t="0" r="635" b="9525"/>
                  <wp:wrapNone/>
                  <wp:docPr id="38" name="Picture_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_251"/>
                          <pic:cNvPicPr>
                            <a:picLocks noChangeAspect="1"/>
                          </pic:cNvPicPr>
                        </pic:nvPicPr>
                        <pic:blipFill>
                          <a:blip r:embed="rId78">
                            <a:lum/>
                          </a:blip>
                          <a:stretch>
                            <a:fillRect/>
                          </a:stretch>
                        </pic:blipFill>
                        <pic:spPr>
                          <a:xfrm>
                            <a:off x="0" y="0"/>
                            <a:ext cx="970915" cy="8096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减法背数盘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3块板和一袋数字片用与减法的计算和纠错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6224" behindDoc="0" locked="0" layoutInCell="1" allowOverlap="1">
                  <wp:simplePos x="0" y="0"/>
                  <wp:positionH relativeFrom="column">
                    <wp:posOffset>143510</wp:posOffset>
                  </wp:positionH>
                  <wp:positionV relativeFrom="paragraph">
                    <wp:posOffset>201295</wp:posOffset>
                  </wp:positionV>
                  <wp:extent cx="1523365" cy="398780"/>
                  <wp:effectExtent l="0" t="0" r="635" b="1270"/>
                  <wp:wrapNone/>
                  <wp:docPr id="39" name="Picture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_49"/>
                          <pic:cNvPicPr>
                            <a:picLocks noChangeAspect="1"/>
                          </pic:cNvPicPr>
                        </pic:nvPicPr>
                        <pic:blipFill>
                          <a:blip r:embed="rId79">
                            <a:lum/>
                          </a:blip>
                          <a:stretch>
                            <a:fillRect/>
                          </a:stretch>
                        </pic:blipFill>
                        <pic:spPr>
                          <a:xfrm>
                            <a:off x="0" y="0"/>
                            <a:ext cx="1523365" cy="3987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乘法心算盒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榉木材质。用于乘法的计算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7248" behindDoc="0" locked="0" layoutInCell="1" allowOverlap="1">
                  <wp:simplePos x="0" y="0"/>
                  <wp:positionH relativeFrom="column">
                    <wp:posOffset>191135</wp:posOffset>
                  </wp:positionH>
                  <wp:positionV relativeFrom="paragraph">
                    <wp:posOffset>48895</wp:posOffset>
                  </wp:positionV>
                  <wp:extent cx="1019810" cy="828040"/>
                  <wp:effectExtent l="0" t="0" r="8890" b="10160"/>
                  <wp:wrapNone/>
                  <wp:docPr id="40" name="Picture_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_248"/>
                          <pic:cNvPicPr>
                            <a:picLocks noChangeAspect="1"/>
                          </pic:cNvPicPr>
                        </pic:nvPicPr>
                        <pic:blipFill>
                          <a:blip r:embed="rId80">
                            <a:lum/>
                          </a:blip>
                          <a:stretch>
                            <a:fillRect/>
                          </a:stretch>
                        </pic:blipFill>
                        <pic:spPr>
                          <a:xfrm>
                            <a:off x="0" y="0"/>
                            <a:ext cx="1019810" cy="8280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乘法背数盘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5块板和一袋数字片用于乘法的计算和纠错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8272" behindDoc="0" locked="0" layoutInCell="1" allowOverlap="1">
                  <wp:simplePos x="0" y="0"/>
                  <wp:positionH relativeFrom="column">
                    <wp:posOffset>95250</wp:posOffset>
                  </wp:positionH>
                  <wp:positionV relativeFrom="paragraph">
                    <wp:posOffset>104140</wp:posOffset>
                  </wp:positionV>
                  <wp:extent cx="1685925" cy="495300"/>
                  <wp:effectExtent l="0" t="0" r="9525" b="0"/>
                  <wp:wrapNone/>
                  <wp:docPr id="41" name="Picture_4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_47_SpCnt_1"/>
                          <pic:cNvPicPr>
                            <a:picLocks noChangeAspect="1"/>
                          </pic:cNvPicPr>
                        </pic:nvPicPr>
                        <pic:blipFill>
                          <a:blip r:embed="rId81">
                            <a:lum/>
                          </a:blip>
                          <a:stretch>
                            <a:fillRect/>
                          </a:stretch>
                        </pic:blipFill>
                        <pic:spPr>
                          <a:xfrm>
                            <a:off x="0" y="0"/>
                            <a:ext cx="1685925" cy="4953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除法心算盒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榉木材质。用于除法的计算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59296" behindDoc="0" locked="0" layoutInCell="1" allowOverlap="1">
                  <wp:simplePos x="0" y="0"/>
                  <wp:positionH relativeFrom="column">
                    <wp:posOffset>228600</wp:posOffset>
                  </wp:positionH>
                  <wp:positionV relativeFrom="paragraph">
                    <wp:posOffset>66675</wp:posOffset>
                  </wp:positionV>
                  <wp:extent cx="1336040" cy="1066800"/>
                  <wp:effectExtent l="0" t="0" r="16510" b="0"/>
                  <wp:wrapNone/>
                  <wp:docPr id="42" name="Picture_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_249"/>
                          <pic:cNvPicPr>
                            <a:picLocks noChangeAspect="1"/>
                          </pic:cNvPicPr>
                        </pic:nvPicPr>
                        <pic:blipFill>
                          <a:blip r:embed="rId82">
                            <a:lum/>
                          </a:blip>
                          <a:stretch>
                            <a:fillRect/>
                          </a:stretch>
                        </pic:blipFill>
                        <pic:spPr>
                          <a:xfrm>
                            <a:off x="0" y="0"/>
                            <a:ext cx="1336040" cy="10668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除法背数盘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2块板和一袋数字片用于除法的计算和纠错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0320" behindDoc="0" locked="0" layoutInCell="1" allowOverlap="1">
                  <wp:simplePos x="0" y="0"/>
                  <wp:positionH relativeFrom="column">
                    <wp:posOffset>267335</wp:posOffset>
                  </wp:positionH>
                  <wp:positionV relativeFrom="paragraph">
                    <wp:posOffset>160655</wp:posOffset>
                  </wp:positionV>
                  <wp:extent cx="1171575" cy="381635"/>
                  <wp:effectExtent l="0" t="0" r="9525" b="18415"/>
                  <wp:wrapNone/>
                  <wp:docPr id="43" name="Picture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_46"/>
                          <pic:cNvPicPr>
                            <a:picLocks noChangeAspect="1"/>
                          </pic:cNvPicPr>
                        </pic:nvPicPr>
                        <pic:blipFill>
                          <a:blip r:embed="rId83">
                            <a:lum/>
                          </a:blip>
                          <a:stretch>
                            <a:fillRect/>
                          </a:stretch>
                        </pic:blipFill>
                        <pic:spPr>
                          <a:xfrm>
                            <a:off x="0" y="0"/>
                            <a:ext cx="1171575" cy="3816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接龙、减龙游戏</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材质榉木，塑料，金属。练习加减混合运算，增加儿童对数学的兴趣，培养孩子的逻辑思考能力。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1344" behindDoc="0" locked="0" layoutInCell="1" allowOverlap="1">
                  <wp:simplePos x="0" y="0"/>
                  <wp:positionH relativeFrom="column">
                    <wp:posOffset>390525</wp:posOffset>
                  </wp:positionH>
                  <wp:positionV relativeFrom="paragraph">
                    <wp:posOffset>115570</wp:posOffset>
                  </wp:positionV>
                  <wp:extent cx="981075" cy="521335"/>
                  <wp:effectExtent l="0" t="0" r="9525" b="12065"/>
                  <wp:wrapNone/>
                  <wp:docPr id="44" name="Picture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_120"/>
                          <pic:cNvPicPr>
                            <a:picLocks noChangeAspect="1"/>
                          </pic:cNvPicPr>
                        </pic:nvPicPr>
                        <pic:blipFill>
                          <a:blip r:embed="rId84">
                            <a:lum/>
                          </a:blip>
                          <a:stretch>
                            <a:fillRect/>
                          </a:stretch>
                        </pic:blipFill>
                        <pic:spPr>
                          <a:xfrm>
                            <a:off x="0" y="0"/>
                            <a:ext cx="981075" cy="5213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彩色串珠棒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材质榉木，塑料，金属。熟悉十以内数量、数字与名称，为学习平方、立方做间接准备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2368" behindDoc="0" locked="0" layoutInCell="1" allowOverlap="1">
                  <wp:simplePos x="0" y="0"/>
                  <wp:positionH relativeFrom="column">
                    <wp:posOffset>391160</wp:posOffset>
                  </wp:positionH>
                  <wp:positionV relativeFrom="paragraph">
                    <wp:posOffset>66040</wp:posOffset>
                  </wp:positionV>
                  <wp:extent cx="1165860" cy="800735"/>
                  <wp:effectExtent l="0" t="0" r="15240" b="18415"/>
                  <wp:wrapNone/>
                  <wp:docPr id="45" name="Picture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_43"/>
                          <pic:cNvPicPr>
                            <a:picLocks noChangeAspect="1"/>
                          </pic:cNvPicPr>
                        </pic:nvPicPr>
                        <pic:blipFill>
                          <a:blip r:embed="rId85">
                            <a:lum/>
                          </a:blip>
                          <a:stretch>
                            <a:fillRect/>
                          </a:stretch>
                        </pic:blipFill>
                        <pic:spPr>
                          <a:xfrm>
                            <a:off x="0" y="0"/>
                            <a:ext cx="1165860" cy="8007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串珠整理盒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材质榉木，塑料，金属。可通过凹槽的长度来辅助使用者对1-10的串珠排位。</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3392" behindDoc="0" locked="0" layoutInCell="1" allowOverlap="1">
                  <wp:simplePos x="0" y="0"/>
                  <wp:positionH relativeFrom="column">
                    <wp:posOffset>456565</wp:posOffset>
                  </wp:positionH>
                  <wp:positionV relativeFrom="paragraph">
                    <wp:posOffset>255905</wp:posOffset>
                  </wp:positionV>
                  <wp:extent cx="1294765" cy="334645"/>
                  <wp:effectExtent l="0" t="0" r="635" b="8255"/>
                  <wp:wrapNone/>
                  <wp:docPr id="46" name="Pict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_3"/>
                          <pic:cNvPicPr>
                            <a:picLocks noChangeAspect="1"/>
                          </pic:cNvPicPr>
                        </pic:nvPicPr>
                        <pic:blipFill>
                          <a:blip r:embed="rId86">
                            <a:lum/>
                          </a:blip>
                          <a:stretch>
                            <a:fillRect/>
                          </a:stretch>
                        </pic:blipFill>
                        <pic:spPr>
                          <a:xfrm>
                            <a:off x="0" y="0"/>
                            <a:ext cx="1294765" cy="3346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黑白串珠棒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材质榉木，塑料，金属。加深了解十以内的数量的概念，体会等量交换的概念，可用于进行加减法运算练习。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4416" behindDoc="0" locked="0" layoutInCell="1" allowOverlap="1">
                  <wp:simplePos x="0" y="0"/>
                  <wp:positionH relativeFrom="column">
                    <wp:posOffset>390525</wp:posOffset>
                  </wp:positionH>
                  <wp:positionV relativeFrom="paragraph">
                    <wp:posOffset>104140</wp:posOffset>
                  </wp:positionV>
                  <wp:extent cx="962025" cy="662940"/>
                  <wp:effectExtent l="0" t="0" r="9525" b="3810"/>
                  <wp:wrapNone/>
                  <wp:docPr id="47" name="Pictur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_33"/>
                          <pic:cNvPicPr>
                            <a:picLocks noChangeAspect="1"/>
                          </pic:cNvPicPr>
                        </pic:nvPicPr>
                        <pic:blipFill>
                          <a:blip r:embed="rId87">
                            <a:lum/>
                          </a:blip>
                          <a:stretch>
                            <a:fillRect/>
                          </a:stretch>
                        </pic:blipFill>
                        <pic:spPr>
                          <a:xfrm>
                            <a:off x="0" y="0"/>
                            <a:ext cx="962025" cy="6629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灰色串珠棒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材质榉木，塑料，金属。熟悉十以内数量、数位与名称，为学习减法运算做准备。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5440" behindDoc="0" locked="0" layoutInCell="1" allowOverlap="1">
                  <wp:simplePos x="0" y="0"/>
                  <wp:positionH relativeFrom="column">
                    <wp:posOffset>323850</wp:posOffset>
                  </wp:positionH>
                  <wp:positionV relativeFrom="paragraph">
                    <wp:posOffset>121920</wp:posOffset>
                  </wp:positionV>
                  <wp:extent cx="1066800" cy="742950"/>
                  <wp:effectExtent l="0" t="0" r="0" b="0"/>
                  <wp:wrapNone/>
                  <wp:docPr id="48" name="Picture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_42"/>
                          <pic:cNvPicPr>
                            <a:picLocks noChangeAspect="1"/>
                          </pic:cNvPicPr>
                        </pic:nvPicPr>
                        <pic:blipFill>
                          <a:blip r:embed="rId88">
                            <a:lum/>
                          </a:blip>
                          <a:stretch>
                            <a:fillRect/>
                          </a:stretch>
                        </pic:blipFill>
                        <pic:spPr>
                          <a:xfrm>
                            <a:off x="0" y="0"/>
                            <a:ext cx="1066800" cy="7429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黄色串珠棒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材质榉木，塑料，金属。55根黄色串珠，认识数与量等量交换的概念，为进行银行游戏做准备。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6464" behindDoc="0" locked="0" layoutInCell="1" allowOverlap="1">
                  <wp:simplePos x="0" y="0"/>
                  <wp:positionH relativeFrom="column">
                    <wp:posOffset>161925</wp:posOffset>
                  </wp:positionH>
                  <wp:positionV relativeFrom="paragraph">
                    <wp:posOffset>132080</wp:posOffset>
                  </wp:positionV>
                  <wp:extent cx="1438910" cy="420370"/>
                  <wp:effectExtent l="0" t="0" r="8890" b="17780"/>
                  <wp:wrapNone/>
                  <wp:docPr id="49" name="Picture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_117"/>
                          <pic:cNvPicPr>
                            <a:picLocks noChangeAspect="1"/>
                          </pic:cNvPicPr>
                        </pic:nvPicPr>
                        <pic:blipFill>
                          <a:blip r:embed="rId89">
                            <a:lum/>
                          </a:blip>
                          <a:stretch>
                            <a:fillRect/>
                          </a:stretch>
                        </pic:blipFill>
                        <pic:spPr>
                          <a:xfrm>
                            <a:off x="0" y="0"/>
                            <a:ext cx="1438910" cy="4203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100串珠链</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材质塑料，金属。由10根（每根10颗珠）珠棒串成一条组成。培养儿童练习1-100以内连续数，并熟悉十进法，培养分析综合能力和独立思维能力。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7488" behindDoc="0" locked="0" layoutInCell="1" allowOverlap="1">
                  <wp:simplePos x="0" y="0"/>
                  <wp:positionH relativeFrom="column">
                    <wp:posOffset>334010</wp:posOffset>
                  </wp:positionH>
                  <wp:positionV relativeFrom="paragraph">
                    <wp:posOffset>83820</wp:posOffset>
                  </wp:positionV>
                  <wp:extent cx="1113155" cy="741680"/>
                  <wp:effectExtent l="0" t="0" r="10795" b="1270"/>
                  <wp:wrapNone/>
                  <wp:docPr id="50" name="Pictur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_30"/>
                          <pic:cNvPicPr>
                            <a:picLocks noChangeAspect="1"/>
                          </pic:cNvPicPr>
                        </pic:nvPicPr>
                        <pic:blipFill>
                          <a:blip r:embed="rId90">
                            <a:lum/>
                          </a:blip>
                          <a:stretch>
                            <a:fillRect/>
                          </a:stretch>
                        </pic:blipFill>
                        <pic:spPr>
                          <a:xfrm>
                            <a:off x="0" y="0"/>
                            <a:ext cx="1113155" cy="7416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1-100连续数板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儿童将活动数字卡片排列在一定的方格板上，认识1-100的排列并认识数的连续性。</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68512" behindDoc="0" locked="0" layoutInCell="1" allowOverlap="1">
                  <wp:simplePos x="0" y="0"/>
                  <wp:positionH relativeFrom="column">
                    <wp:posOffset>247015</wp:posOffset>
                  </wp:positionH>
                  <wp:positionV relativeFrom="paragraph">
                    <wp:posOffset>114300</wp:posOffset>
                  </wp:positionV>
                  <wp:extent cx="1067435" cy="438150"/>
                  <wp:effectExtent l="0" t="0" r="18415" b="0"/>
                  <wp:wrapNone/>
                  <wp:docPr id="51" name="Picture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_118"/>
                          <pic:cNvPicPr>
                            <a:picLocks noChangeAspect="1"/>
                          </pic:cNvPicPr>
                        </pic:nvPicPr>
                        <pic:blipFill>
                          <a:blip r:embed="rId91">
                            <a:lum/>
                          </a:blip>
                          <a:stretch>
                            <a:fillRect/>
                          </a:stretch>
                        </pic:blipFill>
                        <pic:spPr>
                          <a:xfrm>
                            <a:off x="0" y="0"/>
                            <a:ext cx="1067435" cy="4381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304800" cy="305435"/>
                  <wp:effectExtent l="0" t="0" r="0" b="0"/>
                  <wp:wrapNone/>
                  <wp:docPr id="52" name="AutoShap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utoShape_72"/>
                          <pic:cNvPicPr>
                            <a:picLocks noChangeAspect="1"/>
                          </pic:cNvPicPr>
                        </pic:nvPicPr>
                        <pic:blipFill>
                          <a:blip r:embed="rId92">
                            <a:lum/>
                          </a:blip>
                          <a:stretch>
                            <a:fillRect/>
                          </a:stretch>
                        </pic:blipFill>
                        <pic:spPr>
                          <a:xfrm>
                            <a:off x="0" y="0"/>
                            <a:ext cx="304800" cy="305435"/>
                          </a:xfrm>
                          <a:prstGeom prst="rect">
                            <a:avLst/>
                          </a:prstGeom>
                          <a:noFill/>
                          <a:ln>
                            <a:noFill/>
                          </a:ln>
                        </pic:spPr>
                      </pic:pic>
                    </a:graphicData>
                  </a:graphic>
                </wp:anchor>
              </w:drawing>
            </w: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304800" cy="305435"/>
                  <wp:effectExtent l="0" t="0" r="0" b="0"/>
                  <wp:wrapNone/>
                  <wp:docPr id="53" name="AutoShape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utoShape_70"/>
                          <pic:cNvPicPr>
                            <a:picLocks noChangeAspect="1"/>
                          </pic:cNvPicPr>
                        </pic:nvPicPr>
                        <pic:blipFill>
                          <a:blip r:embed="rId92">
                            <a:lum/>
                          </a:blip>
                          <a:stretch>
                            <a:fillRect/>
                          </a:stretch>
                        </pic:blipFill>
                        <pic:spPr>
                          <a:xfrm>
                            <a:off x="0" y="0"/>
                            <a:ext cx="304800" cy="305435"/>
                          </a:xfrm>
                          <a:prstGeom prst="rect">
                            <a:avLst/>
                          </a:prstGeom>
                          <a:noFill/>
                          <a:ln>
                            <a:noFill/>
                          </a:ln>
                        </pic:spPr>
                      </pic:pic>
                    </a:graphicData>
                  </a:graphic>
                </wp:anchor>
              </w:drawing>
            </w: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304800" cy="305435"/>
                  <wp:effectExtent l="0" t="0" r="0" b="0"/>
                  <wp:wrapNone/>
                  <wp:docPr id="54" name="AutoShape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utoShape_71"/>
                          <pic:cNvPicPr>
                            <a:picLocks noChangeAspect="1"/>
                          </pic:cNvPicPr>
                        </pic:nvPicPr>
                        <pic:blipFill>
                          <a:blip r:embed="rId92">
                            <a:lum/>
                          </a:blip>
                          <a:stretch>
                            <a:fillRect/>
                          </a:stretch>
                        </pic:blipFill>
                        <pic:spPr>
                          <a:xfrm>
                            <a:off x="0" y="0"/>
                            <a:ext cx="304800" cy="305435"/>
                          </a:xfrm>
                          <a:prstGeom prst="rect">
                            <a:avLst/>
                          </a:prstGeom>
                          <a:noFill/>
                          <a:ln>
                            <a:noFill/>
                          </a:ln>
                        </pic:spPr>
                      </pic:pic>
                    </a:graphicData>
                  </a:graphic>
                </wp:anchor>
              </w:drawing>
            </w:r>
            <w:r>
              <w:rPr>
                <w:rFonts w:hint="eastAsia" w:ascii="宋体" w:hAnsi="宋体" w:eastAsia="宋体" w:cs="宋体"/>
                <w:i w:val="0"/>
                <w:color w:val="auto"/>
                <w:kern w:val="0"/>
                <w:sz w:val="21"/>
                <w:szCs w:val="21"/>
                <w:highlight w:val="none"/>
                <w:u w:val="none"/>
                <w:lang w:val="en-US" w:eastAsia="zh-CN"/>
              </w:rPr>
              <w:t>立方体</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由1000颗边长为1厘米的立方块组成，学习立方的概念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2608" behindDoc="0" locked="0" layoutInCell="1" allowOverlap="1">
                  <wp:simplePos x="0" y="0"/>
                  <wp:positionH relativeFrom="column">
                    <wp:posOffset>276225</wp:posOffset>
                  </wp:positionH>
                  <wp:positionV relativeFrom="paragraph">
                    <wp:posOffset>104140</wp:posOffset>
                  </wp:positionV>
                  <wp:extent cx="1175385" cy="808355"/>
                  <wp:effectExtent l="0" t="0" r="5715" b="10795"/>
                  <wp:wrapNone/>
                  <wp:docPr id="55" name="Picture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_39"/>
                          <pic:cNvPicPr>
                            <a:picLocks noChangeAspect="1"/>
                          </pic:cNvPicPr>
                        </pic:nvPicPr>
                        <pic:blipFill>
                          <a:blip r:embed="rId93">
                            <a:lum/>
                          </a:blip>
                          <a:stretch>
                            <a:fillRect/>
                          </a:stretch>
                        </pic:blipFill>
                        <pic:spPr>
                          <a:xfrm>
                            <a:off x="0" y="0"/>
                            <a:ext cx="1175385" cy="8083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数字与筹码</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由55个圆片，10张1到10数字卡片组成。了解数与量的关系，认识奇数与偶数。</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3632" behindDoc="0" locked="0" layoutInCell="1" allowOverlap="1">
                  <wp:simplePos x="0" y="0"/>
                  <wp:positionH relativeFrom="column">
                    <wp:posOffset>285115</wp:posOffset>
                  </wp:positionH>
                  <wp:positionV relativeFrom="paragraph">
                    <wp:posOffset>86995</wp:posOffset>
                  </wp:positionV>
                  <wp:extent cx="1114425" cy="761365"/>
                  <wp:effectExtent l="0" t="0" r="9525" b="635"/>
                  <wp:wrapNone/>
                  <wp:docPr id="56" name="Picture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_40"/>
                          <pic:cNvPicPr>
                            <a:picLocks noChangeAspect="1"/>
                          </pic:cNvPicPr>
                        </pic:nvPicPr>
                        <pic:blipFill>
                          <a:blip r:embed="rId94">
                            <a:lum/>
                          </a:blip>
                          <a:stretch>
                            <a:fillRect/>
                          </a:stretch>
                        </pic:blipFill>
                        <pic:spPr>
                          <a:xfrm>
                            <a:off x="0" y="0"/>
                            <a:ext cx="1114425" cy="7613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苹果树</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地板上引用苹果树的团，在树冠上有插孔，可插入相配的苹果（红色小钮）</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4656" behindDoc="0" locked="0" layoutInCell="1" allowOverlap="1">
                  <wp:simplePos x="0" y="0"/>
                  <wp:positionH relativeFrom="column">
                    <wp:posOffset>361950</wp:posOffset>
                  </wp:positionH>
                  <wp:positionV relativeFrom="paragraph">
                    <wp:posOffset>85090</wp:posOffset>
                  </wp:positionV>
                  <wp:extent cx="981075" cy="524510"/>
                  <wp:effectExtent l="0" t="0" r="9525" b="8890"/>
                  <wp:wrapNone/>
                  <wp:docPr id="57" name="Pictur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_34"/>
                          <pic:cNvPicPr>
                            <a:picLocks noChangeAspect="1"/>
                          </pic:cNvPicPr>
                        </pic:nvPicPr>
                        <pic:blipFill>
                          <a:blip r:embed="rId95">
                            <a:lum/>
                          </a:blip>
                          <a:stretch>
                            <a:fillRect/>
                          </a:stretch>
                        </pic:blipFill>
                        <pic:spPr>
                          <a:xfrm>
                            <a:off x="0" y="0"/>
                            <a:ext cx="981075" cy="5245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小数数棒盒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盒里一共有九种颜色和长度的长方条，可用于计算和体积的变化</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5680" behindDoc="0" locked="0" layoutInCell="1" allowOverlap="1">
                  <wp:simplePos x="0" y="0"/>
                  <wp:positionH relativeFrom="column">
                    <wp:posOffset>333375</wp:posOffset>
                  </wp:positionH>
                  <wp:positionV relativeFrom="paragraph">
                    <wp:posOffset>115570</wp:posOffset>
                  </wp:positionV>
                  <wp:extent cx="1108075" cy="645795"/>
                  <wp:effectExtent l="0" t="0" r="15875" b="1905"/>
                  <wp:wrapNone/>
                  <wp:docPr id="58" name="Picture_3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_30_SpCnt_1"/>
                          <pic:cNvPicPr>
                            <a:picLocks noChangeAspect="1"/>
                          </pic:cNvPicPr>
                        </pic:nvPicPr>
                        <pic:blipFill>
                          <a:blip r:embed="rId96">
                            <a:lum/>
                          </a:blip>
                          <a:stretch>
                            <a:fillRect/>
                          </a:stretch>
                        </pic:blipFill>
                        <pic:spPr>
                          <a:xfrm>
                            <a:off x="0" y="0"/>
                            <a:ext cx="1108075" cy="6457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分解正方形的嵌板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一共9块，展示了正方形不同方法的平均分配</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6704" behindDoc="0" locked="0" layoutInCell="1" allowOverlap="1">
                  <wp:simplePos x="0" y="0"/>
                  <wp:positionH relativeFrom="column">
                    <wp:posOffset>28575</wp:posOffset>
                  </wp:positionH>
                  <wp:positionV relativeFrom="paragraph">
                    <wp:posOffset>38100</wp:posOffset>
                  </wp:positionV>
                  <wp:extent cx="1428750" cy="438150"/>
                  <wp:effectExtent l="0" t="0" r="0" b="0"/>
                  <wp:wrapNone/>
                  <wp:docPr id="59" name="Picture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_51"/>
                          <pic:cNvPicPr>
                            <a:picLocks noChangeAspect="1"/>
                          </pic:cNvPicPr>
                        </pic:nvPicPr>
                        <pic:blipFill>
                          <a:blip r:embed="rId97">
                            <a:lum/>
                          </a:blip>
                          <a:stretch>
                            <a:fillRect/>
                          </a:stretch>
                        </pic:blipFill>
                        <pic:spPr>
                          <a:xfrm>
                            <a:off x="0" y="0"/>
                            <a:ext cx="1428750" cy="4381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组合圆嵌板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一共10块嵌板，对应圆平均分成1-10份</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7728" behindDoc="0" locked="0" layoutInCell="1" allowOverlap="1">
                  <wp:simplePos x="0" y="0"/>
                  <wp:positionH relativeFrom="column">
                    <wp:posOffset>180340</wp:posOffset>
                  </wp:positionH>
                  <wp:positionV relativeFrom="paragraph">
                    <wp:posOffset>76200</wp:posOffset>
                  </wp:positionV>
                  <wp:extent cx="1402715" cy="590550"/>
                  <wp:effectExtent l="0" t="0" r="6985" b="0"/>
                  <wp:wrapNone/>
                  <wp:docPr id="60" name="Picture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_50"/>
                          <pic:cNvPicPr>
                            <a:picLocks noChangeAspect="1"/>
                          </pic:cNvPicPr>
                        </pic:nvPicPr>
                        <pic:blipFill>
                          <a:blip r:embed="rId98">
                            <a:lum/>
                          </a:blip>
                          <a:stretch>
                            <a:fillRect/>
                          </a:stretch>
                        </pic:blipFill>
                        <pic:spPr>
                          <a:xfrm>
                            <a:off x="0" y="0"/>
                            <a:ext cx="1402715" cy="5905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数字分割拼图</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按数字分成相应块数的正方板，一共10块，对应1-10份</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8752" behindDoc="0" locked="0" layoutInCell="1" allowOverlap="1">
                  <wp:simplePos x="0" y="0"/>
                  <wp:positionH relativeFrom="column">
                    <wp:posOffset>551815</wp:posOffset>
                  </wp:positionH>
                  <wp:positionV relativeFrom="paragraph">
                    <wp:posOffset>132080</wp:posOffset>
                  </wp:positionV>
                  <wp:extent cx="733425" cy="411480"/>
                  <wp:effectExtent l="0" t="0" r="9525" b="7620"/>
                  <wp:wrapNone/>
                  <wp:docPr id="61" name="Picture_3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_33_SpCnt_1"/>
                          <pic:cNvPicPr>
                            <a:picLocks noChangeAspect="1"/>
                          </pic:cNvPicPr>
                        </pic:nvPicPr>
                        <pic:blipFill>
                          <a:blip r:embed="rId99">
                            <a:lum/>
                          </a:blip>
                          <a:stretch>
                            <a:fillRect/>
                          </a:stretch>
                        </pic:blipFill>
                        <pic:spPr>
                          <a:xfrm>
                            <a:off x="0" y="0"/>
                            <a:ext cx="733425" cy="4114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5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72人，头身腿拼图</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软体布艺，拥有极多的不同面庞，肤色，服装的48块正方形布艺积木，可练习孩子的逻辑性，对服装，职业，人种，民族，年龄等认知。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79776" behindDoc="0" locked="0" layoutInCell="1" allowOverlap="1">
                  <wp:simplePos x="0" y="0"/>
                  <wp:positionH relativeFrom="column">
                    <wp:posOffset>238125</wp:posOffset>
                  </wp:positionH>
                  <wp:positionV relativeFrom="paragraph">
                    <wp:posOffset>114300</wp:posOffset>
                  </wp:positionV>
                  <wp:extent cx="1047750" cy="715010"/>
                  <wp:effectExtent l="0" t="0" r="0" b="8890"/>
                  <wp:wrapNone/>
                  <wp:docPr id="62"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_6"/>
                          <pic:cNvPicPr>
                            <a:picLocks noChangeAspect="1"/>
                          </pic:cNvPicPr>
                        </pic:nvPicPr>
                        <pic:blipFill>
                          <a:blip r:embed="rId100">
                            <a:lum/>
                          </a:blip>
                          <a:stretch>
                            <a:fillRect/>
                          </a:stretch>
                        </pic:blipFill>
                        <pic:spPr>
                          <a:xfrm>
                            <a:off x="0" y="0"/>
                            <a:ext cx="1047750" cy="7150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立体四子棋</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由16组64颗棋子组成，分成两组，锻炼观察与逻辑分析能力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0800" behindDoc="0" locked="0" layoutInCell="1" allowOverlap="1">
                  <wp:simplePos x="0" y="0"/>
                  <wp:positionH relativeFrom="column">
                    <wp:posOffset>419100</wp:posOffset>
                  </wp:positionH>
                  <wp:positionV relativeFrom="paragraph">
                    <wp:posOffset>104140</wp:posOffset>
                  </wp:positionV>
                  <wp:extent cx="914400" cy="638810"/>
                  <wp:effectExtent l="0" t="0" r="0" b="8890"/>
                  <wp:wrapNone/>
                  <wp:docPr id="63" name="Pictur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_12"/>
                          <pic:cNvPicPr>
                            <a:picLocks noChangeAspect="1"/>
                          </pic:cNvPicPr>
                        </pic:nvPicPr>
                        <pic:blipFill>
                          <a:blip r:embed="rId101">
                            <a:lum/>
                          </a:blip>
                          <a:stretch>
                            <a:fillRect/>
                          </a:stretch>
                        </pic:blipFill>
                        <pic:spPr>
                          <a:xfrm>
                            <a:off x="0" y="0"/>
                            <a:ext cx="914400" cy="6388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分解三角形嵌板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四片三角拼图，分别是一个三角形，一个三角形分成2个三角形，一个三角形分成3个三角形，一个三角形分成4个三角形</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1824" behindDoc="0" locked="0" layoutInCell="1" allowOverlap="1">
                  <wp:simplePos x="0" y="0"/>
                  <wp:positionH relativeFrom="column">
                    <wp:posOffset>28575</wp:posOffset>
                  </wp:positionH>
                  <wp:positionV relativeFrom="paragraph">
                    <wp:posOffset>218440</wp:posOffset>
                  </wp:positionV>
                  <wp:extent cx="1410335" cy="323215"/>
                  <wp:effectExtent l="0" t="0" r="18415" b="635"/>
                  <wp:wrapNone/>
                  <wp:docPr id="64" name="Picture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_52"/>
                          <pic:cNvPicPr>
                            <a:picLocks noChangeAspect="1"/>
                          </pic:cNvPicPr>
                        </pic:nvPicPr>
                        <pic:blipFill>
                          <a:blip r:embed="rId102">
                            <a:lum/>
                          </a:blip>
                          <a:stretch>
                            <a:fillRect/>
                          </a:stretch>
                        </pic:blipFill>
                        <pic:spPr>
                          <a:xfrm>
                            <a:off x="0" y="0"/>
                            <a:ext cx="1410335" cy="3232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分解圆</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可练习圆的平均分成最多10份的木质片组成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2848" behindDoc="0" locked="0" layoutInCell="1" allowOverlap="1">
                  <wp:simplePos x="0" y="0"/>
                  <wp:positionH relativeFrom="column">
                    <wp:posOffset>551815</wp:posOffset>
                  </wp:positionH>
                  <wp:positionV relativeFrom="paragraph">
                    <wp:posOffset>38100</wp:posOffset>
                  </wp:positionV>
                  <wp:extent cx="666750" cy="583565"/>
                  <wp:effectExtent l="0" t="0" r="0" b="6985"/>
                  <wp:wrapNone/>
                  <wp:docPr id="65" name="Picture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_45"/>
                          <pic:cNvPicPr>
                            <a:picLocks noChangeAspect="1"/>
                          </pic:cNvPicPr>
                        </pic:nvPicPr>
                        <pic:blipFill>
                          <a:blip r:embed="rId103">
                            <a:lum/>
                          </a:blip>
                          <a:stretch>
                            <a:fillRect/>
                          </a:stretch>
                        </pic:blipFill>
                        <pic:spPr>
                          <a:xfrm>
                            <a:off x="0" y="0"/>
                            <a:ext cx="666750" cy="5835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算数尺</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由标有1公分刻度的尺子组成，可进行加减法的运算。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3872" behindDoc="0" locked="0" layoutInCell="1" allowOverlap="1">
                  <wp:simplePos x="0" y="0"/>
                  <wp:positionH relativeFrom="column">
                    <wp:posOffset>257175</wp:posOffset>
                  </wp:positionH>
                  <wp:positionV relativeFrom="paragraph">
                    <wp:posOffset>125095</wp:posOffset>
                  </wp:positionV>
                  <wp:extent cx="1181100" cy="801370"/>
                  <wp:effectExtent l="0" t="0" r="0" b="17780"/>
                  <wp:wrapNone/>
                  <wp:docPr id="66" name="Picture_51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_51_SpCnt_1"/>
                          <pic:cNvPicPr>
                            <a:picLocks noChangeAspect="1"/>
                          </pic:cNvPicPr>
                        </pic:nvPicPr>
                        <pic:blipFill>
                          <a:blip r:embed="rId104">
                            <a:lum/>
                          </a:blip>
                          <a:stretch>
                            <a:fillRect/>
                          </a:stretch>
                        </pic:blipFill>
                        <pic:spPr>
                          <a:xfrm>
                            <a:off x="0" y="0"/>
                            <a:ext cx="1181100" cy="8013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立体连接方块</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由底板和一盒可拼插的方块组成、通过在底板上拼插方块来组成立体图形。</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4896" behindDoc="0" locked="0" layoutInCell="1" allowOverlap="1">
                  <wp:simplePos x="0" y="0"/>
                  <wp:positionH relativeFrom="column">
                    <wp:posOffset>361950</wp:posOffset>
                  </wp:positionH>
                  <wp:positionV relativeFrom="paragraph">
                    <wp:posOffset>94615</wp:posOffset>
                  </wp:positionV>
                  <wp:extent cx="1031875" cy="596265"/>
                  <wp:effectExtent l="0" t="0" r="15875" b="13335"/>
                  <wp:wrapNone/>
                  <wp:docPr id="67" name="Pictur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_7"/>
                          <pic:cNvPicPr>
                            <a:picLocks noChangeAspect="1"/>
                          </pic:cNvPicPr>
                        </pic:nvPicPr>
                        <pic:blipFill>
                          <a:blip r:embed="rId105">
                            <a:lum/>
                          </a:blip>
                          <a:stretch>
                            <a:fillRect/>
                          </a:stretch>
                        </pic:blipFill>
                        <pic:spPr>
                          <a:xfrm>
                            <a:off x="0" y="0"/>
                            <a:ext cx="1031875" cy="5962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不规则拼盘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由不规则几何图形嵌板组成，认识几何图形与锻炼观察能力。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5920" behindDoc="0" locked="0" layoutInCell="1" allowOverlap="1">
                  <wp:simplePos x="0" y="0"/>
                  <wp:positionH relativeFrom="column">
                    <wp:posOffset>257810</wp:posOffset>
                  </wp:positionH>
                  <wp:positionV relativeFrom="paragraph">
                    <wp:posOffset>38100</wp:posOffset>
                  </wp:positionV>
                  <wp:extent cx="1037590" cy="673735"/>
                  <wp:effectExtent l="0" t="0" r="10160" b="12065"/>
                  <wp:wrapNone/>
                  <wp:docPr id="68" name="Picture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_59"/>
                          <pic:cNvPicPr>
                            <a:picLocks noChangeAspect="1"/>
                          </pic:cNvPicPr>
                        </pic:nvPicPr>
                        <pic:blipFill>
                          <a:blip r:embed="rId106">
                            <a:lum/>
                          </a:blip>
                          <a:stretch>
                            <a:fillRect/>
                          </a:stretch>
                        </pic:blipFill>
                        <pic:spPr>
                          <a:xfrm>
                            <a:off x="0" y="0"/>
                            <a:ext cx="1037590" cy="6737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十进位组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材质；塑料，由1公分方块与10块连接条，以及10平方连接块组成，学习十进制制的关系。</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6944" behindDoc="0" locked="0" layoutInCell="1" allowOverlap="1">
                  <wp:simplePos x="0" y="0"/>
                  <wp:positionH relativeFrom="column">
                    <wp:posOffset>247015</wp:posOffset>
                  </wp:positionH>
                  <wp:positionV relativeFrom="paragraph">
                    <wp:posOffset>93980</wp:posOffset>
                  </wp:positionV>
                  <wp:extent cx="1094740" cy="726440"/>
                  <wp:effectExtent l="0" t="0" r="10160" b="16510"/>
                  <wp:wrapNone/>
                  <wp:docPr id="69" name="Picture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_63"/>
                          <pic:cNvPicPr>
                            <a:picLocks noChangeAspect="1"/>
                          </pic:cNvPicPr>
                        </pic:nvPicPr>
                        <pic:blipFill>
                          <a:blip r:embed="rId107">
                            <a:lum/>
                          </a:blip>
                          <a:stretch>
                            <a:fillRect/>
                          </a:stretch>
                        </pic:blipFill>
                        <pic:spPr>
                          <a:xfrm>
                            <a:off x="0" y="0"/>
                            <a:ext cx="1094740" cy="7264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5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长棒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由10根红色方长棒组成。透过触觉、视觉的辨别，在知觉上对长度的差别有正确的了解，发展手、眼与肌肉的协调性；数学教育（量，基本运算、十进制元、分制系统）的直接准备教具。</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7968" behindDoc="0" locked="0" layoutInCell="1" allowOverlap="1">
                  <wp:simplePos x="0" y="0"/>
                  <wp:positionH relativeFrom="column">
                    <wp:posOffset>409575</wp:posOffset>
                  </wp:positionH>
                  <wp:positionV relativeFrom="paragraph">
                    <wp:posOffset>38735</wp:posOffset>
                  </wp:positionV>
                  <wp:extent cx="1162050" cy="804545"/>
                  <wp:effectExtent l="0" t="0" r="0" b="14605"/>
                  <wp:wrapNone/>
                  <wp:docPr id="70" name="Pictur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_14"/>
                          <pic:cNvPicPr>
                            <a:picLocks noChangeAspect="1"/>
                          </pic:cNvPicPr>
                        </pic:nvPicPr>
                        <pic:blipFill>
                          <a:blip r:embed="rId108">
                            <a:lum/>
                          </a:blip>
                          <a:stretch>
                            <a:fillRect/>
                          </a:stretch>
                        </pic:blipFill>
                        <pic:spPr>
                          <a:xfrm>
                            <a:off x="0" y="0"/>
                            <a:ext cx="1162050" cy="8045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加、减法板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加数最大为9的加法练习，熟练后可导入加法心算；用于呈现被减数最到为18的减法运算练习，熟练后可导入减法心算。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88992" behindDoc="0" locked="0" layoutInCell="1" allowOverlap="1">
                  <wp:simplePos x="0" y="0"/>
                  <wp:positionH relativeFrom="column">
                    <wp:posOffset>257810</wp:posOffset>
                  </wp:positionH>
                  <wp:positionV relativeFrom="paragraph">
                    <wp:posOffset>58420</wp:posOffset>
                  </wp:positionV>
                  <wp:extent cx="1247775" cy="857885"/>
                  <wp:effectExtent l="0" t="0" r="9525" b="18415"/>
                  <wp:wrapNone/>
                  <wp:docPr id="71" name="Picture_36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_36_SpCnt_1"/>
                          <pic:cNvPicPr>
                            <a:picLocks noChangeAspect="1"/>
                          </pic:cNvPicPr>
                        </pic:nvPicPr>
                        <pic:blipFill>
                          <a:blip r:embed="rId109">
                            <a:lum/>
                          </a:blip>
                          <a:stretch>
                            <a:fillRect/>
                          </a:stretch>
                        </pic:blipFill>
                        <pic:spPr>
                          <a:xfrm>
                            <a:off x="0" y="0"/>
                            <a:ext cx="1247775" cy="8578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算术天平组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由天平、木棍与彩色串珠组成，学习数量、加减与平衡的关系。</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0016" behindDoc="0" locked="0" layoutInCell="1" allowOverlap="1">
                  <wp:simplePos x="0" y="0"/>
                  <wp:positionH relativeFrom="column">
                    <wp:posOffset>342265</wp:posOffset>
                  </wp:positionH>
                  <wp:positionV relativeFrom="paragraph">
                    <wp:posOffset>76200</wp:posOffset>
                  </wp:positionV>
                  <wp:extent cx="1049020" cy="779145"/>
                  <wp:effectExtent l="0" t="0" r="17780" b="1905"/>
                  <wp:wrapNone/>
                  <wp:docPr id="72" name="Picture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_113"/>
                          <pic:cNvPicPr>
                            <a:picLocks noChangeAspect="1"/>
                          </pic:cNvPicPr>
                        </pic:nvPicPr>
                        <pic:blipFill>
                          <a:blip r:embed="rId110">
                            <a:lum/>
                          </a:blip>
                          <a:stretch>
                            <a:fillRect/>
                          </a:stretch>
                        </pic:blipFill>
                        <pic:spPr>
                          <a:xfrm>
                            <a:off x="0" y="0"/>
                            <a:ext cx="1049020" cy="7791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1公分方块组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由10块刻有1-10cm;11-20cm……91-100cm的塑料尺组成，可互相连接，学习加减运算方法</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1040" behindDoc="0" locked="0" layoutInCell="1" allowOverlap="1">
                  <wp:simplePos x="0" y="0"/>
                  <wp:positionH relativeFrom="column">
                    <wp:posOffset>295910</wp:posOffset>
                  </wp:positionH>
                  <wp:positionV relativeFrom="paragraph">
                    <wp:posOffset>76200</wp:posOffset>
                  </wp:positionV>
                  <wp:extent cx="1203325" cy="729615"/>
                  <wp:effectExtent l="0" t="0" r="15875" b="13335"/>
                  <wp:wrapNone/>
                  <wp:docPr id="73" name="Picture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_60"/>
                          <pic:cNvPicPr>
                            <a:picLocks noChangeAspect="1"/>
                          </pic:cNvPicPr>
                        </pic:nvPicPr>
                        <pic:blipFill>
                          <a:blip r:embed="rId111">
                            <a:lum/>
                          </a:blip>
                          <a:stretch>
                            <a:fillRect/>
                          </a:stretch>
                        </pic:blipFill>
                        <pic:spPr>
                          <a:xfrm>
                            <a:off x="0" y="0"/>
                            <a:ext cx="1203325" cy="7296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数数棒组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由10对由长度1到10变化的彩色小木棍组成，学习0-10的概念、10以内的加减法</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2064" behindDoc="0" locked="0" layoutInCell="1" allowOverlap="1">
                  <wp:simplePos x="0" y="0"/>
                  <wp:positionH relativeFrom="column">
                    <wp:posOffset>229235</wp:posOffset>
                  </wp:positionH>
                  <wp:positionV relativeFrom="paragraph">
                    <wp:posOffset>48895</wp:posOffset>
                  </wp:positionV>
                  <wp:extent cx="1276350" cy="876300"/>
                  <wp:effectExtent l="0" t="0" r="0" b="0"/>
                  <wp:wrapNone/>
                  <wp:docPr id="74" name="Picture_4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_49_SpCnt_1"/>
                          <pic:cNvPicPr>
                            <a:picLocks noChangeAspect="1"/>
                          </pic:cNvPicPr>
                        </pic:nvPicPr>
                        <pic:blipFill>
                          <a:blip r:embed="rId112">
                            <a:lum/>
                          </a:blip>
                          <a:stretch>
                            <a:fillRect/>
                          </a:stretch>
                        </pic:blipFill>
                        <pic:spPr>
                          <a:xfrm>
                            <a:off x="0" y="0"/>
                            <a:ext cx="1276350" cy="8763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5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加减乘除巨陈盘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由10檔彩色算珠组成，每檔10个算珠，学习加减乘除。颜色变化为个位绿色，十位蓝色，百位红色，千位绿色，万位蓝色，以此类推。对应官方数字每隔三位数一个逗号的隔断。</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3088" behindDoc="0" locked="0" layoutInCell="1" allowOverlap="1">
                  <wp:simplePos x="0" y="0"/>
                  <wp:positionH relativeFrom="column">
                    <wp:posOffset>334010</wp:posOffset>
                  </wp:positionH>
                  <wp:positionV relativeFrom="paragraph">
                    <wp:posOffset>104140</wp:posOffset>
                  </wp:positionV>
                  <wp:extent cx="1091565" cy="747395"/>
                  <wp:effectExtent l="0" t="0" r="13335" b="14605"/>
                  <wp:wrapNone/>
                  <wp:docPr id="75" name="Picture_48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_48_SpCnt_1"/>
                          <pic:cNvPicPr>
                            <a:picLocks noChangeAspect="1"/>
                          </pic:cNvPicPr>
                        </pic:nvPicPr>
                        <pic:blipFill>
                          <a:blip r:embed="rId113">
                            <a:lum/>
                          </a:blip>
                          <a:stretch>
                            <a:fillRect/>
                          </a:stretch>
                        </pic:blipFill>
                        <pic:spPr>
                          <a:xfrm>
                            <a:off x="0" y="0"/>
                            <a:ext cx="1091565" cy="7473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彩色小数棒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学习0-10的概念、10以内的加减法。</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4112" behindDoc="0" locked="0" layoutInCell="1" allowOverlap="1">
                  <wp:simplePos x="0" y="0"/>
                  <wp:positionH relativeFrom="column">
                    <wp:posOffset>391160</wp:posOffset>
                  </wp:positionH>
                  <wp:positionV relativeFrom="paragraph">
                    <wp:posOffset>38100</wp:posOffset>
                  </wp:positionV>
                  <wp:extent cx="1383665" cy="913130"/>
                  <wp:effectExtent l="0" t="0" r="6985" b="1270"/>
                  <wp:wrapNone/>
                  <wp:docPr id="76" name="Picture_5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_50_SpCnt_1"/>
                          <pic:cNvPicPr>
                            <a:picLocks noChangeAspect="1"/>
                          </pic:cNvPicPr>
                        </pic:nvPicPr>
                        <pic:blipFill>
                          <a:blip r:embed="rId114">
                            <a:lum/>
                          </a:blip>
                          <a:stretch>
                            <a:fillRect/>
                          </a:stretch>
                        </pic:blipFill>
                        <pic:spPr>
                          <a:xfrm>
                            <a:off x="0" y="0"/>
                            <a:ext cx="1383665" cy="9131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几何图形板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由10对由长度1到10变化的彩色小木棍组成，对应长度上印有阿拉伯数字和英文数字，学习0-10的概念、10以内的加减法</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5136" behindDoc="0" locked="0" layoutInCell="1" allowOverlap="1">
                  <wp:simplePos x="0" y="0"/>
                  <wp:positionH relativeFrom="column">
                    <wp:posOffset>314325</wp:posOffset>
                  </wp:positionH>
                  <wp:positionV relativeFrom="paragraph">
                    <wp:posOffset>266700</wp:posOffset>
                  </wp:positionV>
                  <wp:extent cx="1144270" cy="742950"/>
                  <wp:effectExtent l="0" t="0" r="17780" b="0"/>
                  <wp:wrapNone/>
                  <wp:docPr id="77" name="Picture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_115"/>
                          <pic:cNvPicPr>
                            <a:picLocks noChangeAspect="1"/>
                          </pic:cNvPicPr>
                        </pic:nvPicPr>
                        <pic:blipFill>
                          <a:blip r:embed="rId115">
                            <a:lum/>
                          </a:blip>
                          <a:stretch>
                            <a:fillRect/>
                          </a:stretch>
                        </pic:blipFill>
                        <pic:spPr>
                          <a:xfrm>
                            <a:off x="0" y="0"/>
                            <a:ext cx="1144270" cy="7429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数数看</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 由1-5彩色算珠架组成。可进行分类、集合、分解、量的学习。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6160" behindDoc="0" locked="0" layoutInCell="1" allowOverlap="1">
                  <wp:simplePos x="0" y="0"/>
                  <wp:positionH relativeFrom="column">
                    <wp:posOffset>180340</wp:posOffset>
                  </wp:positionH>
                  <wp:positionV relativeFrom="paragraph">
                    <wp:posOffset>93980</wp:posOffset>
                  </wp:positionV>
                  <wp:extent cx="1113155" cy="744220"/>
                  <wp:effectExtent l="0" t="0" r="10795" b="17780"/>
                  <wp:wrapNone/>
                  <wp:docPr id="78" name="Picture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_66"/>
                          <pic:cNvPicPr>
                            <a:picLocks noChangeAspect="1"/>
                          </pic:cNvPicPr>
                        </pic:nvPicPr>
                        <pic:blipFill>
                          <a:blip r:embed="rId116">
                            <a:lum/>
                          </a:blip>
                          <a:stretch>
                            <a:fillRect/>
                          </a:stretch>
                        </pic:blipFill>
                        <pic:spPr>
                          <a:xfrm>
                            <a:off x="0" y="0"/>
                            <a:ext cx="1113155" cy="7442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组合几何盘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由正5边形、正方形、正三角形、长方形与圆形的面积分解组合，学习分数、面积的关系。</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7184" behindDoc="0" locked="0" layoutInCell="1" allowOverlap="1">
                  <wp:simplePos x="0" y="0"/>
                  <wp:positionH relativeFrom="column">
                    <wp:posOffset>152400</wp:posOffset>
                  </wp:positionH>
                  <wp:positionV relativeFrom="paragraph">
                    <wp:posOffset>67945</wp:posOffset>
                  </wp:positionV>
                  <wp:extent cx="1265555" cy="846455"/>
                  <wp:effectExtent l="0" t="0" r="10795" b="10795"/>
                  <wp:wrapNone/>
                  <wp:docPr id="79" name="Picture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_65"/>
                          <pic:cNvPicPr>
                            <a:picLocks noChangeAspect="1"/>
                          </pic:cNvPicPr>
                        </pic:nvPicPr>
                        <pic:blipFill>
                          <a:blip r:embed="rId117">
                            <a:lum/>
                          </a:blip>
                          <a:stretch>
                            <a:fillRect/>
                          </a:stretch>
                        </pic:blipFill>
                        <pic:spPr>
                          <a:xfrm>
                            <a:off x="0" y="0"/>
                            <a:ext cx="1265555" cy="8464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圆形分数板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由彩色23片圆形分数板、1个双面钉板组成。认识分数，了解部分与整体的关系，增进组合概念。利用钉板背面，配二长短、颜色不同的橡皮筋，可发挥幼儿的想象力与创造力。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8208" behindDoc="0" locked="0" layoutInCell="1" allowOverlap="1">
                  <wp:simplePos x="0" y="0"/>
                  <wp:positionH relativeFrom="column">
                    <wp:posOffset>223520</wp:posOffset>
                  </wp:positionH>
                  <wp:positionV relativeFrom="paragraph">
                    <wp:posOffset>189865</wp:posOffset>
                  </wp:positionV>
                  <wp:extent cx="1146810" cy="760095"/>
                  <wp:effectExtent l="0" t="0" r="15240" b="1905"/>
                  <wp:wrapNone/>
                  <wp:docPr id="80" name="Picture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_53"/>
                          <pic:cNvPicPr>
                            <a:picLocks noChangeAspect="1"/>
                          </pic:cNvPicPr>
                        </pic:nvPicPr>
                        <pic:blipFill>
                          <a:blip r:embed="rId118">
                            <a:lum/>
                          </a:blip>
                          <a:stretch>
                            <a:fillRect/>
                          </a:stretch>
                        </pic:blipFill>
                        <pic:spPr>
                          <a:xfrm>
                            <a:off x="0" y="0"/>
                            <a:ext cx="1146810" cy="7600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几何体阶梯</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六边形，三角，长方，正方，圆形5组，颜色也分5组可作颜色分类，几何图形，感官学习，高→低比较、排序。</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1999232" behindDoc="0" locked="0" layoutInCell="1" allowOverlap="1">
                  <wp:simplePos x="0" y="0"/>
                  <wp:positionH relativeFrom="column">
                    <wp:posOffset>285115</wp:posOffset>
                  </wp:positionH>
                  <wp:positionV relativeFrom="paragraph">
                    <wp:posOffset>38100</wp:posOffset>
                  </wp:positionV>
                  <wp:extent cx="1301750" cy="875030"/>
                  <wp:effectExtent l="0" t="0" r="12700" b="1270"/>
                  <wp:wrapNone/>
                  <wp:docPr id="81" name="Picture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_64"/>
                          <pic:cNvPicPr>
                            <a:picLocks noChangeAspect="1"/>
                          </pic:cNvPicPr>
                        </pic:nvPicPr>
                        <pic:blipFill>
                          <a:blip r:embed="rId119">
                            <a:lum/>
                          </a:blip>
                          <a:stretch>
                            <a:fillRect/>
                          </a:stretch>
                        </pic:blipFill>
                        <pic:spPr>
                          <a:xfrm>
                            <a:off x="0" y="0"/>
                            <a:ext cx="1301750" cy="8750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分解几何盘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由1个木座、9组多种几何图形组成。是进入分数的预备。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0256" behindDoc="0" locked="0" layoutInCell="1" allowOverlap="1">
                  <wp:simplePos x="0" y="0"/>
                  <wp:positionH relativeFrom="column">
                    <wp:posOffset>504825</wp:posOffset>
                  </wp:positionH>
                  <wp:positionV relativeFrom="paragraph">
                    <wp:posOffset>38100</wp:posOffset>
                  </wp:positionV>
                  <wp:extent cx="1266190" cy="857885"/>
                  <wp:effectExtent l="0" t="0" r="10160" b="18415"/>
                  <wp:wrapNone/>
                  <wp:docPr id="82" name="Picture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_55"/>
                          <pic:cNvPicPr>
                            <a:picLocks noChangeAspect="1"/>
                          </pic:cNvPicPr>
                        </pic:nvPicPr>
                        <pic:blipFill>
                          <a:blip r:embed="rId120">
                            <a:lum/>
                          </a:blip>
                          <a:stretch>
                            <a:fillRect/>
                          </a:stretch>
                        </pic:blipFill>
                        <pic:spPr>
                          <a:xfrm>
                            <a:off x="0" y="0"/>
                            <a:ext cx="1266190" cy="8578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四方拼盘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由三角形、正方形、平行四边形木块组成，学习几何图形与关系。</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1280" behindDoc="0" locked="0" layoutInCell="1" allowOverlap="1">
                  <wp:simplePos x="0" y="0"/>
                  <wp:positionH relativeFrom="column">
                    <wp:posOffset>362585</wp:posOffset>
                  </wp:positionH>
                  <wp:positionV relativeFrom="paragraph">
                    <wp:posOffset>38100</wp:posOffset>
                  </wp:positionV>
                  <wp:extent cx="1181100" cy="485775"/>
                  <wp:effectExtent l="0" t="0" r="0" b="9525"/>
                  <wp:wrapNone/>
                  <wp:docPr id="83" name="Picture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_121"/>
                          <pic:cNvPicPr>
                            <a:picLocks noChangeAspect="1"/>
                          </pic:cNvPicPr>
                        </pic:nvPicPr>
                        <pic:blipFill>
                          <a:blip r:embed="rId121">
                            <a:lum/>
                          </a:blip>
                          <a:stretch>
                            <a:fillRect/>
                          </a:stretch>
                        </pic:blipFill>
                        <pic:spPr>
                          <a:xfrm>
                            <a:off x="0" y="0"/>
                            <a:ext cx="1181100" cy="4857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活动字母箱</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由26个字母和一个底盘组成，熟悉字母，练习单词的拼写。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2304" behindDoc="0" locked="0" layoutInCell="1" allowOverlap="1">
                  <wp:simplePos x="0" y="0"/>
                  <wp:positionH relativeFrom="column">
                    <wp:posOffset>104775</wp:posOffset>
                  </wp:positionH>
                  <wp:positionV relativeFrom="paragraph">
                    <wp:posOffset>96520</wp:posOffset>
                  </wp:positionV>
                  <wp:extent cx="1113155" cy="742950"/>
                  <wp:effectExtent l="0" t="0" r="10795" b="0"/>
                  <wp:wrapNone/>
                  <wp:docPr id="84" name="Picture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_70"/>
                          <pic:cNvPicPr>
                            <a:picLocks noChangeAspect="1"/>
                          </pic:cNvPicPr>
                        </pic:nvPicPr>
                        <pic:blipFill>
                          <a:blip r:embed="rId122">
                            <a:lum/>
                          </a:blip>
                          <a:stretch>
                            <a:fillRect/>
                          </a:stretch>
                        </pic:blipFill>
                        <pic:spPr>
                          <a:xfrm>
                            <a:off x="0" y="0"/>
                            <a:ext cx="1113155" cy="7429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双字母砂纸板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熟悉汉语拼音的组成及发音，练习书写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3328" behindDoc="0" locked="0" layoutInCell="1" allowOverlap="1">
                  <wp:simplePos x="0" y="0"/>
                  <wp:positionH relativeFrom="column">
                    <wp:posOffset>248285</wp:posOffset>
                  </wp:positionH>
                  <wp:positionV relativeFrom="paragraph">
                    <wp:posOffset>76200</wp:posOffset>
                  </wp:positionV>
                  <wp:extent cx="1209040" cy="800735"/>
                  <wp:effectExtent l="0" t="0" r="10160" b="18415"/>
                  <wp:wrapNone/>
                  <wp:docPr id="85" name="Picture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_67"/>
                          <pic:cNvPicPr>
                            <a:picLocks noChangeAspect="1"/>
                          </pic:cNvPicPr>
                        </pic:nvPicPr>
                        <pic:blipFill>
                          <a:blip r:embed="rId123">
                            <a:lum/>
                          </a:blip>
                          <a:stretch>
                            <a:fillRect/>
                          </a:stretch>
                        </pic:blipFill>
                        <pic:spPr>
                          <a:xfrm>
                            <a:off x="0" y="0"/>
                            <a:ext cx="1209040" cy="8007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砂纸字母板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由大小写砂纸字母板各26块组成。通过触摸认识英文字母，为书写做预备。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4352" behindDoc="0" locked="0" layoutInCell="1" allowOverlap="1">
                  <wp:simplePos x="0" y="0"/>
                  <wp:positionH relativeFrom="column">
                    <wp:posOffset>486410</wp:posOffset>
                  </wp:positionH>
                  <wp:positionV relativeFrom="paragraph">
                    <wp:posOffset>104140</wp:posOffset>
                  </wp:positionV>
                  <wp:extent cx="885825" cy="638175"/>
                  <wp:effectExtent l="0" t="0" r="9525" b="9525"/>
                  <wp:wrapNone/>
                  <wp:docPr id="86" name="Picture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_69"/>
                          <pic:cNvPicPr>
                            <a:picLocks noChangeAspect="1"/>
                          </pic:cNvPicPr>
                        </pic:nvPicPr>
                        <pic:blipFill>
                          <a:blip r:embed="rId124">
                            <a:lum/>
                          </a:blip>
                          <a:stretch>
                            <a:fillRect/>
                          </a:stretch>
                        </pic:blipFill>
                        <pic:spPr>
                          <a:xfrm>
                            <a:off x="0" y="0"/>
                            <a:ext cx="885825" cy="6381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拼音结构练习</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练习汉语拼音的正确组合，掌握拼音拼读规</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5376" behindDoc="0" locked="0" layoutInCell="1" allowOverlap="1">
                  <wp:simplePos x="0" y="0"/>
                  <wp:positionH relativeFrom="column">
                    <wp:posOffset>389890</wp:posOffset>
                  </wp:positionH>
                  <wp:positionV relativeFrom="paragraph">
                    <wp:posOffset>114300</wp:posOffset>
                  </wp:positionV>
                  <wp:extent cx="989965" cy="687070"/>
                  <wp:effectExtent l="0" t="0" r="635" b="17780"/>
                  <wp:wrapNone/>
                  <wp:docPr id="87" name="Picture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_71"/>
                          <pic:cNvPicPr>
                            <a:picLocks noChangeAspect="1"/>
                          </pic:cNvPicPr>
                        </pic:nvPicPr>
                        <pic:blipFill>
                          <a:blip r:embed="rId125">
                            <a:lum/>
                          </a:blip>
                          <a:stretch>
                            <a:fillRect/>
                          </a:stretch>
                        </pic:blipFill>
                        <pic:spPr>
                          <a:xfrm>
                            <a:off x="0" y="0"/>
                            <a:ext cx="989965" cy="6870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印刷字母卡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由大小写印刷字母各5套、布袋2个组成（照片仅供参考）。认识英文字母大小写的印刷体。</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6400" behindDoc="0" locked="0" layoutInCell="1" allowOverlap="1">
                  <wp:simplePos x="0" y="0"/>
                  <wp:positionH relativeFrom="column">
                    <wp:posOffset>438785</wp:posOffset>
                  </wp:positionH>
                  <wp:positionV relativeFrom="paragraph">
                    <wp:posOffset>94615</wp:posOffset>
                  </wp:positionV>
                  <wp:extent cx="1143000" cy="760730"/>
                  <wp:effectExtent l="0" t="0" r="0" b="1270"/>
                  <wp:wrapNone/>
                  <wp:docPr id="88" name="Picture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_68"/>
                          <pic:cNvPicPr>
                            <a:picLocks noChangeAspect="1"/>
                          </pic:cNvPicPr>
                        </pic:nvPicPr>
                        <pic:blipFill>
                          <a:blip r:embed="rId126">
                            <a:lum/>
                          </a:blip>
                          <a:stretch>
                            <a:fillRect/>
                          </a:stretch>
                        </pic:blipFill>
                        <pic:spPr>
                          <a:xfrm>
                            <a:off x="0" y="0"/>
                            <a:ext cx="1143000" cy="7607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砂子笔划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地板上的笔画是由砂纸构成的，方便学习时可用手来感知</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7424" behindDoc="0" locked="0" layoutInCell="1" allowOverlap="1">
                  <wp:simplePos x="0" y="0"/>
                  <wp:positionH relativeFrom="column">
                    <wp:posOffset>285750</wp:posOffset>
                  </wp:positionH>
                  <wp:positionV relativeFrom="paragraph">
                    <wp:posOffset>86995</wp:posOffset>
                  </wp:positionV>
                  <wp:extent cx="982980" cy="427355"/>
                  <wp:effectExtent l="0" t="0" r="7620" b="10795"/>
                  <wp:wrapNone/>
                  <wp:docPr id="89" name="Picture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_433"/>
                          <pic:cNvPicPr>
                            <a:picLocks noChangeAspect="1"/>
                          </pic:cNvPicPr>
                        </pic:nvPicPr>
                        <pic:blipFill>
                          <a:blip r:embed="rId127">
                            <a:lum/>
                          </a:blip>
                          <a:stretch>
                            <a:fillRect/>
                          </a:stretch>
                        </pic:blipFill>
                        <pic:spPr>
                          <a:xfrm>
                            <a:off x="0" y="0"/>
                            <a:ext cx="982980" cy="4273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世界洲际地图嵌板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由1套嵌板组成。建立地图概念，从地图上认识世界上7大洲和4大洋的位置，培养空思维。</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8448" behindDoc="0" locked="0" layoutInCell="1" allowOverlap="1">
                  <wp:simplePos x="0" y="0"/>
                  <wp:positionH relativeFrom="column">
                    <wp:posOffset>238125</wp:posOffset>
                  </wp:positionH>
                  <wp:positionV relativeFrom="paragraph">
                    <wp:posOffset>86995</wp:posOffset>
                  </wp:positionV>
                  <wp:extent cx="1203960" cy="877570"/>
                  <wp:effectExtent l="0" t="0" r="15240" b="17780"/>
                  <wp:wrapNone/>
                  <wp:docPr id="90" name="Picture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_108"/>
                          <pic:cNvPicPr>
                            <a:picLocks noChangeAspect="1"/>
                          </pic:cNvPicPr>
                        </pic:nvPicPr>
                        <pic:blipFill>
                          <a:blip r:embed="rId128">
                            <a:lum/>
                          </a:blip>
                          <a:stretch>
                            <a:fillRect/>
                          </a:stretch>
                        </pic:blipFill>
                        <pic:spPr>
                          <a:xfrm>
                            <a:off x="0" y="0"/>
                            <a:ext cx="1203960" cy="8775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亚洲地图嵌板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    认识亚洲各个国家的位置、名称及风土人情，初步认识地理的空间概念。</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09472" behindDoc="0" locked="0" layoutInCell="1" allowOverlap="1">
                  <wp:simplePos x="0" y="0"/>
                  <wp:positionH relativeFrom="column">
                    <wp:posOffset>238125</wp:posOffset>
                  </wp:positionH>
                  <wp:positionV relativeFrom="paragraph">
                    <wp:posOffset>104775</wp:posOffset>
                  </wp:positionV>
                  <wp:extent cx="1200150" cy="859155"/>
                  <wp:effectExtent l="0" t="0" r="0" b="17145"/>
                  <wp:wrapNone/>
                  <wp:docPr id="91" name="Picture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_96"/>
                          <pic:cNvPicPr>
                            <a:picLocks noChangeAspect="1"/>
                          </pic:cNvPicPr>
                        </pic:nvPicPr>
                        <pic:blipFill>
                          <a:blip r:embed="rId129">
                            <a:lum/>
                          </a:blip>
                          <a:stretch>
                            <a:fillRect/>
                          </a:stretch>
                        </pic:blipFill>
                        <pic:spPr>
                          <a:xfrm>
                            <a:off x="0" y="0"/>
                            <a:ext cx="1200150" cy="8591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中国地图嵌板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 由1套嵌板组成。了解中国的位置，认识各省、直辖市、自治区和省会城市的位置；培养空间思维。</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0496" behindDoc="0" locked="0" layoutInCell="1" allowOverlap="1">
                  <wp:simplePos x="0" y="0"/>
                  <wp:positionH relativeFrom="column">
                    <wp:posOffset>324485</wp:posOffset>
                  </wp:positionH>
                  <wp:positionV relativeFrom="paragraph">
                    <wp:posOffset>86995</wp:posOffset>
                  </wp:positionV>
                  <wp:extent cx="981075" cy="752475"/>
                  <wp:effectExtent l="0" t="0" r="9525" b="9525"/>
                  <wp:wrapNone/>
                  <wp:docPr id="92" name="Picture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_107"/>
                          <pic:cNvPicPr>
                            <a:picLocks noChangeAspect="1"/>
                          </pic:cNvPicPr>
                        </pic:nvPicPr>
                        <pic:blipFill>
                          <a:blip r:embed="rId130">
                            <a:lum/>
                          </a:blip>
                          <a:stretch>
                            <a:fillRect/>
                          </a:stretch>
                        </pic:blipFill>
                        <pic:spPr>
                          <a:xfrm>
                            <a:off x="0" y="0"/>
                            <a:ext cx="981075" cy="7524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太阳系九大行星嵌板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由1套嵌板组成，认识太阳系，了解九大行星位置，培养空间思维。</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1520" behindDoc="0" locked="0" layoutInCell="1" allowOverlap="1">
                  <wp:simplePos x="0" y="0"/>
                  <wp:positionH relativeFrom="column">
                    <wp:posOffset>380365</wp:posOffset>
                  </wp:positionH>
                  <wp:positionV relativeFrom="paragraph">
                    <wp:posOffset>86995</wp:posOffset>
                  </wp:positionV>
                  <wp:extent cx="952500" cy="646430"/>
                  <wp:effectExtent l="0" t="0" r="0" b="1270"/>
                  <wp:wrapNone/>
                  <wp:docPr id="93" name="Picture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_109"/>
                          <pic:cNvPicPr>
                            <a:picLocks noChangeAspect="1"/>
                          </pic:cNvPicPr>
                        </pic:nvPicPr>
                        <pic:blipFill>
                          <a:blip r:embed="rId131">
                            <a:lum/>
                          </a:blip>
                          <a:stretch>
                            <a:fillRect/>
                          </a:stretch>
                        </pic:blipFill>
                        <pic:spPr>
                          <a:xfrm>
                            <a:off x="0" y="0"/>
                            <a:ext cx="952500" cy="6464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活动时钟</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直观认识时钟的构成，了解时间概念，为看生活中的表打基础。</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2544" behindDoc="0" locked="0" layoutInCell="1" allowOverlap="1">
                  <wp:simplePos x="0" y="0"/>
                  <wp:positionH relativeFrom="column">
                    <wp:posOffset>400050</wp:posOffset>
                  </wp:positionH>
                  <wp:positionV relativeFrom="paragraph">
                    <wp:posOffset>123825</wp:posOffset>
                  </wp:positionV>
                  <wp:extent cx="1076325" cy="753110"/>
                  <wp:effectExtent l="0" t="0" r="9525" b="8890"/>
                  <wp:wrapNone/>
                  <wp:docPr id="94" name="Picture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_73"/>
                          <pic:cNvPicPr>
                            <a:picLocks noChangeAspect="1"/>
                          </pic:cNvPicPr>
                        </pic:nvPicPr>
                        <pic:blipFill>
                          <a:blip r:embed="rId132">
                            <a:lum/>
                          </a:blip>
                          <a:stretch>
                            <a:fillRect/>
                          </a:stretch>
                        </pic:blipFill>
                        <pic:spPr>
                          <a:xfrm>
                            <a:off x="0" y="0"/>
                            <a:ext cx="1076325" cy="7531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苍蝇、青蛙、蜻蜓、企鹅、蝴蝶、公鸡、七星瓢虫、知了嵌板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培养手眼协作及独立性提高观察分析能力和专注力，了解多个动物的各个部分的基本构造。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3568" behindDoc="0" locked="0" layoutInCell="1" allowOverlap="1">
                  <wp:simplePos x="0" y="0"/>
                  <wp:positionH relativeFrom="column">
                    <wp:posOffset>66675</wp:posOffset>
                  </wp:positionH>
                  <wp:positionV relativeFrom="paragraph">
                    <wp:posOffset>762635</wp:posOffset>
                  </wp:positionV>
                  <wp:extent cx="334010" cy="284480"/>
                  <wp:effectExtent l="0" t="0" r="8890" b="1270"/>
                  <wp:wrapNone/>
                  <wp:docPr id="95" name="Picture_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_254"/>
                          <pic:cNvPicPr>
                            <a:picLocks noChangeAspect="1"/>
                          </pic:cNvPicPr>
                        </pic:nvPicPr>
                        <pic:blipFill>
                          <a:blip r:embed="rId133">
                            <a:lum/>
                          </a:blip>
                          <a:stretch>
                            <a:fillRect/>
                          </a:stretch>
                        </pic:blipFill>
                        <pic:spPr>
                          <a:xfrm>
                            <a:off x="0" y="0"/>
                            <a:ext cx="334010" cy="28448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4592" behindDoc="0" locked="0" layoutInCell="1" allowOverlap="1">
                  <wp:simplePos x="0" y="0"/>
                  <wp:positionH relativeFrom="column">
                    <wp:posOffset>104140</wp:posOffset>
                  </wp:positionH>
                  <wp:positionV relativeFrom="paragraph">
                    <wp:posOffset>304165</wp:posOffset>
                  </wp:positionV>
                  <wp:extent cx="409575" cy="277495"/>
                  <wp:effectExtent l="0" t="0" r="9525" b="8255"/>
                  <wp:wrapNone/>
                  <wp:docPr id="96" name="Picture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_102"/>
                          <pic:cNvPicPr>
                            <a:picLocks noChangeAspect="1"/>
                          </pic:cNvPicPr>
                        </pic:nvPicPr>
                        <pic:blipFill>
                          <a:blip r:embed="rId134">
                            <a:lum/>
                          </a:blip>
                          <a:stretch>
                            <a:fillRect/>
                          </a:stretch>
                        </pic:blipFill>
                        <pic:spPr>
                          <a:xfrm>
                            <a:off x="0" y="0"/>
                            <a:ext cx="409575" cy="277495"/>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5616" behindDoc="0" locked="0" layoutInCell="1" allowOverlap="1">
                  <wp:simplePos x="0" y="0"/>
                  <wp:positionH relativeFrom="column">
                    <wp:posOffset>371475</wp:posOffset>
                  </wp:positionH>
                  <wp:positionV relativeFrom="paragraph">
                    <wp:posOffset>696595</wp:posOffset>
                  </wp:positionV>
                  <wp:extent cx="295910" cy="257175"/>
                  <wp:effectExtent l="0" t="0" r="8890" b="9525"/>
                  <wp:wrapNone/>
                  <wp:docPr id="97" name="Picture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_257"/>
                          <pic:cNvPicPr>
                            <a:picLocks noChangeAspect="1"/>
                          </pic:cNvPicPr>
                        </pic:nvPicPr>
                        <pic:blipFill>
                          <a:blip r:embed="rId135">
                            <a:lum/>
                          </a:blip>
                          <a:stretch>
                            <a:fillRect/>
                          </a:stretch>
                        </pic:blipFill>
                        <pic:spPr>
                          <a:xfrm>
                            <a:off x="0" y="0"/>
                            <a:ext cx="295910" cy="257175"/>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6640" behindDoc="0" locked="0" layoutInCell="1" allowOverlap="1">
                  <wp:simplePos x="0" y="0"/>
                  <wp:positionH relativeFrom="column">
                    <wp:posOffset>628650</wp:posOffset>
                  </wp:positionH>
                  <wp:positionV relativeFrom="paragraph">
                    <wp:posOffset>142875</wp:posOffset>
                  </wp:positionV>
                  <wp:extent cx="409575" cy="353695"/>
                  <wp:effectExtent l="0" t="0" r="9525" b="8255"/>
                  <wp:wrapNone/>
                  <wp:docPr id="98" name="Picture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_253"/>
                          <pic:cNvPicPr>
                            <a:picLocks noChangeAspect="1"/>
                          </pic:cNvPicPr>
                        </pic:nvPicPr>
                        <pic:blipFill>
                          <a:blip r:embed="rId136">
                            <a:lum/>
                          </a:blip>
                          <a:stretch>
                            <a:fillRect/>
                          </a:stretch>
                        </pic:blipFill>
                        <pic:spPr>
                          <a:xfrm>
                            <a:off x="0" y="0"/>
                            <a:ext cx="409575" cy="353695"/>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7664" behindDoc="0" locked="0" layoutInCell="1" allowOverlap="1">
                  <wp:simplePos x="0" y="0"/>
                  <wp:positionH relativeFrom="column">
                    <wp:posOffset>685800</wp:posOffset>
                  </wp:positionH>
                  <wp:positionV relativeFrom="paragraph">
                    <wp:posOffset>828675</wp:posOffset>
                  </wp:positionV>
                  <wp:extent cx="334010" cy="284480"/>
                  <wp:effectExtent l="0" t="0" r="8890" b="1270"/>
                  <wp:wrapNone/>
                  <wp:docPr id="99" name="Picture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_256"/>
                          <pic:cNvPicPr>
                            <a:picLocks noChangeAspect="1"/>
                          </pic:cNvPicPr>
                        </pic:nvPicPr>
                        <pic:blipFill>
                          <a:blip r:embed="rId137">
                            <a:lum/>
                          </a:blip>
                          <a:stretch>
                            <a:fillRect/>
                          </a:stretch>
                        </pic:blipFill>
                        <pic:spPr>
                          <a:xfrm>
                            <a:off x="0" y="0"/>
                            <a:ext cx="334010" cy="28448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8688" behindDoc="0" locked="0" layoutInCell="1" allowOverlap="1">
                  <wp:simplePos x="0" y="0"/>
                  <wp:positionH relativeFrom="column">
                    <wp:posOffset>961390</wp:posOffset>
                  </wp:positionH>
                  <wp:positionV relativeFrom="paragraph">
                    <wp:posOffset>408305</wp:posOffset>
                  </wp:positionV>
                  <wp:extent cx="342900" cy="322580"/>
                  <wp:effectExtent l="0" t="0" r="0" b="1270"/>
                  <wp:wrapNone/>
                  <wp:docPr id="100" name="Picture_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_255"/>
                          <pic:cNvPicPr>
                            <a:picLocks noChangeAspect="1"/>
                          </pic:cNvPicPr>
                        </pic:nvPicPr>
                        <pic:blipFill>
                          <a:blip r:embed="rId138">
                            <a:lum/>
                          </a:blip>
                          <a:stretch>
                            <a:fillRect/>
                          </a:stretch>
                        </pic:blipFill>
                        <pic:spPr>
                          <a:xfrm>
                            <a:off x="0" y="0"/>
                            <a:ext cx="342900" cy="32258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19712" behindDoc="0" locked="0" layoutInCell="1" allowOverlap="1">
                  <wp:simplePos x="0" y="0"/>
                  <wp:positionH relativeFrom="column">
                    <wp:posOffset>1162685</wp:posOffset>
                  </wp:positionH>
                  <wp:positionV relativeFrom="paragraph">
                    <wp:posOffset>810895</wp:posOffset>
                  </wp:positionV>
                  <wp:extent cx="333375" cy="304800"/>
                  <wp:effectExtent l="0" t="0" r="9525" b="0"/>
                  <wp:wrapNone/>
                  <wp:docPr id="101" name="Picture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_258"/>
                          <pic:cNvPicPr>
                            <a:picLocks noChangeAspect="1"/>
                          </pic:cNvPicPr>
                        </pic:nvPicPr>
                        <pic:blipFill>
                          <a:blip r:embed="rId139">
                            <a:lum/>
                          </a:blip>
                          <a:stretch>
                            <a:fillRect/>
                          </a:stretch>
                        </pic:blipFill>
                        <pic:spPr>
                          <a:xfrm>
                            <a:off x="0" y="0"/>
                            <a:ext cx="333375" cy="30480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0736" behindDoc="0" locked="0" layoutInCell="1" allowOverlap="1">
                  <wp:simplePos x="0" y="0"/>
                  <wp:positionH relativeFrom="column">
                    <wp:posOffset>1200785</wp:posOffset>
                  </wp:positionH>
                  <wp:positionV relativeFrom="paragraph">
                    <wp:posOffset>285750</wp:posOffset>
                  </wp:positionV>
                  <wp:extent cx="389255" cy="336550"/>
                  <wp:effectExtent l="0" t="0" r="10795" b="6350"/>
                  <wp:wrapNone/>
                  <wp:docPr id="102" name="Picture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_252"/>
                          <pic:cNvPicPr>
                            <a:picLocks noChangeAspect="1"/>
                          </pic:cNvPicPr>
                        </pic:nvPicPr>
                        <pic:blipFill>
                          <a:blip r:embed="rId140">
                            <a:lum/>
                          </a:blip>
                          <a:stretch>
                            <a:fillRect/>
                          </a:stretch>
                        </pic:blipFill>
                        <pic:spPr>
                          <a:xfrm>
                            <a:off x="0" y="0"/>
                            <a:ext cx="389255" cy="3365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树叶嵌板、动物、植物卡片柜</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 由14块树叶嵌板,5层木橱1个组成。学习识别各种树叶、植物。动植物卡片有多种动植物组成，还有各个部位的组成卡片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1760" behindDoc="0" locked="0" layoutInCell="1" allowOverlap="1">
                  <wp:simplePos x="0" y="0"/>
                  <wp:positionH relativeFrom="column">
                    <wp:posOffset>57785</wp:posOffset>
                  </wp:positionH>
                  <wp:positionV relativeFrom="paragraph">
                    <wp:posOffset>76200</wp:posOffset>
                  </wp:positionV>
                  <wp:extent cx="571500" cy="496570"/>
                  <wp:effectExtent l="0" t="0" r="0" b="17780"/>
                  <wp:wrapNone/>
                  <wp:docPr id="103" name="Picture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_122"/>
                          <pic:cNvPicPr>
                            <a:picLocks noChangeAspect="1"/>
                          </pic:cNvPicPr>
                        </pic:nvPicPr>
                        <pic:blipFill>
                          <a:blip r:embed="rId141">
                            <a:lum/>
                          </a:blip>
                          <a:stretch>
                            <a:fillRect/>
                          </a:stretch>
                        </pic:blipFill>
                        <pic:spPr>
                          <a:xfrm>
                            <a:off x="0" y="0"/>
                            <a:ext cx="571500" cy="49657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2784" behindDoc="0" locked="0" layoutInCell="1" allowOverlap="1">
                  <wp:simplePos x="0" y="0"/>
                  <wp:positionH relativeFrom="column">
                    <wp:posOffset>809625</wp:posOffset>
                  </wp:positionH>
                  <wp:positionV relativeFrom="paragraph">
                    <wp:posOffset>447675</wp:posOffset>
                  </wp:positionV>
                  <wp:extent cx="609600" cy="238125"/>
                  <wp:effectExtent l="0" t="0" r="0" b="9525"/>
                  <wp:wrapNone/>
                  <wp:docPr id="104" name="Picture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_110"/>
                          <pic:cNvPicPr>
                            <a:picLocks noChangeAspect="1"/>
                          </pic:cNvPicPr>
                        </pic:nvPicPr>
                        <pic:blipFill>
                          <a:blip r:embed="rId142">
                            <a:lum/>
                          </a:blip>
                          <a:stretch>
                            <a:fillRect/>
                          </a:stretch>
                        </pic:blipFill>
                        <pic:spPr>
                          <a:xfrm>
                            <a:off x="0" y="0"/>
                            <a:ext cx="609600" cy="238125"/>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3808" behindDoc="0" locked="0" layoutInCell="1" allowOverlap="1">
                  <wp:simplePos x="0" y="0"/>
                  <wp:positionH relativeFrom="column">
                    <wp:posOffset>838200</wp:posOffset>
                  </wp:positionH>
                  <wp:positionV relativeFrom="paragraph">
                    <wp:posOffset>48895</wp:posOffset>
                  </wp:positionV>
                  <wp:extent cx="629285" cy="381635"/>
                  <wp:effectExtent l="0" t="0" r="18415" b="18415"/>
                  <wp:wrapNone/>
                  <wp:docPr id="105" name="Picture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_111"/>
                          <pic:cNvPicPr>
                            <a:picLocks noChangeAspect="1"/>
                          </pic:cNvPicPr>
                        </pic:nvPicPr>
                        <pic:blipFill>
                          <a:blip r:embed="rId143">
                            <a:lum/>
                          </a:blip>
                          <a:stretch>
                            <a:fillRect/>
                          </a:stretch>
                        </pic:blipFill>
                        <pic:spPr>
                          <a:xfrm>
                            <a:off x="0" y="0"/>
                            <a:ext cx="629285" cy="3816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树、大树叶、花嵌板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培养手眼协作及独立性提高观察分析能力和专注力，了解三种植物的各个部分的基本构造。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4832" behindDoc="0" locked="0" layoutInCell="1" allowOverlap="1">
                  <wp:simplePos x="0" y="0"/>
                  <wp:positionH relativeFrom="column">
                    <wp:posOffset>28575</wp:posOffset>
                  </wp:positionH>
                  <wp:positionV relativeFrom="paragraph">
                    <wp:posOffset>55245</wp:posOffset>
                  </wp:positionV>
                  <wp:extent cx="525145" cy="354330"/>
                  <wp:effectExtent l="0" t="0" r="8255" b="7620"/>
                  <wp:wrapNone/>
                  <wp:docPr id="106" name="Pictur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_104"/>
                          <pic:cNvPicPr>
                            <a:picLocks noChangeAspect="1"/>
                          </pic:cNvPicPr>
                        </pic:nvPicPr>
                        <pic:blipFill>
                          <a:blip r:embed="rId144">
                            <a:lum/>
                          </a:blip>
                          <a:stretch>
                            <a:fillRect/>
                          </a:stretch>
                        </pic:blipFill>
                        <pic:spPr>
                          <a:xfrm>
                            <a:off x="0" y="0"/>
                            <a:ext cx="525145" cy="35433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5856" behindDoc="0" locked="0" layoutInCell="1" allowOverlap="1">
                  <wp:simplePos x="0" y="0"/>
                  <wp:positionH relativeFrom="column">
                    <wp:posOffset>218440</wp:posOffset>
                  </wp:positionH>
                  <wp:positionV relativeFrom="paragraph">
                    <wp:posOffset>457835</wp:posOffset>
                  </wp:positionV>
                  <wp:extent cx="648970" cy="430530"/>
                  <wp:effectExtent l="0" t="0" r="17780" b="7620"/>
                  <wp:wrapNone/>
                  <wp:docPr id="107" name="Picture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_98"/>
                          <pic:cNvPicPr>
                            <a:picLocks noChangeAspect="1"/>
                          </pic:cNvPicPr>
                        </pic:nvPicPr>
                        <pic:blipFill>
                          <a:blip r:embed="rId145">
                            <a:lum/>
                          </a:blip>
                          <a:stretch>
                            <a:fillRect/>
                          </a:stretch>
                        </pic:blipFill>
                        <pic:spPr>
                          <a:xfrm>
                            <a:off x="0" y="0"/>
                            <a:ext cx="648970" cy="43053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6880" behindDoc="0" locked="0" layoutInCell="1" allowOverlap="1">
                  <wp:simplePos x="0" y="0"/>
                  <wp:positionH relativeFrom="column">
                    <wp:posOffset>847725</wp:posOffset>
                  </wp:positionH>
                  <wp:positionV relativeFrom="paragraph">
                    <wp:posOffset>48895</wp:posOffset>
                  </wp:positionV>
                  <wp:extent cx="571500" cy="381635"/>
                  <wp:effectExtent l="0" t="0" r="0" b="18415"/>
                  <wp:wrapNone/>
                  <wp:docPr id="108" name="Picture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_103"/>
                          <pic:cNvPicPr>
                            <a:picLocks noChangeAspect="1"/>
                          </pic:cNvPicPr>
                        </pic:nvPicPr>
                        <pic:blipFill>
                          <a:blip r:embed="rId146">
                            <a:lum/>
                          </a:blip>
                          <a:stretch>
                            <a:fillRect/>
                          </a:stretch>
                        </pic:blipFill>
                        <pic:spPr>
                          <a:xfrm>
                            <a:off x="0" y="0"/>
                            <a:ext cx="571500" cy="3816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鸟、蚂蚁、马、乌龟、鱼嵌板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培养手眼协作及独立性提高观察分析能力和专注力，了解五种的各个部分的基本构造。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562610" cy="381635"/>
                  <wp:effectExtent l="0" t="0" r="8890" b="18415"/>
                  <wp:wrapNone/>
                  <wp:docPr id="109" name="Picture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_276"/>
                          <pic:cNvPicPr>
                            <a:picLocks noChangeAspect="1"/>
                          </pic:cNvPicPr>
                        </pic:nvPicPr>
                        <pic:blipFill>
                          <a:blip r:embed="rId147">
                            <a:lum/>
                          </a:blip>
                          <a:stretch>
                            <a:fillRect/>
                          </a:stretch>
                        </pic:blipFill>
                        <pic:spPr>
                          <a:xfrm>
                            <a:off x="0" y="0"/>
                            <a:ext cx="562610" cy="381635"/>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8928" behindDoc="0" locked="0" layoutInCell="1" allowOverlap="1">
                  <wp:simplePos x="0" y="0"/>
                  <wp:positionH relativeFrom="column">
                    <wp:posOffset>180340</wp:posOffset>
                  </wp:positionH>
                  <wp:positionV relativeFrom="paragraph">
                    <wp:posOffset>437515</wp:posOffset>
                  </wp:positionV>
                  <wp:extent cx="534035" cy="360680"/>
                  <wp:effectExtent l="0" t="0" r="18415" b="1270"/>
                  <wp:wrapNone/>
                  <wp:docPr id="110" name="Picture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_105"/>
                          <pic:cNvPicPr>
                            <a:picLocks noChangeAspect="1"/>
                          </pic:cNvPicPr>
                        </pic:nvPicPr>
                        <pic:blipFill>
                          <a:blip r:embed="rId148">
                            <a:lum/>
                          </a:blip>
                          <a:stretch>
                            <a:fillRect/>
                          </a:stretch>
                        </pic:blipFill>
                        <pic:spPr>
                          <a:xfrm>
                            <a:off x="0" y="0"/>
                            <a:ext cx="534035" cy="36068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29952" behindDoc="0" locked="0" layoutInCell="1" allowOverlap="1">
                  <wp:simplePos x="0" y="0"/>
                  <wp:positionH relativeFrom="column">
                    <wp:posOffset>533400</wp:posOffset>
                  </wp:positionH>
                  <wp:positionV relativeFrom="paragraph">
                    <wp:posOffset>66040</wp:posOffset>
                  </wp:positionV>
                  <wp:extent cx="476250" cy="322580"/>
                  <wp:effectExtent l="0" t="0" r="0" b="1270"/>
                  <wp:wrapNone/>
                  <wp:docPr id="111" name="Pictur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_100"/>
                          <pic:cNvPicPr>
                            <a:picLocks noChangeAspect="1"/>
                          </pic:cNvPicPr>
                        </pic:nvPicPr>
                        <pic:blipFill>
                          <a:blip r:embed="rId149">
                            <a:lum/>
                          </a:blip>
                          <a:stretch>
                            <a:fillRect/>
                          </a:stretch>
                        </pic:blipFill>
                        <pic:spPr>
                          <a:xfrm>
                            <a:off x="0" y="0"/>
                            <a:ext cx="476250" cy="32258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0976" behindDoc="0" locked="0" layoutInCell="1" allowOverlap="1">
                  <wp:simplePos x="0" y="0"/>
                  <wp:positionH relativeFrom="column">
                    <wp:posOffset>972185</wp:posOffset>
                  </wp:positionH>
                  <wp:positionV relativeFrom="paragraph">
                    <wp:posOffset>371475</wp:posOffset>
                  </wp:positionV>
                  <wp:extent cx="504825" cy="332740"/>
                  <wp:effectExtent l="0" t="0" r="9525" b="10160"/>
                  <wp:wrapNone/>
                  <wp:docPr id="112" name="Picture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_101"/>
                          <pic:cNvPicPr>
                            <a:picLocks noChangeAspect="1"/>
                          </pic:cNvPicPr>
                        </pic:nvPicPr>
                        <pic:blipFill>
                          <a:blip r:embed="rId150">
                            <a:lum/>
                          </a:blip>
                          <a:stretch>
                            <a:fillRect/>
                          </a:stretch>
                        </pic:blipFill>
                        <pic:spPr>
                          <a:xfrm>
                            <a:off x="0" y="0"/>
                            <a:ext cx="504825" cy="33274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2000" behindDoc="0" locked="0" layoutInCell="1" allowOverlap="1">
                  <wp:simplePos x="0" y="0"/>
                  <wp:positionH relativeFrom="column">
                    <wp:posOffset>1056640</wp:posOffset>
                  </wp:positionH>
                  <wp:positionV relativeFrom="paragraph">
                    <wp:posOffset>0</wp:posOffset>
                  </wp:positionV>
                  <wp:extent cx="485140" cy="322580"/>
                  <wp:effectExtent l="0" t="0" r="10160" b="1270"/>
                  <wp:wrapNone/>
                  <wp:docPr id="113" name="Picture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_99"/>
                          <pic:cNvPicPr>
                            <a:picLocks noChangeAspect="1"/>
                          </pic:cNvPicPr>
                        </pic:nvPicPr>
                        <pic:blipFill>
                          <a:blip r:embed="rId151">
                            <a:lum/>
                          </a:blip>
                          <a:stretch>
                            <a:fillRect/>
                          </a:stretch>
                        </pic:blipFill>
                        <pic:spPr>
                          <a:xfrm>
                            <a:off x="0" y="0"/>
                            <a:ext cx="485140" cy="3225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世界各国国旗组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一个全球地图的底板，上有孔洞用来插国旗，近30个国家的国旗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3024" behindDoc="0" locked="0" layoutInCell="1" allowOverlap="1">
                  <wp:simplePos x="0" y="0"/>
                  <wp:positionH relativeFrom="column">
                    <wp:posOffset>118745</wp:posOffset>
                  </wp:positionH>
                  <wp:positionV relativeFrom="paragraph">
                    <wp:posOffset>133350</wp:posOffset>
                  </wp:positionV>
                  <wp:extent cx="1196340" cy="793115"/>
                  <wp:effectExtent l="0" t="0" r="3810" b="6985"/>
                  <wp:wrapNone/>
                  <wp:docPr id="114" name="Picture_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_222"/>
                          <pic:cNvPicPr>
                            <a:picLocks noChangeAspect="1"/>
                          </pic:cNvPicPr>
                        </pic:nvPicPr>
                        <pic:blipFill>
                          <a:blip r:embed="rId152">
                            <a:lum/>
                          </a:blip>
                          <a:stretch>
                            <a:fillRect/>
                          </a:stretch>
                        </pic:blipFill>
                        <pic:spPr>
                          <a:xfrm>
                            <a:off x="0" y="0"/>
                            <a:ext cx="1196340" cy="7931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学开锁板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一个板上有6种不同的锁扣</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4048" behindDoc="0" locked="0" layoutInCell="1" allowOverlap="1">
                  <wp:simplePos x="0" y="0"/>
                  <wp:positionH relativeFrom="column">
                    <wp:posOffset>324485</wp:posOffset>
                  </wp:positionH>
                  <wp:positionV relativeFrom="paragraph">
                    <wp:posOffset>38100</wp:posOffset>
                  </wp:positionV>
                  <wp:extent cx="956945" cy="494665"/>
                  <wp:effectExtent l="0" t="0" r="14605" b="635"/>
                  <wp:wrapNone/>
                  <wp:docPr id="115" name="Pictur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_32"/>
                          <pic:cNvPicPr>
                            <a:picLocks noChangeAspect="1"/>
                          </pic:cNvPicPr>
                        </pic:nvPicPr>
                        <pic:blipFill>
                          <a:blip r:embed="rId153">
                            <a:lum/>
                          </a:blip>
                          <a:stretch>
                            <a:fillRect/>
                          </a:stretch>
                        </pic:blipFill>
                        <pic:spPr>
                          <a:xfrm>
                            <a:off x="0" y="0"/>
                            <a:ext cx="956945" cy="4946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切切、拼拼</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木质的蔬菜水果，中间以魔术贴相连，一个木质的小刀和菜板，可让孩子安全的练习切东西的步骤和注意事项</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5072" behindDoc="0" locked="0" layoutInCell="1" allowOverlap="1">
                  <wp:simplePos x="0" y="0"/>
                  <wp:positionH relativeFrom="column">
                    <wp:posOffset>514985</wp:posOffset>
                  </wp:positionH>
                  <wp:positionV relativeFrom="paragraph">
                    <wp:posOffset>142875</wp:posOffset>
                  </wp:positionV>
                  <wp:extent cx="780415" cy="600710"/>
                  <wp:effectExtent l="0" t="0" r="635" b="8890"/>
                  <wp:wrapNone/>
                  <wp:docPr id="116" name="Picture_30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_30_SpCnt_2"/>
                          <pic:cNvPicPr>
                            <a:picLocks noChangeAspect="1"/>
                          </pic:cNvPicPr>
                        </pic:nvPicPr>
                        <pic:blipFill>
                          <a:blip r:embed="rId154">
                            <a:lum/>
                          </a:blip>
                          <a:stretch>
                            <a:fillRect/>
                          </a:stretch>
                        </pic:blipFill>
                        <pic:spPr>
                          <a:xfrm>
                            <a:off x="0" y="0"/>
                            <a:ext cx="780415" cy="6007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小熊穿衣</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由熊爸、熊妈、小熊组成，可替换不同的表情和衣服裤子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6096" behindDoc="0" locked="0" layoutInCell="1" allowOverlap="1">
                  <wp:simplePos x="0" y="0"/>
                  <wp:positionH relativeFrom="column">
                    <wp:posOffset>228600</wp:posOffset>
                  </wp:positionH>
                  <wp:positionV relativeFrom="paragraph">
                    <wp:posOffset>45720</wp:posOffset>
                  </wp:positionV>
                  <wp:extent cx="1104900" cy="620395"/>
                  <wp:effectExtent l="0" t="0" r="0" b="8255"/>
                  <wp:wrapNone/>
                  <wp:docPr id="117" name="Picture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_439"/>
                          <pic:cNvPicPr>
                            <a:picLocks noChangeAspect="1"/>
                          </pic:cNvPicPr>
                        </pic:nvPicPr>
                        <pic:blipFill>
                          <a:blip r:embed="rId155">
                            <a:lum/>
                          </a:blip>
                          <a:stretch>
                            <a:fillRect/>
                          </a:stretch>
                        </pic:blipFill>
                        <pic:spPr>
                          <a:xfrm>
                            <a:off x="0" y="0"/>
                            <a:ext cx="1104900" cy="6203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交通标志</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多钟交通标志和2个小车</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7120" behindDoc="0" locked="0" layoutInCell="1" allowOverlap="1">
                  <wp:simplePos x="0" y="0"/>
                  <wp:positionH relativeFrom="column">
                    <wp:posOffset>257810</wp:posOffset>
                  </wp:positionH>
                  <wp:positionV relativeFrom="paragraph">
                    <wp:posOffset>47625</wp:posOffset>
                  </wp:positionV>
                  <wp:extent cx="1056640" cy="675640"/>
                  <wp:effectExtent l="0" t="0" r="10160" b="10160"/>
                  <wp:wrapNone/>
                  <wp:docPr id="118" name="Picture_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_146"/>
                          <pic:cNvPicPr>
                            <a:picLocks noChangeAspect="1"/>
                          </pic:cNvPicPr>
                        </pic:nvPicPr>
                        <pic:blipFill>
                          <a:blip r:embed="rId156">
                            <a:lum/>
                          </a:blip>
                          <a:stretch>
                            <a:fillRect/>
                          </a:stretch>
                        </pic:blipFill>
                        <pic:spPr>
                          <a:xfrm>
                            <a:off x="0" y="0"/>
                            <a:ext cx="1056640" cy="6756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串珠盒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用木棍穿珠子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8144" behindDoc="0" locked="0" layoutInCell="1" allowOverlap="1">
                  <wp:simplePos x="0" y="0"/>
                  <wp:positionH relativeFrom="column">
                    <wp:posOffset>352425</wp:posOffset>
                  </wp:positionH>
                  <wp:positionV relativeFrom="paragraph">
                    <wp:posOffset>56515</wp:posOffset>
                  </wp:positionV>
                  <wp:extent cx="934085" cy="790575"/>
                  <wp:effectExtent l="0" t="0" r="18415" b="9525"/>
                  <wp:wrapNone/>
                  <wp:docPr id="119" name="图片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_272"/>
                          <pic:cNvPicPr>
                            <a:picLocks noChangeAspect="1"/>
                          </pic:cNvPicPr>
                        </pic:nvPicPr>
                        <pic:blipFill>
                          <a:blip r:embed="rId157">
                            <a:lum/>
                          </a:blip>
                          <a:stretch>
                            <a:fillRect/>
                          </a:stretch>
                        </pic:blipFill>
                        <pic:spPr>
                          <a:xfrm>
                            <a:off x="0" y="0"/>
                            <a:ext cx="934085" cy="7905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上锁螺丝组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木桩上有7个不同规格的螺丝和配套大小的螺母</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39168" behindDoc="0" locked="0" layoutInCell="1" allowOverlap="1">
                  <wp:simplePos x="0" y="0"/>
                  <wp:positionH relativeFrom="column">
                    <wp:posOffset>46990</wp:posOffset>
                  </wp:positionH>
                  <wp:positionV relativeFrom="paragraph">
                    <wp:posOffset>55245</wp:posOffset>
                  </wp:positionV>
                  <wp:extent cx="1352550" cy="287655"/>
                  <wp:effectExtent l="0" t="0" r="0" b="17145"/>
                  <wp:wrapNone/>
                  <wp:docPr id="120" name="Picture_10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_10_SpCnt_2"/>
                          <pic:cNvPicPr>
                            <a:picLocks noChangeAspect="1"/>
                          </pic:cNvPicPr>
                        </pic:nvPicPr>
                        <pic:blipFill>
                          <a:blip r:embed="rId158">
                            <a:lum/>
                          </a:blip>
                          <a:stretch>
                            <a:fillRect/>
                          </a:stretch>
                        </pic:blipFill>
                        <pic:spPr>
                          <a:xfrm>
                            <a:off x="0" y="0"/>
                            <a:ext cx="1352550" cy="2876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认识世界</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一个可折的世界地图板，和一些著名的国家国旗组成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0192" behindDoc="0" locked="0" layoutInCell="1" allowOverlap="1">
                  <wp:simplePos x="0" y="0"/>
                  <wp:positionH relativeFrom="column">
                    <wp:posOffset>46990</wp:posOffset>
                  </wp:positionH>
                  <wp:positionV relativeFrom="paragraph">
                    <wp:posOffset>38100</wp:posOffset>
                  </wp:positionV>
                  <wp:extent cx="1466215" cy="619125"/>
                  <wp:effectExtent l="0" t="0" r="635" b="9525"/>
                  <wp:wrapNone/>
                  <wp:docPr id="121" name="Pictur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_20"/>
                          <pic:cNvPicPr>
                            <a:picLocks noChangeAspect="1"/>
                          </pic:cNvPicPr>
                        </pic:nvPicPr>
                        <pic:blipFill>
                          <a:blip r:embed="rId159">
                            <a:lum/>
                          </a:blip>
                          <a:stretch>
                            <a:fillRect/>
                          </a:stretch>
                        </pic:blipFill>
                        <pic:spPr>
                          <a:xfrm>
                            <a:off x="0" y="0"/>
                            <a:ext cx="1466215" cy="6191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五十六个民族</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一个中国地图嵌板，上有各个省的特点图画，左下角写有五十六个民族的名称</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1216" behindDoc="0" locked="0" layoutInCell="1" allowOverlap="1">
                  <wp:simplePos x="0" y="0"/>
                  <wp:positionH relativeFrom="column">
                    <wp:posOffset>247015</wp:posOffset>
                  </wp:positionH>
                  <wp:positionV relativeFrom="paragraph">
                    <wp:posOffset>48895</wp:posOffset>
                  </wp:positionV>
                  <wp:extent cx="1067435" cy="721995"/>
                  <wp:effectExtent l="0" t="0" r="18415" b="1905"/>
                  <wp:wrapNone/>
                  <wp:docPr id="122" name="Picture_4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_40_SpCnt_1"/>
                          <pic:cNvPicPr>
                            <a:picLocks noChangeAspect="1"/>
                          </pic:cNvPicPr>
                        </pic:nvPicPr>
                        <pic:blipFill>
                          <a:blip r:embed="rId160">
                            <a:lum/>
                          </a:blip>
                          <a:stretch>
                            <a:fillRect/>
                          </a:stretch>
                        </pic:blipFill>
                        <pic:spPr>
                          <a:xfrm>
                            <a:off x="0" y="0"/>
                            <a:ext cx="1067435" cy="7219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三色圆盘组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三原色的塑料圆片，拥有挂钩的横梁</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2240" behindDoc="0" locked="0" layoutInCell="1" allowOverlap="1">
                  <wp:simplePos x="0" y="0"/>
                  <wp:positionH relativeFrom="column">
                    <wp:posOffset>371475</wp:posOffset>
                  </wp:positionH>
                  <wp:positionV relativeFrom="paragraph">
                    <wp:posOffset>38100</wp:posOffset>
                  </wp:positionV>
                  <wp:extent cx="656590" cy="561340"/>
                  <wp:effectExtent l="0" t="0" r="10160" b="10160"/>
                  <wp:wrapNone/>
                  <wp:docPr id="123" name="Picture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_144"/>
                          <pic:cNvPicPr>
                            <a:picLocks noChangeAspect="1"/>
                          </pic:cNvPicPr>
                        </pic:nvPicPr>
                        <pic:blipFill>
                          <a:blip r:embed="rId161">
                            <a:lum/>
                          </a:blip>
                          <a:stretch>
                            <a:fillRect/>
                          </a:stretch>
                        </pic:blipFill>
                        <pic:spPr>
                          <a:xfrm>
                            <a:off x="0" y="0"/>
                            <a:ext cx="656590" cy="5613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数字卡片袋</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材料：布料和纸质。一大一小的2个卡片袋和配套的卡片。方便拿取规划不同位数的数字卡片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3264" behindDoc="0" locked="0" layoutInCell="1" allowOverlap="1">
                  <wp:simplePos x="0" y="0"/>
                  <wp:positionH relativeFrom="column">
                    <wp:posOffset>95250</wp:posOffset>
                  </wp:positionH>
                  <wp:positionV relativeFrom="paragraph">
                    <wp:posOffset>38100</wp:posOffset>
                  </wp:positionV>
                  <wp:extent cx="1047750" cy="476250"/>
                  <wp:effectExtent l="0" t="0" r="0" b="0"/>
                  <wp:wrapNone/>
                  <wp:docPr id="124" name="Picture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_31"/>
                          <pic:cNvPicPr>
                            <a:picLocks noChangeAspect="1"/>
                          </pic:cNvPicPr>
                        </pic:nvPicPr>
                        <pic:blipFill>
                          <a:blip r:embed="rId162">
                            <a:lum/>
                          </a:blip>
                          <a:stretch>
                            <a:fillRect/>
                          </a:stretch>
                        </pic:blipFill>
                        <pic:spPr>
                          <a:xfrm>
                            <a:off x="0" y="0"/>
                            <a:ext cx="1047750" cy="4762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打雪仗</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软体布艺，白色毛绒小球，上有多钟表情，拥有一定重量方便孩子互相投掷。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4288" behindDoc="0" locked="0" layoutInCell="1" allowOverlap="1">
                  <wp:simplePos x="0" y="0"/>
                  <wp:positionH relativeFrom="column">
                    <wp:posOffset>285115</wp:posOffset>
                  </wp:positionH>
                  <wp:positionV relativeFrom="paragraph">
                    <wp:posOffset>48895</wp:posOffset>
                  </wp:positionV>
                  <wp:extent cx="1106170" cy="541020"/>
                  <wp:effectExtent l="0" t="0" r="17780" b="11430"/>
                  <wp:wrapNone/>
                  <wp:docPr id="125"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_4"/>
                          <pic:cNvPicPr>
                            <a:picLocks noChangeAspect="1"/>
                          </pic:cNvPicPr>
                        </pic:nvPicPr>
                        <pic:blipFill>
                          <a:blip r:embed="rId163">
                            <a:lum/>
                          </a:blip>
                          <a:stretch>
                            <a:fillRect/>
                          </a:stretch>
                        </pic:blipFill>
                        <pic:spPr>
                          <a:xfrm>
                            <a:off x="0" y="0"/>
                            <a:ext cx="1106170" cy="5410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刷牙玩具</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软体布艺，拿有牙刷的软体娃娃，娃娃张嘴漏齿，教室可把拿娃娃的手演示科学的刷牙步骤顺序，方便孩子直观的学习理解。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5312" behindDoc="0" locked="0" layoutInCell="1" allowOverlap="1">
                  <wp:simplePos x="0" y="0"/>
                  <wp:positionH relativeFrom="column">
                    <wp:posOffset>362585</wp:posOffset>
                  </wp:positionH>
                  <wp:positionV relativeFrom="paragraph">
                    <wp:posOffset>76200</wp:posOffset>
                  </wp:positionV>
                  <wp:extent cx="789940" cy="609600"/>
                  <wp:effectExtent l="0" t="0" r="10160" b="0"/>
                  <wp:wrapNone/>
                  <wp:docPr id="126"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_5"/>
                          <pic:cNvPicPr>
                            <a:picLocks noChangeAspect="1"/>
                          </pic:cNvPicPr>
                        </pic:nvPicPr>
                        <pic:blipFill>
                          <a:blip r:embed="rId164">
                            <a:lum/>
                          </a:blip>
                          <a:stretch>
                            <a:fillRect/>
                          </a:stretch>
                        </pic:blipFill>
                        <pic:spPr>
                          <a:xfrm>
                            <a:off x="0" y="0"/>
                            <a:ext cx="789940" cy="6096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串线板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有孔洞的多个底板，线绳组成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6336" behindDoc="0" locked="0" layoutInCell="1" allowOverlap="1">
                  <wp:simplePos x="0" y="0"/>
                  <wp:positionH relativeFrom="column">
                    <wp:posOffset>95250</wp:posOffset>
                  </wp:positionH>
                  <wp:positionV relativeFrom="paragraph">
                    <wp:posOffset>93980</wp:posOffset>
                  </wp:positionV>
                  <wp:extent cx="1257300" cy="619760"/>
                  <wp:effectExtent l="0" t="0" r="0" b="8890"/>
                  <wp:wrapNone/>
                  <wp:docPr id="12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0"/>
                          <pic:cNvPicPr>
                            <a:picLocks noChangeAspect="1"/>
                          </pic:cNvPicPr>
                        </pic:nvPicPr>
                        <pic:blipFill>
                          <a:blip r:embed="rId165">
                            <a:lum/>
                          </a:blip>
                          <a:stretch>
                            <a:fillRect/>
                          </a:stretch>
                        </pic:blipFill>
                        <pic:spPr>
                          <a:xfrm>
                            <a:off x="0" y="0"/>
                            <a:ext cx="1257300" cy="6197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色彩搭配</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通过底板来搭配相应的彩色圆柱，</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7360" behindDoc="0" locked="0" layoutInCell="1" allowOverlap="1">
                  <wp:simplePos x="0" y="0"/>
                  <wp:positionH relativeFrom="column">
                    <wp:posOffset>95250</wp:posOffset>
                  </wp:positionH>
                  <wp:positionV relativeFrom="paragraph">
                    <wp:posOffset>104140</wp:posOffset>
                  </wp:positionV>
                  <wp:extent cx="1410335" cy="753110"/>
                  <wp:effectExtent l="0" t="0" r="18415" b="8890"/>
                  <wp:wrapNone/>
                  <wp:docPr id="128" name="Picture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_159"/>
                          <pic:cNvPicPr>
                            <a:picLocks noChangeAspect="1"/>
                          </pic:cNvPicPr>
                        </pic:nvPicPr>
                        <pic:blipFill>
                          <a:blip r:embed="rId166">
                            <a:lum/>
                          </a:blip>
                          <a:stretch>
                            <a:fillRect/>
                          </a:stretch>
                        </pic:blipFill>
                        <pic:spPr>
                          <a:xfrm>
                            <a:off x="0" y="0"/>
                            <a:ext cx="1410335" cy="7531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植物生长过程组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底盘上有四个底座，可座四个杯子，多个标有天数的标签，方便观察不同天数里种子的变化</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8384" behindDoc="0" locked="0" layoutInCell="1" allowOverlap="1">
                  <wp:simplePos x="0" y="0"/>
                  <wp:positionH relativeFrom="column">
                    <wp:posOffset>361315</wp:posOffset>
                  </wp:positionH>
                  <wp:positionV relativeFrom="paragraph">
                    <wp:posOffset>133350</wp:posOffset>
                  </wp:positionV>
                  <wp:extent cx="962660" cy="589915"/>
                  <wp:effectExtent l="0" t="0" r="8890" b="635"/>
                  <wp:wrapNone/>
                  <wp:docPr id="129" name="Picture_1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_13_SpCnt_1"/>
                          <pic:cNvPicPr>
                            <a:picLocks noChangeAspect="1"/>
                          </pic:cNvPicPr>
                        </pic:nvPicPr>
                        <pic:blipFill>
                          <a:blip r:embed="rId167">
                            <a:lum/>
                          </a:blip>
                          <a:stretch>
                            <a:fillRect/>
                          </a:stretch>
                        </pic:blipFill>
                        <pic:spPr>
                          <a:xfrm>
                            <a:off x="0" y="0"/>
                            <a:ext cx="962660" cy="5899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洗手组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一个底盘，一个盆，一个手巾，一个肥皂盒，肥皂</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49408" behindDoc="0" locked="0" layoutInCell="1" allowOverlap="1">
                  <wp:simplePos x="0" y="0"/>
                  <wp:positionH relativeFrom="column">
                    <wp:posOffset>323850</wp:posOffset>
                  </wp:positionH>
                  <wp:positionV relativeFrom="paragraph">
                    <wp:posOffset>179070</wp:posOffset>
                  </wp:positionV>
                  <wp:extent cx="762635" cy="534670"/>
                  <wp:effectExtent l="0" t="0" r="18415" b="17780"/>
                  <wp:wrapNone/>
                  <wp:docPr id="130" name="Picture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_77"/>
                          <pic:cNvPicPr>
                            <a:picLocks noChangeAspect="1"/>
                          </pic:cNvPicPr>
                        </pic:nvPicPr>
                        <pic:blipFill>
                          <a:blip r:embed="rId168">
                            <a:lum/>
                          </a:blip>
                          <a:stretch>
                            <a:fillRect/>
                          </a:stretch>
                        </pic:blipFill>
                        <pic:spPr>
                          <a:xfrm>
                            <a:off x="0" y="0"/>
                            <a:ext cx="762635" cy="5346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扫地组</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一个底盘，一副配套的扫帚和小锨</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0432" behindDoc="0" locked="0" layoutInCell="1" allowOverlap="1">
                  <wp:simplePos x="0" y="0"/>
                  <wp:positionH relativeFrom="column">
                    <wp:posOffset>305435</wp:posOffset>
                  </wp:positionH>
                  <wp:positionV relativeFrom="paragraph">
                    <wp:posOffset>77470</wp:posOffset>
                  </wp:positionV>
                  <wp:extent cx="829310" cy="532130"/>
                  <wp:effectExtent l="0" t="0" r="8890" b="1270"/>
                  <wp:wrapNone/>
                  <wp:docPr id="131" name="Picture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_85"/>
                          <pic:cNvPicPr>
                            <a:picLocks noChangeAspect="1"/>
                          </pic:cNvPicPr>
                        </pic:nvPicPr>
                        <pic:blipFill>
                          <a:blip r:embed="rId169">
                            <a:lum/>
                          </a:blip>
                          <a:stretch>
                            <a:fillRect/>
                          </a:stretch>
                        </pic:blipFill>
                        <pic:spPr>
                          <a:xfrm>
                            <a:off x="0" y="0"/>
                            <a:ext cx="829310" cy="5321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夹彩弹</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一个底盘两个碗，一个夹子，若干彩色玻璃珠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1456" behindDoc="0" locked="0" layoutInCell="1" allowOverlap="1">
                  <wp:simplePos x="0" y="0"/>
                  <wp:positionH relativeFrom="column">
                    <wp:posOffset>524510</wp:posOffset>
                  </wp:positionH>
                  <wp:positionV relativeFrom="paragraph">
                    <wp:posOffset>85725</wp:posOffset>
                  </wp:positionV>
                  <wp:extent cx="837565" cy="572770"/>
                  <wp:effectExtent l="0" t="0" r="635" b="17780"/>
                  <wp:wrapNone/>
                  <wp:docPr id="132" name="Pictur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_72"/>
                          <pic:cNvPicPr>
                            <a:picLocks noChangeAspect="1"/>
                          </pic:cNvPicPr>
                        </pic:nvPicPr>
                        <pic:blipFill>
                          <a:blip r:embed="rId170">
                            <a:lum/>
                          </a:blip>
                          <a:stretch>
                            <a:fillRect/>
                          </a:stretch>
                        </pic:blipFill>
                        <pic:spPr>
                          <a:xfrm>
                            <a:off x="0" y="0"/>
                            <a:ext cx="837565" cy="5727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三指抓线球</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一个底盘，两个碗，若干多色的线珠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2480" behindDoc="0" locked="0" layoutInCell="1" allowOverlap="1">
                  <wp:simplePos x="0" y="0"/>
                  <wp:positionH relativeFrom="column">
                    <wp:posOffset>514350</wp:posOffset>
                  </wp:positionH>
                  <wp:positionV relativeFrom="paragraph">
                    <wp:posOffset>248920</wp:posOffset>
                  </wp:positionV>
                  <wp:extent cx="800735" cy="572135"/>
                  <wp:effectExtent l="0" t="0" r="18415" b="18415"/>
                  <wp:wrapNone/>
                  <wp:docPr id="133" name="Picture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_141"/>
                          <pic:cNvPicPr>
                            <a:picLocks noChangeAspect="1"/>
                          </pic:cNvPicPr>
                        </pic:nvPicPr>
                        <pic:blipFill>
                          <a:blip r:embed="rId171">
                            <a:lum/>
                          </a:blip>
                          <a:stretch>
                            <a:fillRect/>
                          </a:stretch>
                        </pic:blipFill>
                        <pic:spPr>
                          <a:xfrm>
                            <a:off x="0" y="0"/>
                            <a:ext cx="800735" cy="5721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舀彩色小铃铛</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一个底盘，若干彩色小铃铛，一个勺子，两个碗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3504" behindDoc="0" locked="0" layoutInCell="1" allowOverlap="1">
                  <wp:simplePos x="0" y="0"/>
                  <wp:positionH relativeFrom="column">
                    <wp:posOffset>447675</wp:posOffset>
                  </wp:positionH>
                  <wp:positionV relativeFrom="paragraph">
                    <wp:posOffset>206375</wp:posOffset>
                  </wp:positionV>
                  <wp:extent cx="909955" cy="646430"/>
                  <wp:effectExtent l="0" t="0" r="4445" b="1270"/>
                  <wp:wrapNone/>
                  <wp:docPr id="134" name="Picture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_142"/>
                          <pic:cNvPicPr>
                            <a:picLocks noChangeAspect="1"/>
                          </pic:cNvPicPr>
                        </pic:nvPicPr>
                        <pic:blipFill>
                          <a:blip r:embed="rId172">
                            <a:lum/>
                          </a:blip>
                          <a:stretch>
                            <a:fillRect/>
                          </a:stretch>
                        </pic:blipFill>
                        <pic:spPr>
                          <a:xfrm>
                            <a:off x="0" y="0"/>
                            <a:ext cx="909955" cy="6464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倒水和分配</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一个500ML的大杯子，2个250ML的杯子，底盘一个</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4528" behindDoc="0" locked="0" layoutInCell="1" allowOverlap="1">
                  <wp:simplePos x="0" y="0"/>
                  <wp:positionH relativeFrom="column">
                    <wp:posOffset>438150</wp:posOffset>
                  </wp:positionH>
                  <wp:positionV relativeFrom="paragraph">
                    <wp:posOffset>267970</wp:posOffset>
                  </wp:positionV>
                  <wp:extent cx="1029970" cy="666750"/>
                  <wp:effectExtent l="0" t="0" r="17780" b="0"/>
                  <wp:wrapNone/>
                  <wp:docPr id="135" name="Picture_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_227"/>
                          <pic:cNvPicPr>
                            <a:picLocks noChangeAspect="1"/>
                          </pic:cNvPicPr>
                        </pic:nvPicPr>
                        <pic:blipFill>
                          <a:blip r:embed="rId173">
                            <a:lum/>
                          </a:blip>
                          <a:stretch>
                            <a:fillRect/>
                          </a:stretch>
                        </pic:blipFill>
                        <pic:spPr>
                          <a:xfrm>
                            <a:off x="0" y="0"/>
                            <a:ext cx="1029970" cy="6667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捶打</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一个托盘，一个锤子，塑料大头钉一盒，圆木桩四个，通过捶打钉子来联系手眼协调能力。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5552" behindDoc="0" locked="0" layoutInCell="1" allowOverlap="1">
                  <wp:simplePos x="0" y="0"/>
                  <wp:positionH relativeFrom="column">
                    <wp:posOffset>438150</wp:posOffset>
                  </wp:positionH>
                  <wp:positionV relativeFrom="paragraph">
                    <wp:posOffset>161925</wp:posOffset>
                  </wp:positionV>
                  <wp:extent cx="894715" cy="727075"/>
                  <wp:effectExtent l="0" t="0" r="635" b="15875"/>
                  <wp:wrapNone/>
                  <wp:docPr id="136" name="Picture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_140"/>
                          <pic:cNvPicPr>
                            <a:picLocks noChangeAspect="1"/>
                          </pic:cNvPicPr>
                        </pic:nvPicPr>
                        <pic:blipFill>
                          <a:blip r:embed="rId174">
                            <a:lum/>
                          </a:blip>
                          <a:stretch>
                            <a:fillRect/>
                          </a:stretch>
                        </pic:blipFill>
                        <pic:spPr>
                          <a:xfrm>
                            <a:off x="0" y="0"/>
                            <a:ext cx="894715" cy="7270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海洋甲壳类标本组合</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多种甲壳类标本放于一个盒中</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6576" behindDoc="0" locked="0" layoutInCell="1" allowOverlap="1">
                  <wp:simplePos x="0" y="0"/>
                  <wp:positionH relativeFrom="column">
                    <wp:posOffset>504190</wp:posOffset>
                  </wp:positionH>
                  <wp:positionV relativeFrom="paragraph">
                    <wp:posOffset>169545</wp:posOffset>
                  </wp:positionV>
                  <wp:extent cx="1036955" cy="459105"/>
                  <wp:effectExtent l="0" t="0" r="10795" b="17145"/>
                  <wp:wrapNone/>
                  <wp:docPr id="137" name="Picture_42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_42_SpCnt_1"/>
                          <pic:cNvPicPr>
                            <a:picLocks noChangeAspect="1"/>
                          </pic:cNvPicPr>
                        </pic:nvPicPr>
                        <pic:blipFill>
                          <a:blip r:embed="rId175">
                            <a:lum/>
                          </a:blip>
                          <a:stretch>
                            <a:fillRect/>
                          </a:stretch>
                        </pic:blipFill>
                        <pic:spPr>
                          <a:xfrm>
                            <a:off x="0" y="0"/>
                            <a:ext cx="1036955" cy="4591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玉米生长史标本</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玉米从种子，发芽，幼苗一直到果实的变化标本放于一个盒中</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7600" behindDoc="0" locked="0" layoutInCell="1" allowOverlap="1">
                  <wp:simplePos x="0" y="0"/>
                  <wp:positionH relativeFrom="column">
                    <wp:posOffset>486410</wp:posOffset>
                  </wp:positionH>
                  <wp:positionV relativeFrom="paragraph">
                    <wp:posOffset>239395</wp:posOffset>
                  </wp:positionV>
                  <wp:extent cx="713740" cy="360680"/>
                  <wp:effectExtent l="0" t="0" r="10160" b="1270"/>
                  <wp:wrapNone/>
                  <wp:docPr id="138" name="Picture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_152"/>
                          <pic:cNvPicPr>
                            <a:picLocks noChangeAspect="1"/>
                          </pic:cNvPicPr>
                        </pic:nvPicPr>
                        <pic:blipFill>
                          <a:blip r:embed="rId176">
                            <a:lum/>
                          </a:blip>
                          <a:stretch>
                            <a:fillRect/>
                          </a:stretch>
                        </pic:blipFill>
                        <pic:spPr>
                          <a:xfrm>
                            <a:off x="0" y="0"/>
                            <a:ext cx="713740" cy="3606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蝴蝶标本</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多个不同品种蝴蝶标本和名称放于一个盒中</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8624" behindDoc="0" locked="0" layoutInCell="1" allowOverlap="1">
                  <wp:simplePos x="0" y="0"/>
                  <wp:positionH relativeFrom="column">
                    <wp:posOffset>238125</wp:posOffset>
                  </wp:positionH>
                  <wp:positionV relativeFrom="paragraph">
                    <wp:posOffset>55245</wp:posOffset>
                  </wp:positionV>
                  <wp:extent cx="924560" cy="506730"/>
                  <wp:effectExtent l="0" t="0" r="8890" b="7620"/>
                  <wp:wrapNone/>
                  <wp:docPr id="139" name="Picture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_150"/>
                          <pic:cNvPicPr>
                            <a:picLocks noChangeAspect="1"/>
                          </pic:cNvPicPr>
                        </pic:nvPicPr>
                        <pic:blipFill>
                          <a:blip r:embed="rId177">
                            <a:lum/>
                          </a:blip>
                          <a:stretch>
                            <a:fillRect/>
                          </a:stretch>
                        </pic:blipFill>
                        <pic:spPr>
                          <a:xfrm>
                            <a:off x="0" y="0"/>
                            <a:ext cx="924560" cy="5067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有益昆虫标本、有害昆虫标本</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多钟常见害虫和多种常见益虫</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59648" behindDoc="0" locked="0" layoutInCell="1" allowOverlap="1">
                  <wp:simplePos x="0" y="0"/>
                  <wp:positionH relativeFrom="column">
                    <wp:posOffset>152400</wp:posOffset>
                  </wp:positionH>
                  <wp:positionV relativeFrom="paragraph">
                    <wp:posOffset>158750</wp:posOffset>
                  </wp:positionV>
                  <wp:extent cx="704850" cy="468630"/>
                  <wp:effectExtent l="0" t="0" r="0" b="7620"/>
                  <wp:wrapNone/>
                  <wp:docPr id="140" name="Picture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_62"/>
                          <pic:cNvPicPr>
                            <a:picLocks noChangeAspect="1"/>
                          </pic:cNvPicPr>
                        </pic:nvPicPr>
                        <pic:blipFill>
                          <a:blip r:embed="rId178">
                            <a:lum/>
                          </a:blip>
                          <a:stretch>
                            <a:fillRect/>
                          </a:stretch>
                        </pic:blipFill>
                        <pic:spPr>
                          <a:xfrm>
                            <a:off x="0" y="0"/>
                            <a:ext cx="704850" cy="468630"/>
                          </a:xfrm>
                          <a:prstGeom prst="rect">
                            <a:avLst/>
                          </a:prstGeom>
                          <a:noFill/>
                          <a:ln>
                            <a:noFill/>
                          </a:ln>
                        </pic:spPr>
                      </pic:pic>
                    </a:graphicData>
                  </a:graphic>
                </wp:anchor>
              </w:drawing>
            </w: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60672" behindDoc="0" locked="0" layoutInCell="1" allowOverlap="1">
                  <wp:simplePos x="0" y="0"/>
                  <wp:positionH relativeFrom="column">
                    <wp:posOffset>876300</wp:posOffset>
                  </wp:positionH>
                  <wp:positionV relativeFrom="paragraph">
                    <wp:posOffset>161925</wp:posOffset>
                  </wp:positionV>
                  <wp:extent cx="724535" cy="494665"/>
                  <wp:effectExtent l="0" t="0" r="18415" b="635"/>
                  <wp:wrapNone/>
                  <wp:docPr id="141" name="Picture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_61"/>
                          <pic:cNvPicPr>
                            <a:picLocks noChangeAspect="1"/>
                          </pic:cNvPicPr>
                        </pic:nvPicPr>
                        <pic:blipFill>
                          <a:blip r:embed="rId179">
                            <a:lum/>
                          </a:blip>
                          <a:stretch>
                            <a:fillRect/>
                          </a:stretch>
                        </pic:blipFill>
                        <pic:spPr>
                          <a:xfrm>
                            <a:off x="0" y="0"/>
                            <a:ext cx="724535" cy="4946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矿石标本、岩石标本</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多种矿石和岩石的标本放于一个盒中</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61696" behindDoc="0" locked="0" layoutInCell="1" allowOverlap="1">
                  <wp:simplePos x="0" y="0"/>
                  <wp:positionH relativeFrom="column">
                    <wp:posOffset>362585</wp:posOffset>
                  </wp:positionH>
                  <wp:positionV relativeFrom="paragraph">
                    <wp:posOffset>66675</wp:posOffset>
                  </wp:positionV>
                  <wp:extent cx="762635" cy="475615"/>
                  <wp:effectExtent l="0" t="0" r="18415" b="635"/>
                  <wp:wrapNone/>
                  <wp:docPr id="142" name="Picture_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_139"/>
                          <pic:cNvPicPr>
                            <a:picLocks noChangeAspect="1"/>
                          </pic:cNvPicPr>
                        </pic:nvPicPr>
                        <pic:blipFill>
                          <a:blip r:embed="rId180">
                            <a:lum/>
                          </a:blip>
                          <a:stretch>
                            <a:fillRect/>
                          </a:stretch>
                        </pic:blipFill>
                        <pic:spPr>
                          <a:xfrm>
                            <a:off x="0" y="0"/>
                            <a:ext cx="762635" cy="4756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0" w:hRule="atLeast"/>
        </w:trPr>
        <w:tc>
          <w:tcPr>
            <w:tcW w:w="8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116</w:t>
            </w:r>
          </w:p>
        </w:tc>
        <w:tc>
          <w:tcPr>
            <w:tcW w:w="18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蒙台梭利教育光盘</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14张七大类，由台湾蒙台梭利协会出版。</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62720" behindDoc="0" locked="0" layoutInCell="1" allowOverlap="1">
                  <wp:simplePos x="0" y="0"/>
                  <wp:positionH relativeFrom="column">
                    <wp:posOffset>172085</wp:posOffset>
                  </wp:positionH>
                  <wp:positionV relativeFrom="paragraph">
                    <wp:posOffset>48895</wp:posOffset>
                  </wp:positionV>
                  <wp:extent cx="1292860" cy="607695"/>
                  <wp:effectExtent l="0" t="0" r="2540" b="1905"/>
                  <wp:wrapNone/>
                  <wp:docPr id="143" name="Picture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_431"/>
                          <pic:cNvPicPr>
                            <a:picLocks noChangeAspect="1"/>
                          </pic:cNvPicPr>
                        </pic:nvPicPr>
                        <pic:blipFill>
                          <a:blip r:embed="rId181">
                            <a:lum/>
                          </a:blip>
                          <a:stretch>
                            <a:fillRect/>
                          </a:stretch>
                        </pic:blipFill>
                        <pic:spPr>
                          <a:xfrm>
                            <a:off x="0" y="0"/>
                            <a:ext cx="1292860" cy="6076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笔划印章</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可印出各种笔画的15个印章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3744" behindDoc="0" locked="0" layoutInCell="1" allowOverlap="1">
                  <wp:simplePos x="0" y="0"/>
                  <wp:positionH relativeFrom="column">
                    <wp:posOffset>180340</wp:posOffset>
                  </wp:positionH>
                  <wp:positionV relativeFrom="paragraph">
                    <wp:posOffset>75565</wp:posOffset>
                  </wp:positionV>
                  <wp:extent cx="1067435" cy="447675"/>
                  <wp:effectExtent l="0" t="0" r="18415" b="9525"/>
                  <wp:wrapNone/>
                  <wp:docPr id="144" name="图片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_55"/>
                          <pic:cNvPicPr>
                            <a:picLocks noChangeAspect="1"/>
                          </pic:cNvPicPr>
                        </pic:nvPicPr>
                        <pic:blipFill>
                          <a:blip r:embed="rId182">
                            <a:lum/>
                          </a:blip>
                          <a:stretch>
                            <a:fillRect/>
                          </a:stretch>
                        </pic:blipFill>
                        <pic:spPr>
                          <a:xfrm>
                            <a:off x="0" y="0"/>
                            <a:ext cx="1067435" cy="4476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偏旁印章</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可印出各种偏旁的15个印章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4768" behindDoc="0" locked="0" layoutInCell="1" allowOverlap="1">
                  <wp:simplePos x="0" y="0"/>
                  <wp:positionH relativeFrom="column">
                    <wp:posOffset>247015</wp:posOffset>
                  </wp:positionH>
                  <wp:positionV relativeFrom="paragraph">
                    <wp:posOffset>189865</wp:posOffset>
                  </wp:positionV>
                  <wp:extent cx="1143635" cy="410210"/>
                  <wp:effectExtent l="0" t="0" r="18415" b="8890"/>
                  <wp:wrapNone/>
                  <wp:docPr id="145" name="图片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_57"/>
                          <pic:cNvPicPr>
                            <a:picLocks noChangeAspect="1"/>
                          </pic:cNvPicPr>
                        </pic:nvPicPr>
                        <pic:blipFill>
                          <a:blip r:embed="rId183">
                            <a:lum/>
                          </a:blip>
                          <a:stretch>
                            <a:fillRect/>
                          </a:stretch>
                        </pic:blipFill>
                        <pic:spPr>
                          <a:xfrm>
                            <a:off x="0" y="0"/>
                            <a:ext cx="1143635" cy="4102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数字印章</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可印出1-10和运算符号的15个印章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5792" behindDoc="0" locked="0" layoutInCell="1" allowOverlap="1">
                  <wp:simplePos x="0" y="0"/>
                  <wp:positionH relativeFrom="column">
                    <wp:posOffset>238760</wp:posOffset>
                  </wp:positionH>
                  <wp:positionV relativeFrom="paragraph">
                    <wp:posOffset>46355</wp:posOffset>
                  </wp:positionV>
                  <wp:extent cx="1085215" cy="534035"/>
                  <wp:effectExtent l="0" t="0" r="635" b="18415"/>
                  <wp:wrapNone/>
                  <wp:docPr id="146" name="图片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_59"/>
                          <pic:cNvPicPr>
                            <a:picLocks noChangeAspect="1"/>
                          </pic:cNvPicPr>
                        </pic:nvPicPr>
                        <pic:blipFill>
                          <a:blip r:embed="rId184">
                            <a:lum/>
                          </a:blip>
                          <a:stretch>
                            <a:fillRect/>
                          </a:stretch>
                        </pic:blipFill>
                        <pic:spPr>
                          <a:xfrm>
                            <a:off x="0" y="0"/>
                            <a:ext cx="1085215" cy="5340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算法展示板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由红绿蓝方格变化的底板组成，用于蒙氏数学的数字计算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6816" behindDoc="0" locked="0" layoutInCell="1" allowOverlap="1">
                  <wp:simplePos x="0" y="0"/>
                  <wp:positionH relativeFrom="column">
                    <wp:posOffset>238125</wp:posOffset>
                  </wp:positionH>
                  <wp:positionV relativeFrom="paragraph">
                    <wp:posOffset>133350</wp:posOffset>
                  </wp:positionV>
                  <wp:extent cx="1085850" cy="571500"/>
                  <wp:effectExtent l="0" t="0" r="0" b="0"/>
                  <wp:wrapNone/>
                  <wp:docPr id="147" name="Picture_6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_69_SpCnt_1"/>
                          <pic:cNvPicPr>
                            <a:picLocks noChangeAspect="1"/>
                          </pic:cNvPicPr>
                        </pic:nvPicPr>
                        <pic:blipFill>
                          <a:blip r:embed="rId185">
                            <a:lum/>
                          </a:blip>
                          <a:stretch>
                            <a:fillRect/>
                          </a:stretch>
                        </pic:blipFill>
                        <pic:spPr>
                          <a:xfrm>
                            <a:off x="0" y="0"/>
                            <a:ext cx="1085850" cy="5715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圆形嵌板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木质由10个圆形嵌板组成，分别是整圆、分成两份的圆、分成三份的圆……分成十份的圆。</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7840" behindDoc="0" locked="0" layoutInCell="1" allowOverlap="1">
                  <wp:simplePos x="0" y="0"/>
                  <wp:positionH relativeFrom="column">
                    <wp:posOffset>266700</wp:posOffset>
                  </wp:positionH>
                  <wp:positionV relativeFrom="paragraph">
                    <wp:posOffset>151765</wp:posOffset>
                  </wp:positionV>
                  <wp:extent cx="1267460" cy="486410"/>
                  <wp:effectExtent l="0" t="0" r="8890" b="8890"/>
                  <wp:wrapNone/>
                  <wp:docPr id="148" name="Picture_50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_50_SpCnt_2"/>
                          <pic:cNvPicPr>
                            <a:picLocks noChangeAspect="1"/>
                          </pic:cNvPicPr>
                        </pic:nvPicPr>
                        <pic:blipFill>
                          <a:blip r:embed="rId186">
                            <a:lum/>
                          </a:blip>
                          <a:stretch>
                            <a:fillRect/>
                          </a:stretch>
                        </pic:blipFill>
                        <pic:spPr>
                          <a:xfrm>
                            <a:off x="0" y="0"/>
                            <a:ext cx="1267460" cy="4864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五种图形几何嵌板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木质底板上由圆形、正方、长方、三角、椭圆五种几何图形组成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8864" behindDoc="0" locked="0" layoutInCell="1" allowOverlap="1">
                  <wp:simplePos x="0" y="0"/>
                  <wp:positionH relativeFrom="column">
                    <wp:posOffset>285115</wp:posOffset>
                  </wp:positionH>
                  <wp:positionV relativeFrom="paragraph">
                    <wp:posOffset>187325</wp:posOffset>
                  </wp:positionV>
                  <wp:extent cx="877570" cy="564515"/>
                  <wp:effectExtent l="0" t="0" r="17780" b="6985"/>
                  <wp:wrapNone/>
                  <wp:docPr id="149" name="Picture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_82"/>
                          <pic:cNvPicPr>
                            <a:picLocks noChangeAspect="1"/>
                          </pic:cNvPicPr>
                        </pic:nvPicPr>
                        <pic:blipFill>
                          <a:blip r:embed="rId187">
                            <a:lum/>
                          </a:blip>
                          <a:stretch>
                            <a:fillRect/>
                          </a:stretch>
                        </pic:blipFill>
                        <pic:spPr>
                          <a:xfrm>
                            <a:off x="0" y="0"/>
                            <a:ext cx="877570" cy="5645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几何立体组三部卡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纸质，几何立体组的延伸教具。</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69888" behindDoc="0" locked="0" layoutInCell="1" allowOverlap="1">
                  <wp:simplePos x="0" y="0"/>
                  <wp:positionH relativeFrom="column">
                    <wp:posOffset>66675</wp:posOffset>
                  </wp:positionH>
                  <wp:positionV relativeFrom="paragraph">
                    <wp:posOffset>114300</wp:posOffset>
                  </wp:positionV>
                  <wp:extent cx="1371600" cy="514350"/>
                  <wp:effectExtent l="0" t="0" r="0" b="0"/>
                  <wp:wrapNone/>
                  <wp:docPr id="150" name="Picture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_434"/>
                          <pic:cNvPicPr>
                            <a:picLocks noChangeAspect="1"/>
                          </pic:cNvPicPr>
                        </pic:nvPicPr>
                        <pic:blipFill>
                          <a:blip r:embed="rId188">
                            <a:lum/>
                          </a:blip>
                          <a:stretch>
                            <a:fillRect/>
                          </a:stretch>
                        </pic:blipFill>
                        <pic:spPr>
                          <a:xfrm>
                            <a:off x="0" y="0"/>
                            <a:ext cx="1371600" cy="5143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小型长棒</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10根红色方长棒组成。透过触觉、视觉的辨别，在知觉上对长度的差别有正确的了解，发展手、眼与肌肉的协调性；数学教育（量，基本运算、十进制元、分制系统）的直接准备教具。长棒最小5厘米最长50厘米的10根红色木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0912" behindDoc="0" locked="0" layoutInCell="1" allowOverlap="1">
                  <wp:simplePos x="0" y="0"/>
                  <wp:positionH relativeFrom="column">
                    <wp:posOffset>247650</wp:posOffset>
                  </wp:positionH>
                  <wp:positionV relativeFrom="paragraph">
                    <wp:posOffset>151765</wp:posOffset>
                  </wp:positionV>
                  <wp:extent cx="1029335" cy="695960"/>
                  <wp:effectExtent l="0" t="0" r="18415" b="8890"/>
                  <wp:wrapNone/>
                  <wp:docPr id="151" name="Picture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_35"/>
                          <pic:cNvPicPr>
                            <a:picLocks noChangeAspect="1"/>
                          </pic:cNvPicPr>
                        </pic:nvPicPr>
                        <pic:blipFill>
                          <a:blip r:embed="rId189">
                            <a:lum/>
                          </a:blip>
                          <a:stretch>
                            <a:fillRect/>
                          </a:stretch>
                        </pic:blipFill>
                        <pic:spPr>
                          <a:xfrm>
                            <a:off x="0" y="0"/>
                            <a:ext cx="1029335" cy="6959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6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偏旁砂子板</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每个方形地板上的偏旁都是由砂纸组成，学习的时候可以用手触摸来加深印象</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1936" behindDoc="0" locked="0" layoutInCell="1" allowOverlap="1">
                  <wp:simplePos x="0" y="0"/>
                  <wp:positionH relativeFrom="column">
                    <wp:posOffset>324485</wp:posOffset>
                  </wp:positionH>
                  <wp:positionV relativeFrom="paragraph">
                    <wp:posOffset>76200</wp:posOffset>
                  </wp:positionV>
                  <wp:extent cx="800735" cy="438150"/>
                  <wp:effectExtent l="0" t="0" r="18415" b="0"/>
                  <wp:wrapNone/>
                  <wp:docPr id="152" name="Pictur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_15"/>
                          <pic:cNvPicPr>
                            <a:picLocks noChangeAspect="1"/>
                          </pic:cNvPicPr>
                        </pic:nvPicPr>
                        <pic:blipFill>
                          <a:blip r:embed="rId190">
                            <a:lum/>
                          </a:blip>
                          <a:stretch>
                            <a:fillRect/>
                          </a:stretch>
                        </pic:blipFill>
                        <pic:spPr>
                          <a:xfrm>
                            <a:off x="0" y="0"/>
                            <a:ext cx="800735" cy="4381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男孩女孩成长卡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纸质，展示了男女从幼年，儿童，少年，青年，中年，老年的变化</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2960" behindDoc="0" locked="0" layoutInCell="1" allowOverlap="1">
                  <wp:simplePos x="0" y="0"/>
                  <wp:positionH relativeFrom="column">
                    <wp:posOffset>189230</wp:posOffset>
                  </wp:positionH>
                  <wp:positionV relativeFrom="paragraph">
                    <wp:posOffset>154305</wp:posOffset>
                  </wp:positionV>
                  <wp:extent cx="1191895" cy="530225"/>
                  <wp:effectExtent l="0" t="0" r="8255" b="3175"/>
                  <wp:wrapNone/>
                  <wp:docPr id="153" name="Picture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_366"/>
                          <pic:cNvPicPr>
                            <a:picLocks noChangeAspect="1"/>
                          </pic:cNvPicPr>
                        </pic:nvPicPr>
                        <pic:blipFill>
                          <a:blip r:embed="rId191">
                            <a:lum/>
                          </a:blip>
                          <a:stretch>
                            <a:fillRect/>
                          </a:stretch>
                        </pic:blipFill>
                        <pic:spPr>
                          <a:xfrm>
                            <a:off x="0" y="0"/>
                            <a:ext cx="1191895" cy="5302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性教育玩具</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软体布艺，穿有可脱衣服的男女娃娃，娃娃身体上由明显的性器官，是对孩子最早期的男女身体不同特点的教学娃娃。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bdr w:val="single" w:color="000000" w:sz="4" w:space="0"/>
                <w:lang w:val="en-US" w:eastAsia="zh-CN" w:bidi="ar-SA"/>
              </w:rPr>
              <w:drawing>
                <wp:anchor distT="0" distB="0" distL="114300" distR="114300" simplePos="0" relativeHeight="252073984" behindDoc="0" locked="0" layoutInCell="1" allowOverlap="1">
                  <wp:simplePos x="0" y="0"/>
                  <wp:positionH relativeFrom="column">
                    <wp:posOffset>171450</wp:posOffset>
                  </wp:positionH>
                  <wp:positionV relativeFrom="paragraph">
                    <wp:posOffset>114300</wp:posOffset>
                  </wp:positionV>
                  <wp:extent cx="1228090" cy="571500"/>
                  <wp:effectExtent l="0" t="0" r="10160" b="0"/>
                  <wp:wrapNone/>
                  <wp:docPr id="154" name="图片_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_3_SpCnt_1"/>
                          <pic:cNvPicPr>
                            <a:picLocks noChangeAspect="1"/>
                          </pic:cNvPicPr>
                        </pic:nvPicPr>
                        <pic:blipFill>
                          <a:blip r:embed="rId192">
                            <a:lum/>
                          </a:blip>
                          <a:stretch>
                            <a:fillRect/>
                          </a:stretch>
                        </pic:blipFill>
                        <pic:spPr>
                          <a:xfrm>
                            <a:off x="0" y="0"/>
                            <a:ext cx="1228090" cy="5715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星座操作卡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纸质，12个著名星座的星体构成和名称</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5008" behindDoc="0" locked="0" layoutInCell="1" allowOverlap="1">
                  <wp:simplePos x="0" y="0"/>
                  <wp:positionH relativeFrom="column">
                    <wp:posOffset>247015</wp:posOffset>
                  </wp:positionH>
                  <wp:positionV relativeFrom="paragraph">
                    <wp:posOffset>171450</wp:posOffset>
                  </wp:positionV>
                  <wp:extent cx="638175" cy="635"/>
                  <wp:effectExtent l="0" t="0" r="0" b="0"/>
                  <wp:wrapNone/>
                  <wp:docPr id="155" name="Picture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_369"/>
                          <pic:cNvPicPr>
                            <a:picLocks noChangeAspect="1"/>
                          </pic:cNvPicPr>
                        </pic:nvPicPr>
                        <pic:blipFill>
                          <a:blip r:embed="rId193">
                            <a:lum/>
                          </a:blip>
                          <a:stretch>
                            <a:fillRect/>
                          </a:stretch>
                        </pic:blipFill>
                        <pic:spPr>
                          <a:xfrm>
                            <a:off x="0" y="0"/>
                            <a:ext cx="638175" cy="635"/>
                          </a:xfrm>
                          <a:prstGeom prst="rect">
                            <a:avLst/>
                          </a:prstGeom>
                          <a:noFill/>
                          <a:ln>
                            <a:noFill/>
                          </a:ln>
                        </pic:spPr>
                      </pic:pic>
                    </a:graphicData>
                  </a:graphic>
                </wp:anchor>
              </w:drawing>
            </w: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6032" behindDoc="0" locked="0" layoutInCell="1" allowOverlap="1">
                  <wp:simplePos x="0" y="0"/>
                  <wp:positionH relativeFrom="column">
                    <wp:posOffset>457200</wp:posOffset>
                  </wp:positionH>
                  <wp:positionV relativeFrom="paragraph">
                    <wp:posOffset>161925</wp:posOffset>
                  </wp:positionV>
                  <wp:extent cx="638175" cy="807720"/>
                  <wp:effectExtent l="0" t="0" r="9525" b="11430"/>
                  <wp:wrapNone/>
                  <wp:docPr id="156" name="Picture_36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_369_SpCnt_1"/>
                          <pic:cNvPicPr>
                            <a:picLocks noChangeAspect="1"/>
                          </pic:cNvPicPr>
                        </pic:nvPicPr>
                        <pic:blipFill>
                          <a:blip r:embed="rId194">
                            <a:lum/>
                          </a:blip>
                          <a:stretch>
                            <a:fillRect/>
                          </a:stretch>
                        </pic:blipFill>
                        <pic:spPr>
                          <a:xfrm>
                            <a:off x="0" y="0"/>
                            <a:ext cx="638175" cy="8077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交通路标及平面图</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一个带有常见路型变化的示意底图，和常见的路标和对应这些路口变化的路标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7056" behindDoc="0" locked="0" layoutInCell="1" allowOverlap="1">
                  <wp:simplePos x="0" y="0"/>
                  <wp:positionH relativeFrom="column">
                    <wp:posOffset>333375</wp:posOffset>
                  </wp:positionH>
                  <wp:positionV relativeFrom="paragraph">
                    <wp:posOffset>104775</wp:posOffset>
                  </wp:positionV>
                  <wp:extent cx="1094740" cy="747395"/>
                  <wp:effectExtent l="0" t="0" r="10160" b="14605"/>
                  <wp:wrapNone/>
                  <wp:docPr id="157" name="Picture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_147"/>
                          <pic:cNvPicPr>
                            <a:picLocks noChangeAspect="1"/>
                          </pic:cNvPicPr>
                        </pic:nvPicPr>
                        <pic:blipFill>
                          <a:blip r:embed="rId195">
                            <a:lum/>
                          </a:blip>
                          <a:stretch>
                            <a:fillRect/>
                          </a:stretch>
                        </pic:blipFill>
                        <pic:spPr>
                          <a:xfrm>
                            <a:off x="0" y="0"/>
                            <a:ext cx="1094740" cy="7473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0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奇偶数座</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底板上有0-10的长度变化木杆，对应奇数的为白色珠子，对应偶数的是黑色珠子。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8080" behindDoc="0" locked="0" layoutInCell="1" allowOverlap="1">
                  <wp:simplePos x="0" y="0"/>
                  <wp:positionH relativeFrom="column">
                    <wp:posOffset>200025</wp:posOffset>
                  </wp:positionH>
                  <wp:positionV relativeFrom="paragraph">
                    <wp:posOffset>152400</wp:posOffset>
                  </wp:positionV>
                  <wp:extent cx="1238885" cy="476250"/>
                  <wp:effectExtent l="0" t="0" r="18415" b="0"/>
                  <wp:wrapNone/>
                  <wp:docPr id="158" name="Picture_85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_85_SpCnt_1"/>
                          <pic:cNvPicPr>
                            <a:picLocks noChangeAspect="1"/>
                          </pic:cNvPicPr>
                        </pic:nvPicPr>
                        <pic:blipFill>
                          <a:blip r:embed="rId196">
                            <a:lum/>
                          </a:blip>
                          <a:stretch>
                            <a:fillRect/>
                          </a:stretch>
                        </pic:blipFill>
                        <pic:spPr>
                          <a:xfrm>
                            <a:off x="0" y="0"/>
                            <a:ext cx="1238885" cy="4762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三体六色大木珠</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由红黄蓝绿橙紫，正方体，圆柱体，球体珠子组成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79104" behindDoc="0" locked="0" layoutInCell="1" allowOverlap="1">
                  <wp:simplePos x="0" y="0"/>
                  <wp:positionH relativeFrom="column">
                    <wp:posOffset>342265</wp:posOffset>
                  </wp:positionH>
                  <wp:positionV relativeFrom="paragraph">
                    <wp:posOffset>48895</wp:posOffset>
                  </wp:positionV>
                  <wp:extent cx="1028065" cy="598170"/>
                  <wp:effectExtent l="0" t="0" r="635" b="11430"/>
                  <wp:wrapNone/>
                  <wp:docPr id="159" name="图片_55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_55_SpCnt_1"/>
                          <pic:cNvPicPr>
                            <a:picLocks noChangeAspect="1"/>
                          </pic:cNvPicPr>
                        </pic:nvPicPr>
                        <pic:blipFill>
                          <a:blip r:embed="rId197">
                            <a:lum/>
                          </a:blip>
                          <a:stretch>
                            <a:fillRect/>
                          </a:stretch>
                        </pic:blipFill>
                        <pic:spPr>
                          <a:xfrm>
                            <a:off x="0" y="0"/>
                            <a:ext cx="1028065" cy="5981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太阳系行星三部卡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纸质，太阳系的行星和哈雷彗星行星轨道图组成</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0128" behindDoc="0" locked="0" layoutInCell="1" allowOverlap="1">
                  <wp:simplePos x="0" y="0"/>
                  <wp:positionH relativeFrom="column">
                    <wp:posOffset>561975</wp:posOffset>
                  </wp:positionH>
                  <wp:positionV relativeFrom="paragraph">
                    <wp:posOffset>86995</wp:posOffset>
                  </wp:positionV>
                  <wp:extent cx="676275" cy="655320"/>
                  <wp:effectExtent l="0" t="0" r="9525" b="11430"/>
                  <wp:wrapNone/>
                  <wp:docPr id="160" name="Picture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_265"/>
                          <pic:cNvPicPr>
                            <a:picLocks noChangeAspect="1"/>
                          </pic:cNvPicPr>
                        </pic:nvPicPr>
                        <pic:blipFill>
                          <a:blip r:embed="rId198">
                            <a:lum/>
                          </a:blip>
                          <a:stretch>
                            <a:fillRect/>
                          </a:stretch>
                        </pic:blipFill>
                        <pic:spPr>
                          <a:xfrm>
                            <a:off x="0" y="0"/>
                            <a:ext cx="676275" cy="6553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4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国旗多米诺80片</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各国国旗和名称组成的多米诺块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1152" behindDoc="0" locked="0" layoutInCell="1" allowOverlap="1">
                  <wp:simplePos x="0" y="0"/>
                  <wp:positionH relativeFrom="column">
                    <wp:posOffset>476250</wp:posOffset>
                  </wp:positionH>
                  <wp:positionV relativeFrom="paragraph">
                    <wp:posOffset>56515</wp:posOffset>
                  </wp:positionV>
                  <wp:extent cx="838835" cy="610235"/>
                  <wp:effectExtent l="0" t="0" r="18415" b="18415"/>
                  <wp:wrapNone/>
                  <wp:docPr id="161" name="Picture_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_143"/>
                          <pic:cNvPicPr>
                            <a:picLocks noChangeAspect="1"/>
                          </pic:cNvPicPr>
                        </pic:nvPicPr>
                        <pic:blipFill>
                          <a:blip r:embed="rId199">
                            <a:lum/>
                          </a:blip>
                          <a:stretch>
                            <a:fillRect/>
                          </a:stretch>
                        </pic:blipFill>
                        <pic:spPr>
                          <a:xfrm>
                            <a:off x="0" y="0"/>
                            <a:ext cx="838835" cy="6102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地形图三部卡</w:t>
            </w:r>
          </w:p>
        </w:tc>
        <w:tc>
          <w:tcPr>
            <w:tcW w:w="603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纸质，常见的地形和湖泊、岛屿、半岛等名称和示例</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2176" behindDoc="0" locked="0" layoutInCell="1" allowOverlap="1">
                  <wp:simplePos x="0" y="0"/>
                  <wp:positionH relativeFrom="column">
                    <wp:posOffset>342900</wp:posOffset>
                  </wp:positionH>
                  <wp:positionV relativeFrom="paragraph">
                    <wp:posOffset>83820</wp:posOffset>
                  </wp:positionV>
                  <wp:extent cx="1114425" cy="678180"/>
                  <wp:effectExtent l="0" t="0" r="9525" b="7620"/>
                  <wp:wrapNone/>
                  <wp:docPr id="162" name="Picture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_436"/>
                          <pic:cNvPicPr>
                            <a:picLocks noChangeAspect="1"/>
                          </pic:cNvPicPr>
                        </pic:nvPicPr>
                        <pic:blipFill>
                          <a:blip r:embed="rId200">
                            <a:lum/>
                          </a:blip>
                          <a:stretch>
                            <a:fillRect/>
                          </a:stretch>
                        </pic:blipFill>
                        <pic:spPr>
                          <a:xfrm>
                            <a:off x="0" y="0"/>
                            <a:ext cx="1114425" cy="6781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70" w:hRule="atLeast"/>
        </w:trPr>
        <w:tc>
          <w:tcPr>
            <w:tcW w:w="874" w:type="dxa"/>
            <w:tcBorders>
              <w:top w:val="nil"/>
              <w:left w:val="nil"/>
              <w:bottom w:val="nil"/>
              <w:right w:val="nil"/>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830" w:type="dxa"/>
            <w:tcBorders>
              <w:top w:val="nil"/>
              <w:left w:val="nil"/>
              <w:bottom w:val="nil"/>
              <w:right w:val="nil"/>
            </w:tcBorders>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6030" w:type="dxa"/>
            <w:tcBorders>
              <w:top w:val="nil"/>
              <w:left w:val="nil"/>
              <w:bottom w:val="nil"/>
              <w:right w:val="nil"/>
            </w:tcBorders>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3090" w:type="dxa"/>
            <w:tcBorders>
              <w:top w:val="nil"/>
              <w:left w:val="nil"/>
              <w:bottom w:val="nil"/>
              <w:right w:val="nil"/>
            </w:tcBorders>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1125" w:type="dxa"/>
            <w:tcBorders>
              <w:top w:val="nil"/>
              <w:left w:val="nil"/>
              <w:bottom w:val="nil"/>
              <w:right w:val="nil"/>
            </w:tcBorders>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1091" w:type="dxa"/>
            <w:tcBorders>
              <w:top w:val="nil"/>
              <w:left w:val="nil"/>
              <w:bottom w:val="nil"/>
              <w:right w:val="single" w:color="auto" w:sz="4" w:space="0"/>
            </w:tcBorders>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99"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2、绘画系列</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洗笔杯</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塑料材质，可作调颜料，也可作为分类的容器（10个每套）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3200" behindDoc="0" locked="0" layoutInCell="1" allowOverlap="1">
                  <wp:simplePos x="0" y="0"/>
                  <wp:positionH relativeFrom="column">
                    <wp:posOffset>133350</wp:posOffset>
                  </wp:positionH>
                  <wp:positionV relativeFrom="paragraph">
                    <wp:posOffset>136525</wp:posOffset>
                  </wp:positionV>
                  <wp:extent cx="1304925" cy="533400"/>
                  <wp:effectExtent l="0" t="0" r="9525" b="0"/>
                  <wp:wrapNone/>
                  <wp:docPr id="163" name="图片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_126"/>
                          <pic:cNvPicPr>
                            <a:picLocks noChangeAspect="1"/>
                          </pic:cNvPicPr>
                        </pic:nvPicPr>
                        <pic:blipFill>
                          <a:blip r:embed="rId201">
                            <a:lum/>
                          </a:blip>
                          <a:stretch>
                            <a:fillRect/>
                          </a:stretch>
                        </pic:blipFill>
                        <pic:spPr>
                          <a:xfrm>
                            <a:off x="0" y="0"/>
                            <a:ext cx="1304925" cy="5334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绘图刮板</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尺寸：150*70mm 材质：塑料，每套不少于5个，每个刮板边缘线条不同</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4224" behindDoc="0" locked="0" layoutInCell="1" allowOverlap="1">
                  <wp:simplePos x="0" y="0"/>
                  <wp:positionH relativeFrom="column">
                    <wp:posOffset>38100</wp:posOffset>
                  </wp:positionH>
                  <wp:positionV relativeFrom="paragraph">
                    <wp:posOffset>152400</wp:posOffset>
                  </wp:positionV>
                  <wp:extent cx="1438275" cy="723900"/>
                  <wp:effectExtent l="0" t="0" r="9525" b="0"/>
                  <wp:wrapNone/>
                  <wp:docPr id="164" name="图片_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_127"/>
                          <pic:cNvPicPr>
                            <a:picLocks noChangeAspect="1"/>
                          </pic:cNvPicPr>
                        </pic:nvPicPr>
                        <pic:blipFill>
                          <a:blip r:embed="rId202">
                            <a:lum/>
                          </a:blip>
                          <a:stretch>
                            <a:fillRect/>
                          </a:stretch>
                        </pic:blipFill>
                        <pic:spPr>
                          <a:xfrm>
                            <a:off x="0" y="0"/>
                            <a:ext cx="1438275" cy="7239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6</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油画棒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材质：安全无毒蜡笔24色</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5248" behindDoc="0" locked="0" layoutInCell="1" allowOverlap="1">
                  <wp:simplePos x="0" y="0"/>
                  <wp:positionH relativeFrom="column">
                    <wp:posOffset>104775</wp:posOffset>
                  </wp:positionH>
                  <wp:positionV relativeFrom="paragraph">
                    <wp:posOffset>209550</wp:posOffset>
                  </wp:positionV>
                  <wp:extent cx="1428750" cy="676275"/>
                  <wp:effectExtent l="0" t="0" r="0" b="9525"/>
                  <wp:wrapNone/>
                  <wp:docPr id="165" name="图片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_512"/>
                          <pic:cNvPicPr>
                            <a:picLocks noChangeAspect="1"/>
                          </pic:cNvPicPr>
                        </pic:nvPicPr>
                        <pic:blipFill>
                          <a:blip r:embed="rId203">
                            <a:lum/>
                          </a:blip>
                          <a:stretch>
                            <a:fillRect/>
                          </a:stretch>
                        </pic:blipFill>
                        <pic:spPr>
                          <a:xfrm>
                            <a:off x="0" y="0"/>
                            <a:ext cx="1428750" cy="6762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盒</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创意刮画</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规格：225*225mm（包含刮画纸+刮画笔）</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6272" behindDoc="0" locked="0" layoutInCell="1" allowOverlap="1">
                  <wp:simplePos x="0" y="0"/>
                  <wp:positionH relativeFrom="column">
                    <wp:posOffset>142875</wp:posOffset>
                  </wp:positionH>
                  <wp:positionV relativeFrom="paragraph">
                    <wp:posOffset>85090</wp:posOffset>
                  </wp:positionV>
                  <wp:extent cx="1295400" cy="772160"/>
                  <wp:effectExtent l="0" t="0" r="0" b="8890"/>
                  <wp:wrapNone/>
                  <wp:docPr id="166" name="图片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_513"/>
                          <pic:cNvPicPr>
                            <a:picLocks noChangeAspect="1"/>
                          </pic:cNvPicPr>
                        </pic:nvPicPr>
                        <pic:blipFill>
                          <a:blip r:embed="rId204">
                            <a:lum/>
                          </a:blip>
                          <a:stretch>
                            <a:fillRect/>
                          </a:stretch>
                        </pic:blipFill>
                        <pic:spPr>
                          <a:xfrm>
                            <a:off x="0" y="0"/>
                            <a:ext cx="1295400" cy="7721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4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手指画颜料</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规格：225*225mm 包括颜料4支+方形海绵+卡片8张+指导画册</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7296" behindDoc="0" locked="0" layoutInCell="1" allowOverlap="1">
                  <wp:simplePos x="0" y="0"/>
                  <wp:positionH relativeFrom="column">
                    <wp:posOffset>113665</wp:posOffset>
                  </wp:positionH>
                  <wp:positionV relativeFrom="paragraph">
                    <wp:posOffset>60325</wp:posOffset>
                  </wp:positionV>
                  <wp:extent cx="1315085" cy="625475"/>
                  <wp:effectExtent l="0" t="0" r="18415" b="3175"/>
                  <wp:wrapNone/>
                  <wp:docPr id="167" name="图片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_514"/>
                          <pic:cNvPicPr>
                            <a:picLocks noChangeAspect="1"/>
                          </pic:cNvPicPr>
                        </pic:nvPicPr>
                        <pic:blipFill>
                          <a:blip r:embed="rId205">
                            <a:lum/>
                          </a:blip>
                          <a:stretch>
                            <a:fillRect/>
                          </a:stretch>
                        </pic:blipFill>
                        <pic:spPr>
                          <a:xfrm>
                            <a:off x="0" y="0"/>
                            <a:ext cx="1315085" cy="6254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面</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艺术沙画</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采砂4色+主题卡片10张+小沙刷+沙画棒+工具组+操作手册</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8320" behindDoc="0" locked="0" layoutInCell="1" allowOverlap="1">
                  <wp:simplePos x="0" y="0"/>
                  <wp:positionH relativeFrom="column">
                    <wp:posOffset>114300</wp:posOffset>
                  </wp:positionH>
                  <wp:positionV relativeFrom="paragraph">
                    <wp:posOffset>73660</wp:posOffset>
                  </wp:positionV>
                  <wp:extent cx="1362075" cy="726440"/>
                  <wp:effectExtent l="0" t="0" r="9525" b="16510"/>
                  <wp:wrapNone/>
                  <wp:docPr id="168" name="图片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_515"/>
                          <pic:cNvPicPr>
                            <a:picLocks noChangeAspect="1"/>
                          </pic:cNvPicPr>
                        </pic:nvPicPr>
                        <pic:blipFill>
                          <a:blip r:embed="rId206">
                            <a:lum/>
                          </a:blip>
                          <a:stretch>
                            <a:fillRect/>
                          </a:stretch>
                        </pic:blipFill>
                        <pic:spPr>
                          <a:xfrm>
                            <a:off x="0" y="0"/>
                            <a:ext cx="1362075" cy="7264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绘画画笔</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三支装（大中小）适用水彩、水粉、油画</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89344" behindDoc="0" locked="0" layoutInCell="1" allowOverlap="1">
                  <wp:simplePos x="0" y="0"/>
                  <wp:positionH relativeFrom="column">
                    <wp:posOffset>561975</wp:posOffset>
                  </wp:positionH>
                  <wp:positionV relativeFrom="paragraph">
                    <wp:posOffset>73025</wp:posOffset>
                  </wp:positionV>
                  <wp:extent cx="504825" cy="1149350"/>
                  <wp:effectExtent l="0" t="0" r="9525" b="12700"/>
                  <wp:wrapNone/>
                  <wp:docPr id="169" name="图片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_516"/>
                          <pic:cNvPicPr>
                            <a:picLocks noChangeAspect="1"/>
                          </pic:cNvPicPr>
                        </pic:nvPicPr>
                        <pic:blipFill>
                          <a:blip r:embed="rId207">
                            <a:lum/>
                          </a:blip>
                          <a:stretch>
                            <a:fillRect/>
                          </a:stretch>
                        </pic:blipFill>
                        <pic:spPr>
                          <a:xfrm>
                            <a:off x="0" y="0"/>
                            <a:ext cx="504825" cy="11493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水彩颜料</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9ml 12色水彩颜料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0368" behindDoc="0" locked="0" layoutInCell="1" allowOverlap="1">
                  <wp:simplePos x="0" y="0"/>
                  <wp:positionH relativeFrom="column">
                    <wp:posOffset>104775</wp:posOffset>
                  </wp:positionH>
                  <wp:positionV relativeFrom="paragraph">
                    <wp:posOffset>50800</wp:posOffset>
                  </wp:positionV>
                  <wp:extent cx="1466850" cy="711200"/>
                  <wp:effectExtent l="0" t="0" r="0" b="12700"/>
                  <wp:wrapNone/>
                  <wp:docPr id="170" name="图片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_517"/>
                          <pic:cNvPicPr>
                            <a:picLocks noChangeAspect="1"/>
                          </pic:cNvPicPr>
                        </pic:nvPicPr>
                        <pic:blipFill>
                          <a:blip r:embed="rId208">
                            <a:lum/>
                          </a:blip>
                          <a:stretch>
                            <a:fillRect/>
                          </a:stretch>
                        </pic:blipFill>
                        <pic:spPr>
                          <a:xfrm>
                            <a:off x="0" y="0"/>
                            <a:ext cx="1466850" cy="7112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水粉画颜料</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9ml 12色水彩颜料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1392" behindDoc="0" locked="0" layoutInCell="1" allowOverlap="1">
                  <wp:simplePos x="0" y="0"/>
                  <wp:positionH relativeFrom="column">
                    <wp:posOffset>171450</wp:posOffset>
                  </wp:positionH>
                  <wp:positionV relativeFrom="paragraph">
                    <wp:posOffset>76200</wp:posOffset>
                  </wp:positionV>
                  <wp:extent cx="1257300" cy="619125"/>
                  <wp:effectExtent l="0" t="0" r="0" b="9525"/>
                  <wp:wrapNone/>
                  <wp:docPr id="171"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_32"/>
                          <pic:cNvPicPr>
                            <a:picLocks noChangeAspect="1"/>
                          </pic:cNvPicPr>
                        </pic:nvPicPr>
                        <pic:blipFill>
                          <a:blip r:embed="rId209">
                            <a:lum/>
                          </a:blip>
                          <a:stretch>
                            <a:fillRect/>
                          </a:stretch>
                        </pic:blipFill>
                        <pic:spPr>
                          <a:xfrm>
                            <a:off x="0" y="0"/>
                            <a:ext cx="1257300" cy="6191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盒</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调色盘</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规格：直径178mm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2416" behindDoc="0" locked="0" layoutInCell="1" allowOverlap="1">
                  <wp:simplePos x="0" y="0"/>
                  <wp:positionH relativeFrom="column">
                    <wp:posOffset>170815</wp:posOffset>
                  </wp:positionH>
                  <wp:positionV relativeFrom="paragraph">
                    <wp:posOffset>73025</wp:posOffset>
                  </wp:positionV>
                  <wp:extent cx="1143635" cy="679450"/>
                  <wp:effectExtent l="0" t="0" r="18415" b="6350"/>
                  <wp:wrapNone/>
                  <wp:docPr id="172" name="图片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_518"/>
                          <pic:cNvPicPr>
                            <a:picLocks noChangeAspect="1"/>
                          </pic:cNvPicPr>
                        </pic:nvPicPr>
                        <pic:blipFill>
                          <a:blip r:embed="rId210">
                            <a:lum/>
                          </a:blip>
                          <a:stretch>
                            <a:fillRect/>
                          </a:stretch>
                        </pic:blipFill>
                        <pic:spPr>
                          <a:xfrm>
                            <a:off x="0" y="0"/>
                            <a:ext cx="1143635" cy="6794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5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涂色模板</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材质：环保塑料 规格：6种/包 6个系列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3440" behindDoc="0" locked="0" layoutInCell="1" allowOverlap="1">
                  <wp:simplePos x="0" y="0"/>
                  <wp:positionH relativeFrom="column">
                    <wp:posOffset>57150</wp:posOffset>
                  </wp:positionH>
                  <wp:positionV relativeFrom="paragraph">
                    <wp:posOffset>253365</wp:posOffset>
                  </wp:positionV>
                  <wp:extent cx="1543050" cy="480060"/>
                  <wp:effectExtent l="0" t="0" r="0" b="15240"/>
                  <wp:wrapNone/>
                  <wp:docPr id="173" name="图片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_519"/>
                          <pic:cNvPicPr>
                            <a:picLocks noChangeAspect="1"/>
                          </pic:cNvPicPr>
                        </pic:nvPicPr>
                        <pic:blipFill>
                          <a:blip r:embed="rId211">
                            <a:lum/>
                          </a:blip>
                          <a:stretch>
                            <a:fillRect/>
                          </a:stretch>
                        </pic:blipFill>
                        <pic:spPr>
                          <a:xfrm>
                            <a:off x="0" y="0"/>
                            <a:ext cx="1543050" cy="4800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面具白坯</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材质：纸浆  规格：210*220mm，可用水彩、颜料、油画棒上色</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4464" behindDoc="0" locked="0" layoutInCell="1" allowOverlap="1">
                  <wp:simplePos x="0" y="0"/>
                  <wp:positionH relativeFrom="column">
                    <wp:posOffset>76200</wp:posOffset>
                  </wp:positionH>
                  <wp:positionV relativeFrom="paragraph">
                    <wp:posOffset>42545</wp:posOffset>
                  </wp:positionV>
                  <wp:extent cx="1485900" cy="909955"/>
                  <wp:effectExtent l="0" t="0" r="0" b="4445"/>
                  <wp:wrapNone/>
                  <wp:docPr id="174" name="图片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_520"/>
                          <pic:cNvPicPr>
                            <a:picLocks noChangeAspect="1"/>
                          </pic:cNvPicPr>
                        </pic:nvPicPr>
                        <pic:blipFill>
                          <a:blip r:embed="rId212">
                            <a:lum/>
                          </a:blip>
                          <a:stretch>
                            <a:fillRect/>
                          </a:stretch>
                        </pic:blipFill>
                        <pic:spPr>
                          <a:xfrm>
                            <a:off x="0" y="0"/>
                            <a:ext cx="1485900" cy="9099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绘画扇子</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材质：纸质  规格：210*13mm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5488" behindDoc="0" locked="0" layoutInCell="1" allowOverlap="1">
                  <wp:simplePos x="0" y="0"/>
                  <wp:positionH relativeFrom="column">
                    <wp:posOffset>133350</wp:posOffset>
                  </wp:positionH>
                  <wp:positionV relativeFrom="paragraph">
                    <wp:posOffset>79375</wp:posOffset>
                  </wp:positionV>
                  <wp:extent cx="1428750" cy="695325"/>
                  <wp:effectExtent l="0" t="0" r="0" b="9525"/>
                  <wp:wrapNone/>
                  <wp:docPr id="175" name="图片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_521"/>
                          <pic:cNvPicPr>
                            <a:picLocks noChangeAspect="1"/>
                          </pic:cNvPicPr>
                        </pic:nvPicPr>
                        <pic:blipFill>
                          <a:blip r:embed="rId213">
                            <a:lum/>
                          </a:blip>
                          <a:stretch>
                            <a:fillRect/>
                          </a:stretch>
                        </pic:blipFill>
                        <pic:spPr>
                          <a:xfrm>
                            <a:off x="0" y="0"/>
                            <a:ext cx="1428750" cy="6953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绘画伞</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材质：纸质  规格：直径300mm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6512" behindDoc="0" locked="0" layoutInCell="1" allowOverlap="1">
                  <wp:simplePos x="0" y="0"/>
                  <wp:positionH relativeFrom="column">
                    <wp:posOffset>133350</wp:posOffset>
                  </wp:positionH>
                  <wp:positionV relativeFrom="paragraph">
                    <wp:posOffset>85725</wp:posOffset>
                  </wp:positionV>
                  <wp:extent cx="1371600" cy="733425"/>
                  <wp:effectExtent l="0" t="0" r="0" b="9525"/>
                  <wp:wrapNone/>
                  <wp:docPr id="176" name="图片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_522"/>
                          <pic:cNvPicPr>
                            <a:picLocks noChangeAspect="1"/>
                          </pic:cNvPicPr>
                        </pic:nvPicPr>
                        <pic:blipFill>
                          <a:blip r:embed="rId214">
                            <a:lum/>
                          </a:blip>
                          <a:stretch>
                            <a:fillRect/>
                          </a:stretch>
                        </pic:blipFill>
                        <pic:spPr>
                          <a:xfrm>
                            <a:off x="0" y="0"/>
                            <a:ext cx="1371600" cy="7334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手绘风筝</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材质：布质    规格：840*450mm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7536" behindDoc="0" locked="0" layoutInCell="1" allowOverlap="1">
                  <wp:simplePos x="0" y="0"/>
                  <wp:positionH relativeFrom="column">
                    <wp:posOffset>151765</wp:posOffset>
                  </wp:positionH>
                  <wp:positionV relativeFrom="paragraph">
                    <wp:posOffset>71120</wp:posOffset>
                  </wp:positionV>
                  <wp:extent cx="1276985" cy="681355"/>
                  <wp:effectExtent l="0" t="0" r="18415" b="4445"/>
                  <wp:wrapNone/>
                  <wp:docPr id="177" name="图片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_523"/>
                          <pic:cNvPicPr>
                            <a:picLocks noChangeAspect="1"/>
                          </pic:cNvPicPr>
                        </pic:nvPicPr>
                        <pic:blipFill>
                          <a:blip r:embed="rId215">
                            <a:lum/>
                          </a:blip>
                          <a:stretch>
                            <a:fillRect/>
                          </a:stretch>
                        </pic:blipFill>
                        <pic:spPr>
                          <a:xfrm>
                            <a:off x="0" y="0"/>
                            <a:ext cx="1276985" cy="6813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彩蛋白胚</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材质：木质  规格：70*50mm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8560" behindDoc="0" locked="0" layoutInCell="1" allowOverlap="1">
                  <wp:simplePos x="0" y="0"/>
                  <wp:positionH relativeFrom="column">
                    <wp:posOffset>219075</wp:posOffset>
                  </wp:positionH>
                  <wp:positionV relativeFrom="paragraph">
                    <wp:posOffset>28575</wp:posOffset>
                  </wp:positionV>
                  <wp:extent cx="1219835" cy="935990"/>
                  <wp:effectExtent l="0" t="0" r="18415" b="16510"/>
                  <wp:wrapNone/>
                  <wp:docPr id="178" name="图片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_524"/>
                          <pic:cNvPicPr>
                            <a:picLocks noChangeAspect="1"/>
                          </pic:cNvPicPr>
                        </pic:nvPicPr>
                        <pic:blipFill>
                          <a:blip r:embed="rId216">
                            <a:lum/>
                          </a:blip>
                          <a:stretch>
                            <a:fillRect/>
                          </a:stretch>
                        </pic:blipFill>
                        <pic:spPr>
                          <a:xfrm>
                            <a:off x="0" y="0"/>
                            <a:ext cx="1219835" cy="9359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刮画纸</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A4 10张/包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099584" behindDoc="0" locked="0" layoutInCell="1" allowOverlap="1">
                  <wp:simplePos x="0" y="0"/>
                  <wp:positionH relativeFrom="column">
                    <wp:posOffset>152400</wp:posOffset>
                  </wp:positionH>
                  <wp:positionV relativeFrom="paragraph">
                    <wp:posOffset>47625</wp:posOffset>
                  </wp:positionV>
                  <wp:extent cx="1314450" cy="870585"/>
                  <wp:effectExtent l="0" t="0" r="0" b="5715"/>
                  <wp:wrapNone/>
                  <wp:docPr id="179" name="图片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_525"/>
                          <pic:cNvPicPr>
                            <a:picLocks noChangeAspect="1"/>
                          </pic:cNvPicPr>
                        </pic:nvPicPr>
                        <pic:blipFill>
                          <a:blip r:embed="rId217">
                            <a:lum/>
                          </a:blip>
                          <a:stretch>
                            <a:fillRect/>
                          </a:stretch>
                        </pic:blipFill>
                        <pic:spPr>
                          <a:xfrm>
                            <a:off x="0" y="0"/>
                            <a:ext cx="1314450" cy="8705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笔筒白坯</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材质：木质  规格：80*100mm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0608" behindDoc="0" locked="0" layoutInCell="1" allowOverlap="1">
                  <wp:simplePos x="0" y="0"/>
                  <wp:positionH relativeFrom="column">
                    <wp:posOffset>133350</wp:posOffset>
                  </wp:positionH>
                  <wp:positionV relativeFrom="paragraph">
                    <wp:posOffset>133350</wp:posOffset>
                  </wp:positionV>
                  <wp:extent cx="1495425" cy="742950"/>
                  <wp:effectExtent l="0" t="0" r="9525" b="0"/>
                  <wp:wrapNone/>
                  <wp:docPr id="180" name="图片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_526"/>
                          <pic:cNvPicPr>
                            <a:picLocks noChangeAspect="1"/>
                          </pic:cNvPicPr>
                        </pic:nvPicPr>
                        <pic:blipFill>
                          <a:blip r:embed="rId218">
                            <a:lum/>
                          </a:blip>
                          <a:stretch>
                            <a:fillRect/>
                          </a:stretch>
                        </pic:blipFill>
                        <pic:spPr>
                          <a:xfrm>
                            <a:off x="0" y="0"/>
                            <a:ext cx="1495425" cy="7429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3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海绵画刷</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材质：海绵+木制  尺寸高65mm(四个刷头直径：40mm,30mm,20mm,10mm)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1632" behindDoc="0" locked="0" layoutInCell="1" allowOverlap="1">
                  <wp:simplePos x="0" y="0"/>
                  <wp:positionH relativeFrom="column">
                    <wp:posOffset>66675</wp:posOffset>
                  </wp:positionH>
                  <wp:positionV relativeFrom="paragraph">
                    <wp:posOffset>123825</wp:posOffset>
                  </wp:positionV>
                  <wp:extent cx="1676400" cy="647700"/>
                  <wp:effectExtent l="0" t="0" r="0" b="0"/>
                  <wp:wrapNone/>
                  <wp:docPr id="181" name="图片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_527"/>
                          <pic:cNvPicPr>
                            <a:picLocks noChangeAspect="1"/>
                          </pic:cNvPicPr>
                        </pic:nvPicPr>
                        <pic:blipFill>
                          <a:blip r:embed="rId219">
                            <a:lum/>
                          </a:blip>
                          <a:stretch>
                            <a:fillRect/>
                          </a:stretch>
                        </pic:blipFill>
                        <pic:spPr>
                          <a:xfrm>
                            <a:off x="0" y="0"/>
                            <a:ext cx="1676400" cy="6477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手柄印章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材质：EVA+塑料                         10个/套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2656" behindDoc="0" locked="0" layoutInCell="1" allowOverlap="1">
                  <wp:simplePos x="0" y="0"/>
                  <wp:positionH relativeFrom="column">
                    <wp:posOffset>228600</wp:posOffset>
                  </wp:positionH>
                  <wp:positionV relativeFrom="paragraph">
                    <wp:posOffset>69850</wp:posOffset>
                  </wp:positionV>
                  <wp:extent cx="1362075" cy="762000"/>
                  <wp:effectExtent l="0" t="0" r="9525" b="0"/>
                  <wp:wrapNone/>
                  <wp:docPr id="182" name="图片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_528"/>
                          <pic:cNvPicPr>
                            <a:picLocks noChangeAspect="1"/>
                          </pic:cNvPicPr>
                        </pic:nvPicPr>
                        <pic:blipFill>
                          <a:blip r:embed="rId220">
                            <a:lum/>
                          </a:blip>
                          <a:stretch>
                            <a:fillRect/>
                          </a:stretch>
                        </pic:blipFill>
                        <pic:spPr>
                          <a:xfrm>
                            <a:off x="0" y="0"/>
                            <a:ext cx="1362075" cy="7620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水粉纸</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380*260mm 每包是20张</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3680" behindDoc="0" locked="0" layoutInCell="1" allowOverlap="1">
                  <wp:simplePos x="0" y="0"/>
                  <wp:positionH relativeFrom="column">
                    <wp:posOffset>76200</wp:posOffset>
                  </wp:positionH>
                  <wp:positionV relativeFrom="paragraph">
                    <wp:posOffset>38100</wp:posOffset>
                  </wp:positionV>
                  <wp:extent cx="1600200" cy="695325"/>
                  <wp:effectExtent l="0" t="0" r="0" b="9525"/>
                  <wp:wrapNone/>
                  <wp:docPr id="183" name="图片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_529"/>
                          <pic:cNvPicPr>
                            <a:picLocks noChangeAspect="1"/>
                          </pic:cNvPicPr>
                        </pic:nvPicPr>
                        <pic:blipFill>
                          <a:blip r:embed="rId221">
                            <a:lum/>
                          </a:blip>
                          <a:stretch>
                            <a:fillRect/>
                          </a:stretch>
                        </pic:blipFill>
                        <pic:spPr>
                          <a:xfrm>
                            <a:off x="0" y="0"/>
                            <a:ext cx="1600200" cy="6953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海绵扫把</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材质：海绵+塑料                       规格：120*120mm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4704" behindDoc="0" locked="0" layoutInCell="1" allowOverlap="1">
                  <wp:simplePos x="0" y="0"/>
                  <wp:positionH relativeFrom="column">
                    <wp:posOffset>276225</wp:posOffset>
                  </wp:positionH>
                  <wp:positionV relativeFrom="paragraph">
                    <wp:posOffset>142875</wp:posOffset>
                  </wp:positionV>
                  <wp:extent cx="1285875" cy="657225"/>
                  <wp:effectExtent l="0" t="0" r="9525" b="9525"/>
                  <wp:wrapNone/>
                  <wp:docPr id="18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7"/>
                          <pic:cNvPicPr>
                            <a:picLocks noChangeAspect="1"/>
                          </pic:cNvPicPr>
                        </pic:nvPicPr>
                        <pic:blipFill>
                          <a:blip r:embed="rId222">
                            <a:lum/>
                          </a:blip>
                          <a:stretch>
                            <a:fillRect/>
                          </a:stretch>
                        </pic:blipFill>
                        <pic:spPr>
                          <a:xfrm>
                            <a:off x="0" y="0"/>
                            <a:ext cx="1285875" cy="6572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颜料滚轮</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材质：海绵+塑料                               规格：130*130mm                             4件套</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5728" behindDoc="0" locked="0" layoutInCell="1" allowOverlap="1">
                  <wp:simplePos x="0" y="0"/>
                  <wp:positionH relativeFrom="column">
                    <wp:posOffset>209550</wp:posOffset>
                  </wp:positionH>
                  <wp:positionV relativeFrom="paragraph">
                    <wp:posOffset>82550</wp:posOffset>
                  </wp:positionV>
                  <wp:extent cx="1390650" cy="876300"/>
                  <wp:effectExtent l="0" t="0" r="0" b="0"/>
                  <wp:wrapNone/>
                  <wp:docPr id="18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8"/>
                          <pic:cNvPicPr>
                            <a:picLocks noChangeAspect="1"/>
                          </pic:cNvPicPr>
                        </pic:nvPicPr>
                        <pic:blipFill>
                          <a:blip r:embed="rId223">
                            <a:lum/>
                          </a:blip>
                          <a:stretch>
                            <a:fillRect/>
                          </a:stretch>
                        </pic:blipFill>
                        <pic:spPr>
                          <a:xfrm>
                            <a:off x="0" y="0"/>
                            <a:ext cx="1390650" cy="8763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旋转画刷</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材质：塑料、EVA片  规格：4支/包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6752" behindDoc="0" locked="0" layoutInCell="1" allowOverlap="1">
                  <wp:simplePos x="0" y="0"/>
                  <wp:positionH relativeFrom="column">
                    <wp:posOffset>171450</wp:posOffset>
                  </wp:positionH>
                  <wp:positionV relativeFrom="paragraph">
                    <wp:posOffset>156210</wp:posOffset>
                  </wp:positionV>
                  <wp:extent cx="1505585" cy="748665"/>
                  <wp:effectExtent l="0" t="0" r="18415" b="13335"/>
                  <wp:wrapNone/>
                  <wp:docPr id="18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9"/>
                          <pic:cNvPicPr>
                            <a:picLocks noChangeAspect="1"/>
                          </pic:cNvPicPr>
                        </pic:nvPicPr>
                        <pic:blipFill>
                          <a:blip r:embed="rId224">
                            <a:lum/>
                          </a:blip>
                          <a:stretch>
                            <a:fillRect/>
                          </a:stretch>
                        </pic:blipFill>
                        <pic:spPr>
                          <a:xfrm>
                            <a:off x="0" y="0"/>
                            <a:ext cx="1505585" cy="7486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动物橡胶印章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规格：4 个/ 袋                        材质：橡胶                            即可用作绘画也可用于油泥制作，体验图案的变化和操作效果，培养对美术活动的兴趣</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7776" behindDoc="0" locked="0" layoutInCell="1" allowOverlap="1">
                  <wp:simplePos x="0" y="0"/>
                  <wp:positionH relativeFrom="column">
                    <wp:posOffset>119380</wp:posOffset>
                  </wp:positionH>
                  <wp:positionV relativeFrom="paragraph">
                    <wp:posOffset>80645</wp:posOffset>
                  </wp:positionV>
                  <wp:extent cx="1576705" cy="900430"/>
                  <wp:effectExtent l="0" t="0" r="4445" b="13970"/>
                  <wp:wrapNone/>
                  <wp:docPr id="18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0"/>
                          <pic:cNvPicPr>
                            <a:picLocks noChangeAspect="1"/>
                          </pic:cNvPicPr>
                        </pic:nvPicPr>
                        <pic:blipFill>
                          <a:blip r:embed="rId225">
                            <a:lum/>
                          </a:blip>
                          <a:stretch>
                            <a:fillRect/>
                          </a:stretch>
                        </pic:blipFill>
                        <pic:spPr>
                          <a:xfrm>
                            <a:off x="0" y="0"/>
                            <a:ext cx="1576705" cy="9004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1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手指印章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规格：25×Φ15mm 每套24 枚          材质：橡胶                            将印章模套在手指顶端，浸蘸颜料后在纸面上或印、或画。体会奇特美术工具的创作效果。</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8800" behindDoc="0" locked="0" layoutInCell="1" allowOverlap="1">
                  <wp:simplePos x="0" y="0"/>
                  <wp:positionH relativeFrom="column">
                    <wp:posOffset>123825</wp:posOffset>
                  </wp:positionH>
                  <wp:positionV relativeFrom="paragraph">
                    <wp:posOffset>130175</wp:posOffset>
                  </wp:positionV>
                  <wp:extent cx="1571625" cy="714375"/>
                  <wp:effectExtent l="0" t="0" r="9525" b="9525"/>
                  <wp:wrapNone/>
                  <wp:docPr id="18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1"/>
                          <pic:cNvPicPr>
                            <a:picLocks noChangeAspect="1"/>
                          </pic:cNvPicPr>
                        </pic:nvPicPr>
                        <pic:blipFill>
                          <a:blip r:embed="rId226">
                            <a:lum/>
                          </a:blip>
                          <a:stretch>
                            <a:fillRect/>
                          </a:stretch>
                        </pic:blipFill>
                        <pic:spPr>
                          <a:xfrm>
                            <a:off x="0" y="0"/>
                            <a:ext cx="1571625" cy="7143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橡胶手指印</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规格：8 个/ 袋 材质：橡胶</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09824" behindDoc="0" locked="0" layoutInCell="1" allowOverlap="1">
                  <wp:simplePos x="0" y="0"/>
                  <wp:positionH relativeFrom="column">
                    <wp:posOffset>170815</wp:posOffset>
                  </wp:positionH>
                  <wp:positionV relativeFrom="paragraph">
                    <wp:posOffset>95885</wp:posOffset>
                  </wp:positionV>
                  <wp:extent cx="1439545" cy="783590"/>
                  <wp:effectExtent l="0" t="0" r="8255" b="16510"/>
                  <wp:wrapNone/>
                  <wp:docPr id="18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2"/>
                          <pic:cNvPicPr>
                            <a:picLocks noChangeAspect="1"/>
                          </pic:cNvPicPr>
                        </pic:nvPicPr>
                        <pic:blipFill>
                          <a:blip r:embed="rId227">
                            <a:lum/>
                          </a:blip>
                          <a:stretch>
                            <a:fillRect/>
                          </a:stretch>
                        </pic:blipFill>
                        <pic:spPr>
                          <a:xfrm>
                            <a:off x="0" y="0"/>
                            <a:ext cx="1439545" cy="7835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水晶彩画</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彩色的仿水晶颗粒，小朋友可以根据图片上的图案颜色粘贴相同的水晶亮片，有效培养3-10岁小孩的动手能力。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0848" behindDoc="0" locked="0" layoutInCell="1" allowOverlap="1">
                  <wp:simplePos x="0" y="0"/>
                  <wp:positionH relativeFrom="column">
                    <wp:posOffset>342900</wp:posOffset>
                  </wp:positionH>
                  <wp:positionV relativeFrom="paragraph">
                    <wp:posOffset>27940</wp:posOffset>
                  </wp:positionV>
                  <wp:extent cx="1133475" cy="962660"/>
                  <wp:effectExtent l="0" t="0" r="9525" b="8890"/>
                  <wp:wrapNone/>
                  <wp:docPr id="190"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_24"/>
                          <pic:cNvPicPr>
                            <a:picLocks noChangeAspect="1"/>
                          </pic:cNvPicPr>
                        </pic:nvPicPr>
                        <pic:blipFill>
                          <a:blip r:embed="rId228">
                            <a:lum/>
                          </a:blip>
                          <a:stretch>
                            <a:fillRect/>
                          </a:stretch>
                        </pic:blipFill>
                        <pic:spPr>
                          <a:xfrm>
                            <a:off x="0" y="0"/>
                            <a:ext cx="1133475" cy="9626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24色油画棒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材质：安全无毒蜡笔24色</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1872" behindDoc="0" locked="0" layoutInCell="1" allowOverlap="1">
                  <wp:simplePos x="0" y="0"/>
                  <wp:positionH relativeFrom="column">
                    <wp:posOffset>495300</wp:posOffset>
                  </wp:positionH>
                  <wp:positionV relativeFrom="paragraph">
                    <wp:posOffset>63500</wp:posOffset>
                  </wp:positionV>
                  <wp:extent cx="1076325" cy="990600"/>
                  <wp:effectExtent l="0" t="0" r="9525" b="0"/>
                  <wp:wrapNone/>
                  <wp:docPr id="191"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_25"/>
                          <pic:cNvPicPr>
                            <a:picLocks noChangeAspect="1"/>
                          </pic:cNvPicPr>
                        </pic:nvPicPr>
                        <pic:blipFill>
                          <a:blip r:embed="rId229">
                            <a:lum/>
                          </a:blip>
                          <a:stretch>
                            <a:fillRect/>
                          </a:stretch>
                        </pic:blipFill>
                        <pic:spPr>
                          <a:xfrm>
                            <a:off x="0" y="0"/>
                            <a:ext cx="1076325" cy="9906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盒</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宝宝沙画</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采砂4色+主题卡片10张+小沙刷+沙画棒+工具组+操作手册</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2896" behindDoc="0" locked="0" layoutInCell="1" allowOverlap="1">
                  <wp:simplePos x="0" y="0"/>
                  <wp:positionH relativeFrom="column">
                    <wp:posOffset>514350</wp:posOffset>
                  </wp:positionH>
                  <wp:positionV relativeFrom="paragraph">
                    <wp:posOffset>153670</wp:posOffset>
                  </wp:positionV>
                  <wp:extent cx="923925" cy="836930"/>
                  <wp:effectExtent l="0" t="0" r="9525" b="1270"/>
                  <wp:wrapNone/>
                  <wp:docPr id="192"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_26"/>
                          <pic:cNvPicPr>
                            <a:picLocks noChangeAspect="1"/>
                          </pic:cNvPicPr>
                        </pic:nvPicPr>
                        <pic:blipFill>
                          <a:blip r:embed="rId230">
                            <a:lum/>
                          </a:blip>
                          <a:stretch>
                            <a:fillRect/>
                          </a:stretch>
                        </pic:blipFill>
                        <pic:spPr>
                          <a:xfrm>
                            <a:off x="0" y="0"/>
                            <a:ext cx="923925" cy="8369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39"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3、创意泥系列</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橡胶擀面杖</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规格：4个/ 袋 材质：橡胶</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3920" behindDoc="0" locked="0" layoutInCell="1" allowOverlap="1">
                  <wp:simplePos x="0" y="0"/>
                  <wp:positionH relativeFrom="column">
                    <wp:posOffset>171450</wp:posOffset>
                  </wp:positionH>
                  <wp:positionV relativeFrom="paragraph">
                    <wp:posOffset>60325</wp:posOffset>
                  </wp:positionV>
                  <wp:extent cx="1419225" cy="695325"/>
                  <wp:effectExtent l="0" t="0" r="9525" b="9525"/>
                  <wp:wrapNone/>
                  <wp:docPr id="193"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_7"/>
                          <pic:cNvPicPr>
                            <a:picLocks noChangeAspect="1"/>
                          </pic:cNvPicPr>
                        </pic:nvPicPr>
                        <pic:blipFill>
                          <a:blip r:embed="rId231">
                            <a:lum/>
                          </a:blip>
                          <a:stretch>
                            <a:fillRect/>
                          </a:stretch>
                        </pic:blipFill>
                        <pic:spPr>
                          <a:xfrm>
                            <a:off x="0" y="0"/>
                            <a:ext cx="1419225" cy="6953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橡胶手柄花型印章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即可用作绘画也可用于油泥制作，将颜料调制好，蘸上颜料在纸上作画，或者将油泥擀平，用这个印在上面点按成漂亮的图案。</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4944" behindDoc="0" locked="0" layoutInCell="1" allowOverlap="1">
                  <wp:simplePos x="0" y="0"/>
                  <wp:positionH relativeFrom="column">
                    <wp:posOffset>304800</wp:posOffset>
                  </wp:positionH>
                  <wp:positionV relativeFrom="paragraph">
                    <wp:posOffset>123190</wp:posOffset>
                  </wp:positionV>
                  <wp:extent cx="1133475" cy="756285"/>
                  <wp:effectExtent l="0" t="0" r="9525" b="5715"/>
                  <wp:wrapNone/>
                  <wp:docPr id="194"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_8"/>
                          <pic:cNvPicPr>
                            <a:picLocks noChangeAspect="1"/>
                          </pic:cNvPicPr>
                        </pic:nvPicPr>
                        <pic:blipFill>
                          <a:blip r:embed="rId232">
                            <a:lum/>
                          </a:blip>
                          <a:stretch>
                            <a:fillRect/>
                          </a:stretch>
                        </pic:blipFill>
                        <pic:spPr>
                          <a:xfrm>
                            <a:off x="0" y="0"/>
                            <a:ext cx="1133475" cy="7562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橡胶手柄几何印章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即可用作绘画也可用于油泥制作，将颜料调制好，蘸上颜料在纸上作画，或者将油泥擀平，用这个印在上面点按成漂亮的图案。</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5968" behindDoc="0" locked="0" layoutInCell="1" allowOverlap="1">
                  <wp:simplePos x="0" y="0"/>
                  <wp:positionH relativeFrom="column">
                    <wp:posOffset>246380</wp:posOffset>
                  </wp:positionH>
                  <wp:positionV relativeFrom="paragraph">
                    <wp:posOffset>132715</wp:posOffset>
                  </wp:positionV>
                  <wp:extent cx="1249045" cy="784860"/>
                  <wp:effectExtent l="0" t="0" r="8255" b="15240"/>
                  <wp:wrapNone/>
                  <wp:docPr id="195" name="图片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_9"/>
                          <pic:cNvPicPr>
                            <a:picLocks noChangeAspect="1"/>
                          </pic:cNvPicPr>
                        </pic:nvPicPr>
                        <pic:blipFill>
                          <a:blip r:embed="rId233">
                            <a:lum/>
                          </a:blip>
                          <a:stretch>
                            <a:fillRect/>
                          </a:stretch>
                        </pic:blipFill>
                        <pic:spPr>
                          <a:xfrm>
                            <a:off x="0" y="0"/>
                            <a:ext cx="1249045" cy="7848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9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对扣凹凸橡胶印章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即可用作绘画也可用于油泥制作，将颜料调制好，蘸上颜料在纸上作画，或者将油泥擀平，用这个印在上面点按成漂亮的图案。</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6992" behindDoc="0" locked="0" layoutInCell="1" allowOverlap="1">
                  <wp:simplePos x="0" y="0"/>
                  <wp:positionH relativeFrom="column">
                    <wp:posOffset>170815</wp:posOffset>
                  </wp:positionH>
                  <wp:positionV relativeFrom="paragraph">
                    <wp:posOffset>76200</wp:posOffset>
                  </wp:positionV>
                  <wp:extent cx="1362710" cy="1114425"/>
                  <wp:effectExtent l="0" t="0" r="8890" b="9525"/>
                  <wp:wrapNone/>
                  <wp:docPr id="196"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_10"/>
                          <pic:cNvPicPr>
                            <a:picLocks noChangeAspect="1"/>
                          </pic:cNvPicPr>
                        </pic:nvPicPr>
                        <pic:blipFill>
                          <a:blip r:embed="rId234">
                            <a:lum/>
                          </a:blip>
                          <a:stretch>
                            <a:fillRect/>
                          </a:stretch>
                        </pic:blipFill>
                        <pic:spPr>
                          <a:xfrm>
                            <a:off x="0" y="0"/>
                            <a:ext cx="1362710" cy="11144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1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大手掌印</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规格：4 个/ 袋 材质：橡胶              即可用作绘画也可用于油泥制作，体验图案的变化和操作效果，培养对美术活动的兴趣。</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8016" behindDoc="0" locked="0" layoutInCell="1" allowOverlap="1">
                  <wp:simplePos x="0" y="0"/>
                  <wp:positionH relativeFrom="column">
                    <wp:posOffset>190500</wp:posOffset>
                  </wp:positionH>
                  <wp:positionV relativeFrom="paragraph">
                    <wp:posOffset>127000</wp:posOffset>
                  </wp:positionV>
                  <wp:extent cx="1454150" cy="854075"/>
                  <wp:effectExtent l="0" t="0" r="12700" b="3175"/>
                  <wp:wrapNone/>
                  <wp:docPr id="197"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_11"/>
                          <pic:cNvPicPr>
                            <a:picLocks noChangeAspect="1"/>
                          </pic:cNvPicPr>
                        </pic:nvPicPr>
                        <pic:blipFill>
                          <a:blip r:embed="rId235">
                            <a:lum/>
                          </a:blip>
                          <a:stretch>
                            <a:fillRect/>
                          </a:stretch>
                        </pic:blipFill>
                        <pic:spPr>
                          <a:xfrm>
                            <a:off x="0" y="0"/>
                            <a:ext cx="1454150" cy="8540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手掌印-笑脸</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材质：EVA即可用作绘画也可用于油泥制作，将颜料调制好，将两根或者是三根手指插进手掌印背面的松紧带中，蘸上颜料在纸上作画，或者将油泥擀平，用手掌印在上面按压出漂亮的图案，体验操作效果。</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19040" behindDoc="0" locked="0" layoutInCell="1" allowOverlap="1">
                  <wp:simplePos x="0" y="0"/>
                  <wp:positionH relativeFrom="column">
                    <wp:posOffset>95250</wp:posOffset>
                  </wp:positionH>
                  <wp:positionV relativeFrom="paragraph">
                    <wp:posOffset>69850</wp:posOffset>
                  </wp:positionV>
                  <wp:extent cx="1628775" cy="933450"/>
                  <wp:effectExtent l="0" t="0" r="9525" b="0"/>
                  <wp:wrapNone/>
                  <wp:docPr id="198"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_12"/>
                          <pic:cNvPicPr>
                            <a:picLocks noChangeAspect="1"/>
                          </pic:cNvPicPr>
                        </pic:nvPicPr>
                        <pic:blipFill>
                          <a:blip r:embed="rId236">
                            <a:lum/>
                          </a:blip>
                          <a:stretch>
                            <a:fillRect/>
                          </a:stretch>
                        </pic:blipFill>
                        <pic:spPr>
                          <a:xfrm>
                            <a:off x="0" y="0"/>
                            <a:ext cx="1628775" cy="9334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手掌印-丛林动物</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材质：EVA即可用作绘画也可用于油泥制作</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0064" behindDoc="0" locked="0" layoutInCell="1" allowOverlap="1">
                  <wp:simplePos x="0" y="0"/>
                  <wp:positionH relativeFrom="column">
                    <wp:posOffset>247650</wp:posOffset>
                  </wp:positionH>
                  <wp:positionV relativeFrom="paragraph">
                    <wp:posOffset>85725</wp:posOffset>
                  </wp:positionV>
                  <wp:extent cx="1285875" cy="685800"/>
                  <wp:effectExtent l="0" t="0" r="9525" b="0"/>
                  <wp:wrapNone/>
                  <wp:docPr id="199" name="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_13"/>
                          <pic:cNvPicPr>
                            <a:picLocks noChangeAspect="1"/>
                          </pic:cNvPicPr>
                        </pic:nvPicPr>
                        <pic:blipFill>
                          <a:blip r:embed="rId237">
                            <a:lum/>
                          </a:blip>
                          <a:stretch>
                            <a:fillRect/>
                          </a:stretch>
                        </pic:blipFill>
                        <pic:spPr>
                          <a:xfrm>
                            <a:off x="0" y="0"/>
                            <a:ext cx="1285875" cy="6858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橡胶擀面杖</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 个/ 袋                           材质：橡胶橡胶擀面杖是孩子陶泥、泥工工作的最佳工具，可以让孩子尽情的发挥想象力制作出超级棒的作品。</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1088" behindDoc="0" locked="0" layoutInCell="1" allowOverlap="1">
                  <wp:simplePos x="0" y="0"/>
                  <wp:positionH relativeFrom="column">
                    <wp:posOffset>321945</wp:posOffset>
                  </wp:positionH>
                  <wp:positionV relativeFrom="paragraph">
                    <wp:posOffset>84455</wp:posOffset>
                  </wp:positionV>
                  <wp:extent cx="1059180" cy="706120"/>
                  <wp:effectExtent l="0" t="0" r="7620" b="17780"/>
                  <wp:wrapNone/>
                  <wp:docPr id="200" name="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_14"/>
                          <pic:cNvPicPr>
                            <a:picLocks noChangeAspect="1"/>
                          </pic:cNvPicPr>
                        </pic:nvPicPr>
                        <pic:blipFill>
                          <a:blip r:embed="rId238">
                            <a:lum/>
                          </a:blip>
                          <a:stretch>
                            <a:fillRect/>
                          </a:stretch>
                        </pic:blipFill>
                        <pic:spPr>
                          <a:xfrm>
                            <a:off x="0" y="0"/>
                            <a:ext cx="1059180" cy="7061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3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塑料擀面杖</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材质：塑料                            用于擀橡皮泥的作用</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2112" behindDoc="0" locked="0" layoutInCell="1" allowOverlap="1">
                  <wp:simplePos x="0" y="0"/>
                  <wp:positionH relativeFrom="column">
                    <wp:posOffset>200660</wp:posOffset>
                  </wp:positionH>
                  <wp:positionV relativeFrom="paragraph">
                    <wp:posOffset>34290</wp:posOffset>
                  </wp:positionV>
                  <wp:extent cx="1333500" cy="759460"/>
                  <wp:effectExtent l="0" t="0" r="0" b="2540"/>
                  <wp:wrapNone/>
                  <wp:docPr id="201"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_15"/>
                          <pic:cNvPicPr>
                            <a:picLocks noChangeAspect="1"/>
                          </pic:cNvPicPr>
                        </pic:nvPicPr>
                        <pic:blipFill>
                          <a:blip r:embed="rId239">
                            <a:lum/>
                          </a:blip>
                          <a:stretch>
                            <a:fillRect/>
                          </a:stretch>
                        </pic:blipFill>
                        <pic:spPr>
                          <a:xfrm>
                            <a:off x="0" y="0"/>
                            <a:ext cx="1333500" cy="7594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半球形橡胶印章</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规格：4 个/ 袋                               材质：橡胶即可用作绘画也可用于油泥制作，将颜料调制好，蘸上颜料在纸上作画，或者将油泥擀平，用这个印在上面点按成漂亮的图案。</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3136" behindDoc="0" locked="0" layoutInCell="1" allowOverlap="1">
                  <wp:simplePos x="0" y="0"/>
                  <wp:positionH relativeFrom="column">
                    <wp:posOffset>133350</wp:posOffset>
                  </wp:positionH>
                  <wp:positionV relativeFrom="paragraph">
                    <wp:posOffset>146050</wp:posOffset>
                  </wp:positionV>
                  <wp:extent cx="1543050" cy="876300"/>
                  <wp:effectExtent l="0" t="0" r="0" b="0"/>
                  <wp:wrapNone/>
                  <wp:docPr id="202"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_16"/>
                          <pic:cNvPicPr>
                            <a:picLocks noChangeAspect="1"/>
                          </pic:cNvPicPr>
                        </pic:nvPicPr>
                        <pic:blipFill>
                          <a:blip r:embed="rId240">
                            <a:lum/>
                          </a:blip>
                          <a:stretch>
                            <a:fillRect/>
                          </a:stretch>
                        </pic:blipFill>
                        <pic:spPr>
                          <a:xfrm>
                            <a:off x="0" y="0"/>
                            <a:ext cx="1543050" cy="8763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橡胶手柄角头刷</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规格：4 个/ 袋的锯齿造型               材质：橡胶即可用作绘画也可用于油泥制作，将颜料调制好，蘸上颜料在纸上作画，或者将油泥擀平，用这个印在上面点按成漂亮的图案。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4160" behindDoc="0" locked="0" layoutInCell="1" allowOverlap="1">
                  <wp:simplePos x="0" y="0"/>
                  <wp:positionH relativeFrom="column">
                    <wp:posOffset>182880</wp:posOffset>
                  </wp:positionH>
                  <wp:positionV relativeFrom="paragraph">
                    <wp:posOffset>76835</wp:posOffset>
                  </wp:positionV>
                  <wp:extent cx="1464945" cy="789940"/>
                  <wp:effectExtent l="0" t="0" r="1905" b="10160"/>
                  <wp:wrapNone/>
                  <wp:docPr id="203"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_17"/>
                          <pic:cNvPicPr>
                            <a:picLocks noChangeAspect="1"/>
                          </pic:cNvPicPr>
                        </pic:nvPicPr>
                        <pic:blipFill>
                          <a:blip r:embed="rId241">
                            <a:lum/>
                          </a:blip>
                          <a:stretch>
                            <a:fillRect/>
                          </a:stretch>
                        </pic:blipFill>
                        <pic:spPr>
                          <a:xfrm>
                            <a:off x="0" y="0"/>
                            <a:ext cx="1464945" cy="7899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针筒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材质：塑料                            将橡皮泥放入针筒内，然后插入针管向下推动，就可将橡皮泥变成各种美丽的图案造型。</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5184" behindDoc="0" locked="0" layoutInCell="1" allowOverlap="1">
                  <wp:simplePos x="0" y="0"/>
                  <wp:positionH relativeFrom="column">
                    <wp:posOffset>238125</wp:posOffset>
                  </wp:positionH>
                  <wp:positionV relativeFrom="paragraph">
                    <wp:posOffset>60325</wp:posOffset>
                  </wp:positionV>
                  <wp:extent cx="1352550" cy="657225"/>
                  <wp:effectExtent l="0" t="0" r="0" b="9525"/>
                  <wp:wrapNone/>
                  <wp:docPr id="204"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_18"/>
                          <pic:cNvPicPr>
                            <a:picLocks noChangeAspect="1"/>
                          </pic:cNvPicPr>
                        </pic:nvPicPr>
                        <pic:blipFill>
                          <a:blip r:embed="rId242">
                            <a:lum/>
                          </a:blip>
                          <a:stretch>
                            <a:fillRect/>
                          </a:stretch>
                        </pic:blipFill>
                        <pic:spPr>
                          <a:xfrm>
                            <a:off x="0" y="0"/>
                            <a:ext cx="1352550" cy="6572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球形滚轮-花型</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规格：3 个/ 袋                          材质：塑料各种花纹的滚轮是孩子陶泥、泥工工作的最佳工具，可以让孩子尽情的发挥想象力制作出超级棒的作品。</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6208" behindDoc="0" locked="0" layoutInCell="1" allowOverlap="1">
                  <wp:simplePos x="0" y="0"/>
                  <wp:positionH relativeFrom="column">
                    <wp:posOffset>238125</wp:posOffset>
                  </wp:positionH>
                  <wp:positionV relativeFrom="paragraph">
                    <wp:posOffset>76200</wp:posOffset>
                  </wp:positionV>
                  <wp:extent cx="1443990" cy="695325"/>
                  <wp:effectExtent l="0" t="0" r="3810" b="9525"/>
                  <wp:wrapNone/>
                  <wp:docPr id="205"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_19"/>
                          <pic:cNvPicPr>
                            <a:picLocks noChangeAspect="1"/>
                          </pic:cNvPicPr>
                        </pic:nvPicPr>
                        <pic:blipFill>
                          <a:blip r:embed="rId243">
                            <a:lum/>
                          </a:blip>
                          <a:stretch>
                            <a:fillRect/>
                          </a:stretch>
                        </pic:blipFill>
                        <pic:spPr>
                          <a:xfrm>
                            <a:off x="0" y="0"/>
                            <a:ext cx="1443990" cy="6953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木头工具</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规格：12 个/ 袋                        材质：木质   木头工具是孩子陶泥、泥工工作的最佳工具，可以让孩子尽情的发挥想象力制作出超级棒的作品</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7232" behindDoc="0" locked="0" layoutInCell="1" allowOverlap="1">
                  <wp:simplePos x="0" y="0"/>
                  <wp:positionH relativeFrom="column">
                    <wp:posOffset>149860</wp:posOffset>
                  </wp:positionH>
                  <wp:positionV relativeFrom="paragraph">
                    <wp:posOffset>114300</wp:posOffset>
                  </wp:positionV>
                  <wp:extent cx="1545590" cy="790575"/>
                  <wp:effectExtent l="0" t="0" r="16510" b="9525"/>
                  <wp:wrapNone/>
                  <wp:docPr id="206"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_20"/>
                          <pic:cNvPicPr>
                            <a:picLocks noChangeAspect="1"/>
                          </pic:cNvPicPr>
                        </pic:nvPicPr>
                        <pic:blipFill>
                          <a:blip r:embed="rId244">
                            <a:lum/>
                          </a:blip>
                          <a:stretch>
                            <a:fillRect/>
                          </a:stretch>
                        </pic:blipFill>
                        <pic:spPr>
                          <a:xfrm>
                            <a:off x="0" y="0"/>
                            <a:ext cx="1545590" cy="7905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动物切刀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材质：塑料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8256" behindDoc="0" locked="0" layoutInCell="1" allowOverlap="1">
                  <wp:simplePos x="0" y="0"/>
                  <wp:positionH relativeFrom="column">
                    <wp:posOffset>114300</wp:posOffset>
                  </wp:positionH>
                  <wp:positionV relativeFrom="paragraph">
                    <wp:posOffset>95250</wp:posOffset>
                  </wp:positionV>
                  <wp:extent cx="1495425" cy="733425"/>
                  <wp:effectExtent l="0" t="0" r="9525" b="9525"/>
                  <wp:wrapNone/>
                  <wp:docPr id="207"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_21"/>
                          <pic:cNvPicPr>
                            <a:picLocks noChangeAspect="1"/>
                          </pic:cNvPicPr>
                        </pic:nvPicPr>
                        <pic:blipFill>
                          <a:blip r:embed="rId245">
                            <a:lum/>
                          </a:blip>
                          <a:stretch>
                            <a:fillRect/>
                          </a:stretch>
                        </pic:blipFill>
                        <pic:spPr>
                          <a:xfrm>
                            <a:off x="0" y="0"/>
                            <a:ext cx="1495425" cy="7334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昆虫切刀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规格：3个/ 袋   材质：塑料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29280" behindDoc="0" locked="0" layoutInCell="1" allowOverlap="1">
                  <wp:simplePos x="0" y="0"/>
                  <wp:positionH relativeFrom="column">
                    <wp:posOffset>151765</wp:posOffset>
                  </wp:positionH>
                  <wp:positionV relativeFrom="paragraph">
                    <wp:posOffset>48895</wp:posOffset>
                  </wp:positionV>
                  <wp:extent cx="1486535" cy="748030"/>
                  <wp:effectExtent l="0" t="0" r="18415" b="13970"/>
                  <wp:wrapNone/>
                  <wp:docPr id="208"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_22"/>
                          <pic:cNvPicPr>
                            <a:picLocks noChangeAspect="1"/>
                          </pic:cNvPicPr>
                        </pic:nvPicPr>
                        <pic:blipFill>
                          <a:blip r:embed="rId246">
                            <a:lum/>
                          </a:blip>
                          <a:stretch>
                            <a:fillRect/>
                          </a:stretch>
                        </pic:blipFill>
                        <pic:spPr>
                          <a:xfrm>
                            <a:off x="0" y="0"/>
                            <a:ext cx="1486535" cy="7480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蔬菜切刀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材质：塑料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0304" behindDoc="0" locked="0" layoutInCell="1" allowOverlap="1">
                  <wp:simplePos x="0" y="0"/>
                  <wp:positionH relativeFrom="column">
                    <wp:posOffset>200025</wp:posOffset>
                  </wp:positionH>
                  <wp:positionV relativeFrom="paragraph">
                    <wp:posOffset>95250</wp:posOffset>
                  </wp:positionV>
                  <wp:extent cx="1333500" cy="609600"/>
                  <wp:effectExtent l="0" t="0" r="0" b="0"/>
                  <wp:wrapNone/>
                  <wp:docPr id="209" name="图片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_23"/>
                          <pic:cNvPicPr>
                            <a:picLocks noChangeAspect="1"/>
                          </pic:cNvPicPr>
                        </pic:nvPicPr>
                        <pic:blipFill>
                          <a:blip r:embed="rId247">
                            <a:lum/>
                          </a:blip>
                          <a:stretch>
                            <a:fillRect/>
                          </a:stretch>
                        </pic:blipFill>
                        <pic:spPr>
                          <a:xfrm>
                            <a:off x="0" y="0"/>
                            <a:ext cx="1333500" cy="6096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丛林切刀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材质：塑料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1328" behindDoc="0" locked="0" layoutInCell="1" allowOverlap="1">
                  <wp:simplePos x="0" y="0"/>
                  <wp:positionH relativeFrom="column">
                    <wp:posOffset>179705</wp:posOffset>
                  </wp:positionH>
                  <wp:positionV relativeFrom="paragraph">
                    <wp:posOffset>45720</wp:posOffset>
                  </wp:positionV>
                  <wp:extent cx="1477645" cy="673735"/>
                  <wp:effectExtent l="0" t="0" r="8255" b="12065"/>
                  <wp:wrapNone/>
                  <wp:docPr id="210" name="图片_1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_1_SpCnt_1"/>
                          <pic:cNvPicPr>
                            <a:picLocks noChangeAspect="1"/>
                          </pic:cNvPicPr>
                        </pic:nvPicPr>
                        <pic:blipFill>
                          <a:blip r:embed="rId248">
                            <a:lum/>
                          </a:blip>
                          <a:stretch>
                            <a:fillRect/>
                          </a:stretch>
                        </pic:blipFill>
                        <pic:spPr>
                          <a:xfrm>
                            <a:off x="0" y="0"/>
                            <a:ext cx="1477645" cy="6737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水果切刀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规格：6 个/ 袋    材质：塑料</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2352" behindDoc="0" locked="0" layoutInCell="1" allowOverlap="1">
                  <wp:simplePos x="0" y="0"/>
                  <wp:positionH relativeFrom="column">
                    <wp:posOffset>228600</wp:posOffset>
                  </wp:positionH>
                  <wp:positionV relativeFrom="paragraph">
                    <wp:posOffset>69215</wp:posOffset>
                  </wp:positionV>
                  <wp:extent cx="1435735" cy="730885"/>
                  <wp:effectExtent l="0" t="0" r="12065" b="12065"/>
                  <wp:wrapNone/>
                  <wp:docPr id="211" name="图片_2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_2_SpCnt_1"/>
                          <pic:cNvPicPr>
                            <a:picLocks noChangeAspect="1"/>
                          </pic:cNvPicPr>
                        </pic:nvPicPr>
                        <pic:blipFill>
                          <a:blip r:embed="rId249">
                            <a:lum/>
                          </a:blip>
                          <a:stretch>
                            <a:fillRect/>
                          </a:stretch>
                        </pic:blipFill>
                        <pic:spPr>
                          <a:xfrm>
                            <a:off x="0" y="0"/>
                            <a:ext cx="1435735" cy="7308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小人切刀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规格：4个/ 袋 材质：橡胶</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3376" behindDoc="0" locked="0" layoutInCell="1" allowOverlap="1">
                  <wp:simplePos x="0" y="0"/>
                  <wp:positionH relativeFrom="column">
                    <wp:posOffset>170815</wp:posOffset>
                  </wp:positionH>
                  <wp:positionV relativeFrom="paragraph">
                    <wp:posOffset>104140</wp:posOffset>
                  </wp:positionV>
                  <wp:extent cx="1515110" cy="924560"/>
                  <wp:effectExtent l="0" t="0" r="8890" b="8890"/>
                  <wp:wrapNone/>
                  <wp:docPr id="212" name="图片_1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_1_SpCnt_2"/>
                          <pic:cNvPicPr>
                            <a:picLocks noChangeAspect="1"/>
                          </pic:cNvPicPr>
                        </pic:nvPicPr>
                        <pic:blipFill>
                          <a:blip r:embed="rId250">
                            <a:lum/>
                          </a:blip>
                          <a:stretch>
                            <a:fillRect/>
                          </a:stretch>
                        </pic:blipFill>
                        <pic:spPr>
                          <a:xfrm>
                            <a:off x="0" y="0"/>
                            <a:ext cx="1515110" cy="9245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万圣节切刀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规格：6 个/ 袋      材质：塑料    </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4400" behindDoc="0" locked="0" layoutInCell="1" allowOverlap="1">
                  <wp:simplePos x="0" y="0"/>
                  <wp:positionH relativeFrom="column">
                    <wp:posOffset>133350</wp:posOffset>
                  </wp:positionH>
                  <wp:positionV relativeFrom="paragraph">
                    <wp:posOffset>111125</wp:posOffset>
                  </wp:positionV>
                  <wp:extent cx="1581150" cy="800100"/>
                  <wp:effectExtent l="0" t="0" r="0" b="0"/>
                  <wp:wrapNone/>
                  <wp:docPr id="213" name="图片_2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_2_SpCnt_2"/>
                          <pic:cNvPicPr>
                            <a:picLocks noChangeAspect="1"/>
                          </pic:cNvPicPr>
                        </pic:nvPicPr>
                        <pic:blipFill>
                          <a:blip r:embed="rId251">
                            <a:lum/>
                          </a:blip>
                          <a:stretch>
                            <a:fillRect/>
                          </a:stretch>
                        </pic:blipFill>
                        <pic:spPr>
                          <a:xfrm>
                            <a:off x="0" y="0"/>
                            <a:ext cx="1581150" cy="8001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2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橡皮泥</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每块重约500g,每套12色，安全无毒，不易干裂，色彩鲜艳长置空气中不易干裂，可重新塑型，就捏不黏手</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5424" behindDoc="0" locked="0" layoutInCell="1" allowOverlap="1">
                  <wp:simplePos x="0" y="0"/>
                  <wp:positionH relativeFrom="column">
                    <wp:posOffset>323850</wp:posOffset>
                  </wp:positionH>
                  <wp:positionV relativeFrom="paragraph">
                    <wp:posOffset>114300</wp:posOffset>
                  </wp:positionV>
                  <wp:extent cx="1248410" cy="845185"/>
                  <wp:effectExtent l="0" t="0" r="8890" b="12065"/>
                  <wp:wrapNone/>
                  <wp:docPr id="21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07"/>
                          <pic:cNvPicPr>
                            <a:picLocks noChangeAspect="1"/>
                          </pic:cNvPicPr>
                        </pic:nvPicPr>
                        <pic:blipFill>
                          <a:blip r:embed="rId252">
                            <a:lum/>
                          </a:blip>
                          <a:stretch>
                            <a:fillRect/>
                          </a:stretch>
                        </pic:blipFill>
                        <pic:spPr>
                          <a:xfrm>
                            <a:off x="0" y="0"/>
                            <a:ext cx="1248410" cy="8451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手工彩泥</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有7个系列切刀，每系列3-6个一套，250g彩泥每种颜色，共12色，外加擀面杖规格：2 个/ 袋、橡胶橡胶擀面杖是孩子陶泥、泥工工作的最佳工具，可以让孩子尽情的发挥想象力制作出超级棒的作品。</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6448" behindDoc="0" locked="0" layoutInCell="1" allowOverlap="1">
                  <wp:simplePos x="0" y="0"/>
                  <wp:positionH relativeFrom="column">
                    <wp:posOffset>304800</wp:posOffset>
                  </wp:positionH>
                  <wp:positionV relativeFrom="paragraph">
                    <wp:posOffset>44450</wp:posOffset>
                  </wp:positionV>
                  <wp:extent cx="1181100" cy="933450"/>
                  <wp:effectExtent l="0" t="0" r="0" b="0"/>
                  <wp:wrapNone/>
                  <wp:docPr id="215" name="图片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_27"/>
                          <pic:cNvPicPr>
                            <a:picLocks noChangeAspect="1"/>
                          </pic:cNvPicPr>
                        </pic:nvPicPr>
                        <pic:blipFill>
                          <a:blip r:embed="rId253">
                            <a:lum/>
                          </a:blip>
                          <a:stretch>
                            <a:fillRect/>
                          </a:stretch>
                        </pic:blipFill>
                        <pic:spPr>
                          <a:xfrm>
                            <a:off x="0" y="0"/>
                            <a:ext cx="1181100" cy="9334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62"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4、美编手工系列</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4mm 毛条</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每包100 支</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7472" behindDoc="0" locked="0" layoutInCell="1" allowOverlap="1">
                  <wp:simplePos x="0" y="0"/>
                  <wp:positionH relativeFrom="column">
                    <wp:posOffset>142875</wp:posOffset>
                  </wp:positionH>
                  <wp:positionV relativeFrom="paragraph">
                    <wp:posOffset>101600</wp:posOffset>
                  </wp:positionV>
                  <wp:extent cx="1504950" cy="685800"/>
                  <wp:effectExtent l="0" t="0" r="0" b="0"/>
                  <wp:wrapNone/>
                  <wp:docPr id="216" name="图片_4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_4_SpCnt_1"/>
                          <pic:cNvPicPr>
                            <a:picLocks noChangeAspect="1"/>
                          </pic:cNvPicPr>
                        </pic:nvPicPr>
                        <pic:blipFill>
                          <a:blip r:embed="rId254">
                            <a:lum/>
                          </a:blip>
                          <a:stretch>
                            <a:fillRect/>
                          </a:stretch>
                        </pic:blipFill>
                        <pic:spPr>
                          <a:xfrm>
                            <a:off x="0" y="0"/>
                            <a:ext cx="1504950" cy="6858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4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5mm 毛条</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包100 支</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8496" behindDoc="0" locked="0" layoutInCell="1" allowOverlap="1">
                  <wp:simplePos x="0" y="0"/>
                  <wp:positionH relativeFrom="column">
                    <wp:posOffset>168910</wp:posOffset>
                  </wp:positionH>
                  <wp:positionV relativeFrom="paragraph">
                    <wp:posOffset>82550</wp:posOffset>
                  </wp:positionV>
                  <wp:extent cx="1526540" cy="688975"/>
                  <wp:effectExtent l="0" t="0" r="16510" b="15875"/>
                  <wp:wrapNone/>
                  <wp:docPr id="217" name="图片_5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_5_SpCnt_1"/>
                          <pic:cNvPicPr>
                            <a:picLocks noChangeAspect="1"/>
                          </pic:cNvPicPr>
                        </pic:nvPicPr>
                        <pic:blipFill>
                          <a:blip r:embed="rId255">
                            <a:lum/>
                          </a:blip>
                          <a:stretch>
                            <a:fillRect/>
                          </a:stretch>
                        </pic:blipFill>
                        <pic:spPr>
                          <a:xfrm>
                            <a:off x="0" y="0"/>
                            <a:ext cx="1526540" cy="6889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6mm 毛条</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包20 支</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39520" behindDoc="0" locked="0" layoutInCell="1" allowOverlap="1">
                  <wp:simplePos x="0" y="0"/>
                  <wp:positionH relativeFrom="column">
                    <wp:posOffset>266700</wp:posOffset>
                  </wp:positionH>
                  <wp:positionV relativeFrom="paragraph">
                    <wp:posOffset>34925</wp:posOffset>
                  </wp:positionV>
                  <wp:extent cx="1352550" cy="676275"/>
                  <wp:effectExtent l="0" t="0" r="0" b="9525"/>
                  <wp:wrapNone/>
                  <wp:docPr id="218" name="图片_6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_6_SpCnt_1"/>
                          <pic:cNvPicPr>
                            <a:picLocks noChangeAspect="1"/>
                          </pic:cNvPicPr>
                        </pic:nvPicPr>
                        <pic:blipFill>
                          <a:blip r:embed="rId256">
                            <a:lum/>
                          </a:blip>
                          <a:stretch>
                            <a:fillRect/>
                          </a:stretch>
                        </pic:blipFill>
                        <pic:spPr>
                          <a:xfrm>
                            <a:off x="0" y="0"/>
                            <a:ext cx="1352550" cy="6762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18mm 毛条花(4 花)</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包20 支</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0544" behindDoc="0" locked="0" layoutInCell="1" allowOverlap="1">
                  <wp:simplePos x="0" y="0"/>
                  <wp:positionH relativeFrom="column">
                    <wp:posOffset>142875</wp:posOffset>
                  </wp:positionH>
                  <wp:positionV relativeFrom="paragraph">
                    <wp:posOffset>76200</wp:posOffset>
                  </wp:positionV>
                  <wp:extent cx="1571625" cy="704850"/>
                  <wp:effectExtent l="0" t="0" r="9525" b="0"/>
                  <wp:wrapNone/>
                  <wp:docPr id="219" name="图片_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_7_SpCnt_1"/>
                          <pic:cNvPicPr>
                            <a:picLocks noChangeAspect="1"/>
                          </pic:cNvPicPr>
                        </pic:nvPicPr>
                        <pic:blipFill>
                          <a:blip r:embed="rId257">
                            <a:lum/>
                          </a:blip>
                          <a:stretch>
                            <a:fillRect/>
                          </a:stretch>
                        </pic:blipFill>
                        <pic:spPr>
                          <a:xfrm>
                            <a:off x="0" y="0"/>
                            <a:ext cx="1571625" cy="7048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4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12mm 毛条花(8 花)</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包20 支</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1568" behindDoc="0" locked="0" layoutInCell="1" allowOverlap="1">
                  <wp:simplePos x="0" y="0"/>
                  <wp:positionH relativeFrom="column">
                    <wp:posOffset>171450</wp:posOffset>
                  </wp:positionH>
                  <wp:positionV relativeFrom="paragraph">
                    <wp:posOffset>171450</wp:posOffset>
                  </wp:positionV>
                  <wp:extent cx="1562100" cy="704850"/>
                  <wp:effectExtent l="0" t="0" r="0" b="0"/>
                  <wp:wrapNone/>
                  <wp:docPr id="220" name="图片_8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_8_SpCnt_1"/>
                          <pic:cNvPicPr>
                            <a:picLocks noChangeAspect="1"/>
                          </pic:cNvPicPr>
                        </pic:nvPicPr>
                        <pic:blipFill>
                          <a:blip r:embed="rId258">
                            <a:lum/>
                          </a:blip>
                          <a:stretch>
                            <a:fillRect/>
                          </a:stretch>
                        </pic:blipFill>
                        <pic:spPr>
                          <a:xfrm>
                            <a:off x="0" y="0"/>
                            <a:ext cx="1562100" cy="7048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5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纸条猫尾</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每包25支</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2592" behindDoc="0" locked="0" layoutInCell="1" allowOverlap="1">
                  <wp:simplePos x="0" y="0"/>
                  <wp:positionH relativeFrom="column">
                    <wp:posOffset>180975</wp:posOffset>
                  </wp:positionH>
                  <wp:positionV relativeFrom="paragraph">
                    <wp:posOffset>92075</wp:posOffset>
                  </wp:positionV>
                  <wp:extent cx="1533525" cy="714375"/>
                  <wp:effectExtent l="0" t="0" r="9525" b="9525"/>
                  <wp:wrapNone/>
                  <wp:docPr id="221" name="图片_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_9_SpCnt_1"/>
                          <pic:cNvPicPr>
                            <a:picLocks noChangeAspect="1"/>
                          </pic:cNvPicPr>
                        </pic:nvPicPr>
                        <pic:blipFill>
                          <a:blip r:embed="rId259">
                            <a:lum/>
                          </a:blip>
                          <a:stretch>
                            <a:fillRect/>
                          </a:stretch>
                        </pic:blipFill>
                        <pic:spPr>
                          <a:xfrm>
                            <a:off x="0" y="0"/>
                            <a:ext cx="1533525" cy="7143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毛绒美艺材料套装</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规格：320×460×380mm 材质：塑料 毛绒   各种造型的材料，可以让孩子的美劳课更加的丰富多彩。</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3616" behindDoc="0" locked="0" layoutInCell="1" allowOverlap="1">
                  <wp:simplePos x="0" y="0"/>
                  <wp:positionH relativeFrom="column">
                    <wp:posOffset>76200</wp:posOffset>
                  </wp:positionH>
                  <wp:positionV relativeFrom="paragraph">
                    <wp:posOffset>117475</wp:posOffset>
                  </wp:positionV>
                  <wp:extent cx="1647825" cy="619125"/>
                  <wp:effectExtent l="0" t="0" r="9525" b="9525"/>
                  <wp:wrapNone/>
                  <wp:docPr id="222" name="图片_1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_10_SpCnt_1"/>
                          <pic:cNvPicPr>
                            <a:picLocks noChangeAspect="1"/>
                          </pic:cNvPicPr>
                        </pic:nvPicPr>
                        <pic:blipFill>
                          <a:blip r:embed="rId260">
                            <a:lum/>
                          </a:blip>
                          <a:stretch>
                            <a:fillRect/>
                          </a:stretch>
                        </pic:blipFill>
                        <pic:spPr>
                          <a:xfrm>
                            <a:off x="0" y="0"/>
                            <a:ext cx="1647825" cy="6191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混合动物亮片</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每包50克；利用美术材料塑造物体形象或装饰小物件，全方位发展幼儿的美术技能，培养对美术活动的兴趣和审美能力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4640" behindDoc="0" locked="0" layoutInCell="1" allowOverlap="1">
                  <wp:simplePos x="0" y="0"/>
                  <wp:positionH relativeFrom="column">
                    <wp:posOffset>247650</wp:posOffset>
                  </wp:positionH>
                  <wp:positionV relativeFrom="paragraph">
                    <wp:posOffset>123825</wp:posOffset>
                  </wp:positionV>
                  <wp:extent cx="1295400" cy="914400"/>
                  <wp:effectExtent l="0" t="0" r="0" b="0"/>
                  <wp:wrapNone/>
                  <wp:docPr id="223" name="图片_11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_11_SpCnt_1"/>
                          <pic:cNvPicPr>
                            <a:picLocks noChangeAspect="1"/>
                          </pic:cNvPicPr>
                        </pic:nvPicPr>
                        <pic:blipFill>
                          <a:blip r:embed="rId261">
                            <a:lum/>
                          </a:blip>
                          <a:stretch>
                            <a:fillRect/>
                          </a:stretch>
                        </pic:blipFill>
                        <pic:spPr>
                          <a:xfrm>
                            <a:off x="0" y="0"/>
                            <a:ext cx="1295400" cy="9144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混色星星亮片</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每包25克；8色亮片；利用美术材料塑造物体形象或装饰小物件，全方位发展幼儿的美术技能，培养对美术活动的兴趣和审美能力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5664" behindDoc="0" locked="0" layoutInCell="1" allowOverlap="1">
                  <wp:simplePos x="0" y="0"/>
                  <wp:positionH relativeFrom="column">
                    <wp:posOffset>180975</wp:posOffset>
                  </wp:positionH>
                  <wp:positionV relativeFrom="paragraph">
                    <wp:posOffset>28575</wp:posOffset>
                  </wp:positionV>
                  <wp:extent cx="1409700" cy="952500"/>
                  <wp:effectExtent l="0" t="0" r="0" b="0"/>
                  <wp:wrapNone/>
                  <wp:docPr id="224" name="图片_12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_12_SpCnt_1"/>
                          <pic:cNvPicPr>
                            <a:picLocks noChangeAspect="1"/>
                          </pic:cNvPicPr>
                        </pic:nvPicPr>
                        <pic:blipFill>
                          <a:blip r:embed="rId262">
                            <a:lum/>
                          </a:blip>
                          <a:stretch>
                            <a:fillRect/>
                          </a:stretch>
                        </pic:blipFill>
                        <pic:spPr>
                          <a:xfrm>
                            <a:off x="0" y="0"/>
                            <a:ext cx="1409700" cy="9525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混色大星星亮片</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每包25克；8色亮片；利用美术材料塑造物体形象或装饰小物件，全方位发展幼儿的美术技能，培养对美术活动的兴趣和审美能力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6688" behindDoc="0" locked="0" layoutInCell="1" allowOverlap="1">
                  <wp:simplePos x="0" y="0"/>
                  <wp:positionH relativeFrom="column">
                    <wp:posOffset>180975</wp:posOffset>
                  </wp:positionH>
                  <wp:positionV relativeFrom="paragraph">
                    <wp:posOffset>63500</wp:posOffset>
                  </wp:positionV>
                  <wp:extent cx="1333500" cy="933450"/>
                  <wp:effectExtent l="0" t="0" r="0" b="0"/>
                  <wp:wrapNone/>
                  <wp:docPr id="225" name="图片_1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_13_SpCnt_1"/>
                          <pic:cNvPicPr>
                            <a:picLocks noChangeAspect="1"/>
                          </pic:cNvPicPr>
                        </pic:nvPicPr>
                        <pic:blipFill>
                          <a:blip r:embed="rId263">
                            <a:lum/>
                          </a:blip>
                          <a:stretch>
                            <a:fillRect/>
                          </a:stretch>
                        </pic:blipFill>
                        <pic:spPr>
                          <a:xfrm>
                            <a:off x="0" y="0"/>
                            <a:ext cx="1333500" cy="9334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包</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彩色眼睛</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规格：Φ15mm    每包100 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7712" behindDoc="0" locked="0" layoutInCell="1" allowOverlap="1">
                  <wp:simplePos x="0" y="0"/>
                  <wp:positionH relativeFrom="column">
                    <wp:posOffset>142875</wp:posOffset>
                  </wp:positionH>
                  <wp:positionV relativeFrom="paragraph">
                    <wp:posOffset>44450</wp:posOffset>
                  </wp:positionV>
                  <wp:extent cx="1466850" cy="944245"/>
                  <wp:effectExtent l="0" t="0" r="0" b="8255"/>
                  <wp:wrapNone/>
                  <wp:docPr id="226" name="图片_15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_15_SpCnt_1"/>
                          <pic:cNvPicPr>
                            <a:picLocks noChangeAspect="1"/>
                          </pic:cNvPicPr>
                        </pic:nvPicPr>
                        <pic:blipFill>
                          <a:blip r:embed="rId264">
                            <a:lum/>
                          </a:blip>
                          <a:stretch>
                            <a:fillRect/>
                          </a:stretch>
                        </pic:blipFill>
                        <pic:spPr>
                          <a:xfrm>
                            <a:off x="0" y="0"/>
                            <a:ext cx="1466850" cy="9442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4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黑白塑料眼</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规格：150×65mm  各种型号眼睛五层装。（桶装）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8736" behindDoc="0" locked="0" layoutInCell="1" allowOverlap="1">
                  <wp:simplePos x="0" y="0"/>
                  <wp:positionH relativeFrom="column">
                    <wp:posOffset>116205</wp:posOffset>
                  </wp:positionH>
                  <wp:positionV relativeFrom="paragraph">
                    <wp:posOffset>104140</wp:posOffset>
                  </wp:positionV>
                  <wp:extent cx="1579245" cy="991235"/>
                  <wp:effectExtent l="0" t="0" r="1905" b="18415"/>
                  <wp:wrapNone/>
                  <wp:docPr id="227" name="图片_16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_16_SpCnt_1"/>
                          <pic:cNvPicPr>
                            <a:picLocks noChangeAspect="1"/>
                          </pic:cNvPicPr>
                        </pic:nvPicPr>
                        <pic:blipFill>
                          <a:blip r:embed="rId265">
                            <a:lum/>
                          </a:blip>
                          <a:stretch>
                            <a:fillRect/>
                          </a:stretch>
                        </pic:blipFill>
                        <pic:spPr>
                          <a:xfrm>
                            <a:off x="0" y="0"/>
                            <a:ext cx="1579245" cy="9912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9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圣诞亮片</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规格：100g/ 罐                         7 种颜色，利用金葱粉的特点，结合其他辅助材料，让孩子对美术作品进行创作于装饰点缀。规格：罐装/5 层    每罐装有不同形状亮片。</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49760" behindDoc="0" locked="0" layoutInCell="1" allowOverlap="1">
                  <wp:simplePos x="0" y="0"/>
                  <wp:positionH relativeFrom="column">
                    <wp:posOffset>190500</wp:posOffset>
                  </wp:positionH>
                  <wp:positionV relativeFrom="paragraph">
                    <wp:posOffset>79375</wp:posOffset>
                  </wp:positionV>
                  <wp:extent cx="1409700" cy="936625"/>
                  <wp:effectExtent l="0" t="0" r="0" b="15875"/>
                  <wp:wrapNone/>
                  <wp:docPr id="228" name="图片_1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_17_SpCnt_1"/>
                          <pic:cNvPicPr>
                            <a:picLocks noChangeAspect="1"/>
                          </pic:cNvPicPr>
                        </pic:nvPicPr>
                        <pic:blipFill>
                          <a:blip r:embed="rId266">
                            <a:lum/>
                          </a:blip>
                          <a:stretch>
                            <a:fillRect/>
                          </a:stretch>
                        </pic:blipFill>
                        <pic:spPr>
                          <a:xfrm>
                            <a:off x="0" y="0"/>
                            <a:ext cx="1409700" cy="9366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1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塑料胶水棒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规格：规格：12 个/ 袋                  材质：塑料    胶水棒前面的扁头可以蘸取胶水，均匀的涂抹在材料上，避免浪费，后面的圆头可以用于粘贴好的整理修型。</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0784" behindDoc="0" locked="0" layoutInCell="1" allowOverlap="1">
                  <wp:simplePos x="0" y="0"/>
                  <wp:positionH relativeFrom="column">
                    <wp:posOffset>190500</wp:posOffset>
                  </wp:positionH>
                  <wp:positionV relativeFrom="paragraph">
                    <wp:posOffset>187960</wp:posOffset>
                  </wp:positionV>
                  <wp:extent cx="1447800" cy="958215"/>
                  <wp:effectExtent l="0" t="0" r="0" b="13335"/>
                  <wp:wrapNone/>
                  <wp:docPr id="229" name="图片_18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_18_SpCnt_1"/>
                          <pic:cNvPicPr>
                            <a:picLocks noChangeAspect="1"/>
                          </pic:cNvPicPr>
                        </pic:nvPicPr>
                        <pic:blipFill>
                          <a:blip r:embed="rId267">
                            <a:lum/>
                          </a:blip>
                          <a:stretch>
                            <a:fillRect/>
                          </a:stretch>
                        </pic:blipFill>
                        <pic:spPr>
                          <a:xfrm>
                            <a:off x="0" y="0"/>
                            <a:ext cx="1447800" cy="9582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装饰物片</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规格：约100 片装混色不织布大圆片                            规格：约100 片装混色不织布小花片                            规格：约200 片装混色不织布花朵                                规格：约50 片装混色向日葵花片                                 规格：约40 片装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1808" behindDoc="0" locked="0" layoutInCell="1" allowOverlap="1">
                  <wp:simplePos x="0" y="0"/>
                  <wp:positionH relativeFrom="column">
                    <wp:posOffset>133350</wp:posOffset>
                  </wp:positionH>
                  <wp:positionV relativeFrom="paragraph">
                    <wp:posOffset>80010</wp:posOffset>
                  </wp:positionV>
                  <wp:extent cx="1562100" cy="920115"/>
                  <wp:effectExtent l="0" t="0" r="0" b="13335"/>
                  <wp:wrapNone/>
                  <wp:docPr id="230" name="图片_1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_19_SpCnt_1"/>
                          <pic:cNvPicPr>
                            <a:picLocks noChangeAspect="1"/>
                          </pic:cNvPicPr>
                        </pic:nvPicPr>
                        <pic:blipFill>
                          <a:blip r:embed="rId268">
                            <a:lum/>
                          </a:blip>
                          <a:stretch>
                            <a:fillRect/>
                          </a:stretch>
                        </pic:blipFill>
                        <pic:spPr>
                          <a:xfrm>
                            <a:off x="0" y="0"/>
                            <a:ext cx="1562100" cy="9201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42"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5、纸艺系列</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搓纸系列</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50mm 8 色手工搓纸*规格：50x50mm / 约400 片装，100mm 8 色手工搓纸 规格：100x100mm / 约400 片装，200mm 8 色手工搓纸*规格：200x200mm / 约400 片装，200mm 绿色手工搓纸*规格：200x200mm / 约500 片装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2832" behindDoc="0" locked="0" layoutInCell="1" allowOverlap="1">
                  <wp:simplePos x="0" y="0"/>
                  <wp:positionH relativeFrom="column">
                    <wp:posOffset>109220</wp:posOffset>
                  </wp:positionH>
                  <wp:positionV relativeFrom="paragraph">
                    <wp:posOffset>282575</wp:posOffset>
                  </wp:positionV>
                  <wp:extent cx="1640840" cy="690245"/>
                  <wp:effectExtent l="0" t="0" r="16510" b="14605"/>
                  <wp:wrapNone/>
                  <wp:docPr id="231" name="图片_2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_20_SpCnt_1"/>
                          <pic:cNvPicPr>
                            <a:picLocks noChangeAspect="1"/>
                          </pic:cNvPicPr>
                        </pic:nvPicPr>
                        <pic:blipFill>
                          <a:blip r:embed="rId269">
                            <a:lum/>
                          </a:blip>
                          <a:stretch>
                            <a:fillRect/>
                          </a:stretch>
                        </pic:blipFill>
                        <pic:spPr>
                          <a:xfrm>
                            <a:off x="0" y="0"/>
                            <a:ext cx="1640840" cy="69024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5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背胶混色手工卡纸</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规格：210x300mm / 10 片装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3856" behindDoc="0" locked="0" layoutInCell="1" allowOverlap="1">
                  <wp:simplePos x="0" y="0"/>
                  <wp:positionH relativeFrom="column">
                    <wp:posOffset>241935</wp:posOffset>
                  </wp:positionH>
                  <wp:positionV relativeFrom="paragraph">
                    <wp:posOffset>66040</wp:posOffset>
                  </wp:positionV>
                  <wp:extent cx="1282065" cy="798830"/>
                  <wp:effectExtent l="0" t="0" r="13335" b="1270"/>
                  <wp:wrapNone/>
                  <wp:docPr id="232" name="图片_21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_21_SpCnt_1"/>
                          <pic:cNvPicPr>
                            <a:picLocks noChangeAspect="1"/>
                          </pic:cNvPicPr>
                        </pic:nvPicPr>
                        <pic:blipFill>
                          <a:blip r:embed="rId270">
                            <a:lum/>
                          </a:blip>
                          <a:stretch>
                            <a:fillRect/>
                          </a:stretch>
                        </pic:blipFill>
                        <pic:spPr>
                          <a:xfrm>
                            <a:off x="0" y="0"/>
                            <a:ext cx="1282065" cy="7988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5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混色瓦楞纸</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背胶EVA 金粉海绵纸*规格：210x300mm / 10 片装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4880" behindDoc="0" locked="0" layoutInCell="1" allowOverlap="1">
                  <wp:simplePos x="0" y="0"/>
                  <wp:positionH relativeFrom="column">
                    <wp:posOffset>466725</wp:posOffset>
                  </wp:positionH>
                  <wp:positionV relativeFrom="paragraph">
                    <wp:posOffset>117475</wp:posOffset>
                  </wp:positionV>
                  <wp:extent cx="963930" cy="879475"/>
                  <wp:effectExtent l="0" t="0" r="7620" b="15875"/>
                  <wp:wrapNone/>
                  <wp:docPr id="233" name="图片_22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_22_SpCnt_1"/>
                          <pic:cNvPicPr>
                            <a:picLocks noChangeAspect="1"/>
                          </pic:cNvPicPr>
                        </pic:nvPicPr>
                        <pic:blipFill>
                          <a:blip r:embed="rId271">
                            <a:lum/>
                          </a:blip>
                          <a:stretch>
                            <a:fillRect/>
                          </a:stretch>
                        </pic:blipFill>
                        <pic:spPr>
                          <a:xfrm>
                            <a:off x="0" y="0"/>
                            <a:ext cx="963930" cy="8794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混色EVA海绵纸A3</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规格：420x300mm / 10 片装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5904" behindDoc="0" locked="0" layoutInCell="1" allowOverlap="1">
                  <wp:simplePos x="0" y="0"/>
                  <wp:positionH relativeFrom="column">
                    <wp:posOffset>447675</wp:posOffset>
                  </wp:positionH>
                  <wp:positionV relativeFrom="paragraph">
                    <wp:posOffset>98425</wp:posOffset>
                  </wp:positionV>
                  <wp:extent cx="722630" cy="836295"/>
                  <wp:effectExtent l="0" t="0" r="1270" b="1905"/>
                  <wp:wrapNone/>
                  <wp:docPr id="234" name="图片_2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_23_SpCnt_1"/>
                          <pic:cNvPicPr>
                            <a:picLocks noChangeAspect="1"/>
                          </pic:cNvPicPr>
                        </pic:nvPicPr>
                        <pic:blipFill>
                          <a:blip r:embed="rId272">
                            <a:lum/>
                          </a:blip>
                          <a:stretch>
                            <a:fillRect/>
                          </a:stretch>
                        </pic:blipFill>
                        <pic:spPr>
                          <a:xfrm>
                            <a:off x="0" y="0"/>
                            <a:ext cx="722630" cy="8362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混色无纺布</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规格：210x300mm / 10 片装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6928" behindDoc="0" locked="0" layoutInCell="1" allowOverlap="1">
                  <wp:simplePos x="0" y="0"/>
                  <wp:positionH relativeFrom="column">
                    <wp:posOffset>285115</wp:posOffset>
                  </wp:positionH>
                  <wp:positionV relativeFrom="paragraph">
                    <wp:posOffset>105410</wp:posOffset>
                  </wp:positionV>
                  <wp:extent cx="1229360" cy="799465"/>
                  <wp:effectExtent l="0" t="0" r="8890" b="635"/>
                  <wp:wrapNone/>
                  <wp:docPr id="235" name="图片_25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_25_SpCnt_1"/>
                          <pic:cNvPicPr>
                            <a:picLocks noChangeAspect="1"/>
                          </pic:cNvPicPr>
                        </pic:nvPicPr>
                        <pic:blipFill>
                          <a:blip r:embed="rId273">
                            <a:lum/>
                          </a:blip>
                          <a:stretch>
                            <a:fillRect/>
                          </a:stretch>
                        </pic:blipFill>
                        <pic:spPr>
                          <a:xfrm>
                            <a:off x="0" y="0"/>
                            <a:ext cx="1229360" cy="7994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1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切纸刀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尺寸：295*200*43mm,塑料，金属，安全，小巧，轻便的切纸刀，适用于孩子美术活动的工具</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7952" behindDoc="0" locked="0" layoutInCell="1" allowOverlap="1">
                  <wp:simplePos x="0" y="0"/>
                  <wp:positionH relativeFrom="column">
                    <wp:posOffset>225425</wp:posOffset>
                  </wp:positionH>
                  <wp:positionV relativeFrom="paragraph">
                    <wp:posOffset>172085</wp:posOffset>
                  </wp:positionV>
                  <wp:extent cx="1498600" cy="628015"/>
                  <wp:effectExtent l="0" t="0" r="6350" b="635"/>
                  <wp:wrapNone/>
                  <wp:docPr id="236" name="图片_26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_26_SpCnt_1"/>
                          <pic:cNvPicPr>
                            <a:picLocks noChangeAspect="1"/>
                          </pic:cNvPicPr>
                        </pic:nvPicPr>
                        <pic:blipFill>
                          <a:blip r:embed="rId274">
                            <a:lum/>
                          </a:blip>
                          <a:stretch>
                            <a:fillRect/>
                          </a:stretch>
                        </pic:blipFill>
                        <pic:spPr>
                          <a:xfrm>
                            <a:off x="0" y="0"/>
                            <a:ext cx="1498600" cy="6280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花边剪</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尺寸：310*185*40mm；塑料，金属，6款/套，不同花纹的刀型，能为小图片、小贺卡剪出美丽的花边，增强作品的美感</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58976" behindDoc="0" locked="0" layoutInCell="1" allowOverlap="1">
                  <wp:simplePos x="0" y="0"/>
                  <wp:positionH relativeFrom="column">
                    <wp:posOffset>85090</wp:posOffset>
                  </wp:positionH>
                  <wp:positionV relativeFrom="paragraph">
                    <wp:posOffset>116205</wp:posOffset>
                  </wp:positionV>
                  <wp:extent cx="1591310" cy="655320"/>
                  <wp:effectExtent l="0" t="0" r="8890" b="11430"/>
                  <wp:wrapNone/>
                  <wp:docPr id="237" name="图片_2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_27_SpCnt_1"/>
                          <pic:cNvPicPr>
                            <a:picLocks noChangeAspect="1"/>
                          </pic:cNvPicPr>
                        </pic:nvPicPr>
                        <pic:blipFill>
                          <a:blip r:embed="rId275">
                            <a:lum/>
                          </a:blip>
                          <a:stretch>
                            <a:fillRect/>
                          </a:stretch>
                        </pic:blipFill>
                        <pic:spPr>
                          <a:xfrm>
                            <a:off x="0" y="0"/>
                            <a:ext cx="1591310" cy="6553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5</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平滑切刀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尺寸：长约180mm、切刀直径约为60mm、材质：塑料，3个/套。训练幼儿手部及腕部的力量，培养使用工具的能力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0000" behindDoc="0" locked="0" layoutInCell="1" allowOverlap="1">
                  <wp:simplePos x="0" y="0"/>
                  <wp:positionH relativeFrom="column">
                    <wp:posOffset>219075</wp:posOffset>
                  </wp:positionH>
                  <wp:positionV relativeFrom="paragraph">
                    <wp:posOffset>82550</wp:posOffset>
                  </wp:positionV>
                  <wp:extent cx="1495425" cy="619125"/>
                  <wp:effectExtent l="0" t="0" r="9525" b="9525"/>
                  <wp:wrapNone/>
                  <wp:docPr id="238"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_28"/>
                          <pic:cNvPicPr>
                            <a:picLocks noChangeAspect="1"/>
                          </pic:cNvPicPr>
                        </pic:nvPicPr>
                        <pic:blipFill>
                          <a:blip r:embed="rId276">
                            <a:lum/>
                          </a:blip>
                          <a:stretch>
                            <a:fillRect/>
                          </a:stretch>
                        </pic:blipFill>
                        <pic:spPr>
                          <a:xfrm>
                            <a:off x="0" y="0"/>
                            <a:ext cx="1495425" cy="6191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齿形切刀</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尺寸：长约180mm、切刀直径约为60mm、材质：塑料，3个/套。训练幼儿手部及腕部的力量，培养使用工具的能力</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1024" behindDoc="0" locked="0" layoutInCell="1" allowOverlap="1">
                  <wp:simplePos x="0" y="0"/>
                  <wp:positionH relativeFrom="column">
                    <wp:posOffset>85725</wp:posOffset>
                  </wp:positionH>
                  <wp:positionV relativeFrom="paragraph">
                    <wp:posOffset>86360</wp:posOffset>
                  </wp:positionV>
                  <wp:extent cx="1648460" cy="599440"/>
                  <wp:effectExtent l="0" t="0" r="8890" b="10160"/>
                  <wp:wrapNone/>
                  <wp:docPr id="239" name="图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_30"/>
                          <pic:cNvPicPr>
                            <a:picLocks noChangeAspect="1"/>
                          </pic:cNvPicPr>
                        </pic:nvPicPr>
                        <pic:blipFill>
                          <a:blip r:embed="rId277">
                            <a:lum/>
                          </a:blip>
                          <a:stretch>
                            <a:fillRect/>
                          </a:stretch>
                        </pic:blipFill>
                        <pic:spPr>
                          <a:xfrm>
                            <a:off x="0" y="0"/>
                            <a:ext cx="1648460" cy="5994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60"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6.陶艺穿编系列</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木制穿编配件</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木制穿编配件（包含3 款产品）13mm 混色小木扣*规格：50 个装混色波点木珠*规格：100 个装混色糖果珠*规格：50 粒装</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2048" behindDoc="0" locked="0" layoutInCell="1" allowOverlap="1">
                  <wp:simplePos x="0" y="0"/>
                  <wp:positionH relativeFrom="column">
                    <wp:posOffset>314325</wp:posOffset>
                  </wp:positionH>
                  <wp:positionV relativeFrom="paragraph">
                    <wp:posOffset>117475</wp:posOffset>
                  </wp:positionV>
                  <wp:extent cx="1290955" cy="722630"/>
                  <wp:effectExtent l="0" t="0" r="4445" b="1270"/>
                  <wp:wrapNone/>
                  <wp:docPr id="240" name="图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_31"/>
                          <pic:cNvPicPr>
                            <a:picLocks noChangeAspect="1"/>
                          </pic:cNvPicPr>
                        </pic:nvPicPr>
                        <pic:blipFill>
                          <a:blip r:embed="rId278">
                            <a:lum/>
                          </a:blip>
                          <a:stretch>
                            <a:fillRect/>
                          </a:stretch>
                        </pic:blipFill>
                        <pic:spPr>
                          <a:xfrm>
                            <a:off x="0" y="0"/>
                            <a:ext cx="1290955" cy="7226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陶瓷蛋糕杯装饰套装</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规格：150×45×210mm</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3072" behindDoc="0" locked="0" layoutInCell="1" allowOverlap="1">
                  <wp:simplePos x="0" y="0"/>
                  <wp:positionH relativeFrom="column">
                    <wp:posOffset>190500</wp:posOffset>
                  </wp:positionH>
                  <wp:positionV relativeFrom="paragraph">
                    <wp:posOffset>85725</wp:posOffset>
                  </wp:positionV>
                  <wp:extent cx="1390650" cy="600075"/>
                  <wp:effectExtent l="0" t="0" r="0" b="9525"/>
                  <wp:wrapNone/>
                  <wp:docPr id="241" name="图片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_33"/>
                          <pic:cNvPicPr>
                            <a:picLocks noChangeAspect="1"/>
                          </pic:cNvPicPr>
                        </pic:nvPicPr>
                        <pic:blipFill>
                          <a:blip r:embed="rId279">
                            <a:lum/>
                          </a:blip>
                          <a:stretch>
                            <a:fillRect/>
                          </a:stretch>
                        </pic:blipFill>
                        <pic:spPr>
                          <a:xfrm>
                            <a:off x="0" y="0"/>
                            <a:ext cx="1390650" cy="6000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ascii="Times New Roman" w:hAnsi="Times New Roman" w:cs="Times New Roman"/>
                <w:i w:val="0"/>
                <w:color w:val="auto"/>
                <w:kern w:val="0"/>
                <w:sz w:val="21"/>
                <w:szCs w:val="21"/>
                <w:highlight w:val="none"/>
                <w:u w:val="none"/>
                <w:lang w:val="en-US" w:eastAsia="zh-CN"/>
              </w:rPr>
              <w:t>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3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大拼图机</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规格：206×126×124mm （盒）*材质：塑料*选择喜欢的图案或相片，放入拼图机缝隙，握住拼图机手柄同时向前推动，自己动手制作喜爱的拼</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4096" behindDoc="0" locked="0" layoutInCell="1" allowOverlap="1">
                  <wp:simplePos x="0" y="0"/>
                  <wp:positionH relativeFrom="column">
                    <wp:posOffset>47625</wp:posOffset>
                  </wp:positionH>
                  <wp:positionV relativeFrom="paragraph">
                    <wp:posOffset>228600</wp:posOffset>
                  </wp:positionV>
                  <wp:extent cx="1781175" cy="476250"/>
                  <wp:effectExtent l="0" t="0" r="9525" b="0"/>
                  <wp:wrapNone/>
                  <wp:docPr id="242" name="图片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_34"/>
                          <pic:cNvPicPr>
                            <a:picLocks noChangeAspect="1"/>
                          </pic:cNvPicPr>
                        </pic:nvPicPr>
                        <pic:blipFill>
                          <a:blip r:embed="rId280">
                            <a:lum/>
                          </a:blip>
                          <a:stretch>
                            <a:fillRect/>
                          </a:stretch>
                        </pic:blipFill>
                        <pic:spPr>
                          <a:xfrm>
                            <a:off x="0" y="0"/>
                            <a:ext cx="1781175" cy="4762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陶土机</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尺寸：320*220*210mm；ABS塑料；经典的DIY 产品。先将陶土和水调好，按动开关，将调好的陶土在机子上旋转，等陶土慢慢成型后，将做好的陶制品自然风干，再调好油彩，用小毛笔涂在成型的陶制品上，享受创作带来的乐趣</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5120" behindDoc="0" locked="0" layoutInCell="1" allowOverlap="1">
                  <wp:simplePos x="0" y="0"/>
                  <wp:positionH relativeFrom="column">
                    <wp:posOffset>74295</wp:posOffset>
                  </wp:positionH>
                  <wp:positionV relativeFrom="paragraph">
                    <wp:posOffset>320675</wp:posOffset>
                  </wp:positionV>
                  <wp:extent cx="1642745" cy="629285"/>
                  <wp:effectExtent l="0" t="0" r="14605" b="18415"/>
                  <wp:wrapNone/>
                  <wp:docPr id="243" name="图片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_37"/>
                          <pic:cNvPicPr>
                            <a:picLocks noChangeAspect="1"/>
                          </pic:cNvPicPr>
                        </pic:nvPicPr>
                        <pic:blipFill>
                          <a:blip r:embed="rId281">
                            <a:lum/>
                          </a:blip>
                          <a:stretch>
                            <a:fillRect/>
                          </a:stretch>
                        </pic:blipFill>
                        <pic:spPr>
                          <a:xfrm>
                            <a:off x="0" y="0"/>
                            <a:ext cx="1642745" cy="6292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胶泥</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400克/块材质：环保无毒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7168" behindDoc="0" locked="0" layoutInCell="1" allowOverlap="1">
                  <wp:simplePos x="0" y="0"/>
                  <wp:positionH relativeFrom="column">
                    <wp:posOffset>438150</wp:posOffset>
                  </wp:positionH>
                  <wp:positionV relativeFrom="paragraph">
                    <wp:posOffset>92075</wp:posOffset>
                  </wp:positionV>
                  <wp:extent cx="971550" cy="844550"/>
                  <wp:effectExtent l="0" t="0" r="0" b="12700"/>
                  <wp:wrapNone/>
                  <wp:docPr id="245" name="图片_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_172"/>
                          <pic:cNvPicPr>
                            <a:picLocks noChangeAspect="1"/>
                          </pic:cNvPicPr>
                        </pic:nvPicPr>
                        <pic:blipFill>
                          <a:blip r:embed="rId282">
                            <a:lum/>
                          </a:blip>
                          <a:stretch>
                            <a:fillRect/>
                          </a:stretch>
                        </pic:blipFill>
                        <pic:spPr>
                          <a:xfrm>
                            <a:off x="0" y="0"/>
                            <a:ext cx="971550" cy="8445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调色板</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塑料材质：进口环保塑料，安全无毒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6144" behindDoc="0" locked="0" layoutInCell="1" allowOverlap="1">
                  <wp:simplePos x="0" y="0"/>
                  <wp:positionH relativeFrom="column">
                    <wp:posOffset>261620</wp:posOffset>
                  </wp:positionH>
                  <wp:positionV relativeFrom="paragraph">
                    <wp:posOffset>56515</wp:posOffset>
                  </wp:positionV>
                  <wp:extent cx="1186180" cy="794385"/>
                  <wp:effectExtent l="0" t="0" r="13970" b="5715"/>
                  <wp:wrapNone/>
                  <wp:docPr id="244" name="图片_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_173"/>
                          <pic:cNvPicPr>
                            <a:picLocks noChangeAspect="1"/>
                          </pic:cNvPicPr>
                        </pic:nvPicPr>
                        <pic:blipFill>
                          <a:blip r:embed="rId283">
                            <a:lum/>
                          </a:blip>
                          <a:stretch>
                            <a:fillRect/>
                          </a:stretch>
                        </pic:blipFill>
                        <pic:spPr>
                          <a:xfrm>
                            <a:off x="0" y="0"/>
                            <a:ext cx="1186180" cy="7943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彩色水笔</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24色材质：进口环保塑料，安全无毒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8192" behindDoc="0" locked="0" layoutInCell="1" allowOverlap="1">
                  <wp:simplePos x="0" y="0"/>
                  <wp:positionH relativeFrom="column">
                    <wp:posOffset>553085</wp:posOffset>
                  </wp:positionH>
                  <wp:positionV relativeFrom="paragraph">
                    <wp:posOffset>106680</wp:posOffset>
                  </wp:positionV>
                  <wp:extent cx="775335" cy="765175"/>
                  <wp:effectExtent l="0" t="0" r="5715" b="15875"/>
                  <wp:wrapNone/>
                  <wp:docPr id="246" name="图片_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_177"/>
                          <pic:cNvPicPr>
                            <a:picLocks noChangeAspect="1"/>
                          </pic:cNvPicPr>
                        </pic:nvPicPr>
                        <pic:blipFill>
                          <a:blip r:embed="rId284">
                            <a:lum/>
                          </a:blip>
                          <a:stretch>
                            <a:fillRect/>
                          </a:stretch>
                        </pic:blipFill>
                        <pic:spPr>
                          <a:xfrm>
                            <a:off x="0" y="0"/>
                            <a:ext cx="775335" cy="7651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蜡笔</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36色材质：进口环保塑料，安全无毒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69216" behindDoc="0" locked="0" layoutInCell="1" allowOverlap="1">
                  <wp:simplePos x="0" y="0"/>
                  <wp:positionH relativeFrom="column">
                    <wp:posOffset>457200</wp:posOffset>
                  </wp:positionH>
                  <wp:positionV relativeFrom="paragraph">
                    <wp:posOffset>76200</wp:posOffset>
                  </wp:positionV>
                  <wp:extent cx="888365" cy="897255"/>
                  <wp:effectExtent l="0" t="0" r="6985" b="17145"/>
                  <wp:wrapNone/>
                  <wp:docPr id="247" name="图片_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_178"/>
                          <pic:cNvPicPr>
                            <a:picLocks noChangeAspect="1"/>
                          </pic:cNvPicPr>
                        </pic:nvPicPr>
                        <pic:blipFill>
                          <a:blip r:embed="rId285">
                            <a:lum/>
                          </a:blip>
                          <a:stretch>
                            <a:fillRect/>
                          </a:stretch>
                        </pic:blipFill>
                        <pic:spPr>
                          <a:xfrm>
                            <a:off x="0" y="0"/>
                            <a:ext cx="888365" cy="8972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9</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陶艺材料</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24色材质：环保材料，安全无毒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0240" behindDoc="0" locked="0" layoutInCell="1" allowOverlap="1">
                  <wp:simplePos x="0" y="0"/>
                  <wp:positionH relativeFrom="column">
                    <wp:posOffset>104775</wp:posOffset>
                  </wp:positionH>
                  <wp:positionV relativeFrom="paragraph">
                    <wp:posOffset>92075</wp:posOffset>
                  </wp:positionV>
                  <wp:extent cx="1527175" cy="629920"/>
                  <wp:effectExtent l="0" t="0" r="15875" b="17780"/>
                  <wp:wrapNone/>
                  <wp:docPr id="248" name="图片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_180"/>
                          <pic:cNvPicPr>
                            <a:picLocks noChangeAspect="1"/>
                          </pic:cNvPicPr>
                        </pic:nvPicPr>
                        <pic:blipFill>
                          <a:blip r:embed="rId286">
                            <a:lum/>
                          </a:blip>
                          <a:stretch>
                            <a:fillRect/>
                          </a:stretch>
                        </pic:blipFill>
                        <pic:spPr>
                          <a:xfrm>
                            <a:off x="0" y="0"/>
                            <a:ext cx="1527175" cy="6299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5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rPr>
              <w:t>10</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画架</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规格：35*40*65cm                   材质：优质木制，油漆环保，无毒。</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1264" behindDoc="0" locked="0" layoutInCell="1" allowOverlap="1">
                  <wp:simplePos x="0" y="0"/>
                  <wp:positionH relativeFrom="column">
                    <wp:posOffset>419100</wp:posOffset>
                  </wp:positionH>
                  <wp:positionV relativeFrom="paragraph">
                    <wp:posOffset>228600</wp:posOffset>
                  </wp:positionV>
                  <wp:extent cx="784860" cy="1216025"/>
                  <wp:effectExtent l="0" t="0" r="15240" b="3175"/>
                  <wp:wrapNone/>
                  <wp:docPr id="249" name="图片_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_176"/>
                          <pic:cNvPicPr>
                            <a:picLocks noChangeAspect="1"/>
                          </pic:cNvPicPr>
                        </pic:nvPicPr>
                        <pic:blipFill>
                          <a:blip r:embed="rId287">
                            <a:lum/>
                          </a:blip>
                          <a:stretch>
                            <a:fillRect/>
                          </a:stretch>
                        </pic:blipFill>
                        <pic:spPr>
                          <a:xfrm>
                            <a:off x="0" y="0"/>
                            <a:ext cx="784860" cy="12160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架</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81"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rPr>
              <w:t>11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儿童护衣</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 PVC防水面料，卡通油墨印花，牢固，不掉色。</w:t>
            </w:r>
            <w:r>
              <w:rPr>
                <w:rFonts w:hint="eastAsia" w:ascii="宋体" w:hAnsi="宋体" w:eastAsia="宋体" w:cs="宋体"/>
                <w:i w:val="0"/>
                <w:color w:val="auto"/>
                <w:kern w:val="0"/>
                <w:sz w:val="21"/>
                <w:szCs w:val="21"/>
                <w:highlight w:val="none"/>
                <w:u w:val="none"/>
                <w:lang w:val="en-US" w:eastAsia="zh-CN"/>
              </w:rPr>
              <w:br w:type="textWrapping"/>
            </w:r>
            <w:r>
              <w:rPr>
                <w:rFonts w:hint="eastAsia" w:ascii="宋体" w:hAnsi="宋体" w:eastAsia="宋体" w:cs="宋体"/>
                <w:i w:val="0"/>
                <w:color w:val="auto"/>
                <w:kern w:val="0"/>
                <w:sz w:val="21"/>
                <w:szCs w:val="21"/>
                <w:highlight w:val="none"/>
                <w:u w:val="none"/>
                <w:lang w:val="en-US" w:eastAsia="zh-CN"/>
              </w:rPr>
              <w:t>包括护袖1付</w:t>
            </w: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2288" behindDoc="0" locked="0" layoutInCell="1" allowOverlap="1">
                  <wp:simplePos x="0" y="0"/>
                  <wp:positionH relativeFrom="column">
                    <wp:posOffset>542925</wp:posOffset>
                  </wp:positionH>
                  <wp:positionV relativeFrom="paragraph">
                    <wp:posOffset>114935</wp:posOffset>
                  </wp:positionV>
                  <wp:extent cx="794385" cy="857250"/>
                  <wp:effectExtent l="0" t="0" r="5715" b="0"/>
                  <wp:wrapSquare wrapText="bothSides"/>
                  <wp:docPr id="250" name="图片_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_183"/>
                          <pic:cNvPicPr>
                            <a:picLocks noChangeAspect="1"/>
                          </pic:cNvPicPr>
                        </pic:nvPicPr>
                        <pic:blipFill>
                          <a:blip r:embed="rId288">
                            <a:lum/>
                          </a:blip>
                          <a:stretch>
                            <a:fillRect/>
                          </a:stretch>
                        </pic:blipFill>
                        <pic:spPr>
                          <a:xfrm>
                            <a:off x="0" y="0"/>
                            <a:ext cx="794385" cy="857250"/>
                          </a:xfrm>
                          <a:prstGeom prst="rect">
                            <a:avLst/>
                          </a:prstGeom>
                          <a:noFill/>
                          <a:ln>
                            <a:noFill/>
                          </a:ln>
                        </pic:spPr>
                      </pic:pic>
                    </a:graphicData>
                  </a:graphic>
                </wp:anchor>
              </w:drawing>
            </w:r>
          </w:p>
          <w:p>
            <w:pPr>
              <w:widowControl/>
              <w:jc w:val="center"/>
              <w:textAlignment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件</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6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highlight w:val="none"/>
                <w:u w:val="none"/>
                <w:lang w:val="en-US" w:eastAsia="zh-CN"/>
              </w:rPr>
            </w:pP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highlight w:val="none"/>
                <w:u w:val="none"/>
                <w:lang w:val="en-US" w:eastAsia="zh-CN"/>
              </w:rPr>
            </w:pP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highlight w:val="none"/>
                <w:u w:val="none"/>
                <w:lang w:val="en-US" w:eastAsia="zh-CN"/>
              </w:rPr>
            </w:pPr>
          </w:p>
        </w:tc>
        <w:tc>
          <w:tcPr>
            <w:tcW w:w="3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highlight w:val="none"/>
                <w:u w:val="none"/>
                <w:bdr w:val="single" w:color="000000" w:sz="4" w:space="0"/>
                <w:lang w:val="en-US" w:eastAsia="zh-CN"/>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kern w:val="0"/>
                <w:sz w:val="21"/>
                <w:szCs w:val="21"/>
                <w:highlight w:val="none"/>
                <w:u w:val="none"/>
                <w:lang w:val="en-US" w:eastAsia="zh-CN"/>
              </w:rPr>
            </w:pPr>
          </w:p>
        </w:tc>
        <w:tc>
          <w:tcPr>
            <w:tcW w:w="1091"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kern w:val="0"/>
                <w:sz w:val="21"/>
                <w:szCs w:val="21"/>
                <w:highlight w:val="none"/>
                <w:u w:val="none"/>
                <w:lang w:val="en-US" w:eastAsia="zh-CN"/>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40" w:hRule="atLeast"/>
        </w:trPr>
        <w:tc>
          <w:tcPr>
            <w:tcW w:w="14040" w:type="dxa"/>
            <w:gridSpan w:val="6"/>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kern w:val="0"/>
                <w:sz w:val="21"/>
                <w:szCs w:val="21"/>
                <w:highlight w:val="none"/>
                <w:u w:val="none"/>
                <w:lang w:val="en-US" w:eastAsia="zh-CN"/>
              </w:rPr>
            </w:pPr>
            <w:r>
              <w:rPr>
                <w:rFonts w:hint="eastAsia" w:ascii="Times New Roman" w:hAnsi="Times New Roman" w:cs="Times New Roman"/>
                <w:b/>
                <w:bCs/>
                <w:i w:val="0"/>
                <w:color w:val="auto"/>
                <w:kern w:val="0"/>
                <w:sz w:val="21"/>
                <w:szCs w:val="21"/>
                <w:highlight w:val="none"/>
                <w:u w:val="none"/>
                <w:lang w:val="en-US" w:eastAsia="zh-CN"/>
              </w:rPr>
              <w:t>科学发现</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40"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1、水主题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水槽</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材质：PP（聚丙烯）透明塑料柱形， 规格：250mmx100mm  容积2.5-5升 。功能：用于水试验的器皿。</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漩涡演示器</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材质：优质安全无毒害塑料 规格：尺寸：200mm×70mm，功能：包含“S”型转轮、椭圆型转轮，漏水口，出水口。</w:t>
            </w:r>
          </w:p>
        </w:tc>
        <w:tc>
          <w:tcPr>
            <w:tcW w:w="30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3312" behindDoc="0" locked="0" layoutInCell="1" allowOverlap="1">
                  <wp:simplePos x="0" y="0"/>
                  <wp:positionH relativeFrom="column">
                    <wp:posOffset>200025</wp:posOffset>
                  </wp:positionH>
                  <wp:positionV relativeFrom="paragraph">
                    <wp:posOffset>46355</wp:posOffset>
                  </wp:positionV>
                  <wp:extent cx="1635125" cy="3067685"/>
                  <wp:effectExtent l="0" t="0" r="3175" b="18415"/>
                  <wp:wrapNone/>
                  <wp:docPr id="251" name="图片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_448"/>
                          <pic:cNvPicPr>
                            <a:picLocks noChangeAspect="1"/>
                          </pic:cNvPicPr>
                        </pic:nvPicPr>
                        <pic:blipFill>
                          <a:blip r:embed="rId289">
                            <a:lum/>
                          </a:blip>
                          <a:stretch>
                            <a:fillRect/>
                          </a:stretch>
                        </pic:blipFill>
                        <pic:spPr>
                          <a:xfrm>
                            <a:off x="0" y="0"/>
                            <a:ext cx="1635125" cy="306768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3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量杯套装</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材质：PP（聚丙烯）透明塑料 形状：圆形，标有精确刻度，抗腐蚀、耐酸、耐高温。规格：30、50、100、150、250(ml)5种规格尺寸小量杯，科学实验的辅助材料。</w:t>
            </w:r>
          </w:p>
        </w:tc>
        <w:tc>
          <w:tcPr>
            <w:tcW w:w="3090" w:type="dxa"/>
            <w:vMerge w:val="continue"/>
            <w:tcBorders>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水温计</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材质：优质ABS、PC材料，无毒不易破碎，耐高温. 规格：150mmX60mm 功能：环保塑料背板，背板有温度刻度，有温水、热水、冷水区域显示。</w:t>
            </w:r>
          </w:p>
        </w:tc>
        <w:tc>
          <w:tcPr>
            <w:tcW w:w="3090" w:type="dxa"/>
            <w:vMerge w:val="continue"/>
            <w:tcBorders>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沉浮块</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 塑料、木块、铁块  规格：195mm×71mm×12mm 功能：由三个同体积铁块、木块和塑料块，及同质量铁块、木块、塑料块组成。实用于沉于浮</w:t>
            </w:r>
          </w:p>
        </w:tc>
        <w:tc>
          <w:tcPr>
            <w:tcW w:w="3090" w:type="dxa"/>
            <w:vMerge w:val="continue"/>
            <w:tcBorders>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3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水净化装置</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材质：GPPS/PP,规格：170*60*132mm 功能： 内含8种做工精致的组件（4根塑料管、我个塑料漏斗、1个塑料盖、1只塑料杯、1个小卵石、1包大理石子、3张滤纸、1块海绵）石子、3张滤纸、1块海绵）</w:t>
            </w:r>
          </w:p>
        </w:tc>
        <w:tc>
          <w:tcPr>
            <w:tcW w:w="3090" w:type="dxa"/>
            <w:vMerge w:val="continue"/>
            <w:tcBorders>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小帆船</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规格：125*75*120mm    功能：用于水的浮力测试实验。</w:t>
            </w:r>
          </w:p>
        </w:tc>
        <w:tc>
          <w:tcPr>
            <w:tcW w:w="309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82"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2、生物主题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标本夹</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规格：300X230mm功能：由多片塑料条构成270×200mm的2块夹板，夹板中夹吸水纸可压制标本.</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4336" behindDoc="0" locked="0" layoutInCell="1" allowOverlap="1">
                  <wp:simplePos x="0" y="0"/>
                  <wp:positionH relativeFrom="column">
                    <wp:posOffset>264160</wp:posOffset>
                  </wp:positionH>
                  <wp:positionV relativeFrom="paragraph">
                    <wp:posOffset>288925</wp:posOffset>
                  </wp:positionV>
                  <wp:extent cx="1409065" cy="2655570"/>
                  <wp:effectExtent l="0" t="0" r="635" b="11430"/>
                  <wp:wrapNone/>
                  <wp:docPr id="252" name="图片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_450"/>
                          <pic:cNvPicPr>
                            <a:picLocks noChangeAspect="1"/>
                          </pic:cNvPicPr>
                        </pic:nvPicPr>
                        <pic:blipFill>
                          <a:blip r:embed="rId290">
                            <a:lum/>
                          </a:blip>
                          <a:stretch>
                            <a:fillRect/>
                          </a:stretch>
                        </pic:blipFill>
                        <pic:spPr>
                          <a:xfrm>
                            <a:off x="0" y="0"/>
                            <a:ext cx="1409065" cy="26555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75"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昆虫观察镜</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材质：ABS，PMMA树脂镜片  规格：直径：31（mm）功能：塑料材质、便携式手柄设计，含有2个放大镜，通过放大镜镜可从上面观察昆虫的背部，通过平面镜反射装置，可以从侧面观察昆虫的腹部。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动物模型</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材质：高级环保PVC、HIPS、GPPSC  规格：尺寸：110mm*94mm 功能：透明吸塑盒装</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16</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种植套装</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材质:手柄采用塑料,其余采用铁镀环保漆。产品边沿部分采用圆润设计. 规格：耙子：190X73mm；尖铲：195X70mm   方铲：185X65mm  功能：用于植物种植活动。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0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手持显微镜</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材质：塑料外壳  高档塑料光学镜片；规格：50×23×138 mm 功能：100倍显微镜（无刻度）倍数，可调焦 纯白光源高亮晶体发光二极管 ，使用7号电池</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2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手持放大镜</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材质：ABS塑料+玻璃镜片 规格：直径70mm.功能：带LED光源，15—20倍光源。</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99"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 xml:space="preserve">3、工具主题 </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工具套件</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材质：荷木、MDF、松木、椴木夹板 规格：203X300X80mm  功能：包括扳子、钳子、锯子、锤子、螺母、螺丝等多种小工具木工工具、螺母组合</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5360" behindDoc="0" locked="0" layoutInCell="1" allowOverlap="1">
                  <wp:simplePos x="0" y="0"/>
                  <wp:positionH relativeFrom="column">
                    <wp:posOffset>142875</wp:posOffset>
                  </wp:positionH>
                  <wp:positionV relativeFrom="paragraph">
                    <wp:posOffset>66675</wp:posOffset>
                  </wp:positionV>
                  <wp:extent cx="1778000" cy="1474470"/>
                  <wp:effectExtent l="0" t="0" r="12700" b="11430"/>
                  <wp:wrapNone/>
                  <wp:docPr id="253" name="图片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_451"/>
                          <pic:cNvPicPr>
                            <a:picLocks noChangeAspect="1"/>
                          </pic:cNvPicPr>
                        </pic:nvPicPr>
                        <pic:blipFill>
                          <a:blip r:embed="rId291">
                            <a:lum/>
                          </a:blip>
                          <a:stretch>
                            <a:fillRect/>
                          </a:stretch>
                        </pic:blipFill>
                        <pic:spPr>
                          <a:xfrm>
                            <a:off x="0" y="0"/>
                            <a:ext cx="1778000" cy="14744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9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螺母组合</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材质：云南木，无味环保水漆；规格：380X300X50mm功能：含多种规格螺母、多种长度螺丝、木条若干。螺母创意游戏。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61"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4、建构主题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416"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平衡游戏积木</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材质：椴木夹板，荷木，无味环保水漆；规格：260x205X45mm 功能：包含1粒骰子，20粒形状块，1个底座，1个圆盘，1根木轴，适合孩子的平衡游戏。</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6384" behindDoc="0" locked="0" layoutInCell="1" allowOverlap="1">
                  <wp:simplePos x="0" y="0"/>
                  <wp:positionH relativeFrom="column">
                    <wp:posOffset>167005</wp:posOffset>
                  </wp:positionH>
                  <wp:positionV relativeFrom="paragraph">
                    <wp:posOffset>201295</wp:posOffset>
                  </wp:positionV>
                  <wp:extent cx="1540510" cy="2333625"/>
                  <wp:effectExtent l="0" t="0" r="2540" b="9525"/>
                  <wp:wrapNone/>
                  <wp:docPr id="254" name="图片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_452"/>
                          <pic:cNvPicPr>
                            <a:picLocks noChangeAspect="1"/>
                          </pic:cNvPicPr>
                        </pic:nvPicPr>
                        <pic:blipFill>
                          <a:blip r:embed="rId292">
                            <a:lum/>
                          </a:blip>
                          <a:stretch>
                            <a:fillRect/>
                          </a:stretch>
                        </pic:blipFill>
                        <pic:spPr>
                          <a:xfrm>
                            <a:off x="0" y="0"/>
                            <a:ext cx="1540510" cy="23336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纽扣穿线板</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材质：塑料、线绳 规格：包括5片纽扣，1个卡通穿线绳，最大纽扣直径为70mm，最小纽扣直径为30mm 功能：集堆叠，穿线，颜色归类，排序于一体,儿童益智手工穿编缝扣子游戏。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动物穿线板</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材质：ABS塑料，颜色5色，线绳。规格： 120*87mm，包括1片动物板，1个卡通穿线绳 功能：穿线，拆线等动作能增进幼儿手、眼协调与灵活双手。</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26"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建构小房子</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 665*290*880mm功能：益智积木建筑设计，锻炼孩子的建筑设计能力。</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5、磁主题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蹄形磁铁</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材质：外壳ABS塑料，磁铁。规格：200X150mm 功能：马蹄形，用于磁力实验。</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2177408" behindDoc="0" locked="0" layoutInCell="1" allowOverlap="1">
                  <wp:simplePos x="0" y="0"/>
                  <wp:positionH relativeFrom="column">
                    <wp:posOffset>219075</wp:posOffset>
                  </wp:positionH>
                  <wp:positionV relativeFrom="paragraph">
                    <wp:posOffset>38735</wp:posOffset>
                  </wp:positionV>
                  <wp:extent cx="1233805" cy="3150870"/>
                  <wp:effectExtent l="0" t="0" r="4445" b="11430"/>
                  <wp:wrapNone/>
                  <wp:docPr id="255" name="图片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_454"/>
                          <pic:cNvPicPr>
                            <a:picLocks noChangeAspect="1"/>
                          </pic:cNvPicPr>
                        </pic:nvPicPr>
                        <pic:blipFill>
                          <a:blip r:embed="rId293">
                            <a:lum/>
                          </a:blip>
                          <a:stretch>
                            <a:fillRect/>
                          </a:stretch>
                        </pic:blipFill>
                        <pic:spPr>
                          <a:xfrm>
                            <a:off x="0" y="0"/>
                            <a:ext cx="1233805" cy="31508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磁悬浮套件</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材质：外壳ABS塑料，磁铁。规格： 45*100mm 功能：四浮磁环，演示磁力悬浮实验。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磁块</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材质：外壳ABS塑料，磁铁。规格： 50*80mm 功能：用于磁力实验。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4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铁粉盒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材质：塑料密封盒子，铁粉；规格： 95X75X10mm,功能：用于磁粉画，磁力线实验。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盒</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2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磁杖</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材质：外壳ABS塑料，磁铁；规格： 230X70X30mm,功能：用于磁力线实验。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把</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磁性环形迷宫</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材质：木质；规格： 240X240X20mm,功能：用于磁力迷宫游戏活动。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指南针</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材质：不锈钢外壳 规格：直径70mm 功能：指南针在生活中的应用。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磁力小车</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材质：部分合金+部分塑料 规格：60X30X40mm 功能：用于磁的同极相扯，异极相吸性实验。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16</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6、光主题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3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万花筒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材质：枫木，环保油漆，多菱镜 尺寸：55x55x35mm 颜色：红黄蓝绿 4色 功能：让孩子了解万花筒的里的多彩世界。</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21408" behindDoc="0" locked="0" layoutInCell="1" allowOverlap="1">
                  <wp:simplePos x="0" y="0"/>
                  <wp:positionH relativeFrom="column">
                    <wp:posOffset>189230</wp:posOffset>
                  </wp:positionH>
                  <wp:positionV relativeFrom="paragraph">
                    <wp:posOffset>7620</wp:posOffset>
                  </wp:positionV>
                  <wp:extent cx="1311275" cy="2974340"/>
                  <wp:effectExtent l="0" t="0" r="3175" b="16510"/>
                  <wp:wrapNone/>
                  <wp:docPr id="256" name="图片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_456"/>
                          <pic:cNvPicPr>
                            <a:picLocks noChangeAspect="1"/>
                          </pic:cNvPicPr>
                        </pic:nvPicPr>
                        <pic:blipFill>
                          <a:blip r:embed="rId294">
                            <a:lum/>
                          </a:blip>
                          <a:stretch>
                            <a:fillRect/>
                          </a:stretch>
                        </pic:blipFill>
                        <pic:spPr>
                          <a:xfrm>
                            <a:off x="0" y="0"/>
                            <a:ext cx="1311275" cy="297434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平面镜</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材质：外壳塑料 规格： 115*81mm 功能：用于光的折射，与成像游戏活动。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激光笔</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材质：铝管+塑料 规格： 14×78mm 功能：用于光的折射活动。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潜望镜</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材质：外壳塑料 规格： 280*25mm  功能：椭圆镜片、接头 、镜筒 、镜头、双面胶，用于光的反射和潜望镜实</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件</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色彩过滤板</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材质：亚克力 规格： 97*61mm，四色；功能：用于光的穿透与色原变化实验。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光学组装套件</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材质：GPPS,HIPS,ABS 规格：319*66*224mm 功能：包括6个可以任意连接的镜筒，4个凸透镜和2个凹透镜镜片，安全镜片3片、光路转化装置1个、圆形彩盒1个、各种连接配件易组装，让幼儿自行组装放大镜、透反射显微镜、单目望远镜、万花筒、望远镜、小型望远镜、双筒望远镜模型。</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49"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7、力主题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19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多米诺骨牌</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 优质荷木 骨牌180、机关20；带领孩子体验一把“多米诺”骨牌效应，体验力的传递。</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22432" behindDoc="0" locked="0" layoutInCell="1" allowOverlap="1">
                  <wp:simplePos x="0" y="0"/>
                  <wp:positionH relativeFrom="column">
                    <wp:posOffset>180975</wp:posOffset>
                  </wp:positionH>
                  <wp:positionV relativeFrom="paragraph">
                    <wp:posOffset>56515</wp:posOffset>
                  </wp:positionV>
                  <wp:extent cx="1619250" cy="1922780"/>
                  <wp:effectExtent l="0" t="0" r="0" b="1270"/>
                  <wp:wrapNone/>
                  <wp:docPr id="293" name="图片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_457"/>
                          <pic:cNvPicPr>
                            <a:picLocks noChangeAspect="1"/>
                          </pic:cNvPicPr>
                        </pic:nvPicPr>
                        <pic:blipFill>
                          <a:blip r:embed="rId295">
                            <a:lum/>
                          </a:blip>
                          <a:stretch>
                            <a:fillRect/>
                          </a:stretch>
                        </pic:blipFill>
                        <pic:spPr>
                          <a:xfrm>
                            <a:off x="0" y="0"/>
                            <a:ext cx="1619250" cy="192278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58"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木质滑轨</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材质：榉木 规格：370mmX40mm 功能：重力滑坡车，演示重力实验。</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斜拉桥</w:t>
            </w:r>
          </w:p>
        </w:tc>
        <w:tc>
          <w:tcPr>
            <w:tcW w:w="603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2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房屋</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40"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rPr>
              <w:t>8</w:t>
            </w:r>
            <w:r>
              <w:rPr>
                <w:rFonts w:hint="eastAsia" w:ascii="宋体" w:hAnsi="宋体" w:eastAsia="宋体" w:cs="宋体"/>
                <w:i w:val="0"/>
                <w:color w:val="auto"/>
                <w:kern w:val="0"/>
                <w:sz w:val="21"/>
                <w:szCs w:val="21"/>
                <w:highlight w:val="none"/>
                <w:u w:val="none"/>
                <w:lang w:val="en-US" w:eastAsia="zh-CN"/>
              </w:rPr>
              <w:t>、测量主题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简易天平</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 150mm 称量：100-200（mg）</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23456" behindDoc="0" locked="0" layoutInCell="1" allowOverlap="1">
                  <wp:simplePos x="0" y="0"/>
                  <wp:positionH relativeFrom="column">
                    <wp:posOffset>479425</wp:posOffset>
                  </wp:positionH>
                  <wp:positionV relativeFrom="paragraph">
                    <wp:posOffset>19685</wp:posOffset>
                  </wp:positionV>
                  <wp:extent cx="1136650" cy="2879090"/>
                  <wp:effectExtent l="0" t="0" r="6350" b="16510"/>
                  <wp:wrapNone/>
                  <wp:docPr id="294" name="图片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_461"/>
                          <pic:cNvPicPr>
                            <a:picLocks noChangeAspect="1"/>
                          </pic:cNvPicPr>
                        </pic:nvPicPr>
                        <pic:blipFill>
                          <a:blip r:embed="rId296">
                            <a:lum/>
                          </a:blip>
                          <a:stretch>
                            <a:fillRect/>
                          </a:stretch>
                        </pic:blipFill>
                        <pic:spPr>
                          <a:xfrm>
                            <a:off x="0" y="0"/>
                            <a:ext cx="1136650" cy="287909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1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直尺</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规格：110X85mm 功能：物体长度测量。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把</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卡通卷尺</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规格：65X57mm，测量长度1米，四款卡通造型。 功能：物体长度测量。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弹簧测力计</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材质：透明圆筒塑料 规格：1N、5N 功能：物体重力测量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9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砝码</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材质：金属 规格： 50gX10个 功能：物体重力测量。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套</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0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计时沙漏</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材质：松木+玻璃+石英砂 规格： 42*85mm， 3/1/5分钟 功能：用于时间测量计时游戏活动。</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12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8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秒表</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材质：塑料 规格： 82.2 x 62.3 x 23.0 mm，功能：秒表计时功能；1/100秒精确计时时间，可设置定时响闹及每小时正点报时,日历显示。</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1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8</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量筒</w:t>
            </w:r>
          </w:p>
        </w:tc>
        <w:tc>
          <w:tcPr>
            <w:tcW w:w="60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材质：PP材料 耐高温耐腐蚀 规格：10ML、25ML、50ml 功能：液体计量。</w:t>
            </w: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个</w:t>
            </w: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80" w:hRule="atLeast"/>
        </w:trPr>
        <w:tc>
          <w:tcPr>
            <w:tcW w:w="118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11、机械主题</w:t>
            </w:r>
          </w:p>
        </w:tc>
        <w:tc>
          <w:tcPr>
            <w:tcW w:w="11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7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1</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齿轮传动</w:t>
            </w:r>
          </w:p>
        </w:tc>
        <w:tc>
          <w:tcPr>
            <w:tcW w:w="60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材质：PP材料 耐高温耐腐蚀 规格：355件各种各样的齿轮，拼插件；功能：了解齿轮滑轮运转机械及力的运作原理。</w:t>
            </w:r>
          </w:p>
        </w:tc>
        <w:tc>
          <w:tcPr>
            <w:tcW w:w="30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bdr w:val="single" w:color="000000" w:sz="4" w:space="0"/>
                <w:lang w:val="en-US" w:eastAsia="zh-CN" w:bidi="ar-SA"/>
              </w:rPr>
              <w:drawing>
                <wp:anchor distT="0" distB="0" distL="114300" distR="114300" simplePos="0" relativeHeight="251924480" behindDoc="0" locked="0" layoutInCell="1" allowOverlap="1">
                  <wp:simplePos x="0" y="0"/>
                  <wp:positionH relativeFrom="column">
                    <wp:posOffset>447675</wp:posOffset>
                  </wp:positionH>
                  <wp:positionV relativeFrom="paragraph">
                    <wp:posOffset>16510</wp:posOffset>
                  </wp:positionV>
                  <wp:extent cx="1147445" cy="2132965"/>
                  <wp:effectExtent l="0" t="0" r="14605" b="635"/>
                  <wp:wrapNone/>
                  <wp:docPr id="295"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_2"/>
                          <pic:cNvPicPr>
                            <a:picLocks noChangeAspect="1"/>
                          </pic:cNvPicPr>
                        </pic:nvPicPr>
                        <pic:blipFill>
                          <a:blip r:embed="rId297">
                            <a:lum/>
                          </a:blip>
                          <a:stretch>
                            <a:fillRect/>
                          </a:stretch>
                        </pic:blipFill>
                        <pic:spPr>
                          <a:xfrm>
                            <a:off x="0" y="0"/>
                            <a:ext cx="1147445" cy="2132965"/>
                          </a:xfrm>
                          <a:prstGeom prst="rect">
                            <a:avLst/>
                          </a:prstGeom>
                          <a:noFill/>
                          <a:ln>
                            <a:noFill/>
                          </a:ln>
                        </pic:spPr>
                      </pic:pic>
                    </a:graphicData>
                  </a:graphic>
                </wp:anchor>
              </w:drawing>
            </w:r>
          </w:p>
        </w:tc>
        <w:tc>
          <w:tcPr>
            <w:tcW w:w="11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组</w:t>
            </w:r>
          </w:p>
        </w:tc>
        <w:tc>
          <w:tcPr>
            <w:tcW w:w="109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齿轮机械组</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3</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机械船</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4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4</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机械风扇</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62"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5</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皮带传动</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80"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6</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起重机</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59" w:hRule="atLeast"/>
        </w:trPr>
        <w:tc>
          <w:tcPr>
            <w:tcW w:w="8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7</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rPr>
              <w:t>太阳能探索车</w:t>
            </w:r>
          </w:p>
        </w:tc>
        <w:tc>
          <w:tcPr>
            <w:tcW w:w="60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30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i w:val="0"/>
                <w:color w:val="auto"/>
                <w:sz w:val="21"/>
                <w:szCs w:val="21"/>
                <w:highlight w:val="none"/>
                <w:u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sectPr>
          <w:pgSz w:w="16838" w:h="11906" w:orient="landscape"/>
          <w:pgMar w:top="1587" w:right="2098" w:bottom="1474" w:left="1928" w:header="851" w:footer="992" w:gutter="0"/>
          <w:pgNumType w:fmt="decimal"/>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b/>
          <w:bCs/>
          <w:sz w:val="24"/>
          <w:szCs w:val="24"/>
        </w:rPr>
        <w:t>其他要求</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投标报价为总包价，包含货物采购、包装、运输、装卸、备品备件、质保、第三方验收、税金等一切费用，如有招标文件中没有明确，而本项目必须的各种材料，均应包括在本项目中，采购人不再另行进行支付有关款项。、付款方式（不响应者为无效投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招标文件中所列产品参数为最低要求,投标产品不得低于最低要求，否则为无效投标。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采购单位将从中标人所供货物中抽取一定比例的货物，交由第三方进行质量检测验收，质量检测验收费用由中标人承担，但最高费用不超过投标总价的2%，投标报价中须包含该费用。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经验收合格付合同总价款的90%，剩余10%满一年无质量问题一次付清。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cs="宋体" w:asciiTheme="majorEastAsia" w:hAnsiTheme="majorEastAsia" w:eastAsiaTheme="majorEastAsia"/>
          <w:b/>
          <w:color w:val="auto"/>
          <w:kern w:val="0"/>
          <w:sz w:val="36"/>
          <w:szCs w:val="36"/>
        </w:rPr>
      </w:pP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、售后免费服务和保修期为三年，投标时需提供厂家售后服务承诺函原件。未提供的按照无效投标处理</w:t>
      </w:r>
    </w:p>
    <w:p>
      <w:pPr>
        <w:rPr>
          <w:sz w:val="24"/>
          <w:szCs w:val="24"/>
        </w:rPr>
      </w:pPr>
    </w:p>
    <w:p>
      <w:pPr>
        <w:bidi w:val="0"/>
        <w:rPr>
          <w:rFonts w:hint="eastAsia"/>
          <w:lang w:val="en-US" w:eastAsia="zh-CN"/>
        </w:rPr>
      </w:pPr>
    </w:p>
    <w:p>
      <w:pPr>
        <w:bidi w:val="0"/>
        <w:rPr>
          <w:rFonts w:hint="eastAsia"/>
        </w:rPr>
        <w:sectPr>
          <w:pgSz w:w="11906" w:h="16838"/>
          <w:pgMar w:top="2098" w:right="1474" w:bottom="1928" w:left="1587" w:header="851" w:footer="992" w:gutter="0"/>
          <w:pgNumType w:fmt="decimal"/>
          <w:cols w:space="0" w:num="1"/>
          <w:rtlGutter w:val="0"/>
          <w:docGrid w:type="lines" w:linePitch="315" w:charSpace="0"/>
        </w:sect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Pr>
        <w:numPr>
          <w:ilvl w:val="0"/>
          <w:numId w:val="5"/>
        </w:numPr>
        <w:autoSpaceDE w:val="0"/>
        <w:autoSpaceDN w:val="0"/>
        <w:adjustRightInd w:val="0"/>
        <w:spacing w:line="360" w:lineRule="auto"/>
        <w:ind w:right="-11"/>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投标人须知前附表</w:t>
      </w:r>
    </w:p>
    <w:p>
      <w:pPr>
        <w:numPr>
          <w:ilvl w:val="0"/>
          <w:numId w:val="0"/>
        </w:numPr>
        <w:autoSpaceDE w:val="0"/>
        <w:autoSpaceDN w:val="0"/>
        <w:adjustRightInd w:val="0"/>
        <w:spacing w:line="360" w:lineRule="auto"/>
        <w:ind w:right="-11" w:rightChars="0"/>
        <w:jc w:val="left"/>
        <w:rPr>
          <w:rFonts w:cs="宋体" w:asciiTheme="majorEastAsia" w:hAnsiTheme="majorEastAsia" w:eastAsiaTheme="majorEastAsia"/>
          <w:b/>
          <w:kern w:val="0"/>
          <w:sz w:val="32"/>
          <w:szCs w:val="32"/>
        </w:rPr>
      </w:pPr>
      <w:r>
        <w:rPr>
          <w:rFonts w:hint="eastAsia" w:cs="微软雅黑"/>
          <w:b/>
          <w:color w:val="FF0000"/>
          <w:szCs w:val="21"/>
        </w:rPr>
        <w:t>招标文件中凡标有</w:t>
      </w:r>
      <w:r>
        <w:rPr>
          <w:rFonts w:hint="eastAsia" w:cs="微软雅黑" w:asciiTheme="minorEastAsia" w:hAnsiTheme="minorEastAsia"/>
          <w:b/>
          <w:color w:val="FF0000"/>
          <w:szCs w:val="21"/>
        </w:rPr>
        <w:t>★</w:t>
      </w:r>
      <w:r>
        <w:rPr>
          <w:rFonts w:hint="eastAsia" w:cs="微软雅黑"/>
          <w:b/>
          <w:color w:val="FF0000"/>
          <w:szCs w:val="21"/>
        </w:rPr>
        <w:t>条款均为实质性要求条款，投标文件须完全响应，未实质响应的，按照无效投标处理。</w:t>
      </w:r>
    </w:p>
    <w:tbl>
      <w:tblPr>
        <w:tblStyle w:val="24"/>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pPr>
              <w:autoSpaceDE w:val="0"/>
              <w:autoSpaceDN w:val="0"/>
              <w:adjustRightInd w:val="0"/>
              <w:spacing w:line="360" w:lineRule="auto"/>
              <w:jc w:val="left"/>
              <w:rPr>
                <w:rFonts w:hint="eastAsia" w:cs="仿宋_GB2312" w:asciiTheme="minorEastAsia" w:hAnsiTheme="minorEastAsia"/>
                <w:szCs w:val="21"/>
                <w:lang w:val="en-US" w:eastAsia="zh-CN"/>
              </w:rPr>
            </w:pPr>
            <w:r>
              <w:rPr>
                <w:rFonts w:hint="eastAsia" w:cs="仿宋_GB2312" w:asciiTheme="minorEastAsia" w:hAnsiTheme="minorEastAsia"/>
                <w:szCs w:val="21"/>
                <w:lang w:val="en-US" w:eastAsia="zh-CN"/>
              </w:rPr>
              <w:t xml:space="preserve">项目名称：长葛市颍川路幼儿园玩具及教学用品购置项目 </w:t>
            </w:r>
          </w:p>
          <w:p>
            <w:pPr>
              <w:autoSpaceDE w:val="0"/>
              <w:autoSpaceDN w:val="0"/>
              <w:adjustRightInd w:val="0"/>
              <w:spacing w:line="360" w:lineRule="auto"/>
              <w:jc w:val="left"/>
              <w:rPr>
                <w:rFonts w:hint="eastAsia" w:cs="仿宋_GB2312" w:asciiTheme="minorEastAsia" w:hAnsiTheme="minorEastAsia"/>
                <w:szCs w:val="21"/>
                <w:lang w:val="en-US" w:eastAsia="zh-CN"/>
              </w:rPr>
            </w:pPr>
            <w:r>
              <w:rPr>
                <w:rFonts w:hint="eastAsia" w:cs="仿宋_GB2312" w:asciiTheme="minorEastAsia" w:hAnsiTheme="minorEastAsia"/>
                <w:szCs w:val="21"/>
                <w:lang w:val="en-US" w:eastAsia="zh-CN"/>
              </w:rPr>
              <w:t>项目编号：长招采公字[2018]049号</w:t>
            </w:r>
          </w:p>
          <w:p>
            <w:pPr>
              <w:pStyle w:val="22"/>
              <w:widowControl/>
              <w:shd w:val="clear" w:color="auto" w:fill="FFFFFF"/>
              <w:spacing w:line="360" w:lineRule="auto"/>
              <w:contextualSpacing/>
              <w:jc w:val="left"/>
              <w:rPr>
                <w:rFonts w:hint="eastAsia" w:cs="仿宋_GB2312" w:asciiTheme="minorEastAsia" w:hAnsiTheme="minorEastAsia" w:eastAsiaTheme="minorEastAsia"/>
                <w:kern w:val="2"/>
                <w:sz w:val="21"/>
                <w:szCs w:val="21"/>
                <w:lang w:val="en-US" w:eastAsia="zh-CN" w:bidi="ar-SA"/>
              </w:rPr>
            </w:pPr>
            <w:r>
              <w:rPr>
                <w:rFonts w:hint="eastAsia" w:cs="仿宋_GB2312" w:asciiTheme="minorEastAsia" w:hAnsiTheme="minorEastAsia"/>
                <w:szCs w:val="21"/>
                <w:lang w:val="en-US" w:eastAsia="zh-CN"/>
              </w:rPr>
              <w:t>项</w:t>
            </w:r>
            <w:r>
              <w:rPr>
                <w:rFonts w:hint="eastAsia" w:cs="仿宋_GB2312" w:asciiTheme="minorEastAsia" w:hAnsiTheme="minorEastAsia" w:eastAsiaTheme="minorEastAsia"/>
                <w:kern w:val="2"/>
                <w:sz w:val="21"/>
                <w:szCs w:val="21"/>
                <w:lang w:val="en-US" w:eastAsia="zh-CN" w:bidi="ar-SA"/>
              </w:rPr>
              <w:t>目内容：</w:t>
            </w:r>
            <w:r>
              <w:rPr>
                <w:rFonts w:hint="eastAsia" w:cs="仿宋_GB2312" w:asciiTheme="minorEastAsia" w:hAnsiTheme="minorEastAsia" w:eastAsiaTheme="minorEastAsia"/>
                <w:kern w:val="2"/>
                <w:sz w:val="21"/>
                <w:szCs w:val="21"/>
                <w:lang w:val="zh-CN" w:eastAsia="zh-CN" w:bidi="ar-SA"/>
              </w:rPr>
              <w:t>幼儿园玩具及教学用品</w:t>
            </w:r>
            <w:r>
              <w:rPr>
                <w:rFonts w:hint="eastAsia" w:cs="仿宋_GB2312" w:asciiTheme="minorEastAsia" w:hAnsiTheme="minorEastAsia" w:eastAsiaTheme="minorEastAsia"/>
                <w:kern w:val="2"/>
                <w:sz w:val="21"/>
                <w:szCs w:val="21"/>
                <w:lang w:val="en-US" w:eastAsia="zh-CN" w:bidi="ar-SA"/>
              </w:rPr>
              <w:t>采购，详细参数见采购文件。</w:t>
            </w:r>
          </w:p>
          <w:p>
            <w:pPr>
              <w:autoSpaceDE w:val="0"/>
              <w:autoSpaceDN w:val="0"/>
              <w:adjustRightInd w:val="0"/>
              <w:spacing w:line="360" w:lineRule="auto"/>
              <w:jc w:val="left"/>
              <w:rPr>
                <w:rFonts w:hint="default" w:cs="仿宋_GB2312" w:asciiTheme="minorEastAsia" w:hAnsiTheme="minorEastAsia"/>
                <w:szCs w:val="21"/>
                <w:lang w:val="en-US"/>
              </w:rPr>
            </w:pPr>
            <w:r>
              <w:rPr>
                <w:rFonts w:hint="eastAsia" w:cs="仿宋_GB2312" w:asciiTheme="minorEastAsia" w:hAnsiTheme="minorEastAsia" w:eastAsiaTheme="minorEastAsia"/>
                <w:kern w:val="2"/>
                <w:sz w:val="21"/>
                <w:szCs w:val="21"/>
                <w:lang w:val="en-US" w:eastAsia="zh-CN" w:bidi="ar-SA"/>
              </w:rPr>
              <w:t>项目地址：长葛市颍川路幼儿园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采购人：长葛市教育体育局</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 xml:space="preserve">联系人：石科长                      </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 xml:space="preserve">联系电话：03746110256  </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地址：长葛市八七路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代理机构</w:t>
            </w:r>
          </w:p>
        </w:tc>
        <w:tc>
          <w:tcPr>
            <w:tcW w:w="6813" w:type="dxa"/>
            <w:vAlign w:val="center"/>
          </w:tcPr>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 xml:space="preserve">代理机构：山西文昌工程咨询有限公司 </w:t>
            </w:r>
          </w:p>
          <w:p>
            <w:pPr>
              <w:autoSpaceDE w:val="0"/>
              <w:autoSpaceDN w:val="0"/>
              <w:adjustRightInd w:val="0"/>
              <w:spacing w:line="360" w:lineRule="auto"/>
              <w:jc w:val="left"/>
              <w:rPr>
                <w:rFonts w:hint="eastAsia"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代理机构联系方式：张先生  13271279113</w:t>
            </w:r>
          </w:p>
          <w:p>
            <w:pPr>
              <w:autoSpaceDE w:val="0"/>
              <w:autoSpaceDN w:val="0"/>
              <w:adjustRightInd w:val="0"/>
              <w:spacing w:line="360" w:lineRule="auto"/>
              <w:jc w:val="left"/>
              <w:rPr>
                <w:rFonts w:hint="default" w:cs="仿宋_GB2312" w:asciiTheme="minorEastAsia" w:hAnsiTheme="minorEastAsia" w:eastAsiaTheme="minorEastAsia"/>
                <w:color w:val="000000"/>
                <w:sz w:val="21"/>
                <w:szCs w:val="21"/>
                <w:shd w:val="clear" w:color="auto" w:fill="FFFFFF"/>
                <w:lang w:val="en-US" w:eastAsia="zh-CN"/>
              </w:rPr>
            </w:pPr>
            <w:r>
              <w:rPr>
                <w:rFonts w:hint="eastAsia" w:cs="仿宋_GB2312" w:asciiTheme="minorEastAsia" w:hAnsiTheme="minorEastAsia" w:eastAsiaTheme="minorEastAsia"/>
                <w:color w:val="000000"/>
                <w:sz w:val="21"/>
                <w:szCs w:val="21"/>
                <w:shd w:val="clear" w:color="auto" w:fill="FFFFFF"/>
                <w:lang w:val="en-US" w:eastAsia="zh-CN"/>
              </w:rPr>
              <w:t>代理机构地址：郑州市高新区冬青街7号B座1606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投标人资格</w:t>
            </w:r>
          </w:p>
        </w:tc>
        <w:tc>
          <w:tcPr>
            <w:tcW w:w="6813" w:type="dxa"/>
            <w:vAlign w:val="center"/>
          </w:tcPr>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1、企业法人营业执照或营业执照。（企业投标提供）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2、事业单位法人证书。（事业单位投标提供）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3、执业许可证。（非企业专业服务机构投标提供）</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宋体" w:asciiTheme="minorEastAsia" w:hAnsiTheme="minorEastAsia"/>
                <w:bCs/>
                <w:szCs w:val="21"/>
                <w:lang w:val="zh-CN"/>
              </w:rPr>
              <w:t>4、个体工</w:t>
            </w:r>
            <w:r>
              <w:rPr>
                <w:rFonts w:hint="eastAsia" w:cs="宋体" w:asciiTheme="minorEastAsia" w:hAnsiTheme="minorEastAsia"/>
                <w:bCs/>
                <w:szCs w:val="21"/>
                <w:highlight w:val="none"/>
                <w:lang w:val="zh-CN"/>
              </w:rPr>
              <w:t>商户营业执照。（个体工商户投标提供）</w:t>
            </w:r>
          </w:p>
          <w:p>
            <w:pPr>
              <w:autoSpaceDE w:val="0"/>
              <w:autoSpaceDN w:val="0"/>
              <w:adjustRightInd w:val="0"/>
              <w:spacing w:line="360" w:lineRule="auto"/>
              <w:jc w:val="left"/>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5、自然人身份证明。（自然人投标提供）</w:t>
            </w:r>
          </w:p>
          <w:p>
            <w:pPr>
              <w:autoSpaceDE w:val="0"/>
              <w:autoSpaceDN w:val="0"/>
              <w:adjustRightInd w:val="0"/>
              <w:spacing w:line="360" w:lineRule="auto"/>
              <w:jc w:val="left"/>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6、民办非企业单位登记证书。（民办非企业单位投标提供）</w:t>
            </w:r>
          </w:p>
          <w:p>
            <w:pPr>
              <w:autoSpaceDE w:val="0"/>
              <w:autoSpaceDN w:val="0"/>
              <w:adjustRightInd w:val="0"/>
              <w:spacing w:line="360" w:lineRule="auto"/>
              <w:jc w:val="left"/>
              <w:rPr>
                <w:rFonts w:cs="仿宋_GB2312" w:asciiTheme="minorEastAsia" w:hAnsiTheme="minorEastAsia"/>
                <w:b/>
                <w:szCs w:val="21"/>
                <w:highlight w:val="none"/>
              </w:rPr>
            </w:pPr>
            <w:r>
              <w:rPr>
                <w:rFonts w:hint="eastAsia" w:cs="仿宋_GB2312" w:asciiTheme="minorEastAsia" w:hAnsiTheme="minorEastAsia"/>
                <w:b/>
                <w:szCs w:val="21"/>
                <w:highlight w:val="none"/>
              </w:rPr>
              <w:t>二、财务状况报告相关材料</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（1）投标人是法人（法人包括企业法人、机关法人、事业单位法人和社会团体法人），提供本单位：</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w:t>
            </w:r>
            <w:r>
              <w:rPr>
                <w:rFonts w:hint="eastAsia" w:asciiTheme="minorEastAsia" w:hAnsiTheme="minorEastAsia"/>
                <w:bCs/>
                <w:szCs w:val="21"/>
                <w:highlight w:val="none"/>
                <w:lang w:val="en-US" w:eastAsia="zh-CN"/>
              </w:rPr>
              <w:t>2016年度、2017年度、</w:t>
            </w:r>
            <w:r>
              <w:rPr>
                <w:rFonts w:hint="eastAsia" w:asciiTheme="minorEastAsia" w:hAnsiTheme="minorEastAsia"/>
                <w:bCs/>
                <w:szCs w:val="21"/>
                <w:highlight w:val="none"/>
              </w:rPr>
              <w:t>2018年度经审计的财务报告，包括资产负债表、利润表、现金流量表、所有者权益变动表及其附注；</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②基本开户银行出具的资信证明；</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③财政部门认可的政府采购专业担保机构的证明文件和担保机构出具的投标担保函。</w:t>
            </w:r>
          </w:p>
          <w:p>
            <w:pPr>
              <w:spacing w:line="360" w:lineRule="auto"/>
              <w:rPr>
                <w:rFonts w:asciiTheme="minorEastAsia" w:hAnsiTheme="minorEastAsia"/>
                <w:bCs/>
                <w:szCs w:val="21"/>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①～③其中之一即可。</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（2）投标人（其他组织和自然人）提供本单位：</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w:t>
            </w:r>
            <w:r>
              <w:rPr>
                <w:rFonts w:hint="eastAsia" w:asciiTheme="minorEastAsia" w:hAnsiTheme="minorEastAsia"/>
                <w:bCs/>
                <w:szCs w:val="21"/>
                <w:highlight w:val="none"/>
                <w:lang w:val="en-US" w:eastAsia="zh-CN"/>
              </w:rPr>
              <w:t>2016年度、2017年度、</w:t>
            </w:r>
            <w:r>
              <w:rPr>
                <w:rFonts w:hint="eastAsia" w:asciiTheme="minorEastAsia" w:hAnsiTheme="minorEastAsia"/>
                <w:bCs/>
                <w:szCs w:val="21"/>
                <w:highlight w:val="none"/>
              </w:rPr>
              <w:t>2018年度经审计的财务报告，包括资产负债表、利润表、现金流量表、所有者权益变动表及其附注；</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②银行出具的资信证明；</w:t>
            </w:r>
          </w:p>
          <w:p>
            <w:pPr>
              <w:spacing w:line="360" w:lineRule="auto"/>
              <w:rPr>
                <w:rFonts w:hint="eastAsia" w:asciiTheme="minorEastAsia" w:hAnsiTheme="minorEastAsia"/>
                <w:bCs/>
                <w:szCs w:val="21"/>
                <w:highlight w:val="none"/>
              </w:rPr>
            </w:pPr>
            <w:r>
              <w:rPr>
                <w:rFonts w:hint="eastAsia" w:asciiTheme="minorEastAsia" w:hAnsiTheme="minorEastAsia"/>
                <w:bCs/>
                <w:szCs w:val="21"/>
                <w:highlight w:val="none"/>
              </w:rPr>
              <w:t>③财政部门认可的政府采购专业担保机构的证明文件和担保机构出具的投标担保函。</w:t>
            </w:r>
          </w:p>
          <w:p>
            <w:pPr>
              <w:pStyle w:val="11"/>
            </w:pPr>
            <w:r>
              <w:rPr>
                <w:rFonts w:hint="eastAsia" w:ascii="Times New Roman" w:hAnsi="Times New Roman" w:cs="宋体"/>
                <w:szCs w:val="21"/>
                <w:lang w:bidi="ar"/>
              </w:rPr>
              <w:t>（新注册公司从注册交纳起计算，不足的视为满足</w:t>
            </w:r>
            <w:r>
              <w:rPr>
                <w:rFonts w:hint="eastAsia" w:ascii="Times New Roman" w:hAnsi="Times New Roman" w:cs="宋体"/>
                <w:szCs w:val="21"/>
                <w:lang w:val="en-US" w:eastAsia="zh-CN" w:bidi="ar"/>
              </w:rPr>
              <w:t>)</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①～③其中之一即可。</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仿宋_GB2312" w:asciiTheme="minorEastAsia" w:hAnsiTheme="minorEastAsia"/>
                <w:b/>
                <w:szCs w:val="21"/>
                <w:highlight w:val="none"/>
              </w:rPr>
              <w:t>三、依法缴纳税收相关材料</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参加本次政府采购项目投标截止时间前六个月内任意一个月缴纳税收凭据。（依法免税的投标人，应提供相应文件证明依法免税）</w:t>
            </w:r>
          </w:p>
          <w:p>
            <w:pPr>
              <w:autoSpaceDE w:val="0"/>
              <w:autoSpaceDN w:val="0"/>
              <w:adjustRightInd w:val="0"/>
              <w:spacing w:line="360" w:lineRule="auto"/>
              <w:ind w:right="-11"/>
              <w:rPr>
                <w:rFonts w:hint="eastAsia" w:cs="仿宋_GB2312" w:asciiTheme="minorEastAsia" w:hAnsiTheme="minorEastAsia"/>
                <w:b/>
                <w:szCs w:val="21"/>
                <w:highlight w:val="none"/>
                <w:lang w:val="zh-CN"/>
              </w:rPr>
            </w:pPr>
            <w:r>
              <w:rPr>
                <w:rFonts w:hint="eastAsia" w:cs="仿宋_GB2312" w:asciiTheme="minorEastAsia" w:hAnsiTheme="minorEastAsia"/>
                <w:b/>
                <w:szCs w:val="21"/>
                <w:highlight w:val="none"/>
                <w:lang w:val="zh-CN"/>
              </w:rPr>
              <w:t>四、依法缴纳社会保障资金的证明材料</w:t>
            </w:r>
          </w:p>
          <w:p>
            <w:pPr>
              <w:autoSpaceDE w:val="0"/>
              <w:autoSpaceDN w:val="0"/>
              <w:adjustRightInd w:val="0"/>
              <w:spacing w:line="360" w:lineRule="auto"/>
              <w:ind w:right="-11"/>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参加本次政府采购项目投标截止时间前六个月内任意一个月缴纳社会保险凭据。（依法不需要缴纳社会保障资金的投标人，应提供相应文件证明依法不需要缴纳社会保障资金）</w:t>
            </w:r>
          </w:p>
          <w:p>
            <w:pPr>
              <w:autoSpaceDE w:val="0"/>
              <w:autoSpaceDN w:val="0"/>
              <w:adjustRightInd w:val="0"/>
              <w:spacing w:line="360" w:lineRule="auto"/>
              <w:ind w:right="-11"/>
              <w:rPr>
                <w:rFonts w:cs="宋体" w:asciiTheme="minorEastAsia" w:hAnsiTheme="minorEastAsia"/>
                <w:b/>
                <w:bCs/>
                <w:szCs w:val="21"/>
                <w:highlight w:val="none"/>
                <w:lang w:val="zh-CN"/>
              </w:rPr>
            </w:pPr>
            <w:r>
              <w:rPr>
                <w:rFonts w:hint="eastAsia" w:cs="宋体" w:asciiTheme="minorEastAsia" w:hAnsiTheme="minorEastAsia"/>
                <w:b/>
                <w:bCs/>
                <w:szCs w:val="21"/>
                <w:highlight w:val="none"/>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①相关设备的购置发票、专业技术人员职称证书、用工合同等；</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②投标人具备履行合同所必须的设备和专业技术能力承诺函或声明（承诺函或声明格式自拟）。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color w:val="000000"/>
                <w:sz w:val="24"/>
                <w:szCs w:val="24"/>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①～②其中之一即可。</w:t>
            </w:r>
          </w:p>
          <w:p>
            <w:pPr>
              <w:autoSpaceDE w:val="0"/>
              <w:autoSpaceDN w:val="0"/>
              <w:adjustRightInd w:val="0"/>
              <w:spacing w:line="360" w:lineRule="auto"/>
              <w:ind w:right="-11"/>
              <w:rPr>
                <w:rFonts w:cs="宋体" w:asciiTheme="minorEastAsia" w:hAnsiTheme="minorEastAsia"/>
                <w:b/>
                <w:bCs/>
                <w:szCs w:val="21"/>
                <w:highlight w:val="none"/>
                <w:lang w:val="zh-CN"/>
              </w:rPr>
            </w:pPr>
            <w:r>
              <w:rPr>
                <w:rFonts w:hint="eastAsia" w:cs="宋体" w:asciiTheme="minorEastAsia" w:hAnsiTheme="minorEastAsia"/>
                <w:b/>
                <w:kern w:val="0"/>
                <w:szCs w:val="21"/>
                <w:highlight w:val="none"/>
              </w:rPr>
              <w:t>六、</w:t>
            </w:r>
            <w:r>
              <w:rPr>
                <w:rFonts w:cs="宋体" w:asciiTheme="minorEastAsia" w:hAnsiTheme="minorEastAsia"/>
                <w:b/>
                <w:bCs/>
                <w:szCs w:val="21"/>
                <w:highlight w:val="none"/>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highlight w:val="none"/>
                <w:lang w:val="zh-CN"/>
              </w:rPr>
              <w:t>投标人“</w:t>
            </w:r>
            <w:r>
              <w:rPr>
                <w:rFonts w:cs="宋体" w:asciiTheme="minorEastAsia" w:hAnsiTheme="minorEastAsia"/>
                <w:bCs/>
                <w:szCs w:val="21"/>
                <w:highlight w:val="none"/>
                <w:lang w:val="zh-CN"/>
              </w:rPr>
              <w:t>参加政府采购活动前3年内在经营活动中没有重大违</w:t>
            </w:r>
            <w:r>
              <w:rPr>
                <w:rFonts w:cs="宋体" w:asciiTheme="minorEastAsia" w:hAnsiTheme="minorEastAsia"/>
                <w:bCs/>
                <w:szCs w:val="21"/>
                <w:lang w:val="zh-CN"/>
              </w:rPr>
              <w:t>法记录的书面声明</w:t>
            </w:r>
            <w:r>
              <w:rPr>
                <w:rFonts w:hint="eastAsia" w:cs="宋体" w:asciiTheme="minorEastAsia" w:hAnsiTheme="minorEastAsia"/>
                <w:bCs/>
                <w:szCs w:val="21"/>
                <w:lang w:val="zh-CN"/>
              </w:rPr>
              <w:t>”。 重大违法记录，是指投标人因违法经营受到刑事处罚或者责令停产停业、吊销许可证或者执照、较大数额罚款等行政处罚。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360" w:lineRule="auto"/>
              <w:ind w:right="0"/>
              <w:jc w:val="left"/>
              <w:textAlignment w:val="auto"/>
              <w:rPr>
                <w:rFonts w:cs="仿宋_GB2312" w:asciiTheme="minorEastAsia" w:hAnsiTheme="minorEastAsia"/>
                <w:b/>
                <w:color w:val="000000"/>
                <w:szCs w:val="21"/>
                <w:shd w:val="clear" w:color="auto" w:fill="FFFFFF"/>
              </w:rPr>
            </w:pPr>
            <w:r>
              <w:rPr>
                <w:rFonts w:hint="eastAsia" w:cs="仿宋_GB2312" w:asciiTheme="minorEastAsia" w:hAnsiTheme="minorEastAsia"/>
                <w:b/>
                <w:color w:val="000000"/>
                <w:szCs w:val="21"/>
                <w:shd w:val="clear" w:color="auto" w:fill="FFFFFF"/>
                <w:lang w:val="zh-CN"/>
              </w:rPr>
              <w:t>七、</w:t>
            </w:r>
            <w:r>
              <w:rPr>
                <w:rFonts w:cs="仿宋_GB2312" w:asciiTheme="minorEastAsia" w:hAnsiTheme="minorEastAsia"/>
                <w:b/>
                <w:color w:val="000000"/>
                <w:szCs w:val="21"/>
                <w:shd w:val="clear" w:color="auto" w:fill="FFFFFF"/>
              </w:rPr>
              <w:t>未被列入“信用中国”网站(www.creditchina.gov.cn)失信被执行人、重大税收违法案件当事人名单的投标人；</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中国政府采购网</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 xml:space="preserve"> (www.ccgp.gov.cn)政府采购严重违法失信行为记录名单的投标人</w:t>
            </w:r>
            <w:r>
              <w:rPr>
                <w:rFonts w:cs="仿宋_GB2312" w:asciiTheme="minorEastAsia" w:hAnsiTheme="minorEastAsia"/>
                <w:b/>
                <w:color w:val="000000"/>
                <w:szCs w:val="21"/>
                <w:shd w:val="clear" w:color="auto" w:fill="FFFFFF"/>
                <w:lang w:val="en-US" w:eastAsia="zh-CN"/>
              </w:rPr>
              <w:t>；“中国社会组织公共服务平台”网站（</w:t>
            </w:r>
            <w:r>
              <w:rPr>
                <w:rFonts w:hint="eastAsia" w:cs="仿宋_GB2312" w:asciiTheme="minorEastAsia" w:hAnsiTheme="minorEastAsia"/>
                <w:b/>
                <w:color w:val="000000"/>
                <w:szCs w:val="21"/>
                <w:shd w:val="clear" w:color="auto" w:fill="FFFFFF"/>
                <w:lang w:val="en-US" w:eastAsia="zh-CN"/>
              </w:rPr>
              <w:t>www.chinanpo.gov.cn）严重违法失信名单的投标人。</w:t>
            </w:r>
          </w:p>
          <w:p>
            <w:pPr>
              <w:autoSpaceDE w:val="0"/>
              <w:autoSpaceDN w:val="0"/>
              <w:spacing w:line="360" w:lineRule="auto"/>
              <w:contextualSpacing/>
              <w:jc w:val="left"/>
              <w:rPr>
                <w:rFonts w:cs="宋体" w:asciiTheme="minorEastAsia" w:hAnsiTheme="minorEastAsia"/>
                <w:kern w:val="0"/>
                <w:szCs w:val="21"/>
                <w:highlight w:val="none"/>
              </w:rPr>
            </w:pPr>
            <w:r>
              <w:rPr>
                <w:rFonts w:hint="eastAsia" w:cs="仿宋_GB2312" w:asciiTheme="minorEastAsia" w:hAnsiTheme="minorEastAsia"/>
                <w:b/>
                <w:color w:val="000000"/>
                <w:szCs w:val="21"/>
                <w:highlight w:val="none"/>
                <w:shd w:val="clear" w:color="auto" w:fill="FFFFFF"/>
              </w:rPr>
              <w:t>（</w:t>
            </w:r>
            <w:r>
              <w:rPr>
                <w:rFonts w:hint="eastAsia" w:cs="宋体" w:asciiTheme="minorEastAsia" w:hAnsiTheme="minorEastAsia"/>
                <w:kern w:val="0"/>
                <w:szCs w:val="21"/>
                <w:highlight w:val="none"/>
              </w:rPr>
              <w:t>联合体形式投标的，联合体成员存在不良信用记录，视同联合体存在不良信用记录）。</w:t>
            </w:r>
          </w:p>
          <w:p>
            <w:pPr>
              <w:spacing w:line="360" w:lineRule="auto"/>
              <w:rPr>
                <w:rFonts w:cs="宋体" w:asciiTheme="minorEastAsia" w:hAnsiTheme="minorEastAsia"/>
                <w:kern w:val="0"/>
                <w:szCs w:val="21"/>
                <w:highlight w:val="none"/>
              </w:rPr>
            </w:pPr>
            <w:r>
              <w:rPr>
                <w:rFonts w:hint="eastAsia" w:cs="宋体" w:asciiTheme="minorEastAsia" w:hAnsiTheme="minorEastAsia"/>
                <w:kern w:val="0"/>
                <w:szCs w:val="21"/>
                <w:highlight w:val="none"/>
              </w:rPr>
              <w:t>1、查询渠道：</w:t>
            </w:r>
          </w:p>
          <w:p>
            <w:pPr>
              <w:spacing w:line="360" w:lineRule="auto"/>
              <w:rPr>
                <w:rFonts w:cs="宋体" w:asciiTheme="minorEastAsia" w:hAnsiTheme="minorEastAsia"/>
                <w:kern w:val="0"/>
                <w:szCs w:val="21"/>
                <w:highlight w:val="none"/>
              </w:rPr>
            </w:pPr>
            <w:r>
              <w:rPr>
                <w:rFonts w:hint="eastAsia" w:cs="宋体" w:asciiTheme="minorEastAsia" w:hAnsiTheme="minorEastAsia"/>
                <w:kern w:val="0"/>
                <w:szCs w:val="21"/>
                <w:highlight w:val="none"/>
              </w:rPr>
              <w:t>①“信用中国”网站（</w:t>
            </w:r>
            <w:r>
              <w:rPr>
                <w:highlight w:val="none"/>
              </w:rPr>
              <w:fldChar w:fldCharType="begin"/>
            </w:r>
            <w:r>
              <w:rPr>
                <w:highlight w:val="none"/>
              </w:rPr>
              <w:instrText xml:space="preserve"> HYPERLINK "http://www.creditchina.gov.cn" </w:instrText>
            </w:r>
            <w:r>
              <w:rPr>
                <w:highlight w:val="none"/>
              </w:rPr>
              <w:fldChar w:fldCharType="separate"/>
            </w:r>
            <w:r>
              <w:rPr>
                <w:rFonts w:hint="eastAsia" w:cs="宋体"/>
                <w:kern w:val="0"/>
                <w:highlight w:val="none"/>
              </w:rPr>
              <w:t>www.creditchina.gov.cn</w:t>
            </w:r>
            <w:r>
              <w:rPr>
                <w:rFonts w:hint="eastAsia" w:cs="宋体"/>
                <w:kern w:val="0"/>
                <w:highlight w:val="none"/>
              </w:rPr>
              <w:fldChar w:fldCharType="end"/>
            </w:r>
            <w:r>
              <w:rPr>
                <w:rFonts w:hint="eastAsia" w:cs="宋体" w:asciiTheme="minorEastAsia" w:hAnsiTheme="minorEastAsia"/>
                <w:kern w:val="0"/>
                <w:szCs w:val="21"/>
                <w:highlight w:val="none"/>
              </w:rPr>
              <w:t>）</w:t>
            </w:r>
          </w:p>
          <w:p>
            <w:pPr>
              <w:spacing w:line="360" w:lineRule="auto"/>
              <w:rPr>
                <w:rFonts w:hint="eastAsia" w:cs="宋体" w:asciiTheme="minorEastAsia" w:hAnsiTheme="minorEastAsia"/>
                <w:kern w:val="0"/>
                <w:szCs w:val="21"/>
                <w:highlight w:val="none"/>
              </w:rPr>
            </w:pPr>
            <w:r>
              <w:rPr>
                <w:rFonts w:hint="eastAsia" w:cs="宋体" w:asciiTheme="minorEastAsia" w:hAnsiTheme="minorEastAsia"/>
                <w:kern w:val="0"/>
                <w:szCs w:val="21"/>
                <w:highlight w:val="none"/>
              </w:rPr>
              <w:t>②“中国政府采购网”（www.ccgp.gov.cn）</w:t>
            </w:r>
          </w:p>
          <w:p>
            <w:pPr>
              <w:spacing w:line="360" w:lineRule="auto"/>
              <w:rPr>
                <w:rFonts w:hint="eastAsia" w:cs="宋体" w:asciiTheme="minorEastAsia" w:hAnsiTheme="minorEastAsia" w:eastAsiaTheme="minorEastAsia"/>
                <w:kern w:val="0"/>
                <w:szCs w:val="21"/>
                <w:highlight w:val="none"/>
                <w:lang w:eastAsia="zh-CN"/>
              </w:rPr>
            </w:pPr>
            <w:r>
              <w:rPr>
                <w:rFonts w:hint="default" w:cs="宋体" w:asciiTheme="minorEastAsia" w:hAnsiTheme="minorEastAsia"/>
                <w:kern w:val="0"/>
                <w:szCs w:val="21"/>
                <w:highlight w:val="none"/>
                <w:lang w:val="en-US" w:eastAsia="zh-CN"/>
              </w:rPr>
              <w:t>③</w:t>
            </w:r>
            <w:r>
              <w:rPr>
                <w:rFonts w:hint="eastAsia" w:cs="宋体" w:asciiTheme="minorEastAsia" w:hAnsiTheme="minorEastAsia"/>
                <w:kern w:val="0"/>
                <w:szCs w:val="21"/>
                <w:highlight w:val="none"/>
                <w:lang w:val="en-US" w:eastAsia="zh-CN"/>
              </w:rPr>
              <w:t>“中国社会组织公共服务平台”（www.chinanpo.gov.cn）</w:t>
            </w:r>
            <w:r>
              <w:rPr>
                <w:rFonts w:hint="eastAsia" w:cs="宋体" w:asciiTheme="minorEastAsia" w:hAnsiTheme="minorEastAsia"/>
                <w:kern w:val="0"/>
                <w:szCs w:val="21"/>
              </w:rPr>
              <w:t>（仅查询社会组织）</w:t>
            </w:r>
            <w:r>
              <w:rPr>
                <w:rFonts w:hint="eastAsia" w:cs="宋体" w:asciiTheme="minorEastAsia" w:hAnsiTheme="minorEastAsia"/>
                <w:kern w:val="0"/>
                <w:szCs w:val="21"/>
                <w:lang w:eastAsia="zh-CN"/>
              </w:rPr>
              <w:t>。</w:t>
            </w:r>
          </w:p>
          <w:p>
            <w:pPr>
              <w:autoSpaceDE w:val="0"/>
              <w:autoSpaceDN w:val="0"/>
              <w:spacing w:line="360" w:lineRule="auto"/>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2、截止时间：同投标截止时间；</w:t>
            </w:r>
          </w:p>
          <w:p>
            <w:pPr>
              <w:autoSpaceDE w:val="0"/>
              <w:autoSpaceDN w:val="0"/>
              <w:spacing w:line="360" w:lineRule="auto"/>
              <w:contextualSpacing/>
              <w:rPr>
                <w:rFonts w:cs="宋体" w:asciiTheme="minorEastAsia" w:hAnsiTheme="minorEastAsia"/>
                <w:kern w:val="0"/>
                <w:szCs w:val="21"/>
                <w:highlight w:val="none"/>
              </w:rPr>
            </w:pPr>
            <w:r>
              <w:rPr>
                <w:rFonts w:hint="eastAsia" w:cs="宋体" w:asciiTheme="minorEastAsia" w:hAnsiTheme="minorEastAsia"/>
                <w:kern w:val="0"/>
                <w:szCs w:val="21"/>
              </w:rPr>
              <w:t>3、信用信息查询记录和证据留存具体方式：经采购人确认的查询结果网页截图作为查询记录和证据，与其他采</w:t>
            </w:r>
            <w:r>
              <w:rPr>
                <w:rFonts w:hint="eastAsia" w:cs="宋体" w:asciiTheme="minorEastAsia" w:hAnsiTheme="minorEastAsia"/>
                <w:kern w:val="0"/>
                <w:szCs w:val="21"/>
                <w:highlight w:val="none"/>
              </w:rPr>
              <w:t>购文件一并保存；</w:t>
            </w:r>
          </w:p>
          <w:p>
            <w:pPr>
              <w:autoSpaceDE w:val="0"/>
              <w:autoSpaceDN w:val="0"/>
              <w:spacing w:line="360" w:lineRule="auto"/>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4、信用信息的使用原则：经采购人认定的被列入失信被执行人、重大税收违法案件当事人名单、政府采购严重违法失信行为记录名单</w:t>
            </w:r>
            <w:r>
              <w:rPr>
                <w:rFonts w:hint="eastAsia" w:cs="宋体" w:asciiTheme="minorEastAsia" w:hAnsiTheme="minorEastAsia"/>
                <w:kern w:val="0"/>
                <w:szCs w:val="21"/>
                <w:highlight w:val="none"/>
                <w:lang w:eastAsia="zh-CN"/>
              </w:rPr>
              <w:t>、</w:t>
            </w:r>
            <w:r>
              <w:rPr>
                <w:rFonts w:hint="eastAsia" w:cs="宋体" w:asciiTheme="minorEastAsia" w:hAnsiTheme="minorEastAsia"/>
                <w:kern w:val="0"/>
                <w:szCs w:val="21"/>
                <w:highlight w:val="none"/>
                <w:lang w:val="en-US" w:eastAsia="zh-CN"/>
              </w:rPr>
              <w:t>严重违法失信名单</w:t>
            </w:r>
            <w:r>
              <w:rPr>
                <w:rFonts w:hint="eastAsia" w:cs="宋体" w:asciiTheme="minorEastAsia" w:hAnsiTheme="minorEastAsia"/>
                <w:kern w:val="0"/>
                <w:szCs w:val="21"/>
                <w:highlight w:val="none"/>
              </w:rPr>
              <w:t>的投标人，将拒绝其参与本次政府采购活动。</w:t>
            </w:r>
          </w:p>
          <w:p>
            <w:pPr>
              <w:autoSpaceDE w:val="0"/>
              <w:autoSpaceDN w:val="0"/>
              <w:spacing w:line="360" w:lineRule="auto"/>
              <w:contextualSpacing/>
              <w:rPr>
                <w:rFonts w:cs="仿宋_GB2312" w:asciiTheme="minorEastAsia" w:hAnsiTheme="minorEastAsia"/>
                <w:szCs w:val="21"/>
              </w:rPr>
            </w:pPr>
            <w:r>
              <w:rPr>
                <w:rFonts w:hint="eastAsia" w:cs="宋体" w:asciiTheme="minorEastAsia" w:hAnsiTheme="minorEastAsia"/>
                <w:kern w:val="0"/>
                <w:szCs w:val="21"/>
                <w:highlight w:val="none"/>
              </w:rPr>
              <w:t>5、投标人不良信用记录以采购人查询结果为准，采购人查询之后，网站信息发生的任何变更不再作为评审依据，投标人自行提供的与网站信息不一致的其他证明材料亦不作为评审依据。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联合体投标</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最高限价</w:t>
            </w:r>
          </w:p>
        </w:tc>
        <w:tc>
          <w:tcPr>
            <w:tcW w:w="6813" w:type="dxa"/>
            <w:vAlign w:val="center"/>
          </w:tcPr>
          <w:p>
            <w:pPr>
              <w:pStyle w:val="22"/>
              <w:widowControl/>
              <w:rPr>
                <w:rFonts w:cs="宋体" w:asciiTheme="minorEastAsia" w:hAnsiTheme="minorEastAsia"/>
                <w:bCs/>
                <w:szCs w:val="21"/>
                <w:lang w:val="zh-CN"/>
              </w:rPr>
            </w:pPr>
            <w:r>
              <w:rPr>
                <w:rFonts w:hint="eastAsia" w:cs="宋体" w:asciiTheme="minorEastAsia" w:hAnsiTheme="minorEastAsia" w:eastAsiaTheme="minorEastAsia"/>
                <w:bCs/>
                <w:kern w:val="2"/>
                <w:sz w:val="21"/>
                <w:szCs w:val="21"/>
                <w:lang w:val="zh-CN" w:eastAsia="zh-CN" w:bidi="ar-SA"/>
              </w:rPr>
              <w:t>1069790.00元。超出最高限价的投标无效。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不组织</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开标前答疑会</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不召开</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投标有效期</w:t>
            </w:r>
          </w:p>
        </w:tc>
        <w:tc>
          <w:tcPr>
            <w:tcW w:w="6813"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60天（自</w:t>
            </w:r>
            <w:r>
              <w:rPr>
                <w:rFonts w:hint="eastAsia" w:cs="宋体" w:asciiTheme="minorEastAsia" w:hAnsiTheme="minorEastAsia"/>
                <w:kern w:val="0"/>
                <w:szCs w:val="21"/>
              </w:rPr>
              <w:t>提交投标文件的截止之日起算</w:t>
            </w:r>
            <w:r>
              <w:rPr>
                <w:rFonts w:hint="eastAsia" w:cs="仿宋_GB2312" w:asciiTheme="minorEastAsia" w:hAnsiTheme="minorEastAsia"/>
                <w:szCs w:val="21"/>
              </w:rPr>
              <w:t>）</w:t>
            </w:r>
          </w:p>
          <w:p>
            <w:pPr>
              <w:autoSpaceDE w:val="0"/>
              <w:autoSpaceDN w:val="0"/>
              <w:adjustRightInd w:val="0"/>
              <w:spacing w:line="360" w:lineRule="auto"/>
              <w:rPr>
                <w:rFonts w:cs="仿宋_GB2312" w:asciiTheme="minorEastAsia" w:hAnsiTheme="minorEastAsia"/>
                <w:szCs w:val="21"/>
              </w:rPr>
            </w:pPr>
            <w:r>
              <w:rPr>
                <w:rFonts w:cs="仿宋_GB2312" w:asciiTheme="minorEastAsia" w:hAnsiTheme="minorEastAsia"/>
                <w:szCs w:val="21"/>
                <w:lang w:val="zh-CN"/>
              </w:rPr>
              <w:t>中标</w:t>
            </w:r>
            <w:r>
              <w:rPr>
                <w:rFonts w:hint="eastAsia" w:cs="仿宋_GB2312" w:asciiTheme="minorEastAsia" w:hAnsiTheme="minorEastAsia"/>
                <w:szCs w:val="21"/>
                <w:lang w:val="zh-CN"/>
              </w:rPr>
              <w:t>人投标</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中标人全部合同义务履行完毕为止。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pPr>
              <w:autoSpaceDE w:val="0"/>
              <w:autoSpaceDN w:val="0"/>
              <w:adjustRightInd w:val="0"/>
              <w:spacing w:line="360" w:lineRule="auto"/>
              <w:rPr>
                <w:rFonts w:cs="仿宋_GB2312" w:asciiTheme="minorEastAsia" w:hAnsiTheme="minorEastAsia"/>
                <w:szCs w:val="21"/>
              </w:rPr>
            </w:pPr>
            <w:r>
              <w:rPr>
                <w:rFonts w:cs="宋体" w:asciiTheme="minorEastAsia" w:hAnsiTheme="minorEastAsia"/>
                <w:bCs/>
                <w:szCs w:val="21"/>
                <w:lang w:val="zh-CN"/>
              </w:rPr>
              <w:t>中标人将本项目非主体、非关键性工作分包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投标截止及开标时间</w:t>
            </w:r>
          </w:p>
        </w:tc>
        <w:tc>
          <w:tcPr>
            <w:tcW w:w="6813" w:type="dxa"/>
            <w:vAlign w:val="center"/>
          </w:tcPr>
          <w:p>
            <w:pPr>
              <w:tabs>
                <w:tab w:val="left" w:pos="1260"/>
              </w:tabs>
              <w:autoSpaceDE w:val="0"/>
              <w:autoSpaceDN w:val="0"/>
              <w:spacing w:line="360" w:lineRule="auto"/>
              <w:contextualSpacing/>
              <w:rPr>
                <w:rFonts w:hint="eastAsia" w:cs="仿宋_GB2312" w:asciiTheme="minorEastAsia" w:hAnsiTheme="minorEastAsia" w:eastAsiaTheme="minorEastAsia"/>
                <w:kern w:val="2"/>
                <w:sz w:val="21"/>
                <w:szCs w:val="21"/>
                <w:lang w:val="zh-CN" w:eastAsia="zh-CN" w:bidi="ar-SA"/>
              </w:rPr>
            </w:pPr>
            <w:r>
              <w:rPr>
                <w:rFonts w:hint="eastAsia" w:cs="仿宋_GB2312" w:asciiTheme="minorEastAsia" w:hAnsiTheme="minorEastAsia" w:eastAsiaTheme="minorEastAsia"/>
                <w:kern w:val="2"/>
                <w:sz w:val="21"/>
                <w:szCs w:val="21"/>
                <w:lang w:val="en-US" w:eastAsia="zh-CN" w:bidi="ar-SA"/>
              </w:rPr>
              <w:t>2019</w:t>
            </w:r>
            <w:r>
              <w:rPr>
                <w:rFonts w:hint="eastAsia" w:cs="仿宋_GB2312" w:asciiTheme="minorEastAsia" w:hAnsiTheme="minorEastAsia" w:eastAsiaTheme="minorEastAsia"/>
                <w:kern w:val="2"/>
                <w:sz w:val="21"/>
                <w:szCs w:val="21"/>
                <w:lang w:val="zh-CN" w:eastAsia="zh-CN" w:bidi="ar-SA"/>
              </w:rPr>
              <w:t>年</w:t>
            </w:r>
            <w:r>
              <w:rPr>
                <w:rFonts w:hint="eastAsia" w:cs="仿宋_GB2312" w:asciiTheme="minorEastAsia" w:hAnsiTheme="minorEastAsia" w:eastAsiaTheme="minorEastAsia"/>
                <w:kern w:val="2"/>
                <w:sz w:val="21"/>
                <w:szCs w:val="21"/>
                <w:lang w:val="en-US" w:eastAsia="zh-CN" w:bidi="ar-SA"/>
              </w:rPr>
              <w:t>12</w:t>
            </w:r>
            <w:r>
              <w:rPr>
                <w:rFonts w:hint="eastAsia" w:cs="仿宋_GB2312" w:asciiTheme="minorEastAsia" w:hAnsiTheme="minorEastAsia" w:eastAsiaTheme="minorEastAsia"/>
                <w:kern w:val="2"/>
                <w:sz w:val="21"/>
                <w:szCs w:val="21"/>
                <w:lang w:val="zh-CN" w:eastAsia="zh-CN" w:bidi="ar-SA"/>
              </w:rPr>
              <w:t>月</w:t>
            </w:r>
            <w:r>
              <w:rPr>
                <w:rFonts w:hint="eastAsia" w:cs="仿宋_GB2312" w:asciiTheme="minorEastAsia" w:hAnsiTheme="minorEastAsia" w:eastAsiaTheme="minorEastAsia"/>
                <w:kern w:val="2"/>
                <w:sz w:val="21"/>
                <w:szCs w:val="21"/>
                <w:lang w:val="en-US" w:eastAsia="zh-CN" w:bidi="ar-SA"/>
              </w:rPr>
              <w:t>27</w:t>
            </w:r>
            <w:r>
              <w:rPr>
                <w:rFonts w:hint="eastAsia" w:cs="仿宋_GB2312" w:asciiTheme="minorEastAsia" w:hAnsiTheme="minorEastAsia" w:eastAsiaTheme="minorEastAsia"/>
                <w:kern w:val="2"/>
                <w:sz w:val="21"/>
                <w:szCs w:val="21"/>
                <w:lang w:val="zh-CN" w:eastAsia="zh-CN" w:bidi="ar-SA"/>
              </w:rPr>
              <w:t>日</w:t>
            </w:r>
            <w:r>
              <w:rPr>
                <w:rFonts w:hint="eastAsia" w:cs="仿宋_GB2312" w:asciiTheme="minorEastAsia" w:hAnsiTheme="minorEastAsia" w:eastAsiaTheme="minorEastAsia"/>
                <w:kern w:val="2"/>
                <w:sz w:val="21"/>
                <w:szCs w:val="21"/>
                <w:lang w:val="en-US" w:eastAsia="zh-CN" w:bidi="ar-SA"/>
              </w:rPr>
              <w:t xml:space="preserve">09 </w:t>
            </w:r>
            <w:r>
              <w:rPr>
                <w:rFonts w:hint="eastAsia" w:cs="仿宋_GB2312" w:asciiTheme="minorEastAsia" w:hAnsiTheme="minorEastAsia" w:eastAsiaTheme="minorEastAsia"/>
                <w:kern w:val="2"/>
                <w:sz w:val="21"/>
                <w:szCs w:val="21"/>
                <w:lang w:val="zh-CN" w:eastAsia="zh-CN" w:bidi="ar-SA"/>
              </w:rPr>
              <w:t>时</w:t>
            </w:r>
            <w:r>
              <w:rPr>
                <w:rFonts w:hint="eastAsia" w:cs="仿宋_GB2312" w:asciiTheme="minorEastAsia" w:hAnsiTheme="minorEastAsia" w:eastAsiaTheme="minorEastAsia"/>
                <w:kern w:val="2"/>
                <w:sz w:val="21"/>
                <w:szCs w:val="21"/>
                <w:lang w:val="en-US" w:eastAsia="zh-CN" w:bidi="ar-SA"/>
              </w:rPr>
              <w:t xml:space="preserve">00 </w:t>
            </w:r>
            <w:r>
              <w:rPr>
                <w:rFonts w:hint="eastAsia" w:cs="仿宋_GB2312" w:asciiTheme="minorEastAsia" w:hAnsiTheme="minorEastAsia" w:eastAsiaTheme="minorEastAsia"/>
                <w:kern w:val="2"/>
                <w:sz w:val="21"/>
                <w:szCs w:val="21"/>
                <w:lang w:val="zh-CN" w:eastAsia="zh-CN" w:bidi="ar-SA"/>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递交投标文件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及开标地点</w:t>
            </w:r>
          </w:p>
        </w:tc>
        <w:tc>
          <w:tcPr>
            <w:tcW w:w="6813" w:type="dxa"/>
            <w:vAlign w:val="center"/>
          </w:tcPr>
          <w:p>
            <w:pPr>
              <w:pStyle w:val="22"/>
              <w:widowControl/>
              <w:shd w:val="clear" w:color="auto" w:fill="FFFFFF"/>
              <w:spacing w:line="360" w:lineRule="auto"/>
              <w:contextualSpacing/>
              <w:jc w:val="left"/>
              <w:rPr>
                <w:rFonts w:hint="eastAsia" w:cs="仿宋_GB2312" w:asciiTheme="minorEastAsia" w:hAnsiTheme="minorEastAsia" w:eastAsiaTheme="minorEastAsia"/>
                <w:kern w:val="2"/>
                <w:sz w:val="21"/>
                <w:szCs w:val="21"/>
                <w:lang w:val="zh-CN" w:eastAsia="zh-CN" w:bidi="ar-SA"/>
              </w:rPr>
            </w:pPr>
            <w:r>
              <w:rPr>
                <w:rFonts w:hint="eastAsia" w:cs="仿宋_GB2312" w:asciiTheme="minorEastAsia" w:hAnsiTheme="minorEastAsia" w:eastAsiaTheme="minorEastAsia"/>
                <w:kern w:val="2"/>
                <w:sz w:val="21"/>
                <w:szCs w:val="21"/>
                <w:lang w:val="zh-CN" w:eastAsia="zh-CN" w:bidi="ar-SA"/>
              </w:rPr>
              <w:t>长葛市公共资源交易中心开标</w:t>
            </w:r>
            <w:r>
              <w:rPr>
                <w:rFonts w:hint="eastAsia" w:cs="仿宋_GB2312" w:asciiTheme="minorEastAsia" w:hAnsiTheme="minorEastAsia" w:eastAsiaTheme="minorEastAsia"/>
                <w:kern w:val="2"/>
                <w:sz w:val="21"/>
                <w:szCs w:val="21"/>
                <w:lang w:val="en-US" w:eastAsia="zh-CN" w:bidi="ar-SA"/>
              </w:rPr>
              <w:t>二</w:t>
            </w:r>
            <w:r>
              <w:rPr>
                <w:rFonts w:hint="eastAsia" w:cs="仿宋_GB2312" w:asciiTheme="minorEastAsia" w:hAnsiTheme="minorEastAsia" w:eastAsiaTheme="minorEastAsia"/>
                <w:kern w:val="2"/>
                <w:sz w:val="21"/>
                <w:szCs w:val="21"/>
                <w:lang w:val="zh-CN" w:eastAsia="zh-CN" w:bidi="ar-SA"/>
              </w:rPr>
              <w:t>室</w:t>
            </w:r>
            <w:r>
              <w:rPr>
                <w:rFonts w:hint="eastAsia" w:cs="仿宋_GB2312" w:asciiTheme="minorEastAsia" w:hAnsiTheme="minorEastAsia" w:eastAsiaTheme="minorEastAsia"/>
                <w:kern w:val="2"/>
                <w:sz w:val="21"/>
                <w:szCs w:val="21"/>
                <w:lang w:val="en-US" w:eastAsia="zh-CN" w:bidi="ar-SA"/>
              </w:rPr>
              <w:t>（长葛市葛天大道东段商务区6#楼4楼409室）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投标保证金</w:t>
            </w:r>
          </w:p>
        </w:tc>
        <w:tc>
          <w:tcPr>
            <w:tcW w:w="6813" w:type="dxa"/>
            <w:vAlign w:val="center"/>
          </w:tcPr>
          <w:p>
            <w:pPr>
              <w:tabs>
                <w:tab w:val="left" w:pos="1260"/>
              </w:tabs>
              <w:autoSpaceDE w:val="0"/>
              <w:autoSpaceDN w:val="0"/>
              <w:spacing w:line="360" w:lineRule="auto"/>
              <w:contextualSpacing/>
              <w:rPr>
                <w:rFonts w:hint="eastAsia" w:cs="仿宋_GB2312" w:asciiTheme="minorEastAsia" w:hAnsiTheme="minorEastAsia" w:eastAsiaTheme="minorEastAsia"/>
                <w:szCs w:val="21"/>
                <w:lang w:val="zh-CN" w:eastAsia="zh-CN"/>
              </w:rPr>
            </w:pPr>
            <w:r>
              <w:rPr>
                <w:rFonts w:hint="eastAsia" w:cs="仿宋_GB2312" w:asciiTheme="minorEastAsia" w:hAnsiTheme="minorEastAsia"/>
                <w:szCs w:val="21"/>
                <w:lang w:eastAsia="zh-CN"/>
              </w:rPr>
              <w:t>按照河南省《</w:t>
            </w:r>
            <w:r>
              <w:rPr>
                <w:rFonts w:hint="eastAsia" w:cs="仿宋_GB2312" w:asciiTheme="minorEastAsia" w:hAnsiTheme="minorEastAsia"/>
                <w:szCs w:val="21"/>
              </w:rPr>
              <w:t>关于优化政府采购营商环境有关问题的通知</w:t>
            </w:r>
            <w:r>
              <w:rPr>
                <w:rFonts w:hint="eastAsia" w:cs="仿宋_GB2312" w:asciiTheme="minorEastAsia" w:hAnsiTheme="minorEastAsia"/>
                <w:szCs w:val="21"/>
                <w:lang w:eastAsia="zh-CN"/>
              </w:rPr>
              <w:t>》（豫财购（</w:t>
            </w:r>
            <w:r>
              <w:rPr>
                <w:rFonts w:hint="eastAsia" w:cs="仿宋_GB2312" w:asciiTheme="minorEastAsia" w:hAnsiTheme="minorEastAsia"/>
                <w:szCs w:val="21"/>
                <w:lang w:val="en-US" w:eastAsia="zh-CN"/>
              </w:rPr>
              <w:t>2019</w:t>
            </w:r>
            <w:r>
              <w:rPr>
                <w:rFonts w:hint="eastAsia" w:cs="仿宋_GB2312" w:asciiTheme="minorEastAsia" w:hAnsiTheme="minorEastAsia"/>
                <w:szCs w:val="21"/>
                <w:lang w:eastAsia="zh-CN"/>
              </w:rPr>
              <w:t>）</w:t>
            </w:r>
            <w:r>
              <w:rPr>
                <w:rFonts w:hint="eastAsia" w:cs="仿宋_GB2312" w:asciiTheme="minorEastAsia" w:hAnsiTheme="minorEastAsia"/>
                <w:szCs w:val="21"/>
                <w:lang w:val="en-US" w:eastAsia="zh-CN"/>
              </w:rPr>
              <w:t>4号文</w:t>
            </w:r>
            <w:r>
              <w:rPr>
                <w:rFonts w:hint="eastAsia" w:cs="仿宋_GB2312" w:asciiTheme="minorEastAsia" w:hAnsiTheme="minorEastAsia"/>
                <w:szCs w:val="21"/>
                <w:lang w:eastAsia="zh-CN"/>
              </w:rPr>
              <w:t>）的要求，不收取保证金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000000"/>
                <w:szCs w:val="21"/>
              </w:rPr>
              <w:t>招标公告、中标公告、变更（更正）公告、现场勘察答复等相关信息同时在以下网站发布：《河南省政府采购网》、《全国公共资源交易平台（河南省·许昌市）》、《</w:t>
            </w:r>
            <w:r>
              <w:rPr>
                <w:rFonts w:hint="eastAsia" w:ascii="宋体" w:hAnsi="宋体" w:cs="宋体"/>
                <w:color w:val="000000"/>
                <w:szCs w:val="21"/>
              </w:rPr>
              <w:t>长葛市人民政府门户网站</w:t>
            </w:r>
            <w:r>
              <w:rPr>
                <w:rFonts w:hint="eastAsia" w:cs="宋体" w:asciiTheme="minorEastAsia" w:hAnsiTheme="minor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招标文件时间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投标截止时间15日前（</w:t>
            </w:r>
            <w:r>
              <w:rPr>
                <w:rFonts w:hint="eastAsia" w:cs="仿宋_GB2312" w:asciiTheme="minorEastAsia" w:hAnsiTheme="minorEastAsia"/>
                <w:szCs w:val="21"/>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投标人对采购文件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招标公告期满之日起七个工作日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投标文件份数</w:t>
            </w:r>
          </w:p>
        </w:tc>
        <w:tc>
          <w:tcPr>
            <w:tcW w:w="6813" w:type="dxa"/>
            <w:vAlign w:val="center"/>
          </w:tcPr>
          <w:p>
            <w:pPr>
              <w:autoSpaceDE w:val="0"/>
              <w:autoSpaceDN w:val="0"/>
              <w:adjustRightInd w:val="0"/>
              <w:spacing w:line="360" w:lineRule="auto"/>
              <w:rPr>
                <w:rFonts w:cs="宋体" w:asciiTheme="minorEastAsia" w:hAnsiTheme="minorEastAsia"/>
                <w:color w:val="000000"/>
                <w:szCs w:val="21"/>
              </w:rPr>
            </w:pPr>
            <w:r>
              <w:rPr>
                <w:rFonts w:ascii="新宋体" w:hAnsi="新宋体" w:eastAsia="新宋体"/>
                <w:b/>
                <w:szCs w:val="21"/>
              </w:rPr>
              <w:fldChar w:fldCharType="begin"/>
            </w:r>
            <w:r>
              <w:rPr>
                <w:rFonts w:ascii="新宋体" w:hAnsi="新宋体" w:eastAsia="新宋体"/>
                <w:b/>
                <w:szCs w:val="21"/>
              </w:rPr>
              <w:instrText xml:space="preserve"> </w:instrText>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电子投标文件：成功上传至《全国公共资源交易平台（河南省·许昌市）》公共资源交易系统加密电子投标文件1份</w:t>
            </w:r>
            <w:r>
              <w:rPr>
                <w:rFonts w:hint="eastAsia" w:hAnsi="宋体" w:cs="宋体"/>
                <w:szCs w:val="21"/>
                <w:lang w:val="zh-CN"/>
              </w:rPr>
              <w:t>（文件格式为： XXX公司XXX项目编号.file）。</w:t>
            </w:r>
            <w:r>
              <w:rPr>
                <w:rFonts w:hint="eastAsia" w:ascii="新宋体" w:hAnsi="新宋体" w:eastAsia="新宋体"/>
                <w:szCs w:val="21"/>
              </w:rPr>
              <w:t>使用电子介质存储的备份文件1份（文件格式为：名称为“备份”的文件夹）。</w:t>
            </w:r>
          </w:p>
          <w:p>
            <w:pPr>
              <w:autoSpaceDE w:val="0"/>
              <w:autoSpaceDN w:val="0"/>
              <w:adjustRightInd w:val="0"/>
              <w:spacing w:line="360" w:lineRule="auto"/>
              <w:rPr>
                <w:rFonts w:ascii="新宋体" w:hAnsi="新宋体" w:eastAsia="新宋体"/>
                <w:szCs w:val="21"/>
              </w:rPr>
            </w:pPr>
            <w:r>
              <w:rPr>
                <w:rFonts w:ascii="新宋体" w:hAnsi="新宋体" w:eastAsia="新宋体"/>
                <w:b/>
                <w:szCs w:val="21"/>
              </w:rPr>
              <w:fldChar w:fldCharType="begin"/>
            </w:r>
            <w:r>
              <w:rPr>
                <w:rFonts w:ascii="新宋体" w:hAnsi="新宋体" w:eastAsia="新宋体"/>
                <w:b/>
                <w:szCs w:val="21"/>
              </w:rPr>
              <w:instrText xml:space="preserve"> </w:instrText>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纸质投标文件：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cs="仿宋_GB2312" w:asciiTheme="minorEastAsia" w:hAnsiTheme="minorEastAsia"/>
                <w:szCs w:val="21"/>
                <w:u w:val="none"/>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电子投标文件和纸质投标文件的内容、格式、水印码、签章应一致。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pPr>
              <w:autoSpaceDE w:val="0"/>
              <w:autoSpaceDN w:val="0"/>
              <w:adjustRightInd w:val="0"/>
              <w:spacing w:line="420" w:lineRule="exact"/>
              <w:rPr>
                <w:rFonts w:ascii="新宋体" w:hAnsi="新宋体" w:eastAsia="新宋体"/>
                <w:szCs w:val="21"/>
                <w:highlight w:val="none"/>
              </w:rPr>
            </w:pPr>
            <w:r>
              <w:rPr>
                <w:rFonts w:ascii="新宋体" w:hAnsi="新宋体" w:eastAsia="新宋体"/>
                <w:b/>
                <w:szCs w:val="21"/>
                <w:highlight w:val="none"/>
              </w:rPr>
              <w:fldChar w:fldCharType="begin"/>
            </w:r>
            <w:r>
              <w:rPr>
                <w:rFonts w:ascii="新宋体" w:hAnsi="新宋体" w:eastAsia="新宋体"/>
                <w:b/>
                <w:szCs w:val="21"/>
                <w:highlight w:val="none"/>
              </w:rPr>
              <w:instrText xml:space="preserve"> </w:instrText>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电子投标文件：按招标文件要求加盖投标人电子印章和法人电子印章。</w:t>
            </w:r>
          </w:p>
          <w:p>
            <w:pPr>
              <w:autoSpaceDE w:val="0"/>
              <w:autoSpaceDN w:val="0"/>
              <w:adjustRightInd w:val="0"/>
              <w:spacing w:line="420" w:lineRule="exact"/>
              <w:rPr>
                <w:rFonts w:cs="仿宋_GB2312" w:asciiTheme="minorEastAsia" w:hAnsiTheme="minorEastAsia"/>
                <w:szCs w:val="21"/>
                <w:highlight w:val="none"/>
              </w:rPr>
            </w:pPr>
            <w:r>
              <w:rPr>
                <w:rFonts w:ascii="新宋体" w:hAnsi="新宋体" w:eastAsia="新宋体"/>
                <w:b/>
                <w:szCs w:val="21"/>
                <w:highlight w:val="none"/>
              </w:rPr>
              <w:fldChar w:fldCharType="begin"/>
            </w:r>
            <w:r>
              <w:rPr>
                <w:rFonts w:ascii="新宋体" w:hAnsi="新宋体" w:eastAsia="新宋体"/>
                <w:b/>
                <w:szCs w:val="21"/>
                <w:highlight w:val="none"/>
              </w:rPr>
              <w:instrText xml:space="preserve"> </w:instrText>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纸质投标文件：投标文件封面加盖投标人公章（投标文件是指投标人电子投标文件制作完成后生成的后缀名为</w:t>
            </w:r>
            <w:r>
              <w:rPr>
                <w:rFonts w:hint="eastAsia" w:hAnsi="宋体"/>
                <w:color w:val="000000"/>
                <w:szCs w:val="21"/>
                <w:highlight w:val="none"/>
              </w:rPr>
              <w:t>“.PDF”的文件</w:t>
            </w:r>
            <w:r>
              <w:rPr>
                <w:rFonts w:hint="eastAsia" w:ascii="新宋体" w:hAnsi="新宋体" w:eastAsia="新宋体"/>
                <w:szCs w:val="21"/>
                <w:highlight w:val="none"/>
              </w:rPr>
              <w:t>打印的纸质投标文件）。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评标委员会组建</w:t>
            </w:r>
          </w:p>
        </w:tc>
        <w:tc>
          <w:tcPr>
            <w:tcW w:w="6813" w:type="dxa"/>
            <w:vAlign w:val="center"/>
          </w:tcPr>
          <w:p>
            <w:pPr>
              <w:autoSpaceDE w:val="0"/>
              <w:autoSpaceDN w:val="0"/>
              <w:adjustRightInd w:val="0"/>
              <w:spacing w:line="360" w:lineRule="auto"/>
              <w:rPr>
                <w:rFonts w:cs="仿宋_GB2312" w:asciiTheme="minorEastAsia" w:hAnsiTheme="minorEastAsia"/>
                <w:szCs w:val="21"/>
                <w:highlight w:val="none"/>
                <w:lang w:val="zh-CN"/>
              </w:rPr>
            </w:pPr>
            <w:r>
              <w:rPr>
                <w:rFonts w:ascii="新宋体" w:hAnsi="新宋体" w:eastAsia="新宋体"/>
                <w:b/>
                <w:szCs w:val="21"/>
                <w:highlight w:val="none"/>
              </w:rPr>
              <w:fldChar w:fldCharType="begin"/>
            </w:r>
            <w:r>
              <w:rPr>
                <w:rFonts w:ascii="新宋体" w:hAnsi="新宋体" w:eastAsia="新宋体"/>
                <w:b/>
                <w:szCs w:val="21"/>
                <w:highlight w:val="none"/>
              </w:rPr>
              <w:instrText xml:space="preserve"> </w:instrText>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cs="仿宋_GB2312" w:asciiTheme="minorEastAsia" w:hAnsiTheme="minorEastAsia"/>
                <w:szCs w:val="21"/>
                <w:highlight w:val="none"/>
                <w:lang w:val="zh-CN"/>
              </w:rPr>
              <w:t>由采购人代表</w:t>
            </w:r>
            <w:r>
              <w:rPr>
                <w:rFonts w:hint="eastAsia" w:cs="仿宋_GB2312" w:asciiTheme="minorEastAsia" w:hAnsiTheme="minorEastAsia"/>
                <w:szCs w:val="21"/>
                <w:highlight w:val="none"/>
                <w:lang w:val="en-US" w:eastAsia="zh-CN"/>
              </w:rPr>
              <w:t>1人</w:t>
            </w:r>
            <w:r>
              <w:rPr>
                <w:rFonts w:hint="eastAsia" w:cs="仿宋_GB2312" w:asciiTheme="minorEastAsia" w:hAnsiTheme="minorEastAsia"/>
                <w:szCs w:val="21"/>
                <w:highlight w:val="none"/>
                <w:lang w:val="zh-CN"/>
              </w:rPr>
              <w:t>和评审专家</w:t>
            </w:r>
            <w:r>
              <w:rPr>
                <w:rFonts w:hint="eastAsia" w:cs="仿宋_GB2312" w:asciiTheme="minorEastAsia" w:hAnsiTheme="minorEastAsia"/>
                <w:szCs w:val="21"/>
                <w:highlight w:val="none"/>
                <w:lang w:val="en-US" w:eastAsia="zh-CN"/>
              </w:rPr>
              <w:t>4人</w:t>
            </w:r>
            <w:r>
              <w:rPr>
                <w:rFonts w:hint="eastAsia" w:cs="仿宋_GB2312" w:asciiTheme="minorEastAsia" w:hAnsiTheme="minorEastAsia"/>
                <w:szCs w:val="21"/>
                <w:highlight w:val="none"/>
                <w:lang w:val="zh-CN"/>
              </w:rPr>
              <w:t>组成，其中评审专家的人数不少于评标委员会成员总数的三分之二。评审专家从政府采购评审专家库中随机抽取。</w:t>
            </w:r>
          </w:p>
          <w:p>
            <w:pPr>
              <w:autoSpaceDE w:val="0"/>
              <w:autoSpaceDN w:val="0"/>
              <w:adjustRightInd w:val="0"/>
              <w:spacing w:line="360" w:lineRule="auto"/>
              <w:rPr>
                <w:rFonts w:cs="宋体" w:asciiTheme="minorEastAsia" w:hAnsiTheme="minorEastAsia"/>
                <w:bCs/>
                <w:szCs w:val="21"/>
                <w:highlight w:val="none"/>
                <w:lang w:val="zh-CN"/>
              </w:rPr>
            </w:pPr>
            <w:r>
              <w:rPr>
                <w:rFonts w:hint="eastAsia" w:cs="仿宋_GB2312" w:asciiTheme="minorEastAsia" w:hAnsiTheme="minorEastAsia"/>
                <w:szCs w:val="21"/>
                <w:highlight w:val="none"/>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21</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szCs w:val="21"/>
              </w:rPr>
              <w:t>评标方法</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综合评分法</w:t>
            </w:r>
            <w:r>
              <w:rPr>
                <w:rFonts w:hint="eastAsia" w:cs="宋体" w:asciiTheme="minorEastAsia" w:hAnsiTheme="minorEastAsia"/>
                <w:color w:val="000000"/>
                <w:kern w:val="0"/>
                <w:szCs w:val="21"/>
                <w:lang w:val="zh-CN"/>
              </w:rPr>
              <w:t xml:space="preserve">  </w:t>
            </w:r>
            <w:r>
              <w:rPr>
                <w:rFonts w:hint="eastAsia" w:cs="宋体" w:asciiTheme="minorEastAsia" w:hAnsiTheme="minorEastAsia"/>
                <w:b/>
                <w:bCs/>
                <w:szCs w:val="21"/>
                <w:lang w:val="zh-CN"/>
              </w:rPr>
              <w:t>□</w:t>
            </w:r>
            <w:r>
              <w:rPr>
                <w:rFonts w:hint="eastAsia" w:cs="仿宋_GB2312" w:asciiTheme="minorEastAsia" w:hAnsiTheme="minorEastAsia"/>
                <w:szCs w:val="21"/>
                <w:lang w:val="zh-CN"/>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采购人代表及监督人员出席开标会议</w:t>
            </w:r>
          </w:p>
        </w:tc>
        <w:tc>
          <w:tcPr>
            <w:tcW w:w="6813" w:type="dxa"/>
            <w:vAlign w:val="center"/>
          </w:tcPr>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采购人单位委派代表参加开标会议，或者作为采购人代表进入资格审查小组的，或者作为采购人代表进入评审委员会的，须向采购代理机构出具由采购人法定代表人签字并加盖单位公章的有明确授权事项的授权函。</w:t>
            </w:r>
          </w:p>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除授权代表外，采购人单位委派纪检监察人员对评审过程实施监督的，须进入长葛市公共资源交易中心监控大厅，并向招标代理机构出具授权函，且不得超过2人。纪检监察人员对评审工作实施监督，并签字登记备案、备查，监督人员应切实履行监督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pPr>
              <w:autoSpaceDE w:val="0"/>
              <w:autoSpaceDN w:val="0"/>
              <w:adjustRightInd w:val="0"/>
              <w:spacing w:line="360" w:lineRule="auto"/>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履约担保</w:t>
            </w:r>
          </w:p>
        </w:tc>
        <w:tc>
          <w:tcPr>
            <w:tcW w:w="6813" w:type="dxa"/>
            <w:vAlign w:val="center"/>
          </w:tcPr>
          <w:p>
            <w:pPr>
              <w:autoSpaceDE w:val="0"/>
              <w:autoSpaceDN w:val="0"/>
              <w:adjustRightInd w:val="0"/>
              <w:spacing w:line="360" w:lineRule="auto"/>
              <w:rPr>
                <w:rFonts w:hint="eastAsia"/>
                <w:lang w:val="zh-CN"/>
              </w:rPr>
            </w:pPr>
            <w:r>
              <w:rPr>
                <w:rFonts w:hint="eastAsia"/>
                <w:lang w:val="zh-CN"/>
              </w:rPr>
              <w:t>开户行：河南长葛农村商业银行股份有限公司营业部</w:t>
            </w:r>
          </w:p>
          <w:p>
            <w:pPr>
              <w:autoSpaceDE w:val="0"/>
              <w:autoSpaceDN w:val="0"/>
              <w:adjustRightInd w:val="0"/>
              <w:spacing w:line="360" w:lineRule="auto"/>
              <w:rPr>
                <w:rFonts w:hint="eastAsia"/>
                <w:lang w:val="zh-CN"/>
              </w:rPr>
            </w:pPr>
            <w:r>
              <w:rPr>
                <w:rFonts w:hint="eastAsia"/>
                <w:lang w:val="zh-CN"/>
              </w:rPr>
              <w:t>户  名：长葛市公共资源交易中心</w:t>
            </w:r>
          </w:p>
          <w:p>
            <w:pPr>
              <w:autoSpaceDE w:val="0"/>
              <w:autoSpaceDN w:val="0"/>
              <w:adjustRightInd w:val="0"/>
              <w:spacing w:line="360" w:lineRule="auto"/>
              <w:rPr>
                <w:rFonts w:hint="eastAsia"/>
                <w:lang w:val="zh-CN"/>
              </w:rPr>
            </w:pPr>
            <w:r>
              <w:rPr>
                <w:rFonts w:hint="eastAsia"/>
                <w:lang w:val="zh-CN"/>
              </w:rPr>
              <w:t>账  号：13201001800000552</w:t>
            </w:r>
          </w:p>
          <w:p>
            <w:pPr>
              <w:autoSpaceDE w:val="0"/>
              <w:autoSpaceDN w:val="0"/>
              <w:adjustRightInd w:val="0"/>
              <w:spacing w:line="360" w:lineRule="auto"/>
              <w:rPr>
                <w:rFonts w:hint="eastAsia"/>
                <w:lang w:val="zh-CN"/>
              </w:rPr>
            </w:pPr>
            <w:r>
              <w:rPr>
                <w:rFonts w:hint="eastAsia"/>
                <w:lang w:val="zh-CN"/>
              </w:rPr>
              <w:t>履约</w:t>
            </w:r>
            <w:r>
              <w:rPr>
                <w:rFonts w:hint="eastAsia"/>
                <w:lang w:val="zh-CN" w:eastAsia="zh-CN"/>
              </w:rPr>
              <w:t>担保</w:t>
            </w:r>
            <w:r>
              <w:rPr>
                <w:rFonts w:hint="eastAsia"/>
                <w:lang w:val="zh-CN"/>
              </w:rPr>
              <w:t>的金额：中标金额的10%。</w:t>
            </w:r>
          </w:p>
          <w:p>
            <w:pPr>
              <w:autoSpaceDE w:val="0"/>
              <w:autoSpaceDN w:val="0"/>
              <w:adjustRightInd w:val="0"/>
              <w:spacing w:line="360" w:lineRule="auto"/>
              <w:rPr>
                <w:rFonts w:hint="eastAsia"/>
                <w:lang w:eastAsia="zh-CN"/>
              </w:rPr>
            </w:pPr>
            <w:r>
              <w:rPr>
                <w:rFonts w:hint="eastAsia"/>
                <w:lang w:eastAsia="zh-CN"/>
              </w:rPr>
              <w:t>供应商在汇款时备注部分说明，此为</w:t>
            </w:r>
            <w:r>
              <w:rPr>
                <w:rFonts w:hint="eastAsia"/>
              </w:rPr>
              <w:t>项目编号</w:t>
            </w:r>
            <w:r>
              <w:rPr>
                <w:rFonts w:hint="eastAsia"/>
                <w:u w:val="single"/>
              </w:rPr>
              <w:t>：</w:t>
            </w:r>
            <w:r>
              <w:rPr>
                <w:rFonts w:hint="eastAsia"/>
                <w:u w:val="single"/>
                <w:lang w:val="en-US" w:eastAsia="zh-CN"/>
              </w:rPr>
              <w:t xml:space="preserve">    </w:t>
            </w:r>
            <w:r>
              <w:rPr>
                <w:rFonts w:hint="eastAsia"/>
                <w:lang w:eastAsia="zh-CN"/>
              </w:rPr>
              <w:t>项目的履约担保。</w:t>
            </w:r>
          </w:p>
          <w:p>
            <w:pPr>
              <w:pStyle w:val="23"/>
              <w:ind w:left="0" w:leftChars="0" w:firstLine="0" w:firstLineChars="0"/>
              <w:rPr>
                <w:rFonts w:hint="eastAsia"/>
                <w:lang w:val="zh-CN" w:eastAsia="zh-CN"/>
              </w:rPr>
            </w:pPr>
            <w:r>
              <w:rPr>
                <w:rFonts w:hint="eastAsia" w:asciiTheme="minorHAnsi" w:hAnsiTheme="minorHAnsi" w:eastAsiaTheme="minorEastAsia" w:cstheme="minorBidi"/>
                <w:kern w:val="2"/>
                <w:sz w:val="21"/>
                <w:szCs w:val="22"/>
                <w:lang w:val="en-US" w:eastAsia="zh-CN" w:bidi="ar-SA"/>
              </w:rPr>
              <w:t>中标供应商无正当理由不与采购人订立合同，在签订合同时向采购人提出附加条件或者不按照招标文件要求提交履约担保的，取消其中标资格。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Cs w:val="21"/>
                <w:lang w:val="zh-CN"/>
              </w:rPr>
            </w:pPr>
            <w:r>
              <w:rPr>
                <w:rFonts w:hint="eastAsia" w:ascii="宋体" w:hAnsi="宋体" w:eastAsia="宋体" w:cs="宋体"/>
                <w:lang w:val="zh-CN" w:bidi="ar-SA"/>
              </w:rPr>
              <w:t>代理服务费由中标供应商支付，按照中标价格标准</w:t>
            </w:r>
            <w:r>
              <w:rPr>
                <w:rFonts w:hint="eastAsia" w:ascii="新宋体" w:hAnsi="新宋体" w:eastAsia="新宋体"/>
                <w:szCs w:val="21"/>
              </w:rPr>
              <w:t>100万× 1.5 %+（500万-100万）×</w:t>
            </w:r>
            <w:r>
              <w:rPr>
                <w:rFonts w:hint="eastAsia" w:ascii="新宋体" w:hAnsi="新宋体" w:eastAsia="新宋体"/>
                <w:szCs w:val="21"/>
                <w:lang w:val="en-US" w:eastAsia="zh-CN"/>
              </w:rPr>
              <w:t>1.1</w:t>
            </w:r>
            <w:r>
              <w:rPr>
                <w:rFonts w:hint="eastAsia" w:ascii="新宋体" w:hAnsi="新宋体" w:eastAsia="新宋体"/>
                <w:szCs w:val="21"/>
              </w:rPr>
              <w:t>%</w:t>
            </w:r>
            <w:r>
              <w:rPr>
                <w:rFonts w:hint="eastAsia" w:ascii="宋体" w:hAnsi="宋体" w:eastAsia="宋体" w:cs="宋体"/>
                <w:lang w:val="zh-CN" w:bidi="ar-SA"/>
              </w:rPr>
              <w:t>。中标通知书发出前，以现金或转账形式交纳。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中标人需提交</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的资料</w:t>
            </w:r>
          </w:p>
        </w:tc>
        <w:tc>
          <w:tcPr>
            <w:tcW w:w="6813" w:type="dxa"/>
            <w:vAlign w:val="center"/>
          </w:tcPr>
          <w:p>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中标人在接到中标通知时，须</w:t>
            </w:r>
            <w:r>
              <w:rPr>
                <w:rFonts w:hint="eastAsia" w:ascii="新宋体" w:hAnsi="新宋体" w:eastAsia="新宋体"/>
                <w:szCs w:val="21"/>
                <w:highlight w:val="none"/>
              </w:rPr>
              <w:t>向</w:t>
            </w:r>
            <w:r>
              <w:rPr>
                <w:rFonts w:hint="eastAsia" w:ascii="新宋体" w:hAnsi="新宋体" w:eastAsia="新宋体"/>
                <w:szCs w:val="21"/>
                <w:highlight w:val="none"/>
                <w:lang w:eastAsia="zh-CN"/>
              </w:rPr>
              <w:t>代理机构</w:t>
            </w:r>
            <w:r>
              <w:rPr>
                <w:rFonts w:hint="eastAsia" w:ascii="新宋体" w:hAnsi="新宋体" w:eastAsia="新宋体"/>
                <w:szCs w:val="21"/>
                <w:highlight w:val="none"/>
              </w:rPr>
              <w:t>发</w:t>
            </w:r>
            <w:r>
              <w:rPr>
                <w:rFonts w:hint="eastAsia" w:cs="宋体" w:asciiTheme="minorEastAsia" w:hAnsiTheme="minorEastAsia"/>
                <w:bCs/>
                <w:szCs w:val="21"/>
                <w:highlight w:val="none"/>
                <w:lang w:val="zh-CN"/>
              </w:rPr>
              <w:t>送投标报价及分项报价一览表（包含主要中标标的的名称、规格型号、数量、单价、服务要求等）电子文档，并同时通知代理机构。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color w:val="000000"/>
                <w:kern w:val="0"/>
                <w:szCs w:val="21"/>
                <w:lang w:val="zh-CN"/>
              </w:rPr>
              <w:fldChar w:fldCharType="begin"/>
            </w:r>
            <w:r>
              <w:rPr>
                <w:rFonts w:cs="宋体" w:asciiTheme="minorEastAsia" w:hAnsiTheme="minorEastAsia"/>
                <w:b/>
                <w:color w:val="000000"/>
                <w:kern w:val="0"/>
                <w:szCs w:val="21"/>
                <w:lang w:val="zh-CN"/>
              </w:rPr>
              <w:instrText xml:space="preserve"> </w:instrText>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投标人投标时须提供加密电子投标文件、备份文件（使用电子介质存储）、纸质投标文件。投标人资质、业绩、荣誉及相关人员证明材料等资料原件开标现场不再提供（本招标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□否。投标人投标时须提供纸质投标文件。投标人资质、业绩、荣誉及相关人员证明材料等资料原件根据招标文件要求提供。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hint="eastAsia" w:cs="黑体" w:asciiTheme="minorEastAsia" w:hAnsiTheme="minorEastAsia"/>
                <w:szCs w:val="21"/>
              </w:rPr>
            </w:pPr>
            <w:r>
              <w:rPr>
                <w:rFonts w:hint="eastAsia" w:cs="黑体" w:asciiTheme="minorEastAsia" w:hAnsiTheme="minorEastAsia"/>
                <w:szCs w:val="21"/>
              </w:rPr>
              <w:t>27</w:t>
            </w:r>
          </w:p>
        </w:tc>
        <w:tc>
          <w:tcPr>
            <w:tcW w:w="2268" w:type="dxa"/>
            <w:vAlign w:val="center"/>
          </w:tcPr>
          <w:p>
            <w:pPr>
              <w:autoSpaceDE w:val="0"/>
              <w:autoSpaceDN w:val="0"/>
              <w:adjustRightInd w:val="0"/>
              <w:spacing w:line="360" w:lineRule="auto"/>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特别提示</w:t>
            </w:r>
          </w:p>
        </w:tc>
        <w:tc>
          <w:tcPr>
            <w:tcW w:w="6813" w:type="dxa"/>
            <w:vAlign w:val="center"/>
          </w:tcPr>
          <w:p>
            <w:pPr>
              <w:autoSpaceDE w:val="0"/>
              <w:autoSpaceDN w:val="0"/>
              <w:adjustRightInd w:val="0"/>
              <w:spacing w:line="360" w:lineRule="auto"/>
              <w:contextualSpacing/>
              <w:rPr>
                <w:rFonts w:ascii="ˎ̥" w:hAnsi="ˎ̥"/>
                <w:highlight w:val="none"/>
              </w:rPr>
            </w:pPr>
            <w:r>
              <w:rPr>
                <w:rFonts w:hint="eastAsia" w:ascii="ˎ̥" w:hAnsi="ˎ̥"/>
                <w:highlight w:val="none"/>
              </w:rPr>
              <w:t>按照《关于推进全流程电子化交易和在线监管工作有关问题的通知》（许公管办[2019]3号）规定：</w:t>
            </w:r>
          </w:p>
          <w:p>
            <w:pPr>
              <w:autoSpaceDE w:val="0"/>
              <w:autoSpaceDN w:val="0"/>
              <w:adjustRightInd w:val="0"/>
              <w:spacing w:line="360" w:lineRule="auto"/>
              <w:contextualSpacing/>
              <w:rPr>
                <w:rFonts w:ascii="ˎ̥" w:hAnsi="ˎ̥"/>
                <w:highlight w:val="none"/>
              </w:rPr>
            </w:pPr>
            <w:r>
              <w:rPr>
                <w:rFonts w:hint="eastAsia" w:ascii="ˎ̥" w:hAnsi="ˎ̥"/>
                <w:highlight w:val="none"/>
              </w:rPr>
              <w:t>不同供应商电子投标文件制作硬件特征码（网卡MAC地址、CPU序号、硬盘序列号等）</w:t>
            </w:r>
            <w:r>
              <w:rPr>
                <w:rFonts w:hint="eastAsia" w:ascii="ˎ̥" w:hAnsi="ˎ̥"/>
                <w:highlight w:val="none"/>
                <w:lang w:eastAsia="zh-CN"/>
              </w:rPr>
              <w:t>均一致</w:t>
            </w:r>
            <w:r>
              <w:rPr>
                <w:rFonts w:hint="eastAsia" w:ascii="ˎ̥" w:hAnsi="ˎ̥"/>
                <w:highlight w:val="none"/>
              </w:rPr>
              <w:t>时，视为‘</w:t>
            </w:r>
            <w:r>
              <w:rPr>
                <w:rFonts w:ascii="ˎ̥" w:hAnsi="ˎ̥"/>
                <w:highlight w:val="none"/>
              </w:rPr>
              <w:t>不同</w:t>
            </w:r>
            <w:r>
              <w:rPr>
                <w:rFonts w:hint="eastAsia" w:ascii="ˎ̥" w:hAnsi="ˎ̥"/>
                <w:highlight w:val="none"/>
              </w:rPr>
              <w:t>投标人的投标</w:t>
            </w:r>
            <w:r>
              <w:rPr>
                <w:rFonts w:ascii="ˎ̥" w:hAnsi="ˎ̥"/>
                <w:highlight w:val="none"/>
              </w:rPr>
              <w:t>文件由同一单位或者个人编制</w:t>
            </w:r>
            <w:r>
              <w:rPr>
                <w:rFonts w:hint="eastAsia" w:ascii="ˎ̥" w:hAnsi="ˎ̥"/>
                <w:highlight w:val="none"/>
              </w:rPr>
              <w:t>’或‘</w:t>
            </w:r>
            <w:r>
              <w:rPr>
                <w:rFonts w:ascii="ˎ̥" w:hAnsi="ˎ̥"/>
                <w:highlight w:val="none"/>
              </w:rPr>
              <w:t>不同</w:t>
            </w:r>
            <w:r>
              <w:rPr>
                <w:rFonts w:hint="eastAsia" w:ascii="ˎ̥" w:hAnsi="ˎ̥"/>
                <w:highlight w:val="none"/>
              </w:rPr>
              <w:t>投标人</w:t>
            </w:r>
            <w:r>
              <w:rPr>
                <w:rFonts w:ascii="ˎ̥" w:hAnsi="ˎ̥"/>
                <w:highlight w:val="none"/>
              </w:rPr>
              <w:t>委托同一单位或者个人办理</w:t>
            </w:r>
            <w:r>
              <w:rPr>
                <w:rFonts w:hint="eastAsia" w:ascii="ˎ̥" w:hAnsi="ˎ̥"/>
                <w:highlight w:val="none"/>
              </w:rPr>
              <w:t>响应</w:t>
            </w:r>
            <w:r>
              <w:rPr>
                <w:rFonts w:ascii="ˎ̥" w:hAnsi="ˎ̥"/>
                <w:highlight w:val="none"/>
              </w:rPr>
              <w:t>事宜</w:t>
            </w:r>
            <w:r>
              <w:rPr>
                <w:rFonts w:hint="eastAsia" w:ascii="ˎ̥" w:hAnsi="ˎ̥"/>
                <w:highlight w:val="none"/>
              </w:rPr>
              <w:t>’，其投标无效。</w:t>
            </w:r>
          </w:p>
          <w:p>
            <w:pPr>
              <w:autoSpaceDE w:val="0"/>
              <w:autoSpaceDN w:val="0"/>
              <w:adjustRightInd w:val="0"/>
              <w:spacing w:line="360" w:lineRule="auto"/>
              <w:contextualSpacing/>
              <w:rPr>
                <w:rFonts w:hint="eastAsia" w:hAnsi="宋体" w:cs="宋体"/>
                <w:szCs w:val="21"/>
                <w:highlight w:val="none"/>
                <w:lang w:val="zh-CN"/>
              </w:rPr>
            </w:pPr>
            <w:r>
              <w:rPr>
                <w:rFonts w:hint="eastAsia" w:ascii="ˎ̥" w:hAnsi="ˎ̥"/>
                <w:highlight w:val="none"/>
              </w:rPr>
              <w:t>评审专家应严格按照要求查看“硬件特征码” 相关信息并进行评审，在评审报告中显示“不同投标人电子投标文件制作硬件特征码”是否</w:t>
            </w:r>
            <w:r>
              <w:rPr>
                <w:rFonts w:hint="eastAsia" w:ascii="ˎ̥" w:hAnsi="ˎ̥"/>
                <w:highlight w:val="none"/>
                <w:lang w:eastAsia="zh-CN"/>
              </w:rPr>
              <w:t>均一致</w:t>
            </w:r>
            <w:r>
              <w:rPr>
                <w:rFonts w:hint="eastAsia" w:ascii="ˎ̥" w:hAnsi="ˎ̥"/>
                <w:highlight w:val="none"/>
              </w:rPr>
              <w:t>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both"/>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投标人须知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41"/>
        <w:numPr>
          <w:ilvl w:val="0"/>
          <w:numId w:val="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本招标文件仅适用于本次“投标邀请”中所述采购项目。</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本招标文件解释权属于“投标邀请”所述的采购人。</w:t>
      </w:r>
    </w:p>
    <w:p>
      <w:pPr>
        <w:pStyle w:val="41"/>
        <w:autoSpaceDE w:val="0"/>
        <w:autoSpaceDN w:val="0"/>
        <w:spacing w:line="360" w:lineRule="auto"/>
        <w:ind w:left="780"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pPr>
        <w:pStyle w:val="41"/>
        <w:numPr>
          <w:ilvl w:val="0"/>
          <w:numId w:val="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“采购项目”：“投标人须知前附表”中所述的采购项目。</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”：“投标人须知前附表”中所述的组织本次招标的代理机构和采购人。</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“采购人”：是指依法进行政府采购的国家机关、事业单位、团体组织。采购人名称、     地址、电话、联系人见“投标人须知前附表”。</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“代理机构”：接受采购人委托，代理采购项目的采购代理机构。代理机构名称、地址、 电话、联系人见“投标人须知前附表”。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采购代理机构及其分支机构不得在所代理的采购项目中投标或者代理投标，不得为所代理的采购项目的投标人参加本项目提供投标咨询。</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“潜在投标人”指符合《中华人民共和国政府采购法》及相关法律法规和本招标文件的各项规定，且按照本项目招标公告及招标文件规定的方式获取招标文件的法人、其他组 织或者自然人。</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“投标人”：是指符合《中华人民共和国政府采购法》及相关法律法规和本招标文件的各项规定，响应招标、参加投标竞争，从</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处按规定获取招标文件，并按照招标文件要求向</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提交投标文件的法人、其他组织或者自然人。</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840" w:leftChars="400"/>
        <w:contextualSpacing/>
        <w:rPr>
          <w:rFonts w:cs="宋体" w:asciiTheme="minorEastAsia" w:hAnsiTheme="minorEastAsia"/>
          <w:kern w:val="0"/>
          <w:szCs w:val="21"/>
        </w:rPr>
      </w:pPr>
      <w:r>
        <w:rPr>
          <w:rFonts w:hint="eastAsia" w:cs="宋体" w:asciiTheme="minorEastAsia" w:hAnsiTheme="minorEastAsia"/>
          <w:kern w:val="0"/>
          <w:szCs w:val="21"/>
        </w:rPr>
        <w:t xml:space="preserve">2.7.1  </w:t>
      </w:r>
      <w:r>
        <w:rPr>
          <w:rFonts w:cs="宋体" w:asciiTheme="minorEastAsia" w:hAnsiTheme="minorEastAsia"/>
          <w:kern w:val="0"/>
          <w:szCs w:val="21"/>
        </w:rPr>
        <w:t>招标文件列明不允许或未列明允许进口产品参加投标的，均视为拒绝进口产品参加投标。</w:t>
      </w:r>
    </w:p>
    <w:p>
      <w:pPr>
        <w:autoSpaceDE w:val="0"/>
        <w:autoSpaceDN w:val="0"/>
        <w:spacing w:line="360" w:lineRule="auto"/>
        <w:ind w:left="943" w:leftChars="449"/>
        <w:contextualSpacing/>
        <w:rPr>
          <w:rFonts w:cs="宋体" w:asciiTheme="minorEastAsia" w:hAnsiTheme="minorEastAsia"/>
          <w:kern w:val="0"/>
          <w:szCs w:val="21"/>
        </w:rPr>
      </w:pPr>
      <w:r>
        <w:rPr>
          <w:rFonts w:hint="eastAsia" w:cs="宋体" w:asciiTheme="minorEastAsia" w:hAnsiTheme="minorEastAsia"/>
          <w:kern w:val="0"/>
          <w:szCs w:val="21"/>
        </w:rPr>
        <w:t xml:space="preserve">2.7.2  </w:t>
      </w:r>
      <w:r>
        <w:rPr>
          <w:rFonts w:cs="宋体" w:asciiTheme="minorEastAsia" w:hAnsiTheme="minorEastAsia"/>
          <w:kern w:val="0"/>
          <w:szCs w:val="21"/>
        </w:rPr>
        <w:t>如</w:t>
      </w:r>
      <w:r>
        <w:rPr>
          <w:rFonts w:hint="eastAsia" w:cs="宋体" w:asciiTheme="minorEastAsia" w:hAnsiTheme="minorEastAsia"/>
          <w:kern w:val="0"/>
          <w:szCs w:val="21"/>
        </w:rPr>
        <w:t>招标</w:t>
      </w:r>
      <w:r>
        <w:rPr>
          <w:rFonts w:cs="宋体" w:asciiTheme="minorEastAsia" w:hAnsiTheme="minorEastAsia"/>
          <w:kern w:val="0"/>
          <w:szCs w:val="21"/>
        </w:rPr>
        <w:t>文件中已说明，经财政部门审核同意，允许部分或全部产品采购进口产品，投标人既可提供本国产品，也可以提供进口产品。</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招标文件中凡标有“</w:t>
      </w:r>
      <w:r>
        <w:rPr>
          <w:rFonts w:hint="eastAsia" w:cs="宋体" w:asciiTheme="minorEastAsia" w:hAnsiTheme="minorEastAsia"/>
          <w:color w:val="FF0000"/>
          <w:kern w:val="0"/>
          <w:szCs w:val="21"/>
        </w:rPr>
        <w:t>★</w:t>
      </w:r>
      <w:r>
        <w:rPr>
          <w:rFonts w:hint="eastAsia" w:cs="宋体" w:asciiTheme="minorEastAsia" w:hAnsiTheme="minorEastAsia"/>
          <w:kern w:val="0"/>
          <w:szCs w:val="21"/>
        </w:rPr>
        <w:t>”的条款均系实质性要求条款。</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合格的投标人</w:t>
      </w:r>
    </w:p>
    <w:p>
      <w:pPr>
        <w:pStyle w:val="41"/>
        <w:numPr>
          <w:ilvl w:val="0"/>
          <w:numId w:val="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在中华人民共和国境内注册，具有本项目生产、制造、供应或实施能力，符合、承认并承诺履行本招标文件各项规定的法人、其他组织或者自然人。</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符合本项目“投标邀请”和“投标人须知前附表”中规定的合格投标人所必须具备的条件。</w:t>
      </w:r>
    </w:p>
    <w:p>
      <w:pPr>
        <w:pStyle w:val="41"/>
        <w:numPr>
          <w:ilvl w:val="0"/>
          <w:numId w:val="0"/>
        </w:numPr>
        <w:autoSpaceDE w:val="0"/>
        <w:autoSpaceDN w:val="0"/>
        <w:spacing w:line="360" w:lineRule="auto"/>
        <w:ind w:left="420" w:leftChars="0"/>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 xml:space="preserve">3.3  </w:t>
      </w:r>
      <w:r>
        <w:rPr>
          <w:rFonts w:hint="eastAsia" w:cs="宋体" w:asciiTheme="minorEastAsia" w:hAnsiTheme="minorEastAsia"/>
          <w:kern w:val="0"/>
          <w:szCs w:val="21"/>
        </w:rPr>
        <w:t>政府采购活动中查询及使用投标人信用记录的具体要求为：投标人未被列入失信被执行人、重大税收违法案件当事人名单、政府采购严重违法失信行为记录名单</w:t>
      </w:r>
      <w:r>
        <w:rPr>
          <w:rFonts w:hint="eastAsia" w:cs="宋体" w:asciiTheme="minorEastAsia" w:hAnsiTheme="minorEastAsia"/>
          <w:kern w:val="0"/>
          <w:szCs w:val="21"/>
          <w:lang w:eastAsia="zh-CN"/>
        </w:rPr>
        <w:t>、</w:t>
      </w:r>
      <w:r>
        <w:rPr>
          <w:rFonts w:hint="eastAsia" w:cs="宋体" w:asciiTheme="minorEastAsia" w:hAnsiTheme="minorEastAsia"/>
          <w:kern w:val="0"/>
          <w:szCs w:val="21"/>
          <w:lang w:val="en-US" w:eastAsia="zh-CN"/>
        </w:rPr>
        <w:t>严重违法失信名单。</w:t>
      </w:r>
      <w:r>
        <w:rPr>
          <w:rFonts w:hint="eastAsia" w:cs="宋体" w:asciiTheme="minorEastAsia" w:hAnsiTheme="minorEastAsia"/>
          <w:kern w:val="0"/>
          <w:szCs w:val="21"/>
        </w:rPr>
        <w:t>（联合体形式投标的，联合体成员存在不良信用记录，视同联合体存在不良信用记录）。</w:t>
      </w:r>
    </w:p>
    <w:p>
      <w:pPr>
        <w:pStyle w:val="41"/>
        <w:numPr>
          <w:ilvl w:val="0"/>
          <w:numId w:val="0"/>
        </w:numPr>
        <w:autoSpaceDE w:val="0"/>
        <w:autoSpaceDN w:val="0"/>
        <w:spacing w:line="360" w:lineRule="auto"/>
        <w:ind w:left="420" w:leftChars="0" w:firstLine="420" w:firstLineChars="200"/>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 xml:space="preserve">  （1）查询渠道：“信用中国”网站（www.creditchina.gov.cn）、“中国政府采购网”（www.ccgp.gov.cn）、；“中国社会组织公共服务平台”网站（www.chinanpo.gov.cn）。</w:t>
      </w:r>
      <w:r>
        <w:rPr>
          <w:rFonts w:hint="eastAsia" w:cs="宋体" w:asciiTheme="minorEastAsia" w:hAnsiTheme="minorEastAsia"/>
          <w:kern w:val="0"/>
          <w:szCs w:val="21"/>
        </w:rPr>
        <w:t>；</w:t>
      </w:r>
    </w:p>
    <w:p>
      <w:pPr>
        <w:pStyle w:val="41"/>
        <w:numPr>
          <w:ilvl w:val="0"/>
          <w:numId w:val="0"/>
        </w:numPr>
        <w:autoSpaceDE w:val="0"/>
        <w:autoSpaceDN w:val="0"/>
        <w:spacing w:line="360" w:lineRule="auto"/>
        <w:ind w:left="420" w:leftChars="0" w:firstLine="630" w:firstLineChars="300"/>
        <w:contextualSpacing/>
        <w:rPr>
          <w:rFonts w:hint="eastAsia" w:cs="宋体" w:asciiTheme="minorEastAsia" w:hAnsiTheme="minorEastAsia"/>
          <w:kern w:val="0"/>
          <w:szCs w:val="21"/>
        </w:rPr>
      </w:pPr>
      <w:r>
        <w:rPr>
          <w:rFonts w:hint="eastAsia" w:cs="宋体" w:asciiTheme="minorEastAsia" w:hAnsiTheme="minorEastAsia"/>
          <w:kern w:val="0"/>
          <w:szCs w:val="21"/>
        </w:rPr>
        <w:t>（2）截止时间：同投标截止时间；</w:t>
      </w:r>
    </w:p>
    <w:p>
      <w:pPr>
        <w:pStyle w:val="41"/>
        <w:numPr>
          <w:ilvl w:val="0"/>
          <w:numId w:val="0"/>
        </w:numPr>
        <w:autoSpaceDE w:val="0"/>
        <w:autoSpaceDN w:val="0"/>
        <w:spacing w:line="360" w:lineRule="auto"/>
        <w:ind w:left="420" w:leftChars="0" w:firstLine="630" w:firstLineChars="300"/>
        <w:contextualSpacing/>
        <w:rPr>
          <w:rFonts w:hint="eastAsia" w:cs="宋体" w:asciiTheme="minorEastAsia" w:hAnsiTheme="minorEastAsia"/>
          <w:kern w:val="0"/>
          <w:szCs w:val="21"/>
        </w:rPr>
      </w:pPr>
      <w:r>
        <w:rPr>
          <w:rFonts w:hint="eastAsia" w:cs="宋体" w:asciiTheme="minorEastAsia" w:hAnsiTheme="minorEastAsia"/>
          <w:kern w:val="0"/>
          <w:szCs w:val="21"/>
        </w:rPr>
        <w:t>（3）信用信息查询记录和证据留存具体方式：经采购人确认的查询结果网页截图作为查询记录和证据，与其他采购文件一并保存；</w:t>
      </w:r>
    </w:p>
    <w:p>
      <w:pPr>
        <w:pStyle w:val="41"/>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（4）信用信息的使用原则：经采购人认定的被列入失信被执行人、重大税收违法案件当事人名单、政府采购严重违法失信行为记录名单的投标人，将拒绝其参与本次政府采购活动。</w:t>
      </w:r>
    </w:p>
    <w:p>
      <w:pPr>
        <w:pStyle w:val="41"/>
        <w:autoSpaceDE w:val="0"/>
        <w:autoSpaceDN w:val="0"/>
        <w:spacing w:line="360" w:lineRule="auto"/>
        <w:ind w:left="850" w:leftChars="405" w:firstLine="0"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rPr>
        <w:t>（5）投标人不良信用记录以采购人查询结果为准，采购人查询之后，网站信息发生的任何变更不再作为评审依据，投标人自行提供的与网站信息不一致的其他证明材料亦不作为评审依据。</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单位负责人为同一人或者存在直接控股、管理关系的不同供应商，不得同时参加本项目投标。违反规定的，相关投标均无效。</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为采购项目提供整体设计、规范编制或者项目管理、监理、检测等服务的供应商，不得再参加该采购项目的其他采购活动。</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“投标邀请”和“投标人须知前附表”规定接受联合体投标的，除应符合本章第</w:t>
      </w:r>
      <w:r>
        <w:rPr>
          <w:rFonts w:cs="宋体" w:asciiTheme="minorEastAsia" w:hAnsiTheme="minorEastAsia"/>
          <w:kern w:val="0"/>
          <w:szCs w:val="21"/>
          <w:highlight w:val="none"/>
        </w:rPr>
        <w:t>3.1</w:t>
      </w:r>
      <w:r>
        <w:rPr>
          <w:rFonts w:hint="eastAsia" w:cs="宋体" w:asciiTheme="minorEastAsia" w:hAnsiTheme="minorEastAsia"/>
          <w:kern w:val="0"/>
          <w:szCs w:val="21"/>
          <w:highlight w:val="none"/>
        </w:rPr>
        <w:t>项和3.2项要求外，还应遵守以下规定：</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（1）在投标文件中向采购人提交联合体协议书，明确联合体各方承担的工作和义务；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（2）联合体中有同类资质的供应商按联合体分工承担相同工作的，应当按照资质等级较低的供应商确定资质等级；</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根据采购项目的特殊要求规定投标人特定条件的，联合体各方中至少应当有一方符合采购规定的特定条件。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（4）联合体各方不得再单独参加或者与其他供应商另外组成联合体参加同一合同项下的政府采购活动。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w:t>
      </w: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41"/>
        <w:numPr>
          <w:ilvl w:val="0"/>
          <w:numId w:val="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投标人所提供的服务应当没有侵犯任何第三方的知识产权、技术秘密等合法权利。</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如投标人所投产品被列入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投标人</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投标人</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不论投标的结果如何，投标人均应自行承担所有与投标有关的全部费用，</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在任何情况下均无义务和责任承担这些费用。</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highlight w:val="none"/>
        </w:rPr>
      </w:pPr>
      <w:r>
        <w:rPr>
          <w:rFonts w:hint="eastAsia" w:cs="宋体" w:asciiTheme="minorEastAsia" w:hAnsiTheme="minorEastAsia"/>
          <w:kern w:val="0"/>
          <w:szCs w:val="21"/>
        </w:rPr>
        <w:t>本采购项目需要公开的有关信息，包括招标公告、招标文件澄清或修改公告、中标公告以及延长投标截止时间等与招标活动有关的通知，</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均将通过在《河南省政府采购网》、《全国公共资源交易平台（河南省·许昌市）》、《长葛市人民政府门户网站》公开发布。投标人在参与本采购项目招投标活动期</w:t>
      </w:r>
      <w:r>
        <w:rPr>
          <w:rFonts w:hint="eastAsia" w:cs="宋体" w:asciiTheme="minorEastAsia" w:hAnsiTheme="minorEastAsia"/>
          <w:kern w:val="0"/>
          <w:szCs w:val="21"/>
          <w:highlight w:val="none"/>
        </w:rPr>
        <w:t>间，请及时关注以上媒体上的相关信息，投标人因没有及时关注而未能如期获取相关信息，及因此所产生的一切后果和责任，由投标人自行承担，</w:t>
      </w:r>
      <w:r>
        <w:rPr>
          <w:rFonts w:hint="eastAsia" w:cs="宋体" w:asciiTheme="minorEastAsia" w:hAnsiTheme="minorEastAsia"/>
          <w:kern w:val="0"/>
          <w:szCs w:val="21"/>
          <w:highlight w:val="none"/>
          <w:lang w:eastAsia="zh-CN"/>
        </w:rPr>
        <w:t>采购人</w:t>
      </w:r>
      <w:r>
        <w:rPr>
          <w:rFonts w:hint="eastAsia" w:cs="宋体" w:asciiTheme="minorEastAsia" w:hAnsiTheme="minorEastAsia"/>
          <w:kern w:val="0"/>
          <w:szCs w:val="21"/>
          <w:highlight w:val="none"/>
        </w:rPr>
        <w:t>在任何情况下均不对此承担任何责任。</w:t>
      </w:r>
    </w:p>
    <w:p>
      <w:pPr>
        <w:autoSpaceDE w:val="0"/>
        <w:autoSpaceDN w:val="0"/>
        <w:spacing w:line="360" w:lineRule="auto"/>
        <w:ind w:left="964"/>
        <w:contextualSpacing/>
        <w:rPr>
          <w:rFonts w:cs="宋体" w:asciiTheme="minorEastAsia" w:hAnsiTheme="minorEastAsia"/>
          <w:kern w:val="0"/>
          <w:szCs w:val="21"/>
          <w:highlight w:val="none"/>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highlight w:val="none"/>
        </w:rPr>
      </w:pPr>
      <w:r>
        <w:rPr>
          <w:rFonts w:hint="eastAsia" w:cs="宋体" w:asciiTheme="minorEastAsia" w:hAnsiTheme="minorEastAsia"/>
          <w:b/>
          <w:kern w:val="0"/>
          <w:szCs w:val="21"/>
          <w:highlight w:val="none"/>
        </w:rPr>
        <w:t>采购代理机构代理费用收取标准和方式</w:t>
      </w:r>
    </w:p>
    <w:p>
      <w:pPr>
        <w:pStyle w:val="41"/>
        <w:numPr>
          <w:ilvl w:val="0"/>
          <w:numId w:val="8"/>
        </w:numPr>
        <w:autoSpaceDE w:val="0"/>
        <w:autoSpaceDN w:val="0"/>
        <w:spacing w:line="360" w:lineRule="auto"/>
        <w:ind w:firstLineChars="0"/>
        <w:contextualSpacing/>
        <w:rPr>
          <w:rFonts w:ascii="宋体" w:hAnsi="宋体" w:cs="宋体"/>
          <w:kern w:val="0"/>
          <w:szCs w:val="21"/>
          <w:highlight w:val="none"/>
        </w:rPr>
      </w:pPr>
      <w:r>
        <w:rPr>
          <w:rFonts w:hint="eastAsia" w:ascii="宋体" w:hAnsi="宋体" w:cs="宋体"/>
          <w:kern w:val="0"/>
          <w:szCs w:val="21"/>
          <w:highlight w:val="none"/>
        </w:rPr>
        <w:t>收取标准：收取。详见投标人须知前附表。</w:t>
      </w:r>
    </w:p>
    <w:p>
      <w:pPr>
        <w:pStyle w:val="41"/>
        <w:numPr>
          <w:ilvl w:val="1"/>
          <w:numId w:val="6"/>
        </w:numPr>
        <w:autoSpaceDE w:val="0"/>
        <w:autoSpaceDN w:val="0"/>
        <w:spacing w:line="360" w:lineRule="auto"/>
        <w:ind w:firstLineChars="0"/>
        <w:contextualSpacing/>
        <w:rPr>
          <w:rFonts w:ascii="宋体" w:hAnsi="宋体" w:cs="宋体"/>
          <w:kern w:val="0"/>
          <w:szCs w:val="21"/>
        </w:rPr>
      </w:pPr>
      <w:r>
        <w:rPr>
          <w:rFonts w:hint="eastAsia" w:ascii="宋体" w:hAnsi="宋体" w:cs="宋体"/>
          <w:kern w:val="0"/>
          <w:szCs w:val="21"/>
          <w:highlight w:val="none"/>
        </w:rPr>
        <w:t>收取方式：</w:t>
      </w:r>
      <w:r>
        <w:rPr>
          <w:rFonts w:hint="eastAsia" w:ascii="宋体" w:hAnsi="宋体" w:cs="宋体"/>
          <w:kern w:val="0"/>
          <w:szCs w:val="21"/>
          <w:highlight w:val="none"/>
          <w:lang w:val="zh-CN"/>
        </w:rPr>
        <w:t>中标通知书发出前，以现金或转账形式交纳</w:t>
      </w:r>
      <w:r>
        <w:rPr>
          <w:rFonts w:hint="eastAsia" w:ascii="宋体" w:hAnsi="宋体" w:cs="宋体"/>
          <w:kern w:val="0"/>
          <w:szCs w:val="21"/>
          <w:highlight w:val="none"/>
        </w:rPr>
        <w:t>。</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二、招标文件说明</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招标文件构成</w:t>
      </w:r>
    </w:p>
    <w:p>
      <w:pPr>
        <w:pStyle w:val="41"/>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招标文件由以下部分组成：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（1）投标邀请（招标公告）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（2）项目需求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（3）投标人须知前附表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（4）投标人须知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（6）资格审查与评标</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（7）合同条款及格式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（8）投标文件有关格式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（9）本项目招标文件的澄清、答复、修改、补充内容（如有的话）</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现场考察、开标前答疑会</w:t>
      </w:r>
    </w:p>
    <w:p>
      <w:pPr>
        <w:pStyle w:val="41"/>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根据采购项目的具体情况，可以在招标文件公告期满后，组织已获取招标文件的潜在投标人现场考察或者召开开标前答疑会。</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组织现场考察或者召开开标前答疑会的，所有投标人应按“投标人须知前附表”规定的时间、地点前往参加现场考察或者开标前答疑会。投标人如不参加，其风险由投标人自行承担，</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不承担任何责任。</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组织现场考察或者召开答疑会的，应当在招标文件中载明，或者在招标文件公告期满后在财政部门指定的政府采购信息发布媒体和《全国公共资源交易平台（河南省·许昌市）》发布更正公告。</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在考察现场和开标前答疑会口头介绍的情况，除</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事后形成书面记录、并以澄清或修改公告的形式发布、构成招标文件的组成部分以外，其他内容仅供投标人在编制投标文件时参考，</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不对投标人据此作出的判断和决策负责。</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现场考察及参加开标前答疑会所发生的费用及一切责任由投标人自行承担。</w:t>
      </w:r>
    </w:p>
    <w:p>
      <w:pPr>
        <w:autoSpaceDE w:val="0"/>
        <w:autoSpaceDN w:val="0"/>
        <w:spacing w:line="360" w:lineRule="auto"/>
        <w:ind w:left="42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招标文件的澄清或修改</w:t>
      </w:r>
    </w:p>
    <w:p>
      <w:pPr>
        <w:pStyle w:val="41"/>
        <w:numPr>
          <w:ilvl w:val="0"/>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在投标截止期前，无论出于何种原因，</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可主动地或在解答潜在投标人提出的澄清问题时对招标文件进行修改。</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可以对已发出的招标文件进行必要的澄清或者修改。澄清或者修改的内容可能影响投标文件编制的，</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将在投标截止时间</w:t>
      </w:r>
      <w:r>
        <w:rPr>
          <w:rFonts w:cs="宋体" w:asciiTheme="minorEastAsia" w:hAnsiTheme="minorEastAsia"/>
          <w:kern w:val="0"/>
          <w:szCs w:val="21"/>
        </w:rPr>
        <w:t>15</w:t>
      </w:r>
      <w:r>
        <w:rPr>
          <w:rFonts w:hint="eastAsia" w:cs="宋体" w:asciiTheme="minorEastAsia" w:hAnsiTheme="minorEastAsia"/>
          <w:kern w:val="0"/>
          <w:szCs w:val="21"/>
        </w:rPr>
        <w:t>日前，在财政部门指定的政府采购信息发布媒体和《全国公共资源交易平台（河南省·许昌市）》发布更正公告。</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澄清或修改公告的内容为招标文件的组成部分，并对投标人具有约束力。当招标文件与澄清或修改公告就同一内容的表述不一致时，以最后发出的文件内容为准。</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如果澄清或者修改发出的时间距规定的投标截止时间不足15日，</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将顺延提交投标文件的截止时间。</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三、投标文件的编制</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投标的语言及计量单位</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投标人提交的投标文件以及投标人与</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就有关投标事宜的所有来往书面文件均应使用中文。除签名、盖章、专用名称等特殊情形外，以中文以外的文字表述的投标文件视同未提供。</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投标计量单位，招标文件已有明确规定的，使用招标文件规定的计量单位；招标文件没有规定的，一律采用中华人民共和国法定计量单位。</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投标报价</w:t>
      </w:r>
      <w:r>
        <w:rPr>
          <w:rFonts w:cs="宋体" w:asciiTheme="minorEastAsia" w:hAnsiTheme="minorEastAsia"/>
          <w:b/>
          <w:kern w:val="0"/>
          <w:szCs w:val="21"/>
        </w:rPr>
        <w:t xml:space="preserve"> </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本次招标项目的投标均以人民币为计算单位。</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采购人不得向投标人索要或者接受其给予的赠品、回扣或者与采购无关的其他商品、服务。</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投标人应对项目要求的全部内容进行报价，少报漏报将导致其投标为非实质性响应予以拒绝。</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本项目所涉及的运输、施工、安装、集成、调试、验收、备品和工具等费用均包含在投标报价中。</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本次招标不接受可选择或可调整的投标方案和报价，任何有选择的或可调整的投标方案和报价将被视为非实质性响应投标而作无效投标处理。</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最高限价，且不低于成本价。本次招标实行“最高限价（项目控制金额上限）”,投标人的投标报价高于最高限价（项目控制金额上限）的，该投标人的投标文件将被视为非实质性响应予以拒绝。</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最低报价不能作为中标的保证。</w:t>
      </w:r>
    </w:p>
    <w:p>
      <w:pPr>
        <w:autoSpaceDE w:val="0"/>
        <w:autoSpaceDN w:val="0"/>
        <w:spacing w:line="360" w:lineRule="auto"/>
        <w:ind w:left="42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投标有效期</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投标有效期内投标人撤销投标文件的，</w:t>
      </w:r>
      <w:r>
        <w:rPr>
          <w:rFonts w:hint="eastAsia" w:cs="宋体" w:asciiTheme="minorEastAsia" w:hAnsiTheme="minorEastAsia"/>
          <w:kern w:val="0"/>
          <w:szCs w:val="21"/>
          <w:lang w:eastAsia="zh-CN"/>
        </w:rPr>
        <w:t>投标人将承担相应责任</w:t>
      </w:r>
      <w:r>
        <w:rPr>
          <w:rFonts w:hint="eastAsia" w:cs="宋体" w:asciiTheme="minorEastAsia" w:hAnsiTheme="minorEastAsia"/>
          <w:kern w:val="0"/>
          <w:szCs w:val="21"/>
        </w:rPr>
        <w:t>。</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特殊情况下，在原投标有效期截止之前，</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可要求投标人延长投标有效期。这种要求与答复均应以书面形式提交。投标人可拒绝</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的这种要求，但其投标在原投标有效期期满后将不再有效。同意延长投标有效期的投标人将不会被要求和允许修正其投标。同意延期的投标人在原投标有效期内应享之权利及应负之责任也相应延续。</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中标人的投标文件作为项目合同的附件，其有效期至中标人全部合同义务履行完毕为止。</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投标文件构成</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投标文件的构成应符合法律法规及招标文件的要求。</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投标人应当按照招标文件的要求编制投标文件。投标文件应当对招标文件提出的要求和条件作出明确响应。</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投标文件由资格证明材料、符合性证明材料、其它材料等组成。</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rPr>
        <w:t>投标人根据招标文件的规定和采购项目的实际情</w:t>
      </w:r>
      <w:r>
        <w:rPr>
          <w:rFonts w:hint="eastAsia" w:cs="宋体" w:asciiTheme="minorEastAsia" w:hAnsiTheme="minorEastAsia"/>
          <w:kern w:val="0"/>
          <w:szCs w:val="21"/>
          <w:highlight w:val="none"/>
        </w:rPr>
        <w:t>况，拟在中标后将中标项目的非主体、非关键性工作分包的，应当在投标文件中载明分包承担主体，分包承担主体应当具备相应资质条件且不得再次分包。</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highlight w:val="none"/>
        </w:rPr>
        <w:t>投标人登录许昌公共资源交易系统下载“许昌投标文件制作系统SEARUN 最新版本”，按招标文件要求根据所投标段制作电子投标文件。 一个标段对应生成一个文件夹（xxxx项目xx标段）, 其中包含2个文件和1个文件夹。后缀名为“</w:t>
      </w:r>
      <w:r>
        <w:rPr>
          <w:rFonts w:cs="宋体" w:asciiTheme="minorEastAsia" w:hAnsiTheme="minorEastAsia"/>
          <w:kern w:val="0"/>
          <w:szCs w:val="21"/>
          <w:highlight w:val="none"/>
        </w:rPr>
        <w:t>.file</w:t>
      </w:r>
      <w:r>
        <w:rPr>
          <w:rFonts w:hint="eastAsia" w:cs="宋体" w:asciiTheme="minorEastAsia" w:hAnsiTheme="minorEastAsia"/>
          <w:kern w:val="0"/>
          <w:szCs w:val="21"/>
          <w:highlight w:val="none"/>
        </w:rPr>
        <w:t>”的文件用于电子投标使用，后缀名为“.PDF”的文件用于打印纸质投</w:t>
      </w:r>
      <w:r>
        <w:rPr>
          <w:rFonts w:hint="eastAsia" w:cs="宋体" w:asciiTheme="minorEastAsia" w:hAnsiTheme="minorEastAsia"/>
          <w:kern w:val="0"/>
          <w:szCs w:val="21"/>
        </w:rPr>
        <w:t>标文件，名称为“备份”的文件夹使用电子介质存储，供开标现场备用。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电子投标文件制作技术咨询：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投标文件格式</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应参照招标文件第七部分（投标文件有关格式）的内容要求、编排顺序和格式要求，投标人应按照以上要求将投标文件编上唯一的连贯页码并以A4幅面装订成册，并在投标文件封面上注明：正本/副本、所投项目名称、项目编号、投标人名称、日期等字样。</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投标人应按招标文件提供的格式编写投标文件。招标文件未提供标准格式的投标人可自行拟定。</w:t>
      </w:r>
    </w:p>
    <w:p>
      <w:pPr>
        <w:autoSpaceDE w:val="0"/>
        <w:autoSpaceDN w:val="0"/>
        <w:spacing w:line="360" w:lineRule="auto"/>
        <w:ind w:left="42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投标保证金</w:t>
      </w:r>
    </w:p>
    <w:p>
      <w:pPr>
        <w:pStyle w:val="41"/>
        <w:numPr>
          <w:ilvl w:val="0"/>
          <w:numId w:val="0"/>
        </w:numPr>
        <w:autoSpaceDE w:val="0"/>
        <w:autoSpaceDN w:val="0"/>
        <w:spacing w:line="360" w:lineRule="auto"/>
        <w:ind w:left="420" w:leftChars="0"/>
        <w:contextualSpacing/>
        <w:rPr>
          <w:rFonts w:hint="eastAsia" w:cs="宋体" w:asciiTheme="minorEastAsia" w:hAnsiTheme="minorEastAsia"/>
          <w:kern w:val="0"/>
          <w:szCs w:val="21"/>
        </w:rPr>
      </w:pPr>
      <w:r>
        <w:rPr>
          <w:rFonts w:hint="eastAsia" w:cs="宋体" w:asciiTheme="minorEastAsia" w:hAnsiTheme="minorEastAsia"/>
          <w:kern w:val="0"/>
          <w:szCs w:val="21"/>
          <w:lang w:eastAsia="zh-CN"/>
        </w:rPr>
        <w:t>不收取</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投标文件的数量和签署盖章</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投标人应提交投标文件份数见“投标人须知前附表”。</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在招标文件中已明示需盖章及签名之处，电子投标文件应按招标文件要求加盖投标人电子印章和法人电子印章或授权代表电子印章。</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纸质投标文件是指投标人电子投标文件制作完成后生成的后缀名为“.PDF”的文件打印的投标文件。纸质投标文件正本和副本封面上应清楚标明</w:t>
      </w:r>
      <w:r>
        <w:rPr>
          <w:rFonts w:cs="宋体" w:asciiTheme="minorEastAsia" w:hAnsiTheme="minorEastAsia"/>
          <w:kern w:val="0"/>
          <w:szCs w:val="21"/>
        </w:rPr>
        <w:t>“</w:t>
      </w:r>
      <w:r>
        <w:rPr>
          <w:rFonts w:hint="eastAsia" w:cs="宋体" w:asciiTheme="minorEastAsia" w:hAnsiTheme="minorEastAsia"/>
          <w:kern w:val="0"/>
          <w:szCs w:val="21"/>
        </w:rPr>
        <w:t>正本</w:t>
      </w:r>
      <w:r>
        <w:rPr>
          <w:rFonts w:cs="宋体" w:asciiTheme="minorEastAsia" w:hAnsiTheme="minorEastAsia"/>
          <w:kern w:val="0"/>
          <w:szCs w:val="21"/>
        </w:rPr>
        <w:t>”</w:t>
      </w:r>
      <w:r>
        <w:rPr>
          <w:rFonts w:hint="eastAsia" w:cs="宋体" w:asciiTheme="minorEastAsia" w:hAnsiTheme="minorEastAsia"/>
          <w:kern w:val="0"/>
          <w:szCs w:val="21"/>
        </w:rPr>
        <w:t>或</w:t>
      </w:r>
      <w:r>
        <w:rPr>
          <w:rFonts w:cs="宋体" w:asciiTheme="minorEastAsia" w:hAnsiTheme="minorEastAsia"/>
          <w:kern w:val="0"/>
          <w:szCs w:val="21"/>
        </w:rPr>
        <w:t>“</w:t>
      </w:r>
      <w:r>
        <w:rPr>
          <w:rFonts w:hint="eastAsia" w:cs="宋体" w:asciiTheme="minorEastAsia" w:hAnsiTheme="minorEastAsia"/>
          <w:kern w:val="0"/>
          <w:szCs w:val="21"/>
        </w:rPr>
        <w:t>副本</w:t>
      </w:r>
      <w:r>
        <w:rPr>
          <w:rFonts w:cs="宋体" w:asciiTheme="minorEastAsia" w:hAnsiTheme="minorEastAsia"/>
          <w:kern w:val="0"/>
          <w:szCs w:val="21"/>
        </w:rPr>
        <w:t>”</w:t>
      </w:r>
      <w:r>
        <w:rPr>
          <w:rFonts w:hint="eastAsia" w:cs="宋体" w:asciiTheme="minorEastAsia" w:hAnsiTheme="minorEastAsia"/>
          <w:kern w:val="0"/>
          <w:szCs w:val="21"/>
        </w:rPr>
        <w:t>字样；一旦正本和副本内容不一致时，以正本为准。纸质投标文件的正本及所有副本的封面均须由投标人加盖投标人公章。</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纸质投标文件副本可以是纸质投标文件的正本复印而成。</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四、投标文件的递交</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投标文件的密封</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投标人应将纸质投标文件“正本”、“ 副本”</w:t>
      </w:r>
      <w:r>
        <w:rPr>
          <w:rFonts w:hint="eastAsia" w:cs="宋体" w:asciiTheme="minorEastAsia" w:hAnsiTheme="minorEastAsia"/>
          <w:kern w:val="0"/>
          <w:szCs w:val="21"/>
          <w:lang w:eastAsia="zh-CN"/>
        </w:rPr>
        <w:t>一起</w:t>
      </w:r>
      <w:r>
        <w:rPr>
          <w:rFonts w:hint="eastAsia" w:cs="宋体" w:asciiTheme="minorEastAsia" w:hAnsiTheme="minorEastAsia"/>
          <w:kern w:val="0"/>
          <w:szCs w:val="21"/>
        </w:rPr>
        <w:t>密封包装</w:t>
      </w:r>
      <w:r>
        <w:rPr>
          <w:rFonts w:hint="eastAsia" w:cs="宋体" w:asciiTheme="minorEastAsia" w:hAnsiTheme="minorEastAsia"/>
          <w:kern w:val="0"/>
          <w:szCs w:val="21"/>
          <w:lang w:eastAsia="zh-CN"/>
        </w:rPr>
        <w:t>并在密封处加盖单位公章</w:t>
      </w:r>
      <w:r>
        <w:rPr>
          <w:rFonts w:hint="eastAsia" w:cs="宋体" w:asciiTheme="minorEastAsia" w:hAnsiTheme="minorEastAsia"/>
          <w:kern w:val="0"/>
          <w:szCs w:val="21"/>
        </w:rPr>
        <w:t>。使用电子介质存储的投标文件单独密封包装，并随纸质投标文件一并提交。</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投标文件如果未按规定密封，</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将拒绝接收。</w:t>
      </w:r>
    </w:p>
    <w:p>
      <w:pPr>
        <w:autoSpaceDE w:val="0"/>
        <w:autoSpaceDN w:val="0"/>
        <w:spacing w:line="360" w:lineRule="auto"/>
        <w:ind w:left="42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投标截止时间</w:t>
      </w:r>
    </w:p>
    <w:p>
      <w:pPr>
        <w:pStyle w:val="41"/>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投标人必须在“投标邀请”和“投标人须知前附表”中规定的投标截止时间前，将所有投标文件送达招标文件指定的开标地点。</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收到投标文件后，应当如实记载投标文件的送达时间和密封情况，签收保存，并向投标人出具签收回执。任何单位和个人不得在开标前开启投标文件。</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可以按本须知第10条规定，通过修改招标文件自行决定酌情延长投标截止期。在此情况下，</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和投标人受投标截止期制约的所有权利和义务均应延长至新的截止日期和时间。投标人按</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修改通知规定的时间递交投标文件。</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迟交的投标文件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投标截止时间之后送达/上传的投标文件，</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将拒绝接收。</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投标文件的修改和撤回</w:t>
      </w:r>
    </w:p>
    <w:p>
      <w:pPr>
        <w:pStyle w:val="41"/>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投标人在投标截止时间前，对所递交的纸质投标文件进行补充、修改或者撤回的，须书面通知</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投标人应当在投标截止时间前完成电子投标文件的提交，可以补充、修改或撤回。投标截止时间前未完成电子投标文件提交、取得“投标文件提交回执单”的，视为撤回投标文件。</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投标人补充、修改的内容并作为投标文件的组成部分。补充或修改应当按招标文件要求签署、盖章、密封、递交，并应注明“修改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投标人在递交纸质投标文件后，可以撤回其投标，但投标人必须在规定的投标截止时间前以书面形式告知</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投标人不得在投标有效期内撤销投标文件，否则</w:t>
      </w:r>
      <w:r>
        <w:rPr>
          <w:rFonts w:hint="eastAsia" w:cs="宋体" w:asciiTheme="minorEastAsia" w:hAnsiTheme="minorEastAsia"/>
          <w:kern w:val="0"/>
          <w:szCs w:val="21"/>
          <w:lang w:eastAsia="zh-CN"/>
        </w:rPr>
        <w:t>投标人将承担相应责任</w:t>
      </w:r>
      <w:r>
        <w:rPr>
          <w:rFonts w:hint="eastAsia" w:cs="宋体" w:asciiTheme="minorEastAsia" w:hAnsiTheme="minorEastAsia"/>
          <w:kern w:val="0"/>
          <w:szCs w:val="21"/>
        </w:rPr>
        <w:t>。</w:t>
      </w:r>
    </w:p>
    <w:p>
      <w:pPr>
        <w:autoSpaceDE w:val="0"/>
        <w:autoSpaceDN w:val="0"/>
        <w:spacing w:line="360" w:lineRule="auto"/>
        <w:ind w:left="42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除投标人须知前附表另有规定外，投标人所提交的电子投标文件、纸质投标文件及电子介质存储的备份文件不予退还。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五、开标和评标</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开标</w:t>
      </w:r>
    </w:p>
    <w:p>
      <w:pPr>
        <w:pStyle w:val="41"/>
        <w:numPr>
          <w:ilvl w:val="0"/>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将按招标文件规定的时间和地点组织公开开标。开标由代理机构主持，邀请投标人参加。评标委员会成员不得参加开标活动。</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应当对开标、评标现场活动进行全程录音录像。录音录像应当清晰可辨，音像资料作为采购文件一并存档。</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（1）电子投标文件的解密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全流程电子化交易项目电子投标文件采用双重加密。解密需分标段进行两次解密。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投标人解密：投标人使用本单位CA数字证书远程或现场进行解密。需开标现场使用一体机进行解密的，请在代理机构引导下进行。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代理机构解密：代理机构</w:t>
      </w:r>
      <w:r>
        <w:rPr>
          <w:rFonts w:cs="宋体" w:asciiTheme="minorEastAsia" w:hAnsiTheme="minorEastAsia"/>
          <w:kern w:val="0"/>
          <w:szCs w:val="21"/>
        </w:rPr>
        <w:t>按</w:t>
      </w:r>
      <w:r>
        <w:rPr>
          <w:rFonts w:hint="eastAsia" w:cs="宋体" w:asciiTheme="minorEastAsia" w:hAnsiTheme="minorEastAsia"/>
          <w:kern w:val="0"/>
          <w:szCs w:val="21"/>
        </w:rPr>
        <w:t>电子</w:t>
      </w:r>
      <w:r>
        <w:rPr>
          <w:rFonts w:cs="宋体" w:asciiTheme="minorEastAsia" w:hAnsiTheme="minorEastAsia"/>
          <w:kern w:val="0"/>
          <w:szCs w:val="21"/>
        </w:rPr>
        <w:t>投标</w:t>
      </w:r>
      <w:r>
        <w:rPr>
          <w:rFonts w:hint="eastAsia" w:cs="宋体" w:asciiTheme="minorEastAsia" w:hAnsiTheme="minorEastAsia"/>
          <w:kern w:val="0"/>
          <w:szCs w:val="21"/>
        </w:rPr>
        <w:t>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电子投标文件解密异常情况处理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 因投标人原因电子投标文件解密失败的，由系统技术人员协助投标人将备份文件（电子介质存储）导入系统。若备份文件（电子介质存储）无法导入系统或导入系统仍无法解密的，其投标将被拒绝。</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投标人不足3家的，不得开标。</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开标过程由采购代理机构负责记录，由参加开标的各投标人代表和相关工作人员签字确认后随采购文件一并存档。</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投标人未参加开标的，视同认可开标结果。</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开标结束后，采购人</w:t>
      </w:r>
      <w:r>
        <w:rPr>
          <w:rFonts w:hint="eastAsia" w:cs="宋体" w:asciiTheme="minorEastAsia" w:hAnsiTheme="minorEastAsia"/>
          <w:kern w:val="0"/>
          <w:szCs w:val="21"/>
          <w:lang w:eastAsia="zh-CN"/>
        </w:rPr>
        <w:t>代表</w:t>
      </w:r>
      <w:r>
        <w:rPr>
          <w:rFonts w:hint="eastAsia" w:cs="宋体" w:asciiTheme="minorEastAsia" w:hAnsiTheme="minorEastAsia"/>
          <w:kern w:val="0"/>
          <w:szCs w:val="21"/>
          <w:lang w:val="en-US" w:eastAsia="zh-CN"/>
        </w:rPr>
        <w:t>1人</w:t>
      </w:r>
      <w:r>
        <w:rPr>
          <w:rFonts w:hint="eastAsia" w:cs="宋体" w:asciiTheme="minorEastAsia" w:hAnsiTheme="minorEastAsia"/>
          <w:kern w:val="0"/>
          <w:szCs w:val="21"/>
        </w:rPr>
        <w:t>依法对投标人的资格进行审查。合格投标人不足3家的，不得评标。</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highlight w:val="none"/>
        </w:rPr>
      </w:pPr>
      <w:r>
        <w:rPr>
          <w:rFonts w:hint="eastAsia" w:cs="宋体" w:asciiTheme="minorEastAsia" w:hAnsiTheme="minorEastAsia"/>
          <w:b/>
          <w:kern w:val="0"/>
          <w:szCs w:val="21"/>
        </w:rPr>
        <w:t>评标委员会的组成</w:t>
      </w:r>
    </w:p>
    <w:p>
      <w:pPr>
        <w:pStyle w:val="41"/>
        <w:numPr>
          <w:ilvl w:val="0"/>
          <w:numId w:val="14"/>
        </w:numPr>
        <w:autoSpaceDE w:val="0"/>
        <w:autoSpaceDN w:val="0"/>
        <w:spacing w:line="360" w:lineRule="auto"/>
        <w:ind w:firstLineChars="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lang w:eastAsia="zh-CN"/>
        </w:rPr>
        <w:t>采购</w:t>
      </w:r>
      <w:r>
        <w:rPr>
          <w:rFonts w:hint="eastAsia" w:cs="宋体" w:asciiTheme="minorEastAsia" w:hAnsiTheme="minorEastAsia"/>
          <w:kern w:val="0"/>
          <w:szCs w:val="21"/>
          <w:highlight w:val="none"/>
        </w:rPr>
        <w:t>人将依法组建评标委员会，评标委员会由采购人代表</w:t>
      </w:r>
      <w:r>
        <w:rPr>
          <w:rFonts w:hint="eastAsia" w:cs="宋体" w:asciiTheme="minorEastAsia" w:hAnsiTheme="minorEastAsia"/>
          <w:kern w:val="0"/>
          <w:szCs w:val="21"/>
          <w:highlight w:val="none"/>
          <w:lang w:val="en-US" w:eastAsia="zh-CN"/>
        </w:rPr>
        <w:t>1人</w:t>
      </w:r>
      <w:r>
        <w:rPr>
          <w:rFonts w:hint="eastAsia" w:cs="宋体" w:asciiTheme="minorEastAsia" w:hAnsiTheme="minorEastAsia"/>
          <w:kern w:val="0"/>
          <w:szCs w:val="21"/>
          <w:highlight w:val="none"/>
        </w:rPr>
        <w:t>和评审专家</w:t>
      </w:r>
      <w:r>
        <w:rPr>
          <w:rFonts w:hint="eastAsia" w:cs="宋体" w:asciiTheme="minorEastAsia" w:hAnsiTheme="minorEastAsia"/>
          <w:kern w:val="0"/>
          <w:szCs w:val="21"/>
          <w:highlight w:val="none"/>
          <w:lang w:val="en-US" w:eastAsia="zh-CN"/>
        </w:rPr>
        <w:t>4人</w:t>
      </w:r>
      <w:r>
        <w:rPr>
          <w:rFonts w:hint="eastAsia" w:cs="宋体" w:asciiTheme="minorEastAsia" w:hAnsiTheme="minorEastAsia"/>
          <w:kern w:val="0"/>
          <w:szCs w:val="21"/>
          <w:highlight w:val="none"/>
        </w:rPr>
        <w:t>组成，成员人数应当为5人以上单数，其中评审专家的人数不少于评标委员会成员总数的三分之二。评审专家依法从政府采购评审专家库中随机抽取。</w:t>
      </w:r>
    </w:p>
    <w:p>
      <w:pPr>
        <w:autoSpaceDE w:val="0"/>
        <w:autoSpaceDN w:val="0"/>
        <w:spacing w:line="360" w:lineRule="auto"/>
        <w:ind w:left="991" w:leftChars="202" w:hanging="567" w:hangingChars="27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 xml:space="preserve">26.1.1 </w:t>
      </w:r>
      <w:r>
        <w:rPr>
          <w:rFonts w:hint="eastAsia" w:cs="宋体" w:asciiTheme="minorEastAsia" w:hAnsiTheme="minorEastAsia"/>
          <w:kern w:val="0"/>
          <w:szCs w:val="21"/>
          <w:highlight w:val="none"/>
          <w:lang w:eastAsia="zh-CN"/>
        </w:rPr>
        <w:t>采购</w:t>
      </w:r>
      <w:r>
        <w:rPr>
          <w:rFonts w:hint="eastAsia" w:cs="宋体" w:asciiTheme="minorEastAsia" w:hAnsiTheme="minorEastAsia"/>
          <w:kern w:val="0"/>
          <w:szCs w:val="21"/>
          <w:highlight w:val="none"/>
        </w:rPr>
        <w:t>人将依法组建评标委员会，评标委员会由评审专家组成，成员人数应当为5人以上单数。评审专家依法从政府采购评审专家库中随机抽取。</w:t>
      </w:r>
    </w:p>
    <w:p>
      <w:pPr>
        <w:autoSpaceDE w:val="0"/>
        <w:autoSpaceDN w:val="0"/>
        <w:spacing w:line="360" w:lineRule="auto"/>
        <w:ind w:left="426"/>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26.1.2  采购项目符合下列情形之一的，评标委员会成员人数应当为7人以上单数：</w:t>
      </w:r>
    </w:p>
    <w:p>
      <w:pPr>
        <w:autoSpaceDE w:val="0"/>
        <w:autoSpaceDN w:val="0"/>
        <w:spacing w:line="360" w:lineRule="auto"/>
        <w:ind w:left="964"/>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（1）采购预算金额在1000万元以上；</w:t>
      </w:r>
    </w:p>
    <w:p>
      <w:pPr>
        <w:autoSpaceDE w:val="0"/>
        <w:autoSpaceDN w:val="0"/>
        <w:spacing w:line="360" w:lineRule="auto"/>
        <w:ind w:left="964"/>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（2）技术复杂；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（3）社会影响较大。</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评审专家对本单位的采购项目只能作为采购人代表参与评标。采购代理机构工作人员不得参加由本机构代理的政府采购项目的评标。</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评审专家与投标人存在下列利害关系之一的,应当回避:</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（1）参加采购活动前三年内,与供应商存在劳动关系,或者担任过供应商的董事、监事,或者是供应商的控股股东或实际控制人；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（2）与供应商的法定代表人或者负责人有夫妻、直系血亲、三代以内旁系血亲或者近姻亲关系；</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（3）与供应商有其他可能影响政府采购活动公平、公正进行的关系。</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评审专家发现本人与参加采购活动的供应商有利害关系的,应当主动提出回避。采购人或者代理机构发现评审专家与参加采购活动的供应商有利害关系的,应当要求其回避。</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采购人不得担任评标小组长。</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采购人可以在评标前说明项目背景和采购需求，说明内容不得含有歧视性、倾向性意见，不得超出招标文件所述范围。说明应当提交书面材料，并随采购文件一并存档。</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评标委员会成员名单在评标结果公告前应当保密。</w:t>
      </w:r>
    </w:p>
    <w:p>
      <w:pPr>
        <w:autoSpaceDE w:val="0"/>
        <w:autoSpaceDN w:val="0"/>
        <w:spacing w:line="360" w:lineRule="auto"/>
        <w:ind w:left="42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符合性审查</w:t>
      </w:r>
    </w:p>
    <w:p>
      <w:pPr>
        <w:pStyle w:val="41"/>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评标委员会依据有关法律法规和招标文件的规定，对符合资格的投标人的投标文件进行符合性审查，以确定其是否满足招标文件的实质性要求。</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审查、评价投标文件是否符合招标文件的商务、技术等实质性要求。</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可要求投标人对投标文件有关事项作出澄清或者说明。</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投标文件的澄清</w:t>
      </w:r>
    </w:p>
    <w:p>
      <w:pPr>
        <w:pStyle w:val="41"/>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对于投标文件中含义不明确、同类问题表述不一致或者有明显文字和计算错误的内容，评标委员会应当以书面形式要求投标人作出必要的澄清、说明或者补正。</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投标人的澄清文件是其投标文件的组成部分。</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投标文件报价出现前后不一致的修正</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（1）投标文件中开标一览表(报价表)内容与投标文件中相应内容不一致的，以开标一览表(报价表)为准；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（2）大写金额和小写金额不一致的，以大写金额为准；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单价金额小数点或者百分比有明显错位的，以开标一览表的总价为准，并修改单价；</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 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投标无效情形</w:t>
      </w:r>
    </w:p>
    <w:p>
      <w:pPr>
        <w:pStyle w:val="41"/>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投标文件属下列情况之一的，按照无效投标处理：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 投标文件未按招标文件要求签署、盖章的；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2</w:t>
      </w:r>
      <w:r>
        <w:rPr>
          <w:rFonts w:hint="eastAsia" w:cs="宋体" w:asciiTheme="minorEastAsia" w:hAnsiTheme="minorEastAsia"/>
          <w:kern w:val="0"/>
          <w:szCs w:val="21"/>
        </w:rPr>
        <w:t>） 不具备招标文件中规定的资格要求的；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val="en-US" w:eastAsia="zh-CN"/>
        </w:rPr>
        <w:t>3</w:t>
      </w:r>
      <w:r>
        <w:rPr>
          <w:rFonts w:hint="eastAsia" w:cs="宋体" w:asciiTheme="minorEastAsia" w:hAnsiTheme="minorEastAsia"/>
          <w:kern w:val="0"/>
          <w:szCs w:val="21"/>
        </w:rPr>
        <w:t>） 报价超过招标文件中规定的预算金额或者最高限价的；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（5） </w:t>
      </w:r>
      <w:r>
        <w:rPr>
          <w:rFonts w:cs="宋体" w:asciiTheme="minorEastAsia" w:hAnsiTheme="minorEastAsia"/>
          <w:kern w:val="0"/>
          <w:szCs w:val="21"/>
        </w:rPr>
        <w:t>投标文件含有采购人不能接受的附加条件的</w:t>
      </w:r>
      <w:r>
        <w:rPr>
          <w:rFonts w:hint="eastAsia" w:cs="宋体" w:asciiTheme="minorEastAsia" w:hAnsiTheme="minorEastAsia"/>
          <w:kern w:val="0"/>
          <w:szCs w:val="21"/>
        </w:rPr>
        <w:t>。</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有下列情形之一的，视为投标人串通投标，其投标无效：</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不同投标人的投标文件由同一单位或者个人编制；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不同投标人委托同一单位或者个人办理投标事宜；</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不同投标人的投标文件载明的项目管理成员或者联系人员为同一人；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 不同投标人的投标文件异常一致或者投标报价呈规律性差异；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 不同投标人的投标文件相互混装；</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highlight w:val="none"/>
        </w:rPr>
      </w:pPr>
      <w:r>
        <w:rPr>
          <w:rFonts w:hint="eastAsia" w:ascii="ˎ̥" w:hAnsi="ˎ̥"/>
          <w:highlight w:val="none"/>
        </w:rPr>
        <w:t>按照《关于推进全流程电子化交易和在线监管工作有关问题的通知》（许公管办[2019]3号）规定，不同投标人电子投标文件制作硬件特征码（网卡MAC地址、CPU序号、硬盘序列号等）雷同时，视为‘</w:t>
      </w:r>
      <w:r>
        <w:rPr>
          <w:rFonts w:ascii="ˎ̥" w:hAnsi="ˎ̥"/>
          <w:highlight w:val="none"/>
        </w:rPr>
        <w:t>不同</w:t>
      </w:r>
      <w:r>
        <w:rPr>
          <w:rFonts w:hint="eastAsia" w:ascii="ˎ̥" w:hAnsi="ˎ̥"/>
          <w:highlight w:val="none"/>
        </w:rPr>
        <w:t>投标人</w:t>
      </w:r>
      <w:r>
        <w:rPr>
          <w:rFonts w:ascii="ˎ̥" w:hAnsi="ˎ̥"/>
          <w:highlight w:val="none"/>
        </w:rPr>
        <w:t>的</w:t>
      </w:r>
      <w:r>
        <w:rPr>
          <w:rFonts w:hint="eastAsia" w:ascii="ˎ̥" w:hAnsi="ˎ̥"/>
          <w:highlight w:val="none"/>
        </w:rPr>
        <w:t>投标</w:t>
      </w:r>
      <w:r>
        <w:rPr>
          <w:rFonts w:ascii="ˎ̥" w:hAnsi="ˎ̥"/>
          <w:highlight w:val="none"/>
        </w:rPr>
        <w:t>文件由同一单位或者个人编制</w:t>
      </w:r>
      <w:r>
        <w:rPr>
          <w:rFonts w:hint="eastAsia" w:ascii="ˎ̥" w:hAnsi="ˎ̥"/>
          <w:highlight w:val="none"/>
        </w:rPr>
        <w:t>’或‘</w:t>
      </w:r>
      <w:r>
        <w:rPr>
          <w:rFonts w:ascii="ˎ̥" w:hAnsi="ˎ̥"/>
          <w:highlight w:val="none"/>
        </w:rPr>
        <w:t>不同</w:t>
      </w:r>
      <w:r>
        <w:rPr>
          <w:rFonts w:hint="eastAsia" w:ascii="ˎ̥" w:hAnsi="ˎ̥"/>
          <w:highlight w:val="none"/>
        </w:rPr>
        <w:t>投标人</w:t>
      </w:r>
      <w:r>
        <w:rPr>
          <w:rFonts w:ascii="ˎ̥" w:hAnsi="ˎ̥"/>
          <w:highlight w:val="none"/>
        </w:rPr>
        <w:t>委托同一单位或者个人办理</w:t>
      </w:r>
      <w:r>
        <w:rPr>
          <w:rFonts w:hint="eastAsia" w:ascii="ˎ̥" w:hAnsi="ˎ̥"/>
          <w:highlight w:val="none"/>
        </w:rPr>
        <w:t>响应</w:t>
      </w:r>
      <w:r>
        <w:rPr>
          <w:rFonts w:ascii="ˎ̥" w:hAnsi="ˎ̥"/>
          <w:highlight w:val="none"/>
        </w:rPr>
        <w:t>事宜</w:t>
      </w:r>
      <w:r>
        <w:rPr>
          <w:rFonts w:hint="eastAsia" w:ascii="ˎ̥" w:hAnsi="ˎ̥"/>
          <w:highlight w:val="none"/>
        </w:rPr>
        <w:t>’，其投标无效。</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highlight w:val="none"/>
        </w:rPr>
      </w:pPr>
      <w:r>
        <w:rPr>
          <w:rFonts w:cs="宋体" w:asciiTheme="minorEastAsia" w:hAnsiTheme="minorEastAsia"/>
          <w:kern w:val="0"/>
          <w:szCs w:val="21"/>
          <w:highlight w:val="none"/>
        </w:rPr>
        <w:t>法律、法规和招标文件规定的其他无效情形。</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相同品牌投标人的认定</w:t>
      </w:r>
      <w:r>
        <w:rPr>
          <w:rFonts w:cs="仿宋_GB2312" w:asciiTheme="minorEastAsia" w:hAnsiTheme="minorEastAsia"/>
          <w:b/>
          <w:bCs/>
          <w:szCs w:val="21"/>
          <w:lang w:val="zh-CN"/>
        </w:rPr>
        <w:t>（服务类项目不适用本条款规定）</w:t>
      </w:r>
    </w:p>
    <w:p>
      <w:pPr>
        <w:pStyle w:val="41"/>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使用综合评分法的采购项目，</w:t>
      </w:r>
      <w:r>
        <w:rPr>
          <w:rFonts w:hint="eastAsia" w:cs="宋体" w:asciiTheme="minorEastAsia" w:hAnsiTheme="minorEastAsia"/>
          <w:kern w:val="0"/>
          <w:szCs w:val="21"/>
          <w:lang w:eastAsia="zh-CN"/>
        </w:rPr>
        <w:t>核心产品</w:t>
      </w:r>
      <w:r>
        <w:rPr>
          <w:rFonts w:hint="eastAsia" w:cs="宋体" w:asciiTheme="minorEastAsia" w:hAnsiTheme="minorEastAsia"/>
          <w:kern w:val="0"/>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投标文件的比较与评价</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评标委员会按照招标文件中规定的评标方法和标准，对符合性审查合格的投标文件进行商务和技术评估，综合比较与评价。</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评标方法、评标标准</w:t>
      </w:r>
    </w:p>
    <w:p>
      <w:pPr>
        <w:pStyle w:val="41"/>
        <w:numPr>
          <w:ilvl w:val="0"/>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评标方法分为最低评标价法和综合评分法。</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最低评标价法</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最低评标价法，是指投标文件满足招标文件全部实质性要求，且投标报价最低的投标人为中标候选人的评标方法。</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采用最低评标价法评标时，除了算术修正和落实政府采购政策需进行的价格扣除外，不能对投标人的投标价格进行任何调整。</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综合评分法，是指投标文件满足招标文件全部实质性要求，且按照评审因素的量化指标评审得分最高的投标人为中标候选人的评标方法。</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价格分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价格分采用低价优先法计算，即满足招标文件要求且投标价格最低的投标报价为评标基准价，其价格分为满分。其他投标人的价格分统一按照下列公式计算：</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投标报价得分=(评标基准价/投标报价)×100</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评标总得分=F1×A1+F2×A2+……+Fn×An</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F1、F2……Fn分别为各项评审因素的得分;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A1、A2、……An 分别为各项评审因素所占的权重(A1+A2+……+An=1)。</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评标过程中，不得去掉报价中的最高报价和最低报价。</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因落实政府采购政策进行价格调整的，以调整后的价格计算评标基准价和投标报价。</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b/>
          <w:kern w:val="0"/>
          <w:szCs w:val="21"/>
        </w:rPr>
        <w:t>本次评标具体评标方法、评标标准见（第六章 资格审查与评标）</w:t>
      </w:r>
      <w:r>
        <w:rPr>
          <w:rFonts w:hint="eastAsia" w:cs="宋体" w:asciiTheme="minorEastAsia" w:hAnsiTheme="minorEastAsia"/>
          <w:kern w:val="0"/>
          <w:szCs w:val="21"/>
        </w:rPr>
        <w:t>。</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推荐中标候选人</w:t>
      </w:r>
    </w:p>
    <w:p>
      <w:pPr>
        <w:pStyle w:val="41"/>
        <w:numPr>
          <w:ilvl w:val="0"/>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采用最低评标价法的，评标结果按投标报价由低到高顺序排列。投标报价相同的并列。投标文件满足招标文件全部实质性要求且投标报价最低的投标人为排名第一的中标候选人。</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评审意见无效情形</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评标委员会及其成员有下列行为之一的，其评审意见无效：</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确定参与评标至评标结束前私自接触投标人；</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接受投标人提出的与投标文件不一致的澄清或者说明，《投标人须知》26条规定的情形除外；</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 违反评标纪律发表倾向性意见或者征询采购人的倾向性意见；</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 对需要专业判断的主观评审因素协商评分；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 在评标过程中擅离职守，影响评标程序正常进行的；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 记录、复制或者带走任何评标资料；</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 其他不遵守评标纪律的行为。</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保密</w:t>
      </w:r>
    </w:p>
    <w:p>
      <w:pPr>
        <w:pStyle w:val="41"/>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评审专家应当遵守评审工作纪律，不得泄露评审文件、评审情况和评审中获悉的商业秘密。</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六、定标和授予合同</w:t>
      </w: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确定中标人</w:t>
      </w:r>
    </w:p>
    <w:p>
      <w:pPr>
        <w:pStyle w:val="41"/>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采购人应当自收到评标报告之日起5个工作日内，在评标报告确定的中标候选人名单中按顺序确定中标人。中标候选人并列的，由采购人采取随机抽取的方式确定。</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采购人在收到评标报告5个工作日内未按评标报告推荐的中标候选人顺序确定中标人，又不能说明合法理由的，视同按评标报告推荐的顺序确定排名第一的中标候选人为中标人。</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中标公告、发出中标通知书</w:t>
      </w:r>
    </w:p>
    <w:p>
      <w:pPr>
        <w:pStyle w:val="41"/>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采购人确认中标人后，</w:t>
      </w:r>
      <w:r>
        <w:rPr>
          <w:rFonts w:hint="eastAsia" w:cs="宋体" w:asciiTheme="minorEastAsia" w:hAnsiTheme="minorEastAsia"/>
          <w:kern w:val="0"/>
          <w:szCs w:val="21"/>
          <w:lang w:eastAsia="zh-CN"/>
        </w:rPr>
        <w:t>采购人</w:t>
      </w:r>
      <w:r>
        <w:rPr>
          <w:rFonts w:hint="eastAsia" w:cs="宋体" w:asciiTheme="minorEastAsia" w:hAnsiTheme="minorEastAsia"/>
          <w:kern w:val="0"/>
          <w:szCs w:val="21"/>
        </w:rPr>
        <w:t>在公告中标结果的同时，向中标人发出中标通知书。</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中标通知书发出后，采购人不得违法改变中标结果，中标人无正当理由不得放弃中标。</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中标人在接到中标通知时，须向代理机构发送投标报价及分项报价一览表（包含主要中标标的的名称、规格型号、数量、单价、服务要求等）电子文档，并同时通知代理机构联系人。</w:t>
      </w:r>
    </w:p>
    <w:p>
      <w:pPr>
        <w:pStyle w:val="41"/>
        <w:autoSpaceDE w:val="0"/>
        <w:autoSpaceDN w:val="0"/>
        <w:spacing w:line="360" w:lineRule="auto"/>
        <w:ind w:left="964" w:firstLine="0" w:firstLineChars="0"/>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41"/>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供应商认为采购文件、采购过程和中标结果使自己的权益受到损害的，可以按照《政府采购质疑和投诉办法》（财政部令第94号）提出质疑。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 对采购文件提出质疑的，</w:t>
      </w:r>
      <w:r>
        <w:rPr>
          <w:rFonts w:cs="宋体" w:asciiTheme="minorEastAsia" w:hAnsiTheme="minorEastAsia"/>
          <w:kern w:val="0"/>
          <w:szCs w:val="21"/>
        </w:rPr>
        <w:t>潜在</w:t>
      </w:r>
      <w:r>
        <w:rPr>
          <w:rFonts w:hint="eastAsia" w:cs="宋体" w:asciiTheme="minorEastAsia" w:hAnsiTheme="minorEastAsia"/>
          <w:kern w:val="0"/>
          <w:szCs w:val="21"/>
        </w:rPr>
        <w:t>投标人应</w:t>
      </w:r>
      <w:r>
        <w:rPr>
          <w:rFonts w:cs="宋体" w:asciiTheme="minorEastAsia" w:hAnsiTheme="minorEastAsia"/>
          <w:kern w:val="0"/>
          <w:szCs w:val="21"/>
        </w:rPr>
        <w:t>已依法获取采购文件</w:t>
      </w:r>
      <w:r>
        <w:rPr>
          <w:rFonts w:hint="eastAsia" w:cs="宋体" w:asciiTheme="minorEastAsia" w:hAnsiTheme="minorEastAsia"/>
          <w:kern w:val="0"/>
          <w:szCs w:val="21"/>
        </w:rPr>
        <w:t>，且应当在</w:t>
      </w:r>
      <w:r>
        <w:rPr>
          <w:rFonts w:cs="宋体" w:asciiTheme="minorEastAsia" w:hAnsiTheme="minorEastAsia"/>
          <w:kern w:val="0"/>
          <w:szCs w:val="21"/>
        </w:rPr>
        <w:t>获取采购文件或者采购文件公告期限届满之日起7个工作日内</w:t>
      </w:r>
      <w:r>
        <w:rPr>
          <w:rFonts w:hint="eastAsia" w:cs="宋体" w:asciiTheme="minorEastAsia" w:hAnsiTheme="minorEastAsia"/>
          <w:kern w:val="0"/>
          <w:szCs w:val="21"/>
        </w:rPr>
        <w:t>通过《全国公共资源交易平台（河南省·许昌市）》一次性提出，提出后联系招标公告中集采机构联系人查看，并同时将符合《政府采购质疑和投诉办法》第十二条规定的纸质质疑函和必要的证明材料一式两份送采购单位，如未提出视为全面接受；</w:t>
      </w:r>
      <w:r>
        <w:rPr>
          <w:rFonts w:hint="eastAsia" w:cs="宋体" w:asciiTheme="minorEastAsia" w:hAnsiTheme="minorEastAsia"/>
          <w:kern w:val="0"/>
          <w:szCs w:val="21"/>
        </w:rPr>
        <w:br w:type="textWrapping"/>
      </w:r>
      <w:r>
        <w:rPr>
          <w:rFonts w:hint="eastAsia" w:cs="宋体" w:asciiTheme="minorEastAsia" w:hAnsiTheme="minorEastAsia"/>
          <w:kern w:val="0"/>
          <w:szCs w:val="21"/>
        </w:rPr>
        <w:t>（2） 对采购过程提出质疑的，为各采购程序环节结束之日起七个工作日内，以书面形式向采购人和采购代理机构一次性提出；</w:t>
      </w:r>
      <w:r>
        <w:rPr>
          <w:rFonts w:hint="eastAsia" w:cs="宋体" w:asciiTheme="minorEastAsia" w:hAnsiTheme="minorEastAsia"/>
          <w:kern w:val="0"/>
          <w:szCs w:val="21"/>
        </w:rPr>
        <w:br w:type="textWrapping"/>
      </w:r>
      <w:r>
        <w:rPr>
          <w:rFonts w:hint="eastAsia" w:cs="宋体" w:asciiTheme="minorEastAsia" w:hAnsiTheme="minorEastAsia"/>
          <w:kern w:val="0"/>
          <w:szCs w:val="21"/>
        </w:rPr>
        <w:t>（3） 对中标结果提出质疑的，为中标结果公告期限届满之日起七个工作日内，以书面形式向采购人和采购代理机构一次性提出。</w:t>
      </w:r>
    </w:p>
    <w:p>
      <w:pPr>
        <w:pStyle w:val="41"/>
        <w:numPr>
          <w:ilvl w:val="1"/>
          <w:numId w:val="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采购人、采购代理机构认为供应商质疑不成立，或者成立但未对中标结果构成影响的，继续开展采购活动；认为供应商质疑成立且影响或者可能影响中标结果的，按照下列情况处理：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（1） </w:t>
      </w:r>
      <w:r>
        <w:rPr>
          <w:rFonts w:cs="宋体" w:asciiTheme="minorEastAsia" w:hAnsiTheme="minorEastAsia"/>
          <w:kern w:val="0"/>
          <w:szCs w:val="21"/>
        </w:rPr>
        <w:t>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 xml:space="preserve">（2） </w:t>
      </w:r>
      <w:r>
        <w:rPr>
          <w:rFonts w:cs="宋体" w:asciiTheme="minorEastAsia" w:hAnsiTheme="minorEastAsia"/>
          <w:kern w:val="0"/>
          <w:szCs w:val="21"/>
        </w:rPr>
        <w:t>对采购过程、中标结果提出的质疑，合格供应商符合法定数量时，可以从合格的中标</w:t>
      </w:r>
      <w:r>
        <w:rPr>
          <w:rFonts w:hint="eastAsia" w:cs="宋体" w:asciiTheme="minorEastAsia" w:hAnsiTheme="minorEastAsia"/>
          <w:kern w:val="0"/>
          <w:szCs w:val="21"/>
        </w:rPr>
        <w:t>候选人</w:t>
      </w:r>
      <w:r>
        <w:rPr>
          <w:rFonts w:cs="宋体" w:asciiTheme="minorEastAsia" w:hAnsiTheme="minorEastAsia"/>
          <w:kern w:val="0"/>
          <w:szCs w:val="21"/>
        </w:rPr>
        <w:t>中另行确定中标供应商的，应当依法另行确定中标供应商；否则应当重新开展采购活动。</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ind w:left="964"/>
        <w:contextualSpacing/>
        <w:rPr>
          <w:rFonts w:cs="宋体" w:asciiTheme="minorEastAsia" w:hAnsiTheme="minorEastAsia"/>
          <w:kern w:val="0"/>
          <w:szCs w:val="21"/>
        </w:rPr>
      </w:pPr>
    </w:p>
    <w:p>
      <w:pPr>
        <w:pStyle w:val="41"/>
        <w:numPr>
          <w:ilvl w:val="0"/>
          <w:numId w:val="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w:t>
      </w:r>
      <w:r>
        <w:rPr>
          <w:rFonts w:hint="eastAsia" w:cs="宋体" w:asciiTheme="minorEastAsia" w:hAnsiTheme="minorEastAsia"/>
          <w:b/>
          <w:kern w:val="0"/>
          <w:szCs w:val="21"/>
          <w:lang w:eastAsia="zh-CN"/>
        </w:rPr>
        <w:t>担保</w:t>
      </w:r>
    </w:p>
    <w:p>
      <w:pPr>
        <w:spacing w:line="400" w:lineRule="exact"/>
        <w:ind w:firstLine="840" w:firstLineChars="400"/>
        <w:rPr>
          <w:rFonts w:hint="eastAsia" w:ascii="宋体" w:hAnsi="宋体"/>
          <w:szCs w:val="21"/>
        </w:rPr>
      </w:pPr>
      <w:r>
        <w:rPr>
          <w:rFonts w:hint="eastAsia" w:ascii="宋体" w:hAnsi="宋体"/>
          <w:szCs w:val="21"/>
        </w:rPr>
        <w:t>在签订合同前，中标人应按供应商“ 投标人须知前附表”提交履约</w:t>
      </w:r>
      <w:r>
        <w:rPr>
          <w:rFonts w:hint="eastAsia" w:ascii="宋体" w:hAnsi="宋体"/>
          <w:szCs w:val="21"/>
          <w:lang w:eastAsia="zh-CN"/>
        </w:rPr>
        <w:t>担保</w:t>
      </w:r>
      <w:r>
        <w:rPr>
          <w:rFonts w:hint="eastAsia" w:ascii="宋体" w:hAnsi="宋体"/>
          <w:szCs w:val="21"/>
        </w:rPr>
        <w:t>。</w:t>
      </w:r>
    </w:p>
    <w:p>
      <w:pPr>
        <w:spacing w:line="400" w:lineRule="exact"/>
        <w:rPr>
          <w:rFonts w:hint="eastAsia"/>
          <w:szCs w:val="21"/>
        </w:rPr>
      </w:pPr>
      <w:r>
        <w:rPr>
          <w:rFonts w:hint="eastAsia" w:ascii="宋体" w:hAnsi="宋体"/>
          <w:szCs w:val="21"/>
          <w:lang w:val="en-US" w:eastAsia="zh-CN"/>
        </w:rPr>
        <w:t xml:space="preserve">        </w:t>
      </w:r>
      <w:r>
        <w:rPr>
          <w:rFonts w:hint="eastAsia" w:ascii="宋体" w:hAnsi="宋体"/>
          <w:szCs w:val="21"/>
        </w:rPr>
        <w:t>中标人不能</w:t>
      </w:r>
      <w:r>
        <w:rPr>
          <w:rFonts w:hint="eastAsia" w:ascii="宋体" w:hAnsi="宋体"/>
          <w:szCs w:val="21"/>
          <w:lang w:eastAsia="zh-CN"/>
        </w:rPr>
        <w:t>按照</w:t>
      </w:r>
      <w:r>
        <w:rPr>
          <w:rFonts w:hint="eastAsia" w:ascii="宋体" w:hAnsi="宋体"/>
          <w:szCs w:val="21"/>
        </w:rPr>
        <w:t>“ 投标人须知前附表”提交履约</w:t>
      </w:r>
      <w:r>
        <w:rPr>
          <w:rFonts w:hint="eastAsia" w:ascii="宋体" w:hAnsi="宋体"/>
          <w:szCs w:val="21"/>
          <w:lang w:eastAsia="zh-CN"/>
        </w:rPr>
        <w:t>担保</w:t>
      </w:r>
      <w:r>
        <w:rPr>
          <w:rFonts w:hint="eastAsia" w:ascii="宋体" w:hAnsi="宋体"/>
          <w:szCs w:val="21"/>
        </w:rPr>
        <w:t>的，视为放弃中标，给采购人造成的损失的，中标人还应当予以赔偿。</w:t>
      </w:r>
    </w:p>
    <w:p>
      <w:pPr>
        <w:autoSpaceDE w:val="0"/>
        <w:autoSpaceDN w:val="0"/>
        <w:spacing w:line="360" w:lineRule="auto"/>
        <w:ind w:left="964"/>
        <w:contextualSpacing/>
        <w:rPr>
          <w:rFonts w:cs="宋体" w:asciiTheme="majorEastAsia" w:hAnsiTheme="majorEastAsia" w:eastAsiaTheme="majorEastAsia"/>
          <w:b/>
          <w:kern w:val="0"/>
          <w:sz w:val="36"/>
          <w:szCs w:val="36"/>
        </w:rPr>
      </w:pPr>
      <w:r>
        <w:rPr>
          <w:rFonts w:hint="eastAsia" w:ascii="宋体" w:hAnsi="宋体" w:eastAsia="宋体" w:cs="宋体"/>
          <w:color w:val="333333"/>
          <w:sz w:val="24"/>
          <w:szCs w:val="24"/>
        </w:rPr>
        <w:br w:type="textWrapping"/>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pStyle w:val="23"/>
        <w:rPr>
          <w:rFonts w:hint="eastAsia"/>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autoSpaceDE w:val="0"/>
        <w:autoSpaceDN w:val="0"/>
        <w:spacing w:line="360" w:lineRule="auto"/>
        <w:contextualSpacing/>
        <w:jc w:val="center"/>
        <w:rPr>
          <w:rFonts w:ascii="宋体" w:cs="宋体"/>
          <w:b/>
          <w:kern w:val="0"/>
          <w:sz w:val="32"/>
          <w:szCs w:val="32"/>
        </w:rPr>
      </w:pPr>
      <w:r>
        <w:rPr>
          <w:rFonts w:hint="eastAsia" w:ascii="宋体" w:hAnsi="宋体" w:cs="宋体"/>
          <w:b/>
          <w:kern w:val="0"/>
          <w:sz w:val="32"/>
          <w:szCs w:val="32"/>
        </w:rPr>
        <w:t>第五章</w:t>
      </w:r>
      <w:r>
        <w:rPr>
          <w:rFonts w:ascii="宋体" w:hAnsi="宋体" w:cs="宋体"/>
          <w:b/>
          <w:kern w:val="0"/>
          <w:sz w:val="32"/>
          <w:szCs w:val="32"/>
        </w:rPr>
        <w:t xml:space="preserve"> </w:t>
      </w:r>
      <w:r>
        <w:rPr>
          <w:rFonts w:hint="eastAsia" w:ascii="宋体" w:hAnsi="宋体" w:cs="宋体"/>
          <w:b/>
          <w:kern w:val="0"/>
          <w:sz w:val="32"/>
          <w:szCs w:val="32"/>
        </w:rPr>
        <w:t>政府采购政策功能</w:t>
      </w:r>
    </w:p>
    <w:p>
      <w:pPr>
        <w:jc w:val="center"/>
        <w:rPr>
          <w:rFonts w:ascii="宋体" w:cs="宋体"/>
          <w:b/>
          <w:kern w:val="0"/>
          <w:sz w:val="36"/>
          <w:szCs w:val="36"/>
        </w:rPr>
      </w:pPr>
    </w:p>
    <w:p>
      <w:pPr>
        <w:pStyle w:val="15"/>
        <w:spacing w:line="360" w:lineRule="auto"/>
        <w:ind w:firstLine="420" w:firstLineChars="200"/>
        <w:contextualSpacing/>
        <w:rPr>
          <w:rFonts w:ascii="宋体" w:cs="仿宋_GB2312"/>
          <w:sz w:val="21"/>
          <w:szCs w:val="21"/>
          <w:lang w:val="zh-CN"/>
        </w:rPr>
      </w:pPr>
      <w:r>
        <w:rPr>
          <w:rFonts w:hint="eastAsia" w:ascii="宋体" w:hAnsi="宋体" w:cs="仿宋_GB2312"/>
          <w:sz w:val="21"/>
          <w:szCs w:val="21"/>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pStyle w:val="15"/>
        <w:spacing w:line="360" w:lineRule="auto"/>
        <w:ind w:firstLine="422" w:firstLineChars="200"/>
        <w:contextualSpacing/>
        <w:rPr>
          <w:rFonts w:ascii="宋体" w:cs="仿宋_GB2312"/>
          <w:b/>
          <w:sz w:val="21"/>
          <w:szCs w:val="21"/>
          <w:lang w:val="zh-CN"/>
        </w:rPr>
      </w:pPr>
      <w:r>
        <w:rPr>
          <w:rFonts w:hint="eastAsia" w:ascii="宋体" w:hAnsi="宋体" w:cs="仿宋_GB2312"/>
          <w:b/>
          <w:sz w:val="21"/>
          <w:szCs w:val="21"/>
          <w:lang w:val="zh-CN"/>
        </w:rPr>
        <w:t>一、节能能源、保护环境</w:t>
      </w:r>
    </w:p>
    <w:p>
      <w:pPr>
        <w:pStyle w:val="15"/>
        <w:spacing w:line="360" w:lineRule="auto"/>
        <w:ind w:firstLine="420" w:firstLineChars="200"/>
        <w:contextualSpacing/>
        <w:rPr>
          <w:rFonts w:ascii="宋体" w:cs="仿宋_GB2312"/>
          <w:sz w:val="21"/>
          <w:szCs w:val="21"/>
          <w:lang w:val="zh-CN"/>
        </w:rPr>
      </w:pPr>
      <w:r>
        <w:rPr>
          <w:rFonts w:hint="eastAsia" w:ascii="宋体" w:hAnsi="宋体" w:cs="仿宋_GB2312"/>
          <w:sz w:val="21"/>
          <w:szCs w:val="21"/>
          <w:lang w:val="zh-CN"/>
        </w:rPr>
        <w:t>按照《财政部、发展改革委、生态环境部、市场监管总局关于调整优化节能产品、环境标志产品政府采购执行机制的通知》（财库〔</w:t>
      </w:r>
      <w:r>
        <w:rPr>
          <w:rFonts w:ascii="宋体" w:hAnsi="宋体" w:cs="仿宋_GB2312"/>
          <w:sz w:val="21"/>
          <w:szCs w:val="21"/>
          <w:lang w:val="zh-CN"/>
        </w:rPr>
        <w:t>2019</w:t>
      </w:r>
      <w:r>
        <w:rPr>
          <w:rFonts w:hint="eastAsia" w:ascii="宋体" w:hAnsi="宋体" w:cs="仿宋_GB2312"/>
          <w:sz w:val="21"/>
          <w:szCs w:val="21"/>
          <w:lang w:val="zh-CN"/>
        </w:rPr>
        <w:t>〕</w:t>
      </w:r>
      <w:r>
        <w:rPr>
          <w:rFonts w:ascii="宋体" w:hAnsi="宋体" w:cs="仿宋_GB2312"/>
          <w:sz w:val="21"/>
          <w:szCs w:val="21"/>
          <w:lang w:val="zh-CN"/>
        </w:rPr>
        <w:t>9</w:t>
      </w:r>
      <w:r>
        <w:rPr>
          <w:rFonts w:hint="eastAsia" w:ascii="宋体" w:hAnsi="宋体" w:cs="仿宋_GB2312"/>
          <w:sz w:val="21"/>
          <w:szCs w:val="21"/>
          <w:lang w:val="zh-CN"/>
        </w:rPr>
        <w:t>号）和</w:t>
      </w:r>
      <w:r>
        <w:rPr>
          <w:rFonts w:hint="eastAsia" w:ascii="宋体" w:hAnsi="宋体" w:cs="仿宋_GB2312"/>
          <w:sz w:val="21"/>
          <w:szCs w:val="21"/>
        </w:rPr>
        <w:t>财政部、生态环境部</w:t>
      </w:r>
      <w:r>
        <w:rPr>
          <w:rFonts w:hint="eastAsia" w:ascii="宋体" w:hAnsi="宋体" w:cs="仿宋_GB2312"/>
          <w:sz w:val="21"/>
          <w:szCs w:val="21"/>
          <w:lang w:val="zh-CN"/>
        </w:rPr>
        <w:t>《关于印发环境标志产品政府采购品目清单的通知》</w:t>
      </w:r>
      <w:r>
        <w:rPr>
          <w:rFonts w:hint="eastAsia" w:ascii="宋体" w:hAnsi="宋体" w:cs="仿宋_GB2312"/>
          <w:sz w:val="21"/>
          <w:szCs w:val="21"/>
        </w:rPr>
        <w:t>（财库</w:t>
      </w:r>
      <w:r>
        <w:rPr>
          <w:rFonts w:ascii="宋体" w:hAnsi="宋体" w:cs="仿宋_GB2312"/>
          <w:sz w:val="21"/>
          <w:szCs w:val="21"/>
        </w:rPr>
        <w:t>[2019]18</w:t>
      </w:r>
      <w:r>
        <w:rPr>
          <w:rFonts w:hint="eastAsia" w:ascii="宋体" w:hAnsi="宋体" w:cs="仿宋_GB2312"/>
          <w:sz w:val="21"/>
          <w:szCs w:val="21"/>
        </w:rPr>
        <w:t>号）以及</w:t>
      </w:r>
      <w:r>
        <w:rPr>
          <w:rFonts w:hint="eastAsia" w:ascii="宋体" w:hAnsi="宋体" w:cs="仿宋_GB2312"/>
          <w:sz w:val="21"/>
          <w:szCs w:val="21"/>
          <w:lang w:val="zh-CN"/>
        </w:rPr>
        <w:t>财政部、发展改革委</w:t>
      </w:r>
      <w:r>
        <w:rPr>
          <w:rFonts w:hint="eastAsia" w:ascii="宋体" w:hAnsi="宋体" w:cs="仿宋_GB2312"/>
          <w:sz w:val="21"/>
          <w:szCs w:val="21"/>
        </w:rPr>
        <w:t>《关于印发节能产品政府采购品目清单的通知》（财库</w:t>
      </w:r>
      <w:r>
        <w:rPr>
          <w:rFonts w:ascii="宋体" w:hAnsi="宋体" w:cs="仿宋_GB2312"/>
          <w:sz w:val="21"/>
          <w:szCs w:val="21"/>
        </w:rPr>
        <w:t>[2019]19</w:t>
      </w:r>
      <w:r>
        <w:rPr>
          <w:rFonts w:hint="eastAsia" w:ascii="宋体" w:hAnsi="宋体" w:cs="仿宋_GB2312"/>
          <w:sz w:val="21"/>
          <w:szCs w:val="21"/>
        </w:rPr>
        <w:t>号）</w:t>
      </w:r>
      <w:r>
        <w:rPr>
          <w:rFonts w:hint="eastAsia" w:ascii="宋体" w:hAnsi="宋体" w:cs="仿宋_GB2312"/>
          <w:sz w:val="21"/>
          <w:szCs w:val="21"/>
          <w:lang w:val="zh-CN"/>
        </w:rPr>
        <w:t>，</w:t>
      </w:r>
      <w:r>
        <w:rPr>
          <w:rFonts w:hint="eastAsia" w:ascii="宋体" w:hAnsi="宋体" w:cs="仿宋_GB2312"/>
          <w:sz w:val="21"/>
          <w:szCs w:val="21"/>
        </w:rPr>
        <w:t>采购属于政府强</w:t>
      </w:r>
      <w:r>
        <w:rPr>
          <w:rFonts w:hint="eastAsia" w:ascii="宋体" w:hAnsi="宋体" w:cs="仿宋_GB2312"/>
          <w:sz w:val="21"/>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pPr>
        <w:pStyle w:val="15"/>
        <w:spacing w:line="360" w:lineRule="auto"/>
        <w:ind w:firstLine="422" w:firstLineChars="200"/>
        <w:contextualSpacing/>
        <w:rPr>
          <w:rFonts w:ascii="宋体" w:cs="仿宋_GB2312"/>
          <w:b/>
          <w:sz w:val="21"/>
          <w:szCs w:val="21"/>
          <w:lang w:val="zh-CN"/>
        </w:rPr>
      </w:pPr>
      <w:r>
        <w:rPr>
          <w:rFonts w:hint="eastAsia" w:ascii="宋体" w:hAnsi="宋体" w:cs="仿宋_GB2312"/>
          <w:b/>
          <w:sz w:val="21"/>
          <w:szCs w:val="21"/>
          <w:lang w:val="zh-CN"/>
        </w:rPr>
        <w:t>二、促进中小企业发展（不含民办非企业）</w:t>
      </w:r>
    </w:p>
    <w:p>
      <w:pPr>
        <w:topLinePunct/>
        <w:spacing w:line="360" w:lineRule="auto"/>
        <w:ind w:firstLine="420" w:firstLineChars="200"/>
        <w:contextualSpacing/>
        <w:rPr>
          <w:rFonts w:ascii="宋体" w:cs="仿宋_GB2312"/>
          <w:szCs w:val="21"/>
          <w:lang w:val="zh-CN"/>
        </w:rPr>
      </w:pPr>
      <w:r>
        <w:rPr>
          <w:rFonts w:ascii="宋体" w:hAnsi="宋体" w:cs="仿宋_GB2312"/>
          <w:szCs w:val="21"/>
          <w:lang w:val="zh-CN"/>
        </w:rPr>
        <w:t>1</w:t>
      </w:r>
      <w:r>
        <w:rPr>
          <w:rFonts w:hint="eastAsia" w:ascii="宋体" w:hAnsi="宋体" w:cs="仿宋_GB2312"/>
          <w:szCs w:val="21"/>
          <w:lang w:val="zh-CN"/>
        </w:rPr>
        <w:t>、根据财政部、工业和信息化部发布的《政府采购促进中小企业发展暂行办法》（财库</w:t>
      </w:r>
      <w:r>
        <w:rPr>
          <w:rFonts w:ascii="宋体" w:hAnsi="宋体" w:cs="仿宋_GB2312"/>
          <w:szCs w:val="21"/>
          <w:lang w:val="zh-CN"/>
        </w:rPr>
        <w:t>[2011]181</w:t>
      </w:r>
      <w:r>
        <w:rPr>
          <w:rFonts w:hint="eastAsia" w:ascii="宋体" w:hAnsi="宋体" w:cs="仿宋_GB2312"/>
          <w:szCs w:val="21"/>
          <w:lang w:val="zh-CN"/>
        </w:rPr>
        <w:t>号）规定，本项目为非专门面向中小企业采购的项目，对小型和微型企业产品的价格给予</w:t>
      </w:r>
      <w:r>
        <w:rPr>
          <w:rFonts w:ascii="宋体" w:hAnsi="宋体" w:cs="仿宋_GB2312"/>
          <w:szCs w:val="21"/>
          <w:lang w:val="zh-CN"/>
        </w:rPr>
        <w:t>6%-10%</w:t>
      </w:r>
      <w:r>
        <w:rPr>
          <w:rFonts w:hint="eastAsia" w:ascii="宋体" w:hAnsi="宋体" w:cs="仿宋_GB2312"/>
          <w:szCs w:val="21"/>
          <w:lang w:val="zh-CN"/>
        </w:rPr>
        <w:t>的扣除，用扣除后的价格参与评审。</w:t>
      </w:r>
    </w:p>
    <w:p>
      <w:pPr>
        <w:spacing w:line="360" w:lineRule="auto"/>
        <w:ind w:firstLine="420" w:firstLineChars="200"/>
        <w:contextualSpacing/>
        <w:rPr>
          <w:rFonts w:ascii="宋体" w:cs="仿宋_GB2312"/>
          <w:szCs w:val="21"/>
          <w:lang w:val="zh-CN"/>
        </w:rPr>
      </w:pPr>
      <w:r>
        <w:rPr>
          <w:rFonts w:ascii="宋体" w:hAnsi="宋体" w:cs="仿宋_GB2312"/>
          <w:szCs w:val="21"/>
          <w:lang w:val="zh-CN"/>
        </w:rPr>
        <w:t>2</w:t>
      </w:r>
      <w:r>
        <w:rPr>
          <w:rFonts w:hint="eastAsia" w:ascii="宋体" w:hAnsi="宋体" w:cs="仿宋_GB2312"/>
          <w:szCs w:val="21"/>
          <w:lang w:val="zh-CN"/>
        </w:rPr>
        <w:t>、如果本项目为非专门面向中小企业采购且接受联合体投标，联合协议中约定小型或微型企业的协议合同金额占到联合体协议合同总金额</w:t>
      </w:r>
      <w:r>
        <w:rPr>
          <w:rFonts w:ascii="宋体" w:hAnsi="宋体" w:cs="仿宋_GB2312"/>
          <w:szCs w:val="21"/>
          <w:lang w:val="zh-CN"/>
        </w:rPr>
        <w:t>30%</w:t>
      </w:r>
      <w:r>
        <w:rPr>
          <w:rFonts w:hint="eastAsia" w:ascii="宋体" w:hAnsi="宋体" w:cs="仿宋_GB2312"/>
          <w:szCs w:val="21"/>
          <w:lang w:val="zh-CN"/>
        </w:rPr>
        <w:t>以上的，给予联合体</w:t>
      </w:r>
      <w:r>
        <w:rPr>
          <w:rFonts w:ascii="宋体" w:hAnsi="宋体" w:cs="仿宋_GB2312"/>
          <w:szCs w:val="21"/>
          <w:lang w:val="zh-CN"/>
        </w:rPr>
        <w:t>2%-3%</w:t>
      </w:r>
      <w:r>
        <w:rPr>
          <w:rFonts w:hint="eastAsia" w:ascii="宋体" w:hAnsi="宋体" w:cs="仿宋_GB2312"/>
          <w:szCs w:val="21"/>
          <w:lang w:val="zh-CN"/>
        </w:rPr>
        <w:t>的价格扣除，用扣除后的价格参与评审。</w:t>
      </w:r>
    </w:p>
    <w:p>
      <w:pPr>
        <w:topLinePunct/>
        <w:spacing w:line="360" w:lineRule="auto"/>
        <w:ind w:firstLine="420" w:firstLineChars="200"/>
        <w:contextualSpacing/>
        <w:rPr>
          <w:rFonts w:ascii="宋体" w:cs="仿宋_GB2312"/>
          <w:szCs w:val="21"/>
          <w:lang w:val="zh-CN"/>
        </w:rPr>
      </w:pPr>
      <w:r>
        <w:rPr>
          <w:rFonts w:ascii="宋体" w:hAnsi="宋体" w:cs="仿宋_GB2312"/>
          <w:szCs w:val="21"/>
          <w:lang w:val="zh-CN"/>
        </w:rPr>
        <w:t>3</w:t>
      </w:r>
      <w:r>
        <w:rPr>
          <w:rFonts w:hint="eastAsia" w:ascii="宋体" w:hAnsi="宋体" w:cs="仿宋_GB2312"/>
          <w:szCs w:val="21"/>
          <w:lang w:val="zh-CN"/>
        </w:rPr>
        <w:t>、联合体各方均为小型或微型企业的，联合体视同为小型、微型企业。组成联合体的大中型企业或者其他自然人、法人或其他组织，与小型、微型企业之间不得存在投资关系。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ascii="宋体" w:cs="仿宋_GB2312"/>
          <w:szCs w:val="21"/>
          <w:lang w:val="zh-CN"/>
        </w:rPr>
      </w:pPr>
      <w:r>
        <w:rPr>
          <w:rFonts w:ascii="宋体" w:hAnsi="宋体" w:cs="仿宋_GB2312"/>
          <w:szCs w:val="21"/>
          <w:lang w:val="zh-CN"/>
        </w:rPr>
        <w:t>4</w:t>
      </w:r>
      <w:r>
        <w:rPr>
          <w:rFonts w:hint="eastAsia" w:ascii="宋体" w:hAnsi="宋体" w:cs="仿宋_GB2312"/>
          <w:szCs w:val="21"/>
          <w:lang w:val="zh-CN"/>
        </w:rPr>
        <w:t>、中小企业投标应提供《中小企业声明函》，如为联合投标的，联合体各方需分别填写《中小企业声明函》。</w:t>
      </w:r>
    </w:p>
    <w:p>
      <w:pPr>
        <w:topLinePunct/>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三、支持监狱企业发展</w:t>
      </w:r>
    </w:p>
    <w:p>
      <w:pPr>
        <w:spacing w:line="360" w:lineRule="auto"/>
        <w:ind w:firstLine="420" w:firstLineChars="200"/>
        <w:contextualSpacing/>
        <w:rPr>
          <w:rFonts w:ascii="宋体" w:cs="仿宋_GB2312"/>
          <w:szCs w:val="21"/>
          <w:lang w:val="zh-CN"/>
        </w:rPr>
      </w:pPr>
      <w:r>
        <w:rPr>
          <w:rFonts w:hint="eastAsia" w:ascii="宋体" w:hAnsi="宋体" w:cs="仿宋_GB2312"/>
          <w:szCs w:val="21"/>
          <w:lang w:val="zh-CN"/>
        </w:rPr>
        <w:t>按照财政部、司法部发布的《关于政府采购支持监狱企业发展有关问题的通知》（</w:t>
      </w:r>
      <w:bookmarkStart w:id="21" w:name="OLE_LINK6"/>
      <w:r>
        <w:rPr>
          <w:rFonts w:hint="eastAsia" w:ascii="宋体" w:hAnsi="宋体" w:cs="仿宋_GB2312"/>
          <w:szCs w:val="21"/>
          <w:lang w:val="zh-CN"/>
        </w:rPr>
        <w:t>财库</w:t>
      </w:r>
      <w:r>
        <w:rPr>
          <w:rFonts w:ascii="宋体" w:hAnsi="宋体" w:cs="仿宋_GB2312"/>
          <w:szCs w:val="21"/>
          <w:lang w:val="zh-CN"/>
        </w:rPr>
        <w:t>[2014]68</w:t>
      </w:r>
      <w:r>
        <w:rPr>
          <w:rFonts w:hint="eastAsia" w:ascii="宋体" w:hAnsi="宋体" w:cs="仿宋_GB2312"/>
          <w:szCs w:val="21"/>
          <w:lang w:val="zh-CN"/>
        </w:rPr>
        <w:t>号</w:t>
      </w:r>
      <w:bookmarkEnd w:id="21"/>
      <w:r>
        <w:rPr>
          <w:rFonts w:hint="eastAsia" w:ascii="宋体" w:hAnsi="宋体" w:cs="仿宋_GB2312"/>
          <w:szCs w:val="21"/>
          <w:lang w:val="zh-CN"/>
        </w:rPr>
        <w:t>）规定，在政府采购活动中，监狱企业视同小型、微型企业，享受评审中价格扣除的政府采购政策，用扣除后的价格参与评审。监狱企业应当提供由省级以上监狱管理局、戒毒管理局</w:t>
      </w:r>
      <w:r>
        <w:rPr>
          <w:rFonts w:ascii="宋体" w:hAnsi="宋体" w:cs="仿宋_GB2312"/>
          <w:szCs w:val="21"/>
          <w:lang w:val="zh-CN"/>
        </w:rPr>
        <w:t>(</w:t>
      </w:r>
      <w:r>
        <w:rPr>
          <w:rFonts w:hint="eastAsia" w:ascii="宋体" w:hAnsi="宋体" w:cs="仿宋_GB2312"/>
          <w:szCs w:val="21"/>
          <w:lang w:val="zh-CN"/>
        </w:rPr>
        <w:t>含新疆生产建设兵团</w:t>
      </w:r>
      <w:r>
        <w:rPr>
          <w:rFonts w:ascii="宋体" w:hAnsi="宋体" w:cs="仿宋_GB2312"/>
          <w:szCs w:val="21"/>
          <w:lang w:val="zh-CN"/>
        </w:rPr>
        <w:t>)</w:t>
      </w:r>
      <w:r>
        <w:rPr>
          <w:rFonts w:hint="eastAsia" w:ascii="宋体" w:hAnsi="宋体" w:cs="仿宋_GB2312"/>
          <w:szCs w:val="21"/>
          <w:lang w:val="zh-CN"/>
        </w:rPr>
        <w:t>出具的属于监狱企业的证明文件。</w:t>
      </w:r>
    </w:p>
    <w:p>
      <w:pPr>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四、促进残疾人就业</w:t>
      </w:r>
    </w:p>
    <w:p>
      <w:pPr>
        <w:pStyle w:val="15"/>
        <w:spacing w:line="360" w:lineRule="auto"/>
        <w:ind w:firstLine="420" w:firstLineChars="200"/>
        <w:contextualSpacing/>
        <w:rPr>
          <w:rFonts w:ascii="宋体" w:cs="仿宋_GB2312"/>
          <w:sz w:val="21"/>
          <w:szCs w:val="21"/>
          <w:lang w:val="zh-CN"/>
        </w:rPr>
      </w:pPr>
      <w:r>
        <w:rPr>
          <w:rFonts w:ascii="宋体" w:hAnsi="宋体" w:cs="仿宋_GB2312"/>
          <w:sz w:val="21"/>
          <w:szCs w:val="21"/>
          <w:lang w:val="zh-CN"/>
        </w:rPr>
        <w:t>1</w:t>
      </w:r>
      <w:r>
        <w:rPr>
          <w:rFonts w:hint="eastAsia" w:ascii="宋体" w:hAnsi="宋体" w:cs="仿宋_GB2312"/>
          <w:sz w:val="21"/>
          <w:szCs w:val="21"/>
          <w:lang w:val="zh-CN"/>
        </w:rPr>
        <w:t>、按照财政部、民政部、中国残疾人联合会和残疾人发布的《三部门联合发布关于促进残疾人就业政府采购政策的通知》（财库</w:t>
      </w:r>
      <w:r>
        <w:rPr>
          <w:rFonts w:ascii="宋体" w:hAnsi="宋体" w:cs="仿宋_GB2312"/>
          <w:sz w:val="21"/>
          <w:szCs w:val="21"/>
          <w:lang w:val="zh-CN"/>
        </w:rPr>
        <w:t>[2017]141</w:t>
      </w:r>
      <w:r>
        <w:rPr>
          <w:rFonts w:hint="eastAsia" w:ascii="宋体" w:hAnsi="宋体" w:cs="仿宋_GB2312"/>
          <w:sz w:val="21"/>
          <w:szCs w:val="21"/>
          <w:lang w:val="zh-CN"/>
        </w:rPr>
        <w:t>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宋体" w:hAnsi="宋体"/>
          <w:color w:val="000000"/>
          <w:sz w:val="21"/>
          <w:szCs w:val="21"/>
        </w:rPr>
        <w:t>残疾人福利性单位属于小型、微型企业的，不重复享受政策。</w:t>
      </w:r>
    </w:p>
    <w:p>
      <w:pPr>
        <w:pStyle w:val="15"/>
        <w:spacing w:line="360" w:lineRule="auto"/>
        <w:ind w:firstLine="420" w:firstLineChars="200"/>
        <w:contextualSpacing/>
        <w:rPr>
          <w:rFonts w:ascii="宋体" w:cs="仿宋_GB2312"/>
          <w:sz w:val="21"/>
          <w:szCs w:val="21"/>
          <w:lang w:val="zh-CN"/>
        </w:rPr>
      </w:pPr>
      <w:r>
        <w:rPr>
          <w:rFonts w:ascii="宋体" w:hAnsi="宋体" w:cs="仿宋_GB2312"/>
          <w:sz w:val="21"/>
          <w:szCs w:val="21"/>
          <w:lang w:val="zh-CN"/>
        </w:rPr>
        <w:t>2</w:t>
      </w:r>
      <w:r>
        <w:rPr>
          <w:rFonts w:hint="eastAsia" w:ascii="宋体" w:hAnsi="宋体" w:cs="仿宋_GB2312"/>
          <w:sz w:val="21"/>
          <w:szCs w:val="21"/>
          <w:lang w:val="zh-CN"/>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5"/>
        <w:spacing w:line="360" w:lineRule="auto"/>
        <w:ind w:firstLine="420" w:firstLineChars="200"/>
        <w:contextualSpacing/>
        <w:rPr>
          <w:rFonts w:ascii="宋体" w:cs="仿宋_GB2312"/>
          <w:szCs w:val="24"/>
          <w:lang w:val="zh-CN"/>
        </w:rPr>
      </w:pPr>
      <w:r>
        <w:rPr>
          <w:rFonts w:ascii="宋体" w:hAnsi="宋体" w:cs="仿宋_GB2312"/>
          <w:sz w:val="21"/>
          <w:szCs w:val="21"/>
          <w:lang w:val="zh-CN"/>
        </w:rPr>
        <w:t>3</w:t>
      </w:r>
      <w:r>
        <w:rPr>
          <w:rFonts w:hint="eastAsia" w:ascii="宋体" w:hAnsi="宋体" w:cs="仿宋_GB2312"/>
          <w:sz w:val="21"/>
          <w:szCs w:val="21"/>
          <w:lang w:val="zh-CN"/>
        </w:rPr>
        <w:t>、中标人为残疾人福利性单位的，采购人应当随中标结果同时公告其《残疾人福利性单位声明函》，接受社会监督。</w:t>
      </w:r>
    </w:p>
    <w:p>
      <w:pPr>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五、支持脱贫攻坚（物业服务采购）</w:t>
      </w:r>
    </w:p>
    <w:p>
      <w:pPr>
        <w:topLinePunct/>
        <w:spacing w:line="360" w:lineRule="auto"/>
        <w:ind w:firstLine="420" w:firstLineChars="200"/>
        <w:contextualSpacing/>
        <w:rPr>
          <w:rFonts w:hint="eastAsia" w:ascii="宋体" w:hAnsi="宋体" w:cs="仿宋_GB2312"/>
          <w:szCs w:val="21"/>
          <w:lang w:val="zh-CN"/>
        </w:rPr>
      </w:pPr>
      <w:r>
        <w:rPr>
          <w:rFonts w:ascii="宋体" w:hAnsi="宋体" w:cs="仿宋_GB2312"/>
          <w:szCs w:val="21"/>
          <w:lang w:val="zh-CN"/>
        </w:rPr>
        <w:t>1</w:t>
      </w:r>
      <w:r>
        <w:rPr>
          <w:rFonts w:hint="eastAsia" w:ascii="宋体" w:hAnsi="宋体" w:cs="仿宋_GB2312"/>
          <w:szCs w:val="21"/>
          <w:lang w:val="zh-CN"/>
        </w:rPr>
        <w:t>、根据《财政部国务院扶贫办关于运用政府采购政策支持脱贫攻坚的通知》财库〔</w:t>
      </w:r>
      <w:r>
        <w:rPr>
          <w:rFonts w:ascii="宋体" w:hAnsi="宋体" w:cs="仿宋_GB2312"/>
          <w:szCs w:val="21"/>
          <w:lang w:val="zh-CN"/>
        </w:rPr>
        <w:t>2019</w:t>
      </w:r>
      <w:r>
        <w:rPr>
          <w:rFonts w:hint="eastAsia" w:ascii="宋体" w:hAnsi="宋体" w:cs="仿宋_GB2312"/>
          <w:szCs w:val="21"/>
          <w:lang w:val="zh-CN"/>
        </w:rPr>
        <w:t>〕</w:t>
      </w:r>
      <w:r>
        <w:rPr>
          <w:rFonts w:ascii="宋体" w:hAnsi="宋体" w:cs="仿宋_GB2312"/>
          <w:szCs w:val="21"/>
          <w:lang w:val="zh-CN"/>
        </w:rPr>
        <w:t>27</w:t>
      </w:r>
      <w:r>
        <w:rPr>
          <w:rFonts w:hint="eastAsia" w:ascii="宋体" w:hAnsi="宋体" w:cs="仿宋_GB2312"/>
          <w:szCs w:val="21"/>
          <w:lang w:val="zh-CN"/>
        </w:rPr>
        <w:t>号有关要求，鼓励优先采购聘用建档立卡贫困人员物业公司提供的物业服务。各级预算单位使用财政性资金采购物业服务的，有条件的应当优先采购注册地在</w:t>
      </w:r>
      <w:r>
        <w:rPr>
          <w:rFonts w:ascii="宋体" w:hAnsi="宋体" w:cs="仿宋_GB2312"/>
          <w:szCs w:val="21"/>
          <w:lang w:val="zh-CN"/>
        </w:rPr>
        <w:t>832</w:t>
      </w:r>
      <w:r>
        <w:rPr>
          <w:rFonts w:hint="eastAsia" w:ascii="宋体" w:hAnsi="宋体" w:cs="仿宋_GB2312"/>
          <w:szCs w:val="21"/>
          <w:lang w:val="zh-CN"/>
        </w:rPr>
        <w:t>个国家级贫困县域内，且聘用建档立卡贫困人员物业公司提供的物业服务。</w:t>
      </w:r>
    </w:p>
    <w:p>
      <w:pPr>
        <w:topLinePunct/>
        <w:spacing w:line="360" w:lineRule="auto"/>
        <w:ind w:firstLine="420" w:firstLineChars="200"/>
        <w:contextualSpacing/>
        <w:rPr>
          <w:rFonts w:hint="eastAsia" w:ascii="宋体" w:hAnsi="宋体" w:cs="仿宋_GB2312"/>
          <w:szCs w:val="21"/>
          <w:lang w:val="zh-CN"/>
        </w:rPr>
      </w:pPr>
      <w:r>
        <w:rPr>
          <w:rFonts w:hint="eastAsia" w:ascii="宋体" w:hAnsi="宋体" w:cs="仿宋_GB2312"/>
          <w:szCs w:val="21"/>
          <w:lang w:val="zh-CN"/>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pPr>
        <w:pStyle w:val="15"/>
        <w:spacing w:line="360" w:lineRule="auto"/>
        <w:contextualSpacing/>
        <w:jc w:val="both"/>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pPr>
        <w:pStyle w:val="15"/>
        <w:spacing w:line="360" w:lineRule="auto"/>
        <w:contextualSpacing/>
        <w:rPr>
          <w:rFonts w:cs="仿宋_GB2312" w:asciiTheme="minorEastAsia" w:hAnsiTheme="minorEastAsia"/>
          <w:lang w:val="zh-CN"/>
        </w:rPr>
      </w:pPr>
    </w:p>
    <w:p>
      <w:pPr>
        <w:pStyle w:val="15"/>
        <w:spacing w:line="360" w:lineRule="auto"/>
        <w:contextualSpacing/>
        <w:rPr>
          <w:rFonts w:asciiTheme="minorEastAsia" w:hAnsiTheme="minorEastAsia" w:eastAsiaTheme="minorEastAsia"/>
          <w:bCs/>
          <w:sz w:val="21"/>
          <w:szCs w:val="21"/>
          <w:highlight w:val="none"/>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asciiTheme="minorEastAsia" w:hAnsiTheme="minorEastAsia"/>
          <w:bCs/>
          <w:szCs w:val="21"/>
          <w:highlight w:val="none"/>
        </w:rPr>
      </w:pPr>
      <w:r>
        <w:rPr>
          <w:rFonts w:hint="eastAsia" w:asciiTheme="minorEastAsia" w:hAnsiTheme="minorEastAsia"/>
          <w:bCs/>
          <w:szCs w:val="21"/>
          <w:highlight w:val="none"/>
        </w:rPr>
        <w:t>（一）</w:t>
      </w:r>
      <w:r>
        <w:rPr>
          <w:rFonts w:asciiTheme="minorEastAsia" w:hAnsiTheme="minorEastAsia"/>
          <w:bCs/>
          <w:szCs w:val="21"/>
          <w:highlight w:val="none"/>
        </w:rPr>
        <w:t>开标结束后，</w:t>
      </w:r>
      <w:r>
        <w:rPr>
          <w:rFonts w:hint="eastAsia" w:asciiTheme="minorEastAsia" w:hAnsiTheme="minorEastAsia"/>
          <w:bCs/>
          <w:szCs w:val="21"/>
          <w:highlight w:val="none"/>
          <w:lang w:eastAsia="zh-CN"/>
        </w:rPr>
        <w:t>由</w:t>
      </w:r>
      <w:r>
        <w:rPr>
          <w:rFonts w:hint="eastAsia" w:asciiTheme="minorEastAsia" w:hAnsiTheme="minorEastAsia"/>
          <w:bCs/>
          <w:szCs w:val="21"/>
          <w:highlight w:val="none"/>
        </w:rPr>
        <w:t>采购人</w:t>
      </w:r>
      <w:r>
        <w:rPr>
          <w:rFonts w:hint="eastAsia" w:asciiTheme="minorEastAsia" w:hAnsiTheme="minorEastAsia"/>
          <w:bCs/>
          <w:szCs w:val="21"/>
          <w:highlight w:val="none"/>
          <w:lang w:eastAsia="zh-CN"/>
        </w:rPr>
        <w:t>代表</w:t>
      </w:r>
      <w:r>
        <w:rPr>
          <w:rFonts w:hint="eastAsia" w:asciiTheme="minorEastAsia" w:hAnsiTheme="minorEastAsia"/>
          <w:bCs/>
          <w:szCs w:val="21"/>
          <w:highlight w:val="none"/>
          <w:lang w:val="en-US" w:eastAsia="zh-CN"/>
        </w:rPr>
        <w:t>1人（需出具委托书）</w:t>
      </w:r>
      <w:r>
        <w:rPr>
          <w:rFonts w:hint="eastAsia" w:asciiTheme="minorEastAsia" w:hAnsiTheme="minorEastAsia"/>
          <w:bCs/>
          <w:szCs w:val="21"/>
          <w:highlight w:val="none"/>
        </w:rPr>
        <w:t>依法对投标人资格进行审查</w:t>
      </w:r>
      <w:r>
        <w:rPr>
          <w:rFonts w:asciiTheme="minorEastAsia" w:hAnsiTheme="minorEastAsia"/>
          <w:bCs/>
          <w:szCs w:val="21"/>
          <w:highlight w:val="none"/>
        </w:rPr>
        <w:t>。</w:t>
      </w:r>
      <w:r>
        <w:rPr>
          <w:rFonts w:hint="eastAsia" w:asciiTheme="minorEastAsia" w:hAnsiTheme="minorEastAsia"/>
          <w:bCs/>
          <w:szCs w:val="21"/>
          <w:highlight w:val="none"/>
        </w:rPr>
        <w:t>确定符合资格的投标人不少于3家的，将组织评标委员会进行评标。</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（1）企业法人营业执照或营业执照。（企业投标提供）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（2）事业单位法人证书。（事业单位投标提供）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（3）执业许可证。（非企业专业服务机构投标提供）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（4）个体工商户营业执照。（个体工商户投标提供）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（5）自然人身份证明。（自然人投标提供）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（1）投标人是法人（法人包括企业法人、机关法人、事业单位法人和社会团体法人），提供本单位：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Cs/>
                <w:szCs w:val="21"/>
                <w:lang w:val="en-US" w:eastAsia="zh-CN"/>
              </w:rPr>
              <w:t>2016年度、2017年度、</w:t>
            </w:r>
            <w:r>
              <w:rPr>
                <w:rFonts w:hint="eastAsia" w:asciiTheme="minorEastAsia" w:hAnsiTheme="minorEastAsia"/>
                <w:bCs/>
                <w:szCs w:val="21"/>
              </w:rPr>
              <w:t>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（2）投标人（其他组织和自然人）提供本单位：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Cs/>
                <w:szCs w:val="21"/>
                <w:lang w:val="en-US" w:eastAsia="zh-CN"/>
              </w:rPr>
              <w:t>2016年度、2017年度、</w:t>
            </w:r>
            <w:r>
              <w:rPr>
                <w:rFonts w:hint="eastAsia" w:asciiTheme="minorEastAsia" w:hAnsiTheme="minorEastAsia"/>
                <w:bCs/>
                <w:szCs w:val="21"/>
              </w:rPr>
              <w:t>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hint="eastAsia"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Times New Roman" w:hAnsi="Times New Roman" w:cs="宋体"/>
                <w:szCs w:val="21"/>
                <w:lang w:bidi="ar"/>
              </w:rPr>
              <w:t>（新注册公司从注册交纳起计算，不足的视为满足</w:t>
            </w:r>
            <w:r>
              <w:rPr>
                <w:rFonts w:hint="eastAsia" w:ascii="Times New Roman" w:hAnsi="Times New Roman" w:cs="宋体"/>
                <w:szCs w:val="21"/>
                <w:lang w:eastAsia="zh-CN" w:bidi="ar"/>
              </w:rPr>
              <w:t>）</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highlight w:val="none"/>
              </w:rPr>
            </w:pPr>
            <w:r>
              <w:rPr>
                <w:rFonts w:hint="eastAsia" w:ascii="宋体" w:hAnsi="宋体" w:cs="微软雅黑"/>
                <w:bCs/>
                <w:szCs w:val="21"/>
                <w:highlight w:val="none"/>
              </w:rPr>
              <w:t>投标人提供参加本次政府采购项目</w:t>
            </w:r>
            <w:r>
              <w:rPr>
                <w:rFonts w:hint="eastAsia" w:asciiTheme="minorEastAsia" w:hAnsiTheme="minorEastAsia"/>
                <w:bCs/>
                <w:szCs w:val="21"/>
                <w:highlight w:val="none"/>
              </w:rPr>
              <w:t>投标截止时间前六个月内任意一个月缴纳税收凭据。（依法免税的投标人，应提供相应文件证明依法免税）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highlight w:val="none"/>
              </w:rPr>
            </w:pPr>
            <w:r>
              <w:rPr>
                <w:rFonts w:hint="eastAsia" w:ascii="宋体" w:hAnsi="宋体" w:cs="微软雅黑"/>
                <w:bCs/>
                <w:szCs w:val="21"/>
                <w:highlight w:val="none"/>
              </w:rPr>
              <w:t>投标人提供参加本次政府采购项目</w:t>
            </w:r>
            <w:r>
              <w:rPr>
                <w:rFonts w:hint="eastAsia" w:asciiTheme="minorEastAsia" w:hAnsiTheme="minorEastAsia"/>
                <w:bCs/>
                <w:szCs w:val="21"/>
                <w:highlight w:val="none"/>
              </w:rPr>
              <w:t>投标截止时间前六个月内任意一个月缴纳社会保险凭据。（依法不需要缴纳社会保障资金的投标人，应提供相应文件证明依法不需要缴纳社会保障资金）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①与本项目投标相关设备的购置发票、专业技术人员职称证书、用工合同等；</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②投标人具备履行合同所必须的设备和专业技术能力承诺函或声明（承诺函或声明格式自拟）。</w:t>
            </w:r>
          </w:p>
          <w:p>
            <w:pPr>
              <w:spacing w:line="360" w:lineRule="auto"/>
              <w:rPr>
                <w:rFonts w:asciiTheme="minorEastAsia" w:hAnsiTheme="minorEastAsia"/>
                <w:b/>
                <w:bCs/>
                <w:szCs w:val="21"/>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Theme="minorEastAsia" w:hAnsiTheme="minorEastAsia"/>
                <w:b/>
                <w:bCs/>
                <w:szCs w:val="21"/>
              </w:rPr>
            </w:pPr>
            <w:r>
              <w:rPr>
                <w:rFonts w:hint="eastAsia" w:ascii="宋体" w:hAnsi="宋体" w:cs="微软雅黑"/>
                <w:bCs/>
                <w:szCs w:val="21"/>
              </w:rPr>
              <w:t>按照招标文件提供格式填写。</w:t>
            </w:r>
            <w:r>
              <w:rPr>
                <w:rFonts w:hint="eastAsia" w:asciiTheme="minorEastAsia" w:hAnsiTheme="minorEastAsia"/>
                <w:bCs/>
                <w:szCs w:val="21"/>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highlight w:val="none"/>
              </w:rPr>
            </w:pPr>
            <w:r>
              <w:rPr>
                <w:rFonts w:hint="eastAsia" w:asciiTheme="minorEastAsia" w:hAnsiTheme="minorEastAsia"/>
                <w:bCs/>
                <w:szCs w:val="21"/>
                <w:highlight w:val="none"/>
              </w:rPr>
              <w:t>政府采购活动中查询及使用投标人信用记录的具体要求为：投标人未被列入</w:t>
            </w:r>
            <w:r>
              <w:rPr>
                <w:rFonts w:asciiTheme="minorEastAsia" w:hAnsiTheme="minorEastAsia"/>
                <w:bCs/>
                <w:szCs w:val="21"/>
                <w:highlight w:val="none"/>
              </w:rPr>
              <w:t>“信用中国”网站</w:t>
            </w:r>
            <w:r>
              <w:rPr>
                <w:rFonts w:hint="eastAsia" w:asciiTheme="minorEastAsia" w:hAnsiTheme="minorEastAsia"/>
                <w:bCs/>
                <w:szCs w:val="21"/>
                <w:highlight w:val="none"/>
              </w:rPr>
              <w:t>失信被执行人、重大税收违法案件当事人名单、“</w:t>
            </w:r>
            <w:r>
              <w:rPr>
                <w:rFonts w:asciiTheme="minorEastAsia" w:hAnsiTheme="minorEastAsia"/>
                <w:bCs/>
                <w:szCs w:val="21"/>
                <w:highlight w:val="none"/>
              </w:rPr>
              <w:t>中国政府采购网</w:t>
            </w:r>
            <w:r>
              <w:rPr>
                <w:rFonts w:hint="eastAsia" w:asciiTheme="minorEastAsia" w:hAnsiTheme="minorEastAsia"/>
                <w:bCs/>
                <w:szCs w:val="21"/>
                <w:highlight w:val="none"/>
              </w:rPr>
              <w:t>”政府采购严重违法失信行为记录名单“中国社会组织公共服务平台”网站（</w:t>
            </w:r>
            <w:r>
              <w:rPr>
                <w:rFonts w:asciiTheme="minorEastAsia" w:hAnsiTheme="minorEastAsia"/>
                <w:bCs/>
                <w:szCs w:val="21"/>
                <w:highlight w:val="none"/>
              </w:rPr>
              <w:t>www.chinanpo.gov.cn</w:t>
            </w:r>
            <w:r>
              <w:rPr>
                <w:rFonts w:hint="eastAsia" w:asciiTheme="minorEastAsia" w:hAnsiTheme="minorEastAsia"/>
                <w:bCs/>
                <w:szCs w:val="21"/>
                <w:highlight w:val="none"/>
              </w:rPr>
              <w:t>）严重违法失信社会组织名单的投标</w:t>
            </w:r>
            <w:r>
              <w:rPr>
                <w:rFonts w:hint="eastAsia" w:cs="仿宋_GB2312" w:asciiTheme="minorEastAsia" w:hAnsiTheme="minorEastAsia"/>
                <w:szCs w:val="21"/>
              </w:rPr>
              <w:t>人</w:t>
            </w:r>
            <w:r>
              <w:rPr>
                <w:rFonts w:hint="eastAsia" w:cs="仿宋_GB2312" w:asciiTheme="minorEastAsia" w:hAnsiTheme="minorEastAsia"/>
                <w:b/>
                <w:szCs w:val="21"/>
              </w:rPr>
              <w:t>；</w:t>
            </w:r>
            <w:r>
              <w:rPr>
                <w:rFonts w:hint="eastAsia" w:asciiTheme="minorEastAsia" w:hAnsiTheme="minorEastAsia"/>
                <w:bCs/>
                <w:szCs w:val="21"/>
                <w:highlight w:val="none"/>
              </w:rPr>
              <w:t>（联合体形式投标的，联合体成员存在不良信用记录，视同联合体存在不良信用记录）。</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（1）查询渠道：</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①“信用中国”网站（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29"/>
                <w:rFonts w:hint="eastAsia" w:asciiTheme="minorEastAsia" w:hAnsiTheme="minorEastAsia"/>
                <w:bCs/>
                <w:szCs w:val="21"/>
                <w:highlight w:val="none"/>
              </w:rPr>
              <w:t>www.creditchina.gov.cn</w:t>
            </w:r>
            <w:r>
              <w:rPr>
                <w:rStyle w:val="29"/>
                <w:rFonts w:hint="eastAsia" w:asciiTheme="minorEastAsia" w:hAnsiTheme="minorEastAsia"/>
                <w:bCs/>
                <w:szCs w:val="21"/>
                <w:highlight w:val="none"/>
              </w:rPr>
              <w:fldChar w:fldCharType="end"/>
            </w:r>
            <w:r>
              <w:rPr>
                <w:rFonts w:hint="eastAsia" w:asciiTheme="minorEastAsia" w:hAnsiTheme="minorEastAsia"/>
                <w:bCs/>
                <w:szCs w:val="21"/>
                <w:highlight w:val="none"/>
              </w:rPr>
              <w:t>）</w:t>
            </w:r>
          </w:p>
          <w:p>
            <w:pPr>
              <w:spacing w:line="360" w:lineRule="auto"/>
              <w:rPr>
                <w:rFonts w:hint="eastAsia" w:asciiTheme="minorEastAsia" w:hAnsiTheme="minorEastAsia"/>
                <w:bCs/>
                <w:szCs w:val="21"/>
                <w:highlight w:val="none"/>
              </w:rPr>
            </w:pPr>
            <w:r>
              <w:rPr>
                <w:rFonts w:hint="eastAsia" w:asciiTheme="minorEastAsia" w:hAnsiTheme="minorEastAsia"/>
                <w:bCs/>
                <w:szCs w:val="21"/>
                <w:highlight w:val="none"/>
              </w:rPr>
              <w:t>②“中国政府采购网”（www.ccgp.gov.cn）</w:t>
            </w:r>
          </w:p>
          <w:p>
            <w:pPr>
              <w:spacing w:line="360" w:lineRule="auto"/>
            </w:pPr>
            <w:r>
              <w:rPr>
                <w:rFonts w:hint="eastAsia" w:asciiTheme="minorEastAsia" w:hAnsiTheme="minorEastAsia"/>
                <w:bCs/>
                <w:szCs w:val="21"/>
              </w:rPr>
              <w:t>③</w:t>
            </w:r>
            <w:r>
              <w:rPr>
                <w:rFonts w:hint="eastAsia" w:cs="仿宋_GB2312" w:asciiTheme="minorEastAsia" w:hAnsiTheme="minorEastAsia"/>
                <w:szCs w:val="21"/>
              </w:rPr>
              <w:t>“中国社会组织公共服务平台”网站（</w:t>
            </w:r>
            <w:r>
              <w:rPr>
                <w:rFonts w:cs="仿宋_GB2312" w:asciiTheme="minorEastAsia" w:hAnsiTheme="minorEastAsia"/>
                <w:szCs w:val="21"/>
              </w:rPr>
              <w:t>www.chinanpo.gov.cn</w:t>
            </w:r>
            <w:r>
              <w:rPr>
                <w:rFonts w:hint="eastAsia" w:cs="仿宋_GB2312" w:asciiTheme="minorEastAsia" w:hAnsiTheme="minorEastAsia"/>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（2）截止时间：同投标截止时间；</w:t>
            </w:r>
          </w:p>
          <w:p>
            <w:pPr>
              <w:spacing w:line="360" w:lineRule="auto"/>
              <w:rPr>
                <w:rFonts w:asciiTheme="minorEastAsia" w:hAnsiTheme="minorEastAsia"/>
                <w:bCs/>
                <w:szCs w:val="21"/>
                <w:highlight w:val="none"/>
              </w:rPr>
            </w:pPr>
            <w:r>
              <w:rPr>
                <w:rFonts w:hint="eastAsia" w:asciiTheme="minorEastAsia" w:hAnsiTheme="minorEastAsia"/>
                <w:bCs/>
                <w:szCs w:val="21"/>
                <w:highlight w:val="none"/>
              </w:rPr>
              <w:t>（3）信用信息查询记录和证据留存具体方式：经采购人确认的查询结果网页截图作为查询记录和证据，与其他采购文件一并保存；</w:t>
            </w:r>
          </w:p>
          <w:p>
            <w:pPr>
              <w:spacing w:line="360" w:lineRule="auto"/>
              <w:rPr>
                <w:rFonts w:asciiTheme="minorEastAsia" w:hAnsiTheme="minorEastAsia"/>
                <w:b/>
                <w:bCs/>
                <w:szCs w:val="21"/>
                <w:highlight w:val="none"/>
              </w:rPr>
            </w:pPr>
            <w:r>
              <w:rPr>
                <w:rFonts w:hint="eastAsia" w:asciiTheme="minorEastAsia" w:hAnsiTheme="minorEastAsia"/>
                <w:bCs/>
                <w:szCs w:val="21"/>
                <w:highlight w:val="none"/>
              </w:rPr>
              <w:t>（4）信用信息的使用原则：经采购人认定的被列入失信被执行人、重大税收违法案件当事人名单、政府采购严重违法失信行为记录名单的投标人，严重违法失信企业名单（黑名单）、</w:t>
            </w:r>
            <w:r>
              <w:rPr>
                <w:rFonts w:hint="eastAsia" w:cs="仿宋_GB2312" w:asciiTheme="minorEastAsia" w:hAnsiTheme="minorEastAsia"/>
                <w:color w:val="000000"/>
                <w:szCs w:val="21"/>
                <w:highlight w:val="none"/>
              </w:rPr>
              <w:t>严重违法失信社会组织</w:t>
            </w:r>
            <w:r>
              <w:rPr>
                <w:rFonts w:hint="eastAsia" w:asciiTheme="minorEastAsia" w:hAnsiTheme="minorEastAsia"/>
                <w:bCs/>
                <w:szCs w:val="21"/>
                <w:highlight w:val="none"/>
              </w:rPr>
              <w:t>的投标人，将拒绝其参与本次政府采购活动。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投标人须具备的特殊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asciiTheme="minorEastAsia" w:hAnsiTheme="minorEastAsia"/>
                <w:b/>
                <w:bCs/>
                <w:szCs w:val="21"/>
              </w:rPr>
            </w:pPr>
            <w:r>
              <w:rPr>
                <w:rFonts w:hint="eastAsia" w:asciiTheme="minorEastAsia" w:hAnsiTheme="minorEastAsia"/>
                <w:b/>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hint="default" w:asciiTheme="minorEastAsia" w:hAnsiTheme="minorEastAsia" w:eastAsiaTheme="minorEastAsia"/>
                <w:b/>
                <w:bCs/>
                <w:szCs w:val="21"/>
                <w:lang w:val="en-US" w:eastAsia="zh-CN"/>
              </w:rPr>
            </w:pPr>
            <w:r>
              <w:rPr>
                <w:rFonts w:hint="eastAsia" w:asciiTheme="minorEastAsia" w:hAnsiTheme="minorEastAsia"/>
                <w:b/>
                <w:bCs/>
                <w:szCs w:val="21"/>
                <w:lang w:val="en-US" w:eastAsia="zh-CN"/>
              </w:rPr>
              <w:t>10</w:t>
            </w:r>
          </w:p>
        </w:tc>
        <w:tc>
          <w:tcPr>
            <w:tcW w:w="2410" w:type="dxa"/>
            <w:vAlign w:val="center"/>
          </w:tcPr>
          <w:p>
            <w:pPr>
              <w:spacing w:line="360" w:lineRule="auto"/>
              <w:rPr>
                <w:rFonts w:hint="eastAsia" w:asciiTheme="minorEastAsia" w:hAnsiTheme="minorEastAsia"/>
                <w:b/>
                <w:szCs w:val="21"/>
              </w:rPr>
            </w:pPr>
            <w:r>
              <w:rPr>
                <w:rFonts w:hint="eastAsia" w:ascii="宋体" w:hAnsi="宋体"/>
                <w:b/>
                <w:bCs/>
                <w:sz w:val="24"/>
                <w:szCs w:val="24"/>
                <w:lang w:eastAsia="zh-CN"/>
              </w:rPr>
              <w:t>投标承诺函</w:t>
            </w:r>
          </w:p>
        </w:tc>
        <w:tc>
          <w:tcPr>
            <w:tcW w:w="5954" w:type="dxa"/>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b/>
                <w:bCs/>
                <w:szCs w:val="21"/>
              </w:rPr>
            </w:pPr>
            <w:r>
              <w:rPr>
                <w:rFonts w:hint="eastAsia" w:ascii="宋体" w:hAnsi="宋体"/>
                <w:bCs/>
                <w:sz w:val="24"/>
                <w:szCs w:val="24"/>
              </w:rPr>
              <w:t>参考</w:t>
            </w:r>
            <w:r>
              <w:rPr>
                <w:rFonts w:hint="eastAsia" w:ascii="宋体" w:hAnsi="宋体"/>
                <w:bCs/>
                <w:sz w:val="24"/>
                <w:szCs w:val="24"/>
                <w:lang w:eastAsia="zh-CN"/>
              </w:rPr>
              <w:t>采购</w:t>
            </w:r>
            <w:r>
              <w:rPr>
                <w:rFonts w:hint="eastAsia" w:ascii="宋体" w:hAnsi="宋体"/>
                <w:bCs/>
                <w:sz w:val="24"/>
                <w:szCs w:val="24"/>
              </w:rPr>
              <w:t>文件第八章格式填写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hint="eastAsia" w:asciiTheme="minorEastAsia" w:hAnsiTheme="minorEastAsia" w:eastAsiaTheme="minorEastAsia"/>
                <w:b/>
                <w:bCs/>
                <w:szCs w:val="21"/>
                <w:lang w:eastAsia="zh-CN"/>
              </w:rPr>
            </w:pPr>
            <w:r>
              <w:rPr>
                <w:rFonts w:hint="eastAsia" w:asciiTheme="minorEastAsia" w:hAnsiTheme="minorEastAsia"/>
                <w:b/>
                <w:bCs/>
                <w:szCs w:val="21"/>
              </w:rPr>
              <w:t>1</w:t>
            </w:r>
            <w:r>
              <w:rPr>
                <w:rFonts w:hint="eastAsia" w:asciiTheme="minorEastAsia" w:hAnsiTheme="minorEastAsia"/>
                <w:b/>
                <w:bCs/>
                <w:szCs w:val="21"/>
                <w:lang w:val="en-US" w:eastAsia="zh-CN"/>
              </w:rPr>
              <w:t>1</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投标</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投标报价是否超出招标文件中规定的预算金额，超出预算金额的投标无效。如投标人须知前附表规定最高限价，则</w:t>
            </w:r>
            <w:r>
              <w:rPr>
                <w:rFonts w:hint="eastAsia" w:cs="宋体" w:asciiTheme="minorEastAsia" w:hAnsiTheme="minorEastAsia"/>
                <w:bCs/>
                <w:szCs w:val="21"/>
                <w:lang w:val="zh-CN"/>
              </w:rPr>
              <w:t>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hint="eastAsia" w:asciiTheme="minorEastAsia" w:hAnsiTheme="minorEastAsia" w:eastAsiaTheme="minorEastAsia"/>
                <w:b/>
                <w:szCs w:val="21"/>
                <w:lang w:eastAsia="zh-CN"/>
              </w:rPr>
            </w:pPr>
            <w:r>
              <w:rPr>
                <w:rFonts w:hint="eastAsia" w:asciiTheme="minorEastAsia" w:hAnsiTheme="minorEastAsia"/>
                <w:b/>
                <w:szCs w:val="21"/>
              </w:rPr>
              <w:t>1</w:t>
            </w:r>
            <w:r>
              <w:rPr>
                <w:rFonts w:hint="eastAsia" w:asciiTheme="minorEastAsia" w:hAnsiTheme="minorEastAsia"/>
                <w:b/>
                <w:szCs w:val="21"/>
                <w:lang w:val="en-US" w:eastAsia="zh-CN"/>
              </w:rPr>
              <w:t>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hint="eastAsia" w:asciiTheme="minorEastAsia" w:hAnsiTheme="minorEastAsia" w:eastAsiaTheme="minorEastAsia"/>
                <w:b/>
                <w:szCs w:val="21"/>
                <w:lang w:eastAsia="zh-CN"/>
              </w:rPr>
            </w:pPr>
            <w:r>
              <w:rPr>
                <w:rFonts w:hint="eastAsia" w:asciiTheme="minorEastAsia" w:hAnsiTheme="minorEastAsia"/>
                <w:b/>
                <w:szCs w:val="21"/>
              </w:rPr>
              <w:t>1</w:t>
            </w:r>
            <w:r>
              <w:rPr>
                <w:rFonts w:hint="eastAsia" w:asciiTheme="minorEastAsia" w:hAnsiTheme="minorEastAsia"/>
                <w:b/>
                <w:szCs w:val="21"/>
                <w:lang w:val="en-US" w:eastAsia="zh-CN"/>
              </w:rPr>
              <w:t>3</w:t>
            </w:r>
          </w:p>
        </w:tc>
        <w:tc>
          <w:tcPr>
            <w:tcW w:w="2410" w:type="dxa"/>
            <w:vAlign w:val="center"/>
          </w:tcPr>
          <w:p>
            <w:pPr>
              <w:spacing w:line="360" w:lineRule="auto"/>
              <w:contextualSpacing/>
              <w:rPr>
                <w:rFonts w:asciiTheme="minorEastAsia" w:hAnsiTheme="minorEastAsia"/>
                <w:b/>
                <w:szCs w:val="21"/>
              </w:rPr>
            </w:pPr>
            <w:r>
              <w:rPr>
                <w:rFonts w:hint="eastAsia" w:asciiTheme="minorEastAsia" w:hAnsiTheme="minorEastAsia"/>
                <w:b/>
                <w:szCs w:val="21"/>
              </w:rPr>
              <w:t>投标人身份证明及授权</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（1）法定代表人身份证明或提供法定代表人授权委托书及被授权人身份证明。（法人投标提供）</w:t>
            </w:r>
          </w:p>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（2）单位负责人身份证明或提供单位负责人授权委托书及被授权人身份证明。（非法人投标提供）</w:t>
            </w:r>
          </w:p>
          <w:p>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pPr>
              <w:spacing w:line="360" w:lineRule="auto"/>
              <w:rPr>
                <w:rFonts w:asciiTheme="minorEastAsia" w:hAnsiTheme="minorEastAsia"/>
                <w:b/>
                <w:sz w:val="24"/>
                <w:szCs w:val="24"/>
              </w:rPr>
            </w:pPr>
            <w:r>
              <w:rPr>
                <w:rFonts w:hint="eastAsia" w:ascii="楷体" w:hAnsi="楷体" w:eastAsia="楷体"/>
                <w:color w:val="000000"/>
                <w:sz w:val="24"/>
                <w:szCs w:val="24"/>
              </w:rPr>
              <w:t>①企业（银行、保险、石油石化、电力、电信等行业除外）、事业单位和社会团体投标人以法人身份参加投标的，法定代表人应与实际提交的“营业执照等证明文件”载明的一致。</w:t>
            </w:r>
          </w:p>
          <w:p>
            <w:pPr>
              <w:spacing w:line="360" w:lineRule="auto"/>
              <w:contextualSpacing/>
              <w:rPr>
                <w:rFonts w:ascii="楷体" w:hAnsi="楷体" w:eastAsia="楷体"/>
                <w:color w:val="000000"/>
                <w:sz w:val="24"/>
                <w:szCs w:val="24"/>
              </w:rPr>
            </w:pPr>
            <w:r>
              <w:rPr>
                <w:rFonts w:hint="eastAsia" w:ascii="楷体" w:hAnsi="楷体" w:eastAsia="楷体"/>
                <w:color w:val="000000"/>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Theme="minorEastAsia" w:hAnsiTheme="minorEastAsia"/>
                <w:b/>
                <w:szCs w:val="21"/>
              </w:rPr>
            </w:pPr>
            <w:r>
              <w:rPr>
                <w:rFonts w:hint="eastAsia" w:ascii="楷体" w:hAnsi="楷体" w:eastAsia="楷体"/>
                <w:color w:val="000000"/>
                <w:sz w:val="24"/>
                <w:szCs w:val="24"/>
              </w:rPr>
              <w:t>③</w:t>
            </w:r>
            <w:r>
              <w:rPr>
                <w:rFonts w:hint="eastAsia" w:ascii="楷体" w:hAnsi="楷体" w:eastAsia="楷体"/>
                <w:color w:val="000000"/>
                <w:kern w:val="0"/>
                <w:sz w:val="24"/>
                <w:szCs w:val="24"/>
              </w:rPr>
              <w:t>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hint="eastAsia" w:asciiTheme="minorEastAsia" w:hAnsiTheme="minorEastAsia" w:eastAsiaTheme="minorEastAsia"/>
                <w:b/>
                <w:szCs w:val="21"/>
                <w:lang w:eastAsia="zh-CN"/>
              </w:rPr>
            </w:pPr>
            <w:r>
              <w:rPr>
                <w:rFonts w:hint="eastAsia" w:asciiTheme="minorEastAsia" w:hAnsiTheme="minorEastAsia"/>
                <w:b/>
                <w:szCs w:val="21"/>
              </w:rPr>
              <w:t>1</w:t>
            </w:r>
            <w:r>
              <w:rPr>
                <w:rFonts w:hint="eastAsia" w:asciiTheme="minorEastAsia" w:hAnsiTheme="minorEastAsia"/>
                <w:b/>
                <w:szCs w:val="21"/>
                <w:lang w:val="en-US" w:eastAsia="zh-CN"/>
              </w:rPr>
              <w:t>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hint="default" w:asciiTheme="minorEastAsia" w:hAnsiTheme="minorEastAsia" w:eastAsiaTheme="minorEastAsia"/>
                <w:b/>
                <w:szCs w:val="21"/>
                <w:lang w:val="en-US" w:eastAsia="zh-CN"/>
              </w:rPr>
            </w:pPr>
            <w:r>
              <w:rPr>
                <w:rFonts w:hint="eastAsia" w:asciiTheme="minorEastAsia" w:hAnsiTheme="minorEastAsia"/>
                <w:b/>
                <w:szCs w:val="21"/>
                <w:lang w:val="en-US" w:eastAsia="zh-CN"/>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w:t>
            </w:r>
            <w:bookmarkStart w:id="22" w:name="baidusnap2"/>
            <w:bookmarkEnd w:id="22"/>
            <w:r>
              <w:rPr>
                <w:rFonts w:hint="eastAsia" w:cs="仿宋_GB2312" w:asciiTheme="minorEastAsia" w:hAnsiTheme="minorEastAsia"/>
                <w:szCs w:val="21"/>
                <w:lang w:val="zh-CN"/>
              </w:rPr>
              <w:t>提供未为本项目提供整体设计、</w:t>
            </w:r>
            <w:bookmarkStart w:id="23" w:name="baidusnap9"/>
            <w:bookmarkEnd w:id="23"/>
            <w:r>
              <w:rPr>
                <w:rFonts w:hint="eastAsia" w:cs="仿宋_GB2312" w:asciiTheme="minorEastAsia" w:hAnsiTheme="minorEastAsia"/>
                <w:szCs w:val="21"/>
                <w:lang w:val="zh-CN"/>
              </w:rPr>
              <w:t>规范编制或者项目管理、监理、检测等服务承诺函（承诺函格式自拟）。</w:t>
            </w:r>
          </w:p>
          <w:p>
            <w:pPr>
              <w:spacing w:line="360" w:lineRule="auto"/>
              <w:rPr>
                <w:rFonts w:asciiTheme="minorEastAsia" w:hAnsiTheme="minorEastAsia"/>
                <w:bCs/>
                <w:szCs w:val="21"/>
              </w:rPr>
            </w:pPr>
          </w:p>
        </w:tc>
      </w:tr>
    </w:tbl>
    <w:p>
      <w:pPr>
        <w:pStyle w:val="15"/>
        <w:spacing w:line="360" w:lineRule="auto"/>
        <w:ind w:firstLine="482" w:firstLineChars="200"/>
        <w:contextualSpacing/>
        <w:rPr>
          <w:rFonts w:cs="仿宋_GB2312" w:asciiTheme="minorEastAsia" w:hAnsiTheme="minorEastAsia" w:eastAsiaTheme="minorEastAsia"/>
          <w:b/>
          <w:szCs w:val="24"/>
          <w:lang w:val="zh-CN"/>
        </w:rPr>
      </w:pPr>
    </w:p>
    <w:p>
      <w:pPr>
        <w:pStyle w:val="15"/>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二、评标</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（一）评标方法</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本项目采用综合评分法。总分为100分。</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w:t>
      </w:r>
      <w:r>
        <w:rPr>
          <w:rFonts w:cs="仿宋_GB2312" w:asciiTheme="minorEastAsia" w:hAnsiTheme="minorEastAsia" w:eastAsiaTheme="minorEastAsia"/>
          <w:b/>
          <w:sz w:val="21"/>
          <w:szCs w:val="21"/>
          <w:lang w:val="zh-CN"/>
        </w:rPr>
        <w:t>评标委员会负责具体评标事务，并独立履行下列职责</w:t>
      </w:r>
    </w:p>
    <w:p>
      <w:pPr>
        <w:pStyle w:val="15"/>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审查、评价投标文件是否符合招标文件的商务、技术等实质性要求；</w:t>
      </w:r>
    </w:p>
    <w:p>
      <w:pPr>
        <w:pStyle w:val="15"/>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评标委员会对符合资格的投标人的投标文件进行符合性审查，以确定其是否满足招标文件的商务、技术等实质性要求。</w:t>
      </w:r>
    </w:p>
    <w:p>
      <w:pPr>
        <w:pStyle w:val="15"/>
        <w:spacing w:line="360" w:lineRule="auto"/>
        <w:ind w:firstLine="420" w:firstLineChars="200"/>
        <w:contextualSpacing/>
        <w:jc w:val="left"/>
        <w:rPr>
          <w:rFonts w:cs="仿宋_GB2312" w:asciiTheme="minorEastAsia" w:hAnsiTheme="minorEastAsia"/>
          <w:sz w:val="21"/>
          <w:szCs w:val="21"/>
          <w:lang w:val="zh-CN"/>
        </w:rPr>
      </w:pPr>
      <w:r>
        <w:rPr>
          <w:rFonts w:hint="eastAsia" w:cs="仿宋_GB2312" w:asciiTheme="minorEastAsia" w:hAnsiTheme="minorEastAsia"/>
          <w:sz w:val="21"/>
          <w:szCs w:val="21"/>
          <w:lang w:val="zh-CN"/>
        </w:rPr>
        <w:t>注：符合性审查中所涉及到的证书及材料，均应在电子投标文件中提供原件扫描件（或图片）。</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要求投标人对投标文件有关事项作出澄清或者说明；</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对于投标文件中含义不明确、同类问题表述不一致或者有明显文字和计算错误的内容，评标委员会应当以书面形式要求投标人作出必要的澄清、说明或者补正。</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pPr>
        <w:pStyle w:val="15"/>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w:t>
      </w:r>
      <w:r>
        <w:rPr>
          <w:rFonts w:cs="仿宋_GB2312" w:asciiTheme="minorEastAsia" w:hAnsiTheme="minorEastAsia" w:eastAsiaTheme="minorEastAsia"/>
          <w:b/>
          <w:sz w:val="21"/>
          <w:szCs w:val="21"/>
          <w:lang w:val="zh-CN"/>
        </w:rPr>
        <w:t>对投标文件进行比较和评价；</w:t>
      </w:r>
    </w:p>
    <w:p>
      <w:pPr>
        <w:pStyle w:val="15"/>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eastAsiaTheme="minor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1"/>
          <w:szCs w:val="21"/>
          <w:lang w:val="zh-CN"/>
        </w:rPr>
        <w:t>评标过程中，不得去掉报价中的最高报价和最低报价。</w:t>
      </w:r>
    </w:p>
    <w:p>
      <w:pPr>
        <w:pStyle w:val="15"/>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sz w:val="21"/>
          <w:szCs w:val="21"/>
          <w:lang w:val="zh-CN"/>
        </w:rPr>
        <w:t>注：评标标准中所涉及到的证书及材料，均应在电子投标文件中提供原件扫描件（或图片）。</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（1）价格分计算</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pPr>
        <w:spacing w:line="360" w:lineRule="auto"/>
        <w:ind w:firstLine="420" w:firstLineChars="200"/>
        <w:contextualSpacing/>
        <w:rPr>
          <w:rFonts w:hint="eastAsia" w:cs="仿宋_GB2312" w:asciiTheme="minorEastAsia" w:hAnsiTheme="minorEastAsia" w:eastAsiaTheme="minorEastAsia"/>
          <w:sz w:val="21"/>
          <w:szCs w:val="21"/>
          <w:highlight w:val="none"/>
          <w:lang w:val="zh-CN"/>
        </w:rPr>
      </w:pPr>
      <w:r>
        <w:rPr>
          <w:rFonts w:hint="eastAsia" w:cs="仿宋_GB2312" w:asciiTheme="minorEastAsia" w:hAnsiTheme="minorEastAsia" w:eastAsiaTheme="minorEastAsia"/>
          <w:sz w:val="21"/>
          <w:szCs w:val="21"/>
          <w:highlight w:val="none"/>
          <w:lang w:val="zh-CN"/>
        </w:rPr>
        <w:t>小型和微型企业不包含民办非企业单位。</w:t>
      </w:r>
    </w:p>
    <w:p>
      <w:pPr>
        <w:spacing w:line="360" w:lineRule="auto"/>
        <w:ind w:firstLine="420" w:firstLineChars="200"/>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5"/>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（2）</w:t>
      </w:r>
      <w:r>
        <w:rPr>
          <w:rFonts w:cs="仿宋_GB2312" w:asciiTheme="minorEastAsia" w:hAnsiTheme="minorEastAsia" w:eastAsiaTheme="minorEastAsia"/>
          <w:b/>
          <w:sz w:val="21"/>
          <w:szCs w:val="21"/>
          <w:lang w:val="zh-CN"/>
        </w:rPr>
        <w:t>关于相同品牌产品</w:t>
      </w:r>
      <w:r>
        <w:rPr>
          <w:rFonts w:cs="仿宋_GB2312" w:asciiTheme="minorEastAsia" w:hAnsiTheme="minorEastAsia" w:eastAsiaTheme="minorEastAsia"/>
          <w:b/>
          <w:bCs/>
          <w:sz w:val="21"/>
          <w:szCs w:val="21"/>
          <w:lang w:val="zh-CN"/>
        </w:rPr>
        <w:t>（服务类项目不适用本条款规定）</w:t>
      </w:r>
    </w:p>
    <w:p>
      <w:pPr>
        <w:pStyle w:val="15"/>
        <w:spacing w:line="360" w:lineRule="auto"/>
        <w:ind w:firstLine="465"/>
        <w:contextualSpacing/>
        <w:jc w:val="left"/>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1"/>
          <w:szCs w:val="21"/>
          <w:lang w:val="zh-CN"/>
        </w:rPr>
        <w:t>采取随机抽取</w:t>
      </w:r>
      <w:r>
        <w:rPr>
          <w:rFonts w:cs="仿宋_GB2312" w:asciiTheme="minorEastAsia" w:hAnsiTheme="minorEastAsia" w:eastAsiaTheme="minorEastAsia"/>
          <w:sz w:val="21"/>
          <w:szCs w:val="21"/>
          <w:lang w:val="zh-CN"/>
        </w:rPr>
        <w:t>方式确定一个参加评标的投标人，其他投标无效。</w:t>
      </w:r>
    </w:p>
    <w:p>
      <w:pPr>
        <w:pStyle w:val="15"/>
        <w:spacing w:line="360" w:lineRule="auto"/>
        <w:ind w:firstLine="465"/>
        <w:contextualSpacing/>
        <w:jc w:val="left"/>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采用综合评分法的，提供相同品牌产品</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非单一产品采购项目，多家投标人提供的核心产品品牌相同</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sz w:val="21"/>
          <w:szCs w:val="21"/>
          <w:lang w:val="zh-CN"/>
        </w:rPr>
        <w:t>由采购人或者采购人委托评标委员会</w:t>
      </w:r>
      <w:r>
        <w:rPr>
          <w:rFonts w:cs="仿宋_GB2312" w:asciiTheme="minorEastAsia" w:hAnsiTheme="minorEastAsia" w:eastAsiaTheme="minorEastAsia"/>
          <w:sz w:val="21"/>
          <w:szCs w:val="21"/>
          <w:lang w:val="zh-CN"/>
        </w:rPr>
        <w:t>采取随机抽取方式确定</w:t>
      </w:r>
      <w:r>
        <w:rPr>
          <w:rFonts w:hint="eastAsia" w:cs="仿宋_GB2312" w:asciiTheme="minorEastAsia" w:hAnsiTheme="minorEastAsia" w:eastAsiaTheme="minorEastAsia"/>
          <w:sz w:val="21"/>
          <w:szCs w:val="21"/>
          <w:lang w:val="zh-CN"/>
        </w:rPr>
        <w:t>一个投标人获得中标人推荐资格</w:t>
      </w:r>
      <w:r>
        <w:rPr>
          <w:rFonts w:cs="仿宋_GB2312" w:asciiTheme="minorEastAsia" w:hAnsiTheme="minorEastAsia" w:eastAsiaTheme="minorEastAsia"/>
          <w:sz w:val="21"/>
          <w:szCs w:val="21"/>
          <w:lang w:val="zh-CN"/>
        </w:rPr>
        <w:t>，其他同品牌投标人不作为中标候选人。</w:t>
      </w:r>
    </w:p>
    <w:p>
      <w:pPr>
        <w:pStyle w:val="15"/>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（3）关于强制性产品认证</w:t>
      </w:r>
    </w:p>
    <w:p>
      <w:pPr>
        <w:spacing w:line="360" w:lineRule="auto"/>
        <w:ind w:firstLine="420" w:firstLineChars="200"/>
        <w:contextualSpacing/>
        <w:rPr>
          <w:rFonts w:cs="宋体" w:asciiTheme="minorEastAsia" w:hAnsiTheme="minorEastAsia"/>
          <w:kern w:val="0"/>
          <w:szCs w:val="21"/>
          <w:highlight w:val="none"/>
        </w:rPr>
      </w:pPr>
      <w:r>
        <w:rPr>
          <w:rFonts w:hint="eastAsia" w:cs="仿宋_GB2312" w:asciiTheme="minorEastAsia" w:hAnsiTheme="minorEastAsia"/>
          <w:szCs w:val="21"/>
          <w:lang w:val="zh-CN"/>
        </w:rPr>
        <w:t>1）如投标人所投产品属于“中国强制性产品认证”（3C认证）范围内,则必须承诺采用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并在有效期内的产品，应在投标文件中提供“所投产品符合国家强制性要求承诺函”并加盖投标人公章，否则将承担其投标被视为非实质性响应投标的风险。</w:t>
      </w:r>
    </w:p>
    <w:p>
      <w:pPr>
        <w:wordWrap w:val="0"/>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hint="eastAsia" w:cs="宋体" w:asciiTheme="minorEastAsia" w:hAnsiTheme="minorEastAsia"/>
          <w:kern w:val="0"/>
          <w:szCs w:val="21"/>
          <w:highlight w:val="none"/>
        </w:rPr>
        <w:t>2)投标人所投产品如被列入</w:t>
      </w:r>
      <w:r>
        <w:rPr>
          <w:rFonts w:cs="宋体" w:asciiTheme="minorEastAsia" w:hAnsiTheme="minorEastAsia"/>
          <w:kern w:val="0"/>
          <w:szCs w:val="21"/>
          <w:highlight w:val="none"/>
        </w:rPr>
        <w:t>《信息安全产品强制性认证目录》，</w:t>
      </w:r>
      <w:r>
        <w:rPr>
          <w:rFonts w:hint="eastAsia" w:cs="仿宋_GB2312" w:asciiTheme="minorEastAsia" w:hAnsiTheme="minorEastAsia"/>
          <w:szCs w:val="21"/>
          <w:highlight w:val="none"/>
          <w:lang w:val="zh-CN"/>
        </w:rPr>
        <w:t>则投标文件中应根据本项目招标文件“第二章 项目需求”</w:t>
      </w:r>
      <w:r>
        <w:rPr>
          <w:rFonts w:cs="仿宋_GB2312" w:asciiTheme="minorEastAsia" w:hAnsiTheme="minorEastAsia"/>
          <w:szCs w:val="21"/>
          <w:highlight w:val="none"/>
          <w:lang w:val="zh-CN"/>
        </w:rPr>
        <w:t>提供</w:t>
      </w:r>
      <w:r>
        <w:rPr>
          <w:rFonts w:hint="eastAsia" w:cs="仿宋_GB2312" w:asciiTheme="minorEastAsia" w:hAnsiTheme="minorEastAsia"/>
          <w:szCs w:val="21"/>
          <w:highlight w:val="none"/>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highlight w:val="none"/>
        </w:rPr>
      </w:pPr>
      <w:r>
        <w:rPr>
          <w:rFonts w:hint="eastAsia" w:cs="宋体" w:asciiTheme="minorEastAsia" w:hAnsiTheme="minorEastAsia"/>
          <w:kern w:val="0"/>
          <w:szCs w:val="21"/>
          <w:highlight w:val="none"/>
        </w:rPr>
        <w:t>①中国信息安全认证中心官网（</w:t>
      </w:r>
      <w:r>
        <w:rPr>
          <w:rFonts w:cs="宋体" w:asciiTheme="minorEastAsia" w:hAnsiTheme="minorEastAsia"/>
          <w:kern w:val="0"/>
          <w:szCs w:val="21"/>
          <w:highlight w:val="none"/>
        </w:rPr>
        <w:t>http://www.isccc.gov.cn/index.shtml</w:t>
      </w:r>
      <w:r>
        <w:rPr>
          <w:rFonts w:hint="eastAsia" w:cs="宋体" w:asciiTheme="minorEastAsia" w:hAnsiTheme="minorEastAsia"/>
          <w:kern w:val="0"/>
          <w:szCs w:val="21"/>
          <w:highlight w:val="none"/>
        </w:rPr>
        <w:t>）产品查询结果截图并加盖投标人公章；</w:t>
      </w:r>
    </w:p>
    <w:p>
      <w:pPr>
        <w:wordWrap w:val="0"/>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hint="eastAsia" w:cs="宋体" w:asciiTheme="minorEastAsia" w:hAnsiTheme="minorEastAsia"/>
          <w:kern w:val="0"/>
          <w:szCs w:val="21"/>
          <w:highlight w:val="none"/>
        </w:rPr>
        <w:t>②中国信息安全认证中心</w:t>
      </w:r>
      <w:r>
        <w:rPr>
          <w:rFonts w:hint="eastAsia" w:cs="仿宋_GB2312" w:asciiTheme="minorEastAsia" w:hAnsiTheme="minorEastAsia"/>
          <w:szCs w:val="21"/>
          <w:highlight w:val="none"/>
          <w:lang w:val="zh-CN"/>
        </w:rPr>
        <w:t>颁发的《中国国家信息安全产品认证证书》加盖投标人公章的原件扫描件（或图片）。</w:t>
      </w:r>
    </w:p>
    <w:p>
      <w:pPr>
        <w:spacing w:line="360" w:lineRule="auto"/>
        <w:ind w:firstLine="480" w:firstLineChars="200"/>
        <w:contextualSpacing/>
        <w:rPr>
          <w:rFonts w:hint="eastAsia" w:ascii="楷体" w:hAnsi="楷体" w:eastAsia="楷体"/>
          <w:color w:val="000000"/>
          <w:sz w:val="24"/>
          <w:szCs w:val="24"/>
          <w:highlight w:val="none"/>
        </w:rPr>
      </w:pPr>
      <w:r>
        <w:rPr>
          <w:rFonts w:hint="eastAsia" w:ascii="楷体" w:hAnsi="楷体" w:eastAsia="楷体" w:cs="仿宋_GB2312"/>
          <w:sz w:val="24"/>
          <w:szCs w:val="24"/>
          <w:highlight w:val="none"/>
          <w:lang w:val="zh-CN"/>
        </w:rPr>
        <w:t>注：仅需提供序号</w:t>
      </w:r>
      <w:r>
        <w:rPr>
          <w:rFonts w:hint="eastAsia" w:ascii="楷体" w:hAnsi="楷体" w:eastAsia="楷体"/>
          <w:color w:val="000000"/>
          <w:sz w:val="24"/>
          <w:szCs w:val="24"/>
          <w:highlight w:val="none"/>
        </w:rPr>
        <w:t>①～②其中之一即可。</w:t>
      </w:r>
    </w:p>
    <w:p>
      <w:pPr>
        <w:spacing w:line="360" w:lineRule="auto"/>
        <w:ind w:firstLine="422" w:firstLineChars="200"/>
        <w:contextualSpacing/>
        <w:rPr>
          <w:rFonts w:ascii="宋体" w:cs="仿宋_GB2312"/>
          <w:b/>
          <w:szCs w:val="21"/>
          <w:lang w:val="zh-CN"/>
        </w:rPr>
      </w:pPr>
      <w:r>
        <w:rPr>
          <w:rFonts w:hint="eastAsia" w:ascii="宋体" w:hAnsi="宋体" w:cs="仿宋_GB2312"/>
          <w:b/>
          <w:szCs w:val="21"/>
          <w:lang w:val="zh-CN"/>
        </w:rPr>
        <w:t>（</w:t>
      </w:r>
      <w:r>
        <w:rPr>
          <w:rFonts w:hint="eastAsia" w:ascii="宋体" w:hAnsi="宋体" w:cs="仿宋_GB2312"/>
          <w:b/>
          <w:szCs w:val="21"/>
          <w:lang w:val="en-US" w:eastAsia="zh-CN"/>
        </w:rPr>
        <w:t>4</w:t>
      </w:r>
      <w:r>
        <w:rPr>
          <w:rFonts w:hint="eastAsia" w:ascii="宋体" w:hAnsi="宋体" w:cs="仿宋_GB2312"/>
          <w:b/>
          <w:szCs w:val="21"/>
          <w:lang w:val="zh-CN"/>
        </w:rPr>
        <w:t>）支持脱贫攻坚（物业服务采购）</w:t>
      </w:r>
    </w:p>
    <w:p>
      <w:pPr>
        <w:tabs>
          <w:tab w:val="left" w:pos="1260"/>
        </w:tabs>
        <w:autoSpaceDE w:val="0"/>
        <w:autoSpaceDN w:val="0"/>
        <w:spacing w:line="360" w:lineRule="auto"/>
        <w:ind w:firstLine="420" w:firstLineChars="200"/>
        <w:contextualSpacing/>
        <w:rPr>
          <w:rFonts w:hint="eastAsia" w:ascii="宋体" w:hAnsi="宋体" w:cs="仿宋_GB2312" w:eastAsiaTheme="minorEastAsia"/>
          <w:szCs w:val="21"/>
          <w:lang w:val="en-US" w:eastAsia="zh-CN"/>
        </w:rPr>
      </w:pPr>
      <w:r>
        <w:rPr>
          <w:rFonts w:hint="eastAsia" w:ascii="宋体" w:hAnsi="宋体" w:cs="仿宋_GB2312"/>
          <w:szCs w:val="21"/>
          <w:lang w:val="zh-CN"/>
        </w:rPr>
        <w:t>在物业项目中，对注册地在</w:t>
      </w:r>
      <w:r>
        <w:rPr>
          <w:rFonts w:ascii="宋体" w:hAnsi="宋体" w:cs="仿宋_GB2312"/>
          <w:szCs w:val="21"/>
          <w:lang w:val="zh-CN"/>
        </w:rPr>
        <w:t>832</w:t>
      </w:r>
      <w:r>
        <w:rPr>
          <w:rFonts w:hint="eastAsia" w:ascii="宋体" w:hAnsi="宋体" w:cs="仿宋_GB2312"/>
          <w:szCs w:val="21"/>
          <w:lang w:val="zh-CN"/>
        </w:rPr>
        <w:t>个国家级贫困县域内且聘用建档立卡贫困人员的物业公司，提供注册地证明材料、贫困县扶贫部门出具的聘用建档立卡贫困人员身份证明及社保材料（开标前</w:t>
      </w:r>
      <w:r>
        <w:rPr>
          <w:rFonts w:ascii="宋体" w:hAnsi="宋体" w:cs="仿宋_GB2312"/>
          <w:szCs w:val="21"/>
          <w:lang w:val="zh-CN"/>
        </w:rPr>
        <w:t>12</w:t>
      </w:r>
      <w:r>
        <w:rPr>
          <w:rFonts w:hint="eastAsia" w:ascii="宋体" w:hAnsi="宋体" w:cs="仿宋_GB2312"/>
          <w:szCs w:val="21"/>
          <w:lang w:val="zh-CN"/>
        </w:rPr>
        <w:t>个月内至少连续</w:t>
      </w:r>
      <w:r>
        <w:rPr>
          <w:rFonts w:ascii="宋体" w:hAnsi="宋体" w:cs="仿宋_GB2312"/>
          <w:szCs w:val="21"/>
          <w:lang w:val="zh-CN"/>
        </w:rPr>
        <w:t>3</w:t>
      </w:r>
      <w:r>
        <w:rPr>
          <w:rFonts w:hint="eastAsia" w:ascii="宋体" w:hAnsi="宋体" w:cs="仿宋_GB2312"/>
          <w:szCs w:val="21"/>
          <w:lang w:val="zh-CN"/>
        </w:rPr>
        <w:t>个月）的有效证明后，评标委员会根据本项目评标标准予以判定并赋分</w:t>
      </w:r>
      <w:r>
        <w:rPr>
          <w:rFonts w:hint="eastAsia" w:ascii="宋体" w:hAnsi="宋体" w:cs="仿宋_GB2312"/>
          <w:szCs w:val="21"/>
          <w:lang w:val="en-US" w:eastAsia="zh-CN"/>
        </w:rPr>
        <w:t>.</w:t>
      </w:r>
    </w:p>
    <w:p>
      <w:pPr>
        <w:tabs>
          <w:tab w:val="left" w:pos="1260"/>
        </w:tabs>
        <w:autoSpaceDE w:val="0"/>
        <w:autoSpaceDN w:val="0"/>
        <w:spacing w:line="360" w:lineRule="auto"/>
        <w:ind w:firstLine="422" w:firstLineChars="200"/>
        <w:contextualSpacing/>
        <w:rPr>
          <w:rFonts w:cs="仿宋_GB2312" w:asciiTheme="minorEastAsia" w:hAnsiTheme="minorEastAsia"/>
          <w:b/>
          <w:szCs w:val="21"/>
          <w:highlight w:val="none"/>
          <w:lang w:val="zh-CN"/>
        </w:rPr>
      </w:pPr>
      <w:r>
        <w:rPr>
          <w:rFonts w:hint="eastAsia" w:cs="仿宋_GB2312" w:asciiTheme="minorEastAsia" w:hAnsiTheme="minorEastAsia"/>
          <w:b/>
          <w:szCs w:val="21"/>
          <w:highlight w:val="none"/>
          <w:lang w:val="zh-CN"/>
        </w:rPr>
        <w:t>（</w:t>
      </w:r>
      <w:r>
        <w:rPr>
          <w:rFonts w:hint="eastAsia" w:cs="仿宋_GB2312" w:asciiTheme="minorEastAsia" w:hAnsiTheme="minorEastAsia"/>
          <w:b/>
          <w:szCs w:val="21"/>
          <w:highlight w:val="none"/>
          <w:lang w:val="en-US" w:eastAsia="zh-CN"/>
        </w:rPr>
        <w:t>5</w:t>
      </w:r>
      <w:r>
        <w:rPr>
          <w:rFonts w:hint="eastAsia" w:cs="仿宋_GB2312" w:asciiTheme="minorEastAsia" w:hAnsiTheme="minorEastAsia"/>
          <w:b/>
          <w:szCs w:val="21"/>
          <w:highlight w:val="none"/>
          <w:lang w:val="zh-CN"/>
        </w:rPr>
        <w:t>）投标无效情形</w:t>
      </w:r>
    </w:p>
    <w:p>
      <w:pPr>
        <w:tabs>
          <w:tab w:val="left" w:pos="1260"/>
        </w:tabs>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2）符合性审查资料未按招标文件要求签署、盖章的；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3）有下列情形之一的，视为投标人串通投标，其投标无效：</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a.不同投标人的投标文件由同一单位或者个人编制；</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b.不同投标人委托同一单位或者个人办理投标事宜；</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c.不同投标人的投标文件载明的项目管理成员或者联系人员为同一人；</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d.不同投标人的投标文件异常一致或者投标报价呈规律性差异；</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e.不同投标人的投标文件相互混装；</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5）</w:t>
      </w:r>
      <w:r>
        <w:rPr>
          <w:rFonts w:cs="仿宋_GB2312" w:asciiTheme="minorEastAsia" w:hAnsiTheme="minorEastAsia"/>
          <w:szCs w:val="21"/>
          <w:lang w:val="zh-CN"/>
        </w:rPr>
        <w:t>法律、法规和招标文件规定的其他无效情形。</w:t>
      </w:r>
    </w:p>
    <w:p>
      <w:pPr>
        <w:pStyle w:val="15"/>
        <w:spacing w:line="360" w:lineRule="auto"/>
        <w:ind w:firstLine="422" w:firstLineChars="200"/>
        <w:contextualSpacing/>
        <w:rPr>
          <w:rFonts w:hint="eastAsia"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（6）评标标准</w:t>
      </w:r>
    </w:p>
    <w:tbl>
      <w:tblPr>
        <w:tblStyle w:val="24"/>
        <w:tblpPr w:leftFromText="180" w:rightFromText="180" w:vertAnchor="text" w:horzAnchor="page" w:tblpX="1773" w:tblpY="735"/>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78"/>
        <w:gridCol w:w="6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2977" w:type="dxa"/>
            <w:gridSpan w:val="2"/>
            <w:vAlign w:val="center"/>
          </w:tcPr>
          <w:p>
            <w:pPr>
              <w:spacing w:line="360" w:lineRule="auto"/>
              <w:jc w:val="center"/>
              <w:rPr>
                <w:rFonts w:asciiTheme="minorEastAsia" w:hAnsiTheme="minorEastAsia"/>
                <w:color w:val="auto"/>
                <w:szCs w:val="21"/>
                <w:highlight w:val="none"/>
              </w:rPr>
            </w:pPr>
            <w:r>
              <w:rPr>
                <w:rFonts w:hint="eastAsia" w:asciiTheme="minorEastAsia" w:hAnsiTheme="minorEastAsia"/>
                <w:color w:val="auto"/>
                <w:szCs w:val="21"/>
                <w:highlight w:val="none"/>
              </w:rPr>
              <w:t>分值构成</w:t>
            </w:r>
          </w:p>
          <w:p>
            <w:pPr>
              <w:snapToGrid w:val="0"/>
              <w:spacing w:beforeLines="50"/>
              <w:jc w:val="center"/>
              <w:rPr>
                <w:rFonts w:ascii="宋体" w:hAnsi="宋体" w:cs="宋体"/>
                <w:b/>
                <w:color w:val="auto"/>
                <w:szCs w:val="21"/>
                <w:highlight w:val="none"/>
              </w:rPr>
            </w:pPr>
            <w:r>
              <w:rPr>
                <w:rFonts w:hint="eastAsia" w:asciiTheme="minorEastAsia" w:hAnsiTheme="minorEastAsia"/>
                <w:color w:val="auto"/>
                <w:szCs w:val="21"/>
                <w:highlight w:val="none"/>
              </w:rPr>
              <w:t>(总分100分)</w:t>
            </w:r>
          </w:p>
        </w:tc>
        <w:tc>
          <w:tcPr>
            <w:tcW w:w="6163" w:type="dxa"/>
            <w:vAlign w:val="center"/>
          </w:tcPr>
          <w:p>
            <w:pPr>
              <w:spacing w:line="360" w:lineRule="auto"/>
              <w:ind w:firstLine="420" w:firstLineChars="200"/>
              <w:rPr>
                <w:rFonts w:asciiTheme="minorEastAsia" w:hAnsiTheme="minorEastAsia"/>
                <w:color w:val="auto"/>
                <w:szCs w:val="21"/>
                <w:highlight w:val="none"/>
              </w:rPr>
            </w:pPr>
            <w:r>
              <w:rPr>
                <w:rFonts w:hint="eastAsia" w:asciiTheme="minorEastAsia" w:hAnsiTheme="minorEastAsia"/>
                <w:color w:val="auto"/>
                <w:szCs w:val="21"/>
                <w:highlight w:val="none"/>
              </w:rPr>
              <w:t>价格分值：</w:t>
            </w:r>
            <w:r>
              <w:rPr>
                <w:rFonts w:hint="eastAsia" w:asciiTheme="minorEastAsia" w:hAnsiTheme="minorEastAsia"/>
                <w:color w:val="auto"/>
                <w:szCs w:val="21"/>
                <w:highlight w:val="none"/>
                <w:u w:val="single"/>
                <w:lang w:val="en-US" w:eastAsia="zh-CN"/>
              </w:rPr>
              <w:t>40</w:t>
            </w:r>
            <w:r>
              <w:rPr>
                <w:rFonts w:hint="eastAsia" w:asciiTheme="minorEastAsia" w:hAnsiTheme="minorEastAsia"/>
                <w:color w:val="auto"/>
                <w:szCs w:val="21"/>
                <w:highlight w:val="none"/>
              </w:rPr>
              <w:t>分</w:t>
            </w:r>
          </w:p>
          <w:p>
            <w:pPr>
              <w:spacing w:line="360" w:lineRule="auto"/>
              <w:ind w:firstLine="420" w:firstLineChars="200"/>
              <w:rPr>
                <w:rFonts w:asciiTheme="minorEastAsia" w:hAnsiTheme="minorEastAsia"/>
                <w:color w:val="auto"/>
                <w:szCs w:val="21"/>
                <w:highlight w:val="none"/>
              </w:rPr>
            </w:pPr>
            <w:r>
              <w:rPr>
                <w:rFonts w:hint="eastAsia" w:asciiTheme="minorEastAsia" w:hAnsiTheme="minorEastAsia"/>
                <w:color w:val="auto"/>
                <w:szCs w:val="21"/>
                <w:highlight w:val="none"/>
              </w:rPr>
              <w:t>商务部分：</w:t>
            </w:r>
            <w:r>
              <w:rPr>
                <w:rFonts w:hint="eastAsia" w:asciiTheme="minorEastAsia" w:hAnsiTheme="minorEastAsia"/>
                <w:color w:val="auto"/>
                <w:szCs w:val="21"/>
                <w:highlight w:val="none"/>
                <w:u w:val="single"/>
                <w:lang w:val="en-US" w:eastAsia="zh-CN"/>
              </w:rPr>
              <w:t>35</w:t>
            </w:r>
            <w:r>
              <w:rPr>
                <w:rFonts w:hint="eastAsia" w:asciiTheme="minorEastAsia" w:hAnsiTheme="minorEastAsia"/>
                <w:color w:val="auto"/>
                <w:szCs w:val="21"/>
                <w:highlight w:val="none"/>
              </w:rPr>
              <w:t>分</w:t>
            </w:r>
          </w:p>
          <w:p>
            <w:pPr>
              <w:spacing w:beforeLines="50"/>
              <w:ind w:firstLine="420" w:firstLineChars="200"/>
              <w:rPr>
                <w:rFonts w:ascii="宋体" w:hAnsi="宋体" w:cs="宋体"/>
                <w:b/>
                <w:color w:val="auto"/>
                <w:szCs w:val="21"/>
                <w:highlight w:val="none"/>
              </w:rPr>
            </w:pPr>
            <w:r>
              <w:rPr>
                <w:rFonts w:hint="eastAsia" w:asciiTheme="minorEastAsia" w:hAnsiTheme="minorEastAsia"/>
                <w:color w:val="auto"/>
                <w:szCs w:val="21"/>
                <w:highlight w:val="none"/>
              </w:rPr>
              <w:t>技术部分：</w:t>
            </w:r>
            <w:r>
              <w:rPr>
                <w:rFonts w:hint="eastAsia" w:asciiTheme="minorEastAsia" w:hAnsiTheme="minorEastAsia"/>
                <w:color w:val="auto"/>
                <w:szCs w:val="21"/>
                <w:highlight w:val="none"/>
                <w:u w:val="single"/>
                <w:lang w:val="en-US" w:eastAsia="zh-CN"/>
              </w:rPr>
              <w:t>25</w:t>
            </w:r>
            <w:r>
              <w:rPr>
                <w:rFonts w:hint="eastAsia" w:asciiTheme="minorEastAsia" w:hAnsi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399" w:type="dxa"/>
            <w:vAlign w:val="center"/>
          </w:tcPr>
          <w:p>
            <w:pPr>
              <w:snapToGrid w:val="0"/>
              <w:spacing w:beforeLines="50"/>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评审项</w:t>
            </w:r>
          </w:p>
        </w:tc>
        <w:tc>
          <w:tcPr>
            <w:tcW w:w="1578" w:type="dxa"/>
            <w:vAlign w:val="center"/>
          </w:tcPr>
          <w:p>
            <w:pPr>
              <w:snapToGrid w:val="0"/>
              <w:spacing w:beforeLines="50"/>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评分因素</w:t>
            </w:r>
          </w:p>
        </w:tc>
        <w:tc>
          <w:tcPr>
            <w:tcW w:w="6163" w:type="dxa"/>
            <w:vAlign w:val="center"/>
          </w:tcPr>
          <w:p>
            <w:pPr>
              <w:snapToGrid w:val="0"/>
              <w:spacing w:beforeLines="50"/>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w:t>
            </w:r>
            <w:r>
              <w:rPr>
                <w:rFonts w:hint="eastAsia" w:ascii="宋体" w:hAnsi="宋体" w:cs="宋体"/>
                <w:b/>
                <w:color w:val="auto"/>
                <w:szCs w:val="21"/>
                <w:highlight w:val="none"/>
              </w:rPr>
              <w:t>标</w:t>
            </w:r>
            <w:r>
              <w:rPr>
                <w:rFonts w:hint="eastAsia" w:ascii="宋体" w:hAnsi="宋体" w:eastAsia="宋体" w:cs="宋体"/>
                <w:b/>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trPr>
        <w:tc>
          <w:tcPr>
            <w:tcW w:w="13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hanging="4" w:hangingChars="2"/>
              <w:jc w:val="center"/>
              <w:rPr>
                <w:b w:val="0"/>
                <w:i w:val="0"/>
                <w:color w:val="auto"/>
                <w:highlight w:val="none"/>
              </w:rPr>
            </w:pPr>
            <w:r>
              <w:rPr>
                <w:rFonts w:hint="eastAsia" w:ascii="宋体" w:hAnsi="宋体" w:eastAsia="宋体" w:cs="宋体"/>
                <w:b w:val="0"/>
                <w:i w:val="0"/>
                <w:color w:val="auto"/>
                <w:kern w:val="2"/>
                <w:sz w:val="21"/>
                <w:szCs w:val="21"/>
                <w:highlight w:val="none"/>
                <w:u w:val="none"/>
                <w:lang w:val="en-US" w:eastAsia="zh-CN" w:bidi="ar"/>
              </w:rPr>
              <w:t>报价部分</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rightChars="0" w:hanging="4" w:hangingChars="2"/>
              <w:jc w:val="center"/>
              <w:rPr>
                <w:rFonts w:ascii="宋体" w:hAnsi="宋体" w:eastAsia="宋体" w:cs="宋体"/>
                <w:color w:val="auto"/>
                <w:szCs w:val="21"/>
                <w:highlight w:val="none"/>
              </w:rPr>
            </w:pPr>
            <w:r>
              <w:rPr>
                <w:rFonts w:hint="eastAsia" w:ascii="宋体" w:hAnsi="宋体" w:eastAsia="宋体" w:cs="宋体"/>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cs="宋体"/>
                <w:b w:val="0"/>
                <w:i w:val="0"/>
                <w:color w:val="auto"/>
                <w:kern w:val="0"/>
                <w:sz w:val="21"/>
                <w:szCs w:val="21"/>
                <w:highlight w:val="none"/>
                <w:u w:val="single"/>
                <w:lang w:val="en-US" w:eastAsia="zh-CN" w:bidi="ar"/>
              </w:rPr>
              <w:t>40</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eastAsia="宋体" w:cs="宋体"/>
                <w:b w:val="0"/>
                <w:i w:val="0"/>
                <w:color w:val="auto"/>
                <w:kern w:val="2"/>
                <w:sz w:val="21"/>
                <w:szCs w:val="21"/>
                <w:highlight w:val="none"/>
                <w:u w:val="none"/>
                <w:lang w:val="en-US" w:eastAsia="zh-CN" w:bidi="ar"/>
              </w:rPr>
              <w:t>分）</w:t>
            </w: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right="0"/>
              <w:jc w:val="center"/>
              <w:rPr>
                <w:b w:val="0"/>
                <w:i w:val="0"/>
                <w:color w:val="auto"/>
                <w:highlight w:val="none"/>
              </w:rPr>
            </w:pPr>
            <w:r>
              <w:rPr>
                <w:rFonts w:hint="eastAsia" w:ascii="宋体" w:hAnsi="宋体" w:eastAsia="宋体" w:cs="宋体"/>
                <w:b w:val="0"/>
                <w:i w:val="0"/>
                <w:color w:val="auto"/>
                <w:kern w:val="2"/>
                <w:sz w:val="21"/>
                <w:szCs w:val="21"/>
                <w:highlight w:val="none"/>
                <w:u w:val="none"/>
                <w:lang w:val="en-US" w:eastAsia="zh-CN" w:bidi="ar"/>
              </w:rPr>
              <w:t>报价</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宋体"/>
                <w:color w:val="auto"/>
                <w:szCs w:val="21"/>
                <w:highlight w:val="none"/>
              </w:rPr>
            </w:pPr>
            <w:r>
              <w:rPr>
                <w:rFonts w:hint="eastAsia" w:ascii="宋体" w:hAnsi="宋体" w:eastAsia="宋体" w:cs="宋体"/>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cs="宋体"/>
                <w:b w:val="0"/>
                <w:i w:val="0"/>
                <w:color w:val="auto"/>
                <w:kern w:val="0"/>
                <w:sz w:val="21"/>
                <w:szCs w:val="21"/>
                <w:highlight w:val="none"/>
                <w:u w:val="single"/>
                <w:lang w:val="en-US" w:eastAsia="zh-CN" w:bidi="ar"/>
              </w:rPr>
              <w:t>40</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eastAsia="宋体" w:cs="宋体"/>
                <w:b w:val="0"/>
                <w:i w:val="0"/>
                <w:color w:val="auto"/>
                <w:kern w:val="2"/>
                <w:sz w:val="21"/>
                <w:szCs w:val="21"/>
                <w:highlight w:val="none"/>
                <w:u w:val="none"/>
                <w:lang w:val="en-US" w:eastAsia="zh-CN" w:bidi="ar"/>
              </w:rPr>
              <w:t>分）</w:t>
            </w:r>
          </w:p>
        </w:tc>
        <w:tc>
          <w:tcPr>
            <w:tcW w:w="6163" w:type="dxa"/>
            <w:vAlign w:val="center"/>
          </w:tcPr>
          <w:p>
            <w:pPr>
              <w:pStyle w:val="72"/>
              <w:spacing w:after="0"/>
              <w:rPr>
                <w:rFonts w:hint="eastAsia" w:ascii="宋体" w:hAnsi="宋体"/>
                <w:color w:val="auto"/>
                <w:highlight w:val="none"/>
              </w:rPr>
            </w:pPr>
            <w:r>
              <w:rPr>
                <w:rFonts w:hint="eastAsia" w:ascii="宋体" w:hAnsi="宋体"/>
                <w:color w:val="auto"/>
                <w:highlight w:val="none"/>
              </w:rPr>
              <w:t>有效供应商中投标价格最低的投标报价为评标基准价，其价格分为满分。</w:t>
            </w:r>
          </w:p>
          <w:p>
            <w:pPr>
              <w:pStyle w:val="72"/>
              <w:spacing w:after="0"/>
              <w:rPr>
                <w:rFonts w:hint="eastAsia" w:ascii="宋体" w:hAnsi="宋体"/>
                <w:color w:val="auto"/>
                <w:highlight w:val="none"/>
              </w:rPr>
            </w:pPr>
            <w:r>
              <w:rPr>
                <w:rFonts w:hint="eastAsia" w:ascii="宋体" w:hAnsi="宋体"/>
                <w:color w:val="auto"/>
                <w:highlight w:val="none"/>
              </w:rPr>
              <w:t>其他供应商的价格分统一按照下列公式计算：</w:t>
            </w:r>
          </w:p>
          <w:p>
            <w:pPr>
              <w:pStyle w:val="72"/>
              <w:spacing w:after="0"/>
              <w:rPr>
                <w:rFonts w:hint="eastAsia" w:ascii="宋体" w:hAnsi="宋体"/>
                <w:color w:val="auto"/>
                <w:highlight w:val="none"/>
              </w:rPr>
            </w:pPr>
            <w:r>
              <w:rPr>
                <w:rFonts w:hint="eastAsia" w:ascii="宋体" w:hAnsi="宋体"/>
                <w:color w:val="auto"/>
                <w:highlight w:val="none"/>
              </w:rPr>
              <w:t>投标报价得分=(评标基准价／投标报价)×</w:t>
            </w:r>
            <w:r>
              <w:rPr>
                <w:rFonts w:hint="eastAsia" w:ascii="宋体" w:hAnsi="宋体"/>
                <w:color w:val="auto"/>
                <w:highlight w:val="none"/>
                <w:lang w:val="en-US" w:eastAsia="zh-CN"/>
              </w:rPr>
              <w:t>4</w:t>
            </w:r>
            <w:r>
              <w:rPr>
                <w:rFonts w:hint="eastAsia" w:ascii="宋体" w:hAnsi="宋体"/>
                <w:color w:val="auto"/>
                <w:highlight w:val="none"/>
              </w:rPr>
              <w:t>0%×100。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rPr>
                <w:rFonts w:ascii="宋体" w:hAnsi="宋体" w:eastAsia="宋体" w:cs="宋体"/>
                <w:color w:val="auto"/>
                <w:szCs w:val="21"/>
                <w:highlight w:val="none"/>
              </w:rPr>
            </w:pPr>
            <w:r>
              <w:rPr>
                <w:rFonts w:hint="eastAsia" w:ascii="宋体" w:hAnsi="宋体"/>
                <w:color w:val="auto"/>
                <w:highlight w:val="none"/>
              </w:rPr>
              <w:t>注：分值计算保留小数点后两位，小数点后第三位“四舍五入”。</w:t>
            </w:r>
            <w:r>
              <w:rPr>
                <w:rFonts w:hint="eastAsia" w:ascii="宋体" w:hAnsi="宋体"/>
                <w:color w:val="auto"/>
                <w:highlight w:val="none"/>
              </w:rPr>
              <w:br w:type="textWrapping"/>
            </w:r>
            <w:r>
              <w:rPr>
                <w:rFonts w:hint="eastAsia" w:ascii="宋体" w:hAnsi="宋体"/>
                <w:color w:val="auto"/>
                <w:highlight w:val="none"/>
              </w:rPr>
              <w:t>有效供应商的有效投标报价为通过符合评审、不高于预算价的供应商报价。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trPr>
        <w:tc>
          <w:tcPr>
            <w:tcW w:w="1399" w:type="dxa"/>
            <w:vMerge w:val="restar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hanging="4" w:hangingChars="2"/>
              <w:jc w:val="center"/>
              <w:rPr>
                <w:b w:val="0"/>
                <w:i w:val="0"/>
                <w:color w:val="auto"/>
                <w:highlight w:val="none"/>
              </w:rPr>
            </w:pPr>
            <w:r>
              <w:rPr>
                <w:rFonts w:hint="eastAsia" w:ascii="宋体" w:hAnsi="宋体" w:eastAsia="宋体" w:cs="宋体"/>
                <w:b w:val="0"/>
                <w:i w:val="0"/>
                <w:color w:val="auto"/>
                <w:kern w:val="2"/>
                <w:sz w:val="21"/>
                <w:szCs w:val="21"/>
                <w:highlight w:val="none"/>
                <w:u w:val="none"/>
                <w:lang w:val="en-US" w:eastAsia="zh-CN" w:bidi="ar"/>
              </w:rPr>
              <w:t>商务部分</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rightChars="0" w:hanging="4" w:hangingChars="2"/>
              <w:jc w:val="center"/>
              <w:rPr>
                <w:rFonts w:ascii="宋体" w:hAnsi="宋体" w:eastAsia="宋体" w:cs="宋体"/>
                <w:color w:val="auto"/>
                <w:szCs w:val="21"/>
                <w:highlight w:val="none"/>
              </w:rPr>
            </w:pPr>
            <w:r>
              <w:rPr>
                <w:rFonts w:hint="eastAsia" w:ascii="宋体" w:hAnsi="宋体" w:eastAsia="宋体" w:cs="宋体"/>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cs="宋体"/>
                <w:b w:val="0"/>
                <w:i w:val="0"/>
                <w:color w:val="auto"/>
                <w:kern w:val="0"/>
                <w:sz w:val="21"/>
                <w:szCs w:val="21"/>
                <w:highlight w:val="none"/>
                <w:u w:val="single"/>
                <w:lang w:val="en-US" w:eastAsia="zh-CN" w:bidi="ar"/>
              </w:rPr>
              <w:t>35</w:t>
            </w:r>
            <w:r>
              <w:rPr>
                <w:rFonts w:hint="eastAsia" w:ascii="宋体" w:hAnsi="宋体" w:eastAsia="宋体" w:cs="宋体"/>
                <w:b w:val="0"/>
                <w:i w:val="0"/>
                <w:color w:val="auto"/>
                <w:kern w:val="0"/>
                <w:sz w:val="21"/>
                <w:szCs w:val="21"/>
                <w:highlight w:val="none"/>
                <w:u w:val="single"/>
                <w:lang w:val="en-US" w:eastAsia="zh-CN" w:bidi="ar"/>
              </w:rPr>
              <w:t> </w:t>
            </w:r>
            <w:r>
              <w:rPr>
                <w:rFonts w:hint="eastAsia" w:ascii="宋体" w:hAnsi="宋体" w:eastAsia="宋体" w:cs="宋体"/>
                <w:b w:val="0"/>
                <w:i w:val="0"/>
                <w:color w:val="auto"/>
                <w:kern w:val="2"/>
                <w:sz w:val="21"/>
                <w:szCs w:val="21"/>
                <w:highlight w:val="none"/>
                <w:u w:val="none"/>
                <w:lang w:val="en-US" w:eastAsia="zh-CN" w:bidi="ar"/>
              </w:rPr>
              <w:t>分）</w:t>
            </w: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right="0"/>
              <w:jc w:val="center"/>
              <w:rPr>
                <w:b w:val="0"/>
                <w:i w:val="0"/>
                <w:color w:val="auto"/>
                <w:highlight w:val="none"/>
              </w:rPr>
            </w:pPr>
            <w:r>
              <w:rPr>
                <w:rFonts w:hint="eastAsia" w:ascii="宋体" w:hAnsi="宋体" w:eastAsia="宋体" w:cs="Times New Roman"/>
                <w:b w:val="0"/>
                <w:i w:val="0"/>
                <w:color w:val="auto"/>
                <w:kern w:val="2"/>
                <w:sz w:val="21"/>
                <w:szCs w:val="21"/>
                <w:highlight w:val="none"/>
                <w:u w:val="none"/>
                <w:lang w:val="en-US" w:eastAsia="zh-CN" w:bidi="ar"/>
              </w:rPr>
              <w:t>业绩</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Times New Roman"/>
                <w:color w:val="auto"/>
                <w:szCs w:val="21"/>
                <w:highlight w:val="none"/>
              </w:rPr>
            </w:pPr>
            <w:r>
              <w:rPr>
                <w:rFonts w:hint="eastAsia" w:ascii="宋体" w:hAnsi="宋体" w:eastAsia="宋体" w:cs="Times New Roman"/>
                <w:b w:val="0"/>
                <w:i w:val="0"/>
                <w:color w:val="auto"/>
                <w:kern w:val="2"/>
                <w:sz w:val="21"/>
                <w:szCs w:val="21"/>
                <w:highlight w:val="none"/>
                <w:u w:val="none"/>
                <w:lang w:val="en-US" w:eastAsia="zh-CN" w:bidi="ar"/>
              </w:rPr>
              <w:t>（</w:t>
            </w:r>
            <w:r>
              <w:rPr>
                <w:rFonts w:hint="eastAsia" w:ascii="宋体" w:hAnsi="宋体" w:cs="宋体"/>
                <w:b w:val="0"/>
                <w:i w:val="0"/>
                <w:color w:val="auto"/>
                <w:kern w:val="0"/>
                <w:sz w:val="21"/>
                <w:szCs w:val="21"/>
                <w:highlight w:val="none"/>
                <w:u w:val="single"/>
                <w:lang w:val="en-US" w:eastAsia="zh-CN" w:bidi="ar"/>
              </w:rPr>
              <w:t>6</w:t>
            </w:r>
            <w:r>
              <w:rPr>
                <w:rFonts w:hint="eastAsia" w:ascii="宋体" w:hAnsi="宋体" w:eastAsia="宋体" w:cs="Times New Roman"/>
                <w:b w:val="0"/>
                <w:i w:val="0"/>
                <w:color w:val="auto"/>
                <w:kern w:val="2"/>
                <w:sz w:val="21"/>
                <w:szCs w:val="21"/>
                <w:highlight w:val="none"/>
                <w:u w:val="none"/>
                <w:lang w:val="en-US" w:eastAsia="zh-CN" w:bidi="ar"/>
              </w:rPr>
              <w:t>分）</w:t>
            </w:r>
          </w:p>
        </w:tc>
        <w:tc>
          <w:tcPr>
            <w:tcW w:w="6163"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Times New Roman"/>
                <w:b w:val="0"/>
                <w:i w:val="0"/>
                <w:color w:val="000000"/>
                <w:kern w:val="2"/>
                <w:sz w:val="21"/>
                <w:szCs w:val="21"/>
                <w:highlight w:val="none"/>
                <w:u w:val="none"/>
                <w:lang w:val="zh-CN" w:eastAsia="zh-CN" w:bidi="ar"/>
              </w:rPr>
            </w:pPr>
            <w:r>
              <w:rPr>
                <w:rFonts w:hint="eastAsia" w:ascii="宋体" w:hAnsi="宋体" w:cs="宋体"/>
                <w:szCs w:val="21"/>
                <w:highlight w:val="none"/>
              </w:rPr>
              <w:t>提供201</w:t>
            </w:r>
            <w:r>
              <w:rPr>
                <w:rFonts w:hint="eastAsia" w:ascii="宋体" w:hAnsi="宋体" w:cs="宋体"/>
                <w:szCs w:val="21"/>
                <w:highlight w:val="none"/>
                <w:lang w:val="en-US" w:eastAsia="zh-CN"/>
              </w:rPr>
              <w:t>6</w:t>
            </w:r>
            <w:r>
              <w:rPr>
                <w:rFonts w:hint="eastAsia" w:ascii="宋体" w:hAnsi="宋体" w:cs="宋体"/>
                <w:szCs w:val="21"/>
                <w:highlight w:val="none"/>
              </w:rPr>
              <w:t>年以来</w:t>
            </w:r>
            <w:r>
              <w:rPr>
                <w:rFonts w:hint="eastAsia" w:ascii="宋体" w:hAnsi="宋体" w:cs="宋体"/>
                <w:szCs w:val="21"/>
                <w:highlight w:val="none"/>
                <w:lang w:eastAsia="zh-CN"/>
              </w:rPr>
              <w:t>类似产品业绩</w:t>
            </w:r>
            <w:r>
              <w:rPr>
                <w:rFonts w:hint="eastAsia" w:ascii="宋体" w:hAnsi="宋体" w:cs="宋体"/>
                <w:szCs w:val="21"/>
                <w:highlight w:val="none"/>
                <w:lang w:val="en-US" w:eastAsia="zh-CN"/>
              </w:rPr>
              <w:t>每份业绩的</w:t>
            </w:r>
            <w:r>
              <w:rPr>
                <w:rFonts w:hint="default" w:ascii="宋体" w:hAnsi="宋体" w:cs="宋体"/>
                <w:szCs w:val="21"/>
                <w:highlight w:val="none"/>
                <w:lang w:val="en-US"/>
              </w:rPr>
              <w:t>得</w:t>
            </w:r>
            <w:r>
              <w:rPr>
                <w:rFonts w:hint="eastAsia" w:ascii="宋体" w:hAnsi="宋体" w:cs="宋体"/>
                <w:szCs w:val="21"/>
                <w:highlight w:val="none"/>
                <w:lang w:val="en-US" w:eastAsia="zh-CN"/>
              </w:rPr>
              <w:t>2</w:t>
            </w:r>
            <w:r>
              <w:rPr>
                <w:rFonts w:hint="default" w:ascii="宋体" w:hAnsi="宋体" w:cs="宋体"/>
                <w:szCs w:val="21"/>
                <w:highlight w:val="none"/>
                <w:lang w:val="en-US"/>
              </w:rPr>
              <w:t>分；</w:t>
            </w:r>
            <w:r>
              <w:rPr>
                <w:rFonts w:hint="eastAsia" w:ascii="宋体" w:hAnsi="宋体" w:cs="宋体"/>
                <w:szCs w:val="21"/>
                <w:highlight w:val="none"/>
                <w:lang w:val="en-US" w:eastAsia="zh-CN"/>
              </w:rPr>
              <w:t>最高</w:t>
            </w:r>
            <w:r>
              <w:rPr>
                <w:rFonts w:hint="default" w:ascii="宋体" w:hAnsi="宋体" w:cs="宋体"/>
                <w:szCs w:val="21"/>
                <w:highlight w:val="none"/>
                <w:lang w:val="en-US"/>
              </w:rPr>
              <w:t>得</w:t>
            </w:r>
            <w:r>
              <w:rPr>
                <w:rFonts w:hint="eastAsia" w:ascii="宋体" w:hAnsi="宋体" w:cs="宋体"/>
                <w:szCs w:val="21"/>
                <w:highlight w:val="none"/>
                <w:lang w:val="en-US" w:eastAsia="zh-CN"/>
              </w:rPr>
              <w:t>6</w:t>
            </w:r>
            <w:r>
              <w:rPr>
                <w:rFonts w:hint="default" w:ascii="宋体" w:hAnsi="宋体" w:cs="宋体"/>
                <w:szCs w:val="21"/>
                <w:highlight w:val="none"/>
                <w:lang w:val="en-US"/>
              </w:rPr>
              <w:t>分</w:t>
            </w:r>
            <w:r>
              <w:rPr>
                <w:rFonts w:hint="eastAsia" w:ascii="宋体" w:hAnsi="宋体" w:cs="宋体"/>
                <w:szCs w:val="21"/>
                <w:highlight w:val="none"/>
              </w:rPr>
              <w:t>（以合同签订时间为准）</w:t>
            </w:r>
            <w:r>
              <w:rPr>
                <w:rFonts w:hint="eastAsia" w:ascii="宋体" w:hAnsi="宋体" w:eastAsia="宋体" w:cs="宋体"/>
                <w:kern w:val="0"/>
                <w:sz w:val="21"/>
                <w:szCs w:val="21"/>
                <w:highlight w:val="none"/>
              </w:rPr>
              <w:t>（开标时提供法定媒介中标(成交)公示网页截图、合同、中标通知书</w:t>
            </w:r>
            <w:r>
              <w:rPr>
                <w:rFonts w:hint="eastAsia" w:ascii="Times New Roman" w:hAnsi="Times New Roman"/>
                <w:highlight w:val="none"/>
              </w:rPr>
              <w:t>电子扫描件</w:t>
            </w:r>
            <w:r>
              <w:rPr>
                <w:rFonts w:hint="eastAsia" w:ascii="宋体" w:hAnsi="宋体" w:cs="宋体"/>
                <w:highlight w:val="none"/>
              </w:rPr>
              <w:t>，三者缺一不计分</w:t>
            </w:r>
            <w:r>
              <w:rPr>
                <w:rFonts w:hint="eastAsia" w:ascii="宋体" w:hAnsi="宋体" w:eastAsia="宋体" w:cs="宋体"/>
                <w:kern w:val="0"/>
                <w:sz w:val="21"/>
                <w:szCs w:val="21"/>
                <w:highlight w:val="none"/>
                <w:lang w:eastAsia="zh-CN"/>
              </w:rPr>
              <w:t>）</w:t>
            </w:r>
            <w:r>
              <w:rPr>
                <w:rFonts w:hint="eastAsia" w:ascii="宋体" w:hAnsi="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399" w:type="dxa"/>
            <w:vMerge w:val="continue"/>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2" w:right="0" w:rightChars="0" w:hanging="4" w:hangingChars="2"/>
              <w:jc w:val="center"/>
              <w:rPr>
                <w:rFonts w:hint="eastAsia" w:ascii="宋体" w:hAnsi="宋体" w:eastAsia="宋体" w:cs="宋体"/>
                <w:b w:val="0"/>
                <w:i w:val="0"/>
                <w:color w:val="auto"/>
                <w:kern w:val="2"/>
                <w:sz w:val="21"/>
                <w:szCs w:val="21"/>
                <w:highlight w:val="none"/>
                <w:u w:val="none"/>
                <w:lang w:val="en-US" w:eastAsia="zh-CN" w:bidi="ar"/>
              </w:rPr>
            </w:pP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体系认证</w:t>
            </w:r>
          </w:p>
          <w:p>
            <w:pPr>
              <w:pStyle w:val="11"/>
              <w:ind w:firstLine="210" w:firstLineChars="100"/>
              <w:rPr>
                <w:rFonts w:hint="eastAsia"/>
                <w:color w:val="auto"/>
                <w:highlight w:val="none"/>
                <w:lang w:val="en-US" w:eastAsia="zh-CN"/>
              </w:rPr>
            </w:pPr>
            <w:r>
              <w:rPr>
                <w:rFonts w:hint="eastAsia" w:ascii="宋体" w:hAnsi="宋体" w:eastAsia="宋体" w:cs="Times New Roman"/>
                <w:b w:val="0"/>
                <w:i w:val="0"/>
                <w:color w:val="auto"/>
                <w:kern w:val="2"/>
                <w:sz w:val="21"/>
                <w:szCs w:val="21"/>
                <w:highlight w:val="none"/>
                <w:u w:val="none"/>
                <w:lang w:val="en-US" w:eastAsia="zh-CN" w:bidi="ar"/>
              </w:rPr>
              <w:t>（</w:t>
            </w:r>
            <w:r>
              <w:rPr>
                <w:rFonts w:hint="eastAsia" w:ascii="宋体" w:hAnsi="宋体" w:eastAsia="宋体" w:cs="Times New Roman"/>
                <w:b w:val="0"/>
                <w:i w:val="0"/>
                <w:color w:val="auto"/>
                <w:kern w:val="2"/>
                <w:sz w:val="21"/>
                <w:szCs w:val="21"/>
                <w:highlight w:val="none"/>
                <w:u w:val="single"/>
                <w:lang w:val="en-US" w:eastAsia="zh-CN" w:bidi="ar"/>
              </w:rPr>
              <w:t xml:space="preserve"> 3分</w:t>
            </w:r>
            <w:r>
              <w:rPr>
                <w:rFonts w:hint="eastAsia" w:ascii="宋体" w:hAnsi="宋体" w:eastAsia="宋体" w:cs="Times New Roman"/>
                <w:b w:val="0"/>
                <w:i w:val="0"/>
                <w:color w:val="auto"/>
                <w:kern w:val="2"/>
                <w:sz w:val="21"/>
                <w:szCs w:val="21"/>
                <w:highlight w:val="none"/>
                <w:u w:val="none"/>
                <w:lang w:val="en-US" w:eastAsia="zh-CN" w:bidi="ar"/>
              </w:rPr>
              <w:t>）</w:t>
            </w:r>
          </w:p>
        </w:tc>
        <w:tc>
          <w:tcPr>
            <w:tcW w:w="6163"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cs="宋体" w:eastAsiaTheme="minorEastAsia"/>
                <w:szCs w:val="21"/>
                <w:highlight w:val="none"/>
                <w:lang w:eastAsia="zh-CN"/>
              </w:rPr>
            </w:pPr>
            <w:r>
              <w:rPr>
                <w:rFonts w:hint="eastAsia" w:ascii="宋体" w:hAnsi="宋体" w:cs="宋体"/>
                <w:szCs w:val="21"/>
                <w:highlight w:val="none"/>
                <w:lang w:eastAsia="zh-CN"/>
              </w:rPr>
              <w:t>投标人</w:t>
            </w:r>
            <w:r>
              <w:rPr>
                <w:rFonts w:hint="eastAsia" w:ascii="宋体" w:hAnsi="宋体" w:cs="宋体"/>
                <w:szCs w:val="21"/>
                <w:highlight w:val="none"/>
              </w:rPr>
              <w:t>具有质量管理体系认证证书、环境管理体系认证证书、职业健康管理体系认证证书</w:t>
            </w:r>
            <w:r>
              <w:rPr>
                <w:rFonts w:hint="eastAsia" w:ascii="宋体" w:hAnsi="宋体" w:cs="宋体"/>
                <w:szCs w:val="21"/>
                <w:highlight w:val="none"/>
                <w:lang w:eastAsia="zh-CN"/>
              </w:rPr>
              <w:t>。</w:t>
            </w:r>
            <w:r>
              <w:rPr>
                <w:rFonts w:hint="eastAsia" w:ascii="宋体" w:hAnsi="宋体" w:cs="宋体"/>
                <w:szCs w:val="21"/>
                <w:highlight w:val="none"/>
              </w:rPr>
              <w:t>每项得</w:t>
            </w:r>
            <w:r>
              <w:rPr>
                <w:rFonts w:hint="eastAsia" w:ascii="宋体" w:hAnsi="宋体" w:cs="宋体"/>
                <w:szCs w:val="21"/>
                <w:highlight w:val="none"/>
                <w:lang w:val="en-US" w:eastAsia="zh-CN"/>
              </w:rPr>
              <w:t>1</w:t>
            </w:r>
            <w:r>
              <w:rPr>
                <w:rFonts w:hint="eastAsia" w:ascii="宋体" w:hAnsi="宋体" w:cs="宋体"/>
                <w:szCs w:val="21"/>
                <w:highlight w:val="none"/>
              </w:rPr>
              <w:t>分，共</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99" w:type="dxa"/>
            <w:vMerge w:val="continue"/>
            <w:vAlign w:val="center"/>
          </w:tcPr>
          <w:p>
            <w:pPr>
              <w:rPr>
                <w:rFonts w:ascii="宋体" w:hAnsi="宋体" w:eastAsia="宋体" w:cs="宋体"/>
                <w:color w:val="auto"/>
                <w:szCs w:val="21"/>
                <w:highlight w:val="none"/>
              </w:rPr>
            </w:pPr>
          </w:p>
        </w:tc>
        <w:tc>
          <w:tcPr>
            <w:tcW w:w="157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hint="eastAsia" w:ascii="宋体" w:hAnsi="宋体" w:eastAsia="宋体" w:cs="Times New Roman"/>
                <w:b w:val="0"/>
                <w:i w:val="0"/>
                <w:color w:val="auto"/>
                <w:kern w:val="2"/>
                <w:sz w:val="21"/>
                <w:szCs w:val="21"/>
                <w:highlight w:val="none"/>
                <w:u w:val="none"/>
                <w:lang w:val="en-US" w:eastAsia="zh-CN" w:bidi="ar"/>
              </w:rPr>
            </w:pPr>
            <w:r>
              <w:rPr>
                <w:rFonts w:hint="eastAsia" w:ascii="宋体" w:hAnsi="宋体" w:eastAsia="宋体" w:cs="Times New Roman"/>
                <w:b w:val="0"/>
                <w:i w:val="0"/>
                <w:color w:val="auto"/>
                <w:kern w:val="2"/>
                <w:sz w:val="21"/>
                <w:szCs w:val="21"/>
                <w:highlight w:val="none"/>
                <w:u w:val="none"/>
                <w:lang w:val="en-US" w:eastAsia="zh-CN" w:bidi="ar"/>
              </w:rPr>
              <w:t>企业荣誉</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Times New Roman"/>
                <w:color w:val="auto"/>
                <w:szCs w:val="21"/>
                <w:highlight w:val="none"/>
              </w:rPr>
            </w:pPr>
            <w:r>
              <w:rPr>
                <w:rFonts w:hint="eastAsia" w:ascii="宋体" w:hAnsi="宋体" w:eastAsia="宋体" w:cs="Times New Roman"/>
                <w:b w:val="0"/>
                <w:i w:val="0"/>
                <w:color w:val="auto"/>
                <w:kern w:val="2"/>
                <w:sz w:val="21"/>
                <w:szCs w:val="21"/>
                <w:highlight w:val="none"/>
                <w:u w:val="none"/>
                <w:lang w:val="en-US" w:eastAsia="zh-CN" w:bidi="ar"/>
              </w:rPr>
              <w:t>（</w:t>
            </w:r>
            <w:r>
              <w:rPr>
                <w:rFonts w:hint="eastAsia" w:ascii="宋体" w:hAnsi="宋体" w:eastAsia="宋体" w:cs="宋体"/>
                <w:b w:val="0"/>
                <w:i w:val="0"/>
                <w:color w:val="auto"/>
                <w:kern w:val="0"/>
                <w:sz w:val="21"/>
                <w:szCs w:val="21"/>
                <w:highlight w:val="none"/>
                <w:u w:val="single"/>
                <w:lang w:val="en-US" w:eastAsia="zh-CN" w:bidi="ar"/>
              </w:rPr>
              <w:t>10</w:t>
            </w:r>
            <w:r>
              <w:rPr>
                <w:rFonts w:hint="eastAsia" w:ascii="宋体" w:hAnsi="宋体" w:eastAsia="宋体" w:cs="Times New Roman"/>
                <w:b w:val="0"/>
                <w:i w:val="0"/>
                <w:color w:val="auto"/>
                <w:kern w:val="2"/>
                <w:sz w:val="21"/>
                <w:szCs w:val="21"/>
                <w:highlight w:val="none"/>
                <w:u w:val="none"/>
                <w:lang w:val="en-US" w:eastAsia="zh-CN" w:bidi="ar"/>
              </w:rPr>
              <w:t>分）</w:t>
            </w:r>
          </w:p>
        </w:tc>
        <w:tc>
          <w:tcPr>
            <w:tcW w:w="6163"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highlight w:val="none"/>
                <w:lang w:val="en-US" w:eastAsia="zh-CN"/>
              </w:rPr>
            </w:pPr>
            <w:r>
              <w:rPr>
                <w:rFonts w:hint="eastAsia"/>
                <w:highlight w:val="none"/>
                <w:lang w:val="en-US" w:eastAsia="zh-CN"/>
              </w:rPr>
              <w:t>投标人具有企业信用等级认证证书（符合国标GB\T23794-2015要求），AAA级得2分，AA级得1分，其他不得分，要求国家认监委网站可查。（共2分）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highlight w:val="none"/>
                <w:lang w:val="en-US" w:eastAsia="zh-CN"/>
              </w:rPr>
            </w:pPr>
            <w:r>
              <w:rPr>
                <w:rFonts w:hint="eastAsia"/>
                <w:highlight w:val="none"/>
                <w:lang w:val="en-US" w:eastAsia="zh-CN"/>
              </w:rPr>
              <w:t>投标人提供省级守合同重信用企业证书的得2分。</w:t>
            </w:r>
          </w:p>
          <w:p>
            <w:pPr>
              <w:pStyle w:val="23"/>
              <w:ind w:left="0" w:leftChars="0" w:firstLine="0" w:firstLineChars="0"/>
              <w:rPr>
                <w:rFonts w:hint="eastAsia"/>
                <w:highlight w:val="none"/>
                <w:lang w:val="zh-CN" w:eastAsia="zh-CN"/>
              </w:rPr>
            </w:pPr>
            <w:r>
              <w:rPr>
                <w:rFonts w:hint="eastAsia" w:asciiTheme="minorHAnsi" w:hAnsiTheme="minorHAnsi" w:eastAsiaTheme="minorEastAsia" w:cstheme="minorBidi"/>
                <w:kern w:val="2"/>
                <w:sz w:val="21"/>
                <w:szCs w:val="22"/>
                <w:highlight w:val="none"/>
                <w:lang w:val="en-US" w:eastAsia="zh-CN" w:bidi="ar-SA"/>
              </w:rPr>
              <w:t>投标人提供保险公司“产品责任保险与产品质量险及社会公众责任险”证书，每提供一份得2分， 共6分；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399" w:type="dxa"/>
            <w:vMerge w:val="continue"/>
            <w:vAlign w:val="center"/>
          </w:tcPr>
          <w:p>
            <w:pPr>
              <w:rPr>
                <w:rFonts w:ascii="宋体" w:hAnsi="宋体" w:eastAsia="宋体" w:cs="宋体"/>
                <w:color w:val="auto"/>
                <w:szCs w:val="21"/>
                <w:highlight w:val="none"/>
              </w:rPr>
            </w:pPr>
          </w:p>
        </w:tc>
        <w:tc>
          <w:tcPr>
            <w:tcW w:w="1578" w:type="dxa"/>
            <w:vAlign w:val="center"/>
          </w:tcPr>
          <w:p>
            <w:pPr>
              <w:pStyle w:val="11"/>
              <w:rPr>
                <w:rFonts w:hint="eastAsia" w:ascii="宋体" w:hAnsi="宋体" w:cs="宋体" w:eastAsiaTheme="minorEastAsia"/>
                <w:kern w:val="0"/>
                <w:szCs w:val="21"/>
                <w:highlight w:val="none"/>
                <w:lang w:val="en-US" w:eastAsia="zh-CN"/>
              </w:rPr>
            </w:pPr>
            <w:r>
              <w:rPr>
                <w:rFonts w:hint="eastAsia" w:ascii="宋体" w:hAnsi="宋体" w:cs="宋体"/>
                <w:kern w:val="0"/>
                <w:szCs w:val="21"/>
                <w:highlight w:val="none"/>
                <w:lang w:eastAsia="zh-CN"/>
              </w:rPr>
              <w:t>生产厂家证书</w:t>
            </w:r>
          </w:p>
          <w:p>
            <w:pPr>
              <w:pStyle w:val="11"/>
              <w:ind w:left="420" w:leftChars="100" w:hanging="210" w:hangingChars="100"/>
              <w:rPr>
                <w:rFonts w:hint="eastAsia"/>
                <w:highlight w:val="none"/>
                <w:lang w:val="en-US" w:eastAsia="zh-CN"/>
              </w:rPr>
            </w:pPr>
            <w:r>
              <w:rPr>
                <w:rFonts w:hint="eastAsia" w:ascii="宋体" w:hAnsi="宋体" w:eastAsia="宋体" w:cs="Times New Roman"/>
                <w:b w:val="0"/>
                <w:i w:val="0"/>
                <w:color w:val="auto"/>
                <w:kern w:val="2"/>
                <w:sz w:val="21"/>
                <w:szCs w:val="21"/>
                <w:highlight w:val="none"/>
                <w:u w:val="none"/>
                <w:lang w:val="en-US" w:eastAsia="zh-CN" w:bidi="ar"/>
              </w:rPr>
              <w:t>（</w:t>
            </w:r>
            <w:r>
              <w:rPr>
                <w:rFonts w:hint="eastAsia" w:ascii="宋体" w:hAnsi="宋体" w:eastAsia="宋体" w:cs="Times New Roman"/>
                <w:b w:val="0"/>
                <w:i w:val="0"/>
                <w:color w:val="auto"/>
                <w:kern w:val="2"/>
                <w:sz w:val="21"/>
                <w:szCs w:val="21"/>
                <w:highlight w:val="none"/>
                <w:u w:val="single"/>
                <w:lang w:val="en-US" w:eastAsia="zh-CN" w:bidi="ar"/>
              </w:rPr>
              <w:t>8分</w:t>
            </w:r>
            <w:r>
              <w:rPr>
                <w:rFonts w:hint="eastAsia" w:ascii="宋体" w:hAnsi="宋体" w:eastAsia="宋体" w:cs="Times New Roman"/>
                <w:b w:val="0"/>
                <w:i w:val="0"/>
                <w:color w:val="auto"/>
                <w:kern w:val="2"/>
                <w:sz w:val="21"/>
                <w:szCs w:val="21"/>
                <w:highlight w:val="none"/>
                <w:u w:val="none"/>
                <w:lang w:val="en-US" w:eastAsia="zh-CN" w:bidi="ar"/>
              </w:rPr>
              <w:t>）</w:t>
            </w:r>
          </w:p>
        </w:tc>
        <w:tc>
          <w:tcPr>
            <w:tcW w:w="6163" w:type="dxa"/>
            <w:vAlign w:val="center"/>
          </w:tcPr>
          <w:p>
            <w:pPr>
              <w:spacing w:after="0"/>
              <w:rPr>
                <w:rFonts w:hint="eastAsia"/>
                <w:highlight w:val="none"/>
                <w:lang w:val="en-US" w:eastAsia="zh-CN"/>
              </w:rPr>
            </w:pPr>
            <w:r>
              <w:rPr>
                <w:rFonts w:hint="eastAsia"/>
                <w:highlight w:val="none"/>
                <w:lang w:val="en-US" w:eastAsia="zh-CN"/>
              </w:rPr>
              <w:t>生产厂家具有实木类家具中国环境标志产品认证证书的得3分，</w:t>
            </w:r>
          </w:p>
          <w:p>
            <w:pPr>
              <w:spacing w:after="0"/>
              <w:rPr>
                <w:rFonts w:hint="eastAsia"/>
                <w:highlight w:val="none"/>
                <w:lang w:val="en-US" w:eastAsia="zh-CN"/>
              </w:rPr>
            </w:pPr>
            <w:r>
              <w:rPr>
                <w:rFonts w:hint="eastAsia"/>
                <w:highlight w:val="none"/>
                <w:lang w:val="en-US" w:eastAsia="zh-CN"/>
              </w:rPr>
              <w:t>生产厂家具有塑胶玩具类中国环境标志产品认证证书的得3分</w:t>
            </w:r>
          </w:p>
          <w:p>
            <w:pPr>
              <w:spacing w:after="0"/>
              <w:rPr>
                <w:rFonts w:hint="eastAsia" w:ascii="宋体" w:hAnsi="宋体" w:cs="宋体"/>
                <w:szCs w:val="21"/>
                <w:highlight w:val="none"/>
              </w:rPr>
            </w:pPr>
            <w:r>
              <w:rPr>
                <w:rFonts w:hint="eastAsia"/>
                <w:highlight w:val="none"/>
                <w:lang w:val="en-US" w:eastAsia="zh-CN"/>
              </w:rPr>
              <w:t>生产厂家具有安全生产标准化证书的得2分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399" w:type="dxa"/>
            <w:vMerge w:val="continue"/>
            <w:vAlign w:val="center"/>
          </w:tcPr>
          <w:p>
            <w:pPr>
              <w:rPr>
                <w:rFonts w:ascii="宋体" w:hAnsi="宋体" w:eastAsia="宋体" w:cs="宋体"/>
                <w:color w:val="auto"/>
                <w:szCs w:val="21"/>
                <w:highlight w:val="none"/>
              </w:rPr>
            </w:pPr>
          </w:p>
        </w:tc>
        <w:tc>
          <w:tcPr>
            <w:tcW w:w="1578" w:type="dxa"/>
            <w:vAlign w:val="center"/>
          </w:tcPr>
          <w:p>
            <w:pPr>
              <w:pStyle w:val="11"/>
              <w:ind w:left="420" w:leftChars="100" w:hanging="210" w:hangingChars="100"/>
              <w:rPr>
                <w:rFonts w:hint="eastAsia" w:ascii="宋体" w:hAnsi="宋体" w:eastAsia="宋体" w:cs="Times New Roman"/>
                <w:b w:val="0"/>
                <w:i w:val="0"/>
                <w:color w:val="auto"/>
                <w:kern w:val="2"/>
                <w:sz w:val="21"/>
                <w:szCs w:val="21"/>
                <w:highlight w:val="none"/>
                <w:u w:val="none"/>
                <w:lang w:val="en-US" w:eastAsia="zh-CN" w:bidi="ar"/>
              </w:rPr>
            </w:pPr>
            <w:r>
              <w:rPr>
                <w:rFonts w:hint="eastAsia" w:ascii="宋体" w:hAnsi="宋体"/>
                <w:kern w:val="0"/>
                <w:szCs w:val="21"/>
                <w:highlight w:val="none"/>
                <w:lang w:eastAsia="zh-CN"/>
              </w:rPr>
              <w:t>施工及售后（</w:t>
            </w:r>
            <w:r>
              <w:rPr>
                <w:rFonts w:hint="eastAsia" w:ascii="宋体" w:hAnsi="宋体"/>
                <w:kern w:val="0"/>
                <w:szCs w:val="21"/>
                <w:highlight w:val="none"/>
                <w:lang w:val="en-US" w:eastAsia="zh-CN"/>
              </w:rPr>
              <w:t>8分</w:t>
            </w:r>
            <w:r>
              <w:rPr>
                <w:rFonts w:hint="eastAsia" w:ascii="宋体" w:hAnsi="宋体"/>
                <w:kern w:val="0"/>
                <w:szCs w:val="21"/>
                <w:highlight w:val="none"/>
                <w:lang w:eastAsia="zh-CN"/>
              </w:rPr>
              <w:t>）</w:t>
            </w:r>
          </w:p>
        </w:tc>
        <w:tc>
          <w:tcPr>
            <w:tcW w:w="6163" w:type="dxa"/>
            <w:vAlign w:val="center"/>
          </w:tcPr>
          <w:p>
            <w:pPr>
              <w:spacing w:after="0"/>
              <w:rPr>
                <w:rFonts w:hint="eastAsia"/>
                <w:highlight w:val="none"/>
              </w:rPr>
            </w:pPr>
            <w:r>
              <w:rPr>
                <w:rFonts w:hint="eastAsia"/>
                <w:highlight w:val="none"/>
                <w:lang w:val="en-US" w:eastAsia="zh-CN"/>
              </w:rPr>
              <w:t>1、</w:t>
            </w:r>
            <w:r>
              <w:rPr>
                <w:rFonts w:hint="eastAsia"/>
                <w:highlight w:val="none"/>
              </w:rPr>
              <w:t>施工组织方案(含货物进场计划安排、施工进度计划安排、施工人员安排等)（分为三档，一档</w:t>
            </w:r>
            <w:r>
              <w:rPr>
                <w:rFonts w:hint="eastAsia"/>
                <w:highlight w:val="none"/>
                <w:lang w:val="en-US" w:eastAsia="zh-CN"/>
              </w:rPr>
              <w:t>3</w:t>
            </w:r>
            <w:r>
              <w:rPr>
                <w:rFonts w:hint="eastAsia"/>
                <w:highlight w:val="none"/>
              </w:rPr>
              <w:t>分，二档</w:t>
            </w:r>
            <w:r>
              <w:rPr>
                <w:rFonts w:hint="eastAsia"/>
                <w:highlight w:val="none"/>
                <w:lang w:val="en-US" w:eastAsia="zh-CN"/>
              </w:rPr>
              <w:t>2</w:t>
            </w:r>
            <w:r>
              <w:rPr>
                <w:rFonts w:hint="eastAsia"/>
                <w:highlight w:val="none"/>
              </w:rPr>
              <w:t>分，三档</w:t>
            </w:r>
            <w:r>
              <w:rPr>
                <w:rFonts w:hint="eastAsia"/>
                <w:highlight w:val="none"/>
                <w:lang w:val="en-US" w:eastAsia="zh-CN"/>
              </w:rPr>
              <w:t>1</w:t>
            </w:r>
            <w:r>
              <w:rPr>
                <w:rFonts w:hint="eastAsia"/>
                <w:highlight w:val="none"/>
              </w:rPr>
              <w:t>分打分）。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eastAsia"/>
                <w:highlight w:val="none"/>
              </w:rPr>
            </w:pPr>
            <w:r>
              <w:rPr>
                <w:rFonts w:hint="eastAsia"/>
                <w:highlight w:val="none"/>
                <w:lang w:val="en-US" w:eastAsia="zh-CN"/>
              </w:rPr>
              <w:t>2、对</w:t>
            </w:r>
            <w:r>
              <w:rPr>
                <w:rFonts w:hint="eastAsia"/>
                <w:highlight w:val="none"/>
                <w:lang w:val="zh-CN"/>
              </w:rPr>
              <w:t>售后服务体系是否完善，维护响应时间、定期回访等方面的承诺</w:t>
            </w:r>
            <w:r>
              <w:rPr>
                <w:rFonts w:hint="eastAsia"/>
                <w:highlight w:val="none"/>
                <w:lang w:eastAsia="zh-CN"/>
              </w:rPr>
              <w:t>综合</w:t>
            </w:r>
            <w:r>
              <w:rPr>
                <w:rFonts w:hint="eastAsia"/>
                <w:highlight w:val="none"/>
              </w:rPr>
              <w:t>对比在（分为三档，一档</w:t>
            </w:r>
            <w:r>
              <w:rPr>
                <w:rFonts w:hint="eastAsia"/>
                <w:highlight w:val="none"/>
                <w:lang w:val="en-US" w:eastAsia="zh-CN"/>
              </w:rPr>
              <w:t>3</w:t>
            </w:r>
            <w:r>
              <w:rPr>
                <w:rFonts w:hint="eastAsia"/>
                <w:highlight w:val="none"/>
              </w:rPr>
              <w:t>分，二档</w:t>
            </w:r>
            <w:r>
              <w:rPr>
                <w:rFonts w:hint="eastAsia"/>
                <w:highlight w:val="none"/>
                <w:lang w:val="en-US" w:eastAsia="zh-CN"/>
              </w:rPr>
              <w:t>2</w:t>
            </w:r>
            <w:r>
              <w:rPr>
                <w:rFonts w:hint="eastAsia"/>
                <w:highlight w:val="none"/>
              </w:rPr>
              <w:t>分，三档</w:t>
            </w:r>
            <w:r>
              <w:rPr>
                <w:rFonts w:hint="eastAsia"/>
                <w:highlight w:val="none"/>
                <w:lang w:val="en-US" w:eastAsia="zh-CN"/>
              </w:rPr>
              <w:t>1</w:t>
            </w:r>
            <w:r>
              <w:rPr>
                <w:rFonts w:hint="eastAsia"/>
                <w:highlight w:val="none"/>
              </w:rPr>
              <w:t>分打分，无培训计划不得分）。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rPr>
                <w:rFonts w:hint="default" w:eastAsiaTheme="minorEastAsia"/>
                <w:highlight w:val="none"/>
                <w:lang w:val="en-US" w:eastAsia="zh-CN"/>
              </w:rPr>
            </w:pPr>
            <w:r>
              <w:rPr>
                <w:rFonts w:hint="eastAsia"/>
                <w:highlight w:val="none"/>
                <w:lang w:val="en-US" w:eastAsia="zh-CN"/>
              </w:rPr>
              <w:t>3、投标人</w:t>
            </w:r>
            <w:r>
              <w:rPr>
                <w:rFonts w:hint="eastAsia"/>
                <w:highlight w:val="none"/>
              </w:rPr>
              <w:t>通过国家认监委“商品售后服务评价体系GB/T27922-2011”认证， 五星评价得</w:t>
            </w:r>
            <w:r>
              <w:rPr>
                <w:rFonts w:hint="eastAsia"/>
                <w:highlight w:val="none"/>
                <w:lang w:val="en-US" w:eastAsia="zh-CN"/>
              </w:rPr>
              <w:t>2</w:t>
            </w:r>
            <w:r>
              <w:rPr>
                <w:rFonts w:hint="eastAsia"/>
                <w:highlight w:val="none"/>
              </w:rPr>
              <w:t>分，四星评价得</w:t>
            </w:r>
            <w:r>
              <w:rPr>
                <w:rFonts w:hint="eastAsia"/>
                <w:highlight w:val="none"/>
                <w:lang w:val="en-US" w:eastAsia="zh-CN"/>
              </w:rPr>
              <w:t>1</w:t>
            </w:r>
            <w:r>
              <w:rPr>
                <w:rFonts w:hint="eastAsia"/>
                <w:highlight w:val="none"/>
              </w:rPr>
              <w:t>分，三星及三星以下评价得</w:t>
            </w:r>
            <w:r>
              <w:rPr>
                <w:rFonts w:hint="eastAsia"/>
                <w:highlight w:val="none"/>
                <w:lang w:val="en-US" w:eastAsia="zh-CN"/>
              </w:rPr>
              <w:t>0.5</w:t>
            </w:r>
            <w:r>
              <w:rPr>
                <w:rFonts w:hint="eastAsia"/>
                <w:highlight w:val="none"/>
              </w:rPr>
              <w:t>分</w:t>
            </w: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1399" w:type="dxa"/>
            <w:tcBorders>
              <w:right w:val="single" w:color="auto" w:sz="4" w:space="0"/>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right="0"/>
              <w:jc w:val="center"/>
              <w:rPr>
                <w:b w:val="0"/>
                <w:i w:val="0"/>
                <w:highlight w:val="none"/>
              </w:rPr>
            </w:pPr>
            <w:r>
              <w:rPr>
                <w:rFonts w:hint="eastAsia" w:ascii="宋体" w:hAnsi="宋体" w:eastAsia="宋体" w:cs="宋体"/>
                <w:b w:val="0"/>
                <w:i w:val="0"/>
                <w:color w:val="000000"/>
                <w:kern w:val="2"/>
                <w:sz w:val="21"/>
                <w:szCs w:val="21"/>
                <w:highlight w:val="none"/>
                <w:u w:val="none"/>
                <w:lang w:val="en-US" w:eastAsia="zh-CN" w:bidi="ar"/>
              </w:rPr>
              <w:t>技术部分</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Lines="50" w:beforeAutospacing="0" w:after="0" w:afterAutospacing="0"/>
              <w:ind w:left="0" w:leftChars="0" w:right="0" w:rightChars="0"/>
              <w:jc w:val="center"/>
              <w:rPr>
                <w:rFonts w:ascii="宋体" w:hAnsi="宋体" w:eastAsia="宋体" w:cs="宋体"/>
                <w:szCs w:val="21"/>
                <w:highlight w:val="none"/>
              </w:rPr>
            </w:pPr>
            <w:r>
              <w:rPr>
                <w:rFonts w:hint="eastAsia"/>
                <w:highlight w:val="none"/>
                <w:lang w:val="en-US" w:eastAsia="zh-CN"/>
              </w:rPr>
              <w:t>（25分）</w:t>
            </w:r>
          </w:p>
        </w:tc>
        <w:tc>
          <w:tcPr>
            <w:tcW w:w="7741" w:type="dxa"/>
            <w:gridSpan w:val="2"/>
            <w:tcBorders>
              <w:right w:val="single" w:color="auto" w:sz="4" w:space="0"/>
            </w:tcBorders>
            <w:vAlign w:val="center"/>
          </w:tcPr>
          <w:p>
            <w:pPr>
              <w:pStyle w:val="72"/>
              <w:numPr>
                <w:ilvl w:val="0"/>
                <w:numId w:val="18"/>
              </w:numPr>
              <w:spacing w:after="0"/>
              <w:rPr>
                <w:rFonts w:hint="eastAsia"/>
                <w:highlight w:val="none"/>
                <w:lang w:val="en-US" w:eastAsia="zh-CN"/>
              </w:rPr>
            </w:pPr>
            <w:r>
              <w:rPr>
                <w:rFonts w:hint="eastAsia"/>
                <w:highlight w:val="none"/>
              </w:rPr>
              <w:t>评委根据投标文件内容及所投产品打分。</w:t>
            </w:r>
            <w:r>
              <w:rPr>
                <w:rFonts w:hint="eastAsia"/>
                <w:highlight w:val="none"/>
                <w:lang w:eastAsia="zh-CN"/>
              </w:rPr>
              <w:t>供应商所投产品</w:t>
            </w:r>
            <w:r>
              <w:rPr>
                <w:rFonts w:hint="eastAsia"/>
                <w:highlight w:val="none"/>
              </w:rPr>
              <w:t>参数及功能要求</w:t>
            </w:r>
            <w:r>
              <w:rPr>
                <w:rFonts w:hint="eastAsia"/>
                <w:highlight w:val="none"/>
                <w:lang w:eastAsia="zh-CN"/>
              </w:rPr>
              <w:t>不得低于</w:t>
            </w:r>
            <w:r>
              <w:rPr>
                <w:rFonts w:hint="eastAsia"/>
                <w:highlight w:val="none"/>
              </w:rPr>
              <w:t>招标文件技术参数及功能要求</w:t>
            </w:r>
            <w:r>
              <w:rPr>
                <w:rFonts w:hint="eastAsia"/>
                <w:highlight w:val="none"/>
                <w:lang w:val="en-US" w:eastAsia="zh-CN"/>
              </w:rPr>
              <w:t>，</w:t>
            </w:r>
            <w:r>
              <w:rPr>
                <w:rFonts w:hint="eastAsia"/>
                <w:highlight w:val="none"/>
                <w:lang w:eastAsia="zh-CN"/>
              </w:rPr>
              <w:t>低于</w:t>
            </w:r>
            <w:r>
              <w:rPr>
                <w:rFonts w:hint="eastAsia"/>
                <w:highlight w:val="none"/>
              </w:rPr>
              <w:t>招标文要求</w:t>
            </w:r>
            <w:r>
              <w:rPr>
                <w:rFonts w:hint="eastAsia"/>
                <w:highlight w:val="none"/>
                <w:lang w:eastAsia="zh-CN"/>
              </w:rPr>
              <w:t>的按废标处理</w:t>
            </w:r>
            <w:r>
              <w:rPr>
                <w:rFonts w:hint="eastAsia"/>
                <w:highlight w:val="none"/>
                <w:lang w:val="en-US" w:eastAsia="zh-CN"/>
              </w:rPr>
              <w:t>。</w:t>
            </w:r>
          </w:p>
          <w:p>
            <w:pPr>
              <w:pStyle w:val="9"/>
              <w:numPr>
                <w:ilvl w:val="0"/>
                <w:numId w:val="18"/>
              </w:numPr>
              <w:spacing w:line="320" w:lineRule="exact"/>
              <w:ind w:left="0" w:leftChars="0" w:firstLine="0" w:firstLineChars="0"/>
              <w:rPr>
                <w:rFonts w:hint="eastAsia" w:asciiTheme="majorEastAsia" w:hAnsiTheme="majorEastAsia" w:eastAsiaTheme="majorEastAsia" w:cstheme="majorEastAsia"/>
                <w:b w:val="0"/>
                <w:bCs w:val="0"/>
                <w:kern w:val="2"/>
                <w:sz w:val="21"/>
                <w:szCs w:val="21"/>
                <w:highlight w:val="none"/>
                <w:lang w:val="en-US" w:eastAsia="zh-CN"/>
              </w:rPr>
            </w:pPr>
            <w:r>
              <w:rPr>
                <w:rFonts w:hint="eastAsia"/>
                <w:highlight w:val="none"/>
                <w:lang w:val="en-US" w:eastAsia="zh-CN"/>
              </w:rPr>
              <w:t>投标人提供</w:t>
            </w:r>
            <w:r>
              <w:rPr>
                <w:rFonts w:hint="eastAsia"/>
                <w:color w:val="auto"/>
                <w:kern w:val="0"/>
                <w:sz w:val="21"/>
                <w:szCs w:val="21"/>
                <w:highlight w:val="none"/>
              </w:rPr>
              <w:t>大型室外活动综合器械</w:t>
            </w:r>
            <w:r>
              <w:rPr>
                <w:rFonts w:hint="eastAsia"/>
                <w:color w:val="auto"/>
                <w:kern w:val="0"/>
                <w:sz w:val="21"/>
                <w:szCs w:val="21"/>
                <w:highlight w:val="none"/>
                <w:lang w:val="en-US" w:eastAsia="zh-CN"/>
              </w:rPr>
              <w:t>木制品</w:t>
            </w:r>
            <w:r>
              <w:rPr>
                <w:rFonts w:hint="eastAsia" w:ascii="Calibri" w:hAnsi="Calibri" w:eastAsia="宋体" w:cs="Times New Roman"/>
                <w:bCs/>
                <w:color w:val="auto"/>
                <w:sz w:val="21"/>
                <w:szCs w:val="21"/>
                <w:highlight w:val="none"/>
              </w:rPr>
              <w:t>油漆检测报告（检测项目包括：八大重金属</w:t>
            </w:r>
            <w:r>
              <w:rPr>
                <w:rFonts w:hint="eastAsia" w:cs="Times New Roman"/>
                <w:bCs/>
                <w:color w:val="auto"/>
                <w:sz w:val="21"/>
                <w:szCs w:val="21"/>
                <w:highlight w:val="none"/>
                <w:lang w:val="en-US" w:eastAsia="zh-CN"/>
              </w:rPr>
              <w:t>达标</w:t>
            </w:r>
            <w:r>
              <w:rPr>
                <w:rFonts w:hint="eastAsia" w:ascii="Calibri" w:hAnsi="Calibri" w:eastAsia="宋体" w:cs="Times New Roman"/>
                <w:bCs/>
                <w:color w:val="auto"/>
                <w:sz w:val="21"/>
                <w:szCs w:val="21"/>
                <w:highlight w:val="none"/>
              </w:rPr>
              <w:t>）</w:t>
            </w:r>
            <w:r>
              <w:rPr>
                <w:rFonts w:hint="eastAsia" w:asciiTheme="majorEastAsia" w:hAnsiTheme="majorEastAsia" w:eastAsiaTheme="majorEastAsia" w:cstheme="majorEastAsia"/>
                <w:b w:val="0"/>
                <w:bCs w:val="0"/>
                <w:color w:val="000000"/>
                <w:sz w:val="21"/>
                <w:szCs w:val="21"/>
                <w:highlight w:val="none"/>
                <w:lang w:val="en-US" w:eastAsia="zh-CN"/>
              </w:rPr>
              <w:t>的，</w:t>
            </w:r>
            <w:r>
              <w:rPr>
                <w:rFonts w:hint="eastAsia" w:asciiTheme="majorEastAsia" w:hAnsiTheme="majorEastAsia" w:eastAsiaTheme="majorEastAsia" w:cstheme="majorEastAsia"/>
                <w:b w:val="0"/>
                <w:bCs w:val="0"/>
                <w:kern w:val="2"/>
                <w:sz w:val="21"/>
                <w:szCs w:val="21"/>
                <w:highlight w:val="none"/>
                <w:lang w:val="en-US" w:eastAsia="zh-CN"/>
              </w:rPr>
              <w:t>得2分。</w:t>
            </w:r>
          </w:p>
          <w:p>
            <w:pPr>
              <w:pStyle w:val="9"/>
              <w:numPr>
                <w:ilvl w:val="0"/>
                <w:numId w:val="18"/>
              </w:numPr>
              <w:spacing w:line="320" w:lineRule="exact"/>
              <w:ind w:left="0" w:leftChars="0" w:firstLine="0" w:firstLineChars="0"/>
              <w:rPr>
                <w:rFonts w:hint="eastAsia" w:asciiTheme="majorEastAsia" w:hAnsiTheme="majorEastAsia" w:eastAsiaTheme="majorEastAsia" w:cstheme="majorEastAsia"/>
                <w:b w:val="0"/>
                <w:bCs w:val="0"/>
                <w:kern w:val="2"/>
                <w:sz w:val="21"/>
                <w:szCs w:val="21"/>
                <w:highlight w:val="none"/>
                <w:lang w:val="en-US" w:eastAsia="zh-CN"/>
              </w:rPr>
            </w:pPr>
            <w:r>
              <w:rPr>
                <w:rFonts w:hint="eastAsia"/>
                <w:highlight w:val="none"/>
                <w:lang w:val="en-US" w:eastAsia="zh-CN"/>
              </w:rPr>
              <w:t>投标人提供</w:t>
            </w:r>
            <w:r>
              <w:rPr>
                <w:rFonts w:hint="eastAsia"/>
                <w:color w:val="auto"/>
                <w:kern w:val="0"/>
                <w:sz w:val="21"/>
                <w:szCs w:val="21"/>
                <w:highlight w:val="none"/>
              </w:rPr>
              <w:t>大型室外活动综合器械</w:t>
            </w:r>
            <w:r>
              <w:rPr>
                <w:rFonts w:hint="eastAsia"/>
                <w:color w:val="auto"/>
                <w:kern w:val="0"/>
                <w:sz w:val="21"/>
                <w:szCs w:val="21"/>
                <w:highlight w:val="none"/>
                <w:lang w:val="en-US" w:eastAsia="zh-CN"/>
              </w:rPr>
              <w:t>柳桉木检测报告</w:t>
            </w:r>
            <w:r>
              <w:rPr>
                <w:rFonts w:hint="eastAsia" w:ascii="Calibri" w:hAnsi="Calibri" w:eastAsia="宋体" w:cs="Times New Roman"/>
                <w:bCs/>
                <w:color w:val="auto"/>
                <w:sz w:val="21"/>
                <w:szCs w:val="21"/>
                <w:highlight w:val="none"/>
              </w:rPr>
              <w:t>（检测项目包括：</w:t>
            </w:r>
            <w:r>
              <w:rPr>
                <w:rFonts w:hint="eastAsia" w:cs="Times New Roman"/>
                <w:bCs/>
                <w:color w:val="auto"/>
                <w:sz w:val="21"/>
                <w:szCs w:val="21"/>
                <w:highlight w:val="none"/>
                <w:lang w:val="en-US" w:eastAsia="zh-CN"/>
              </w:rPr>
              <w:t>甲醛和</w:t>
            </w:r>
            <w:r>
              <w:rPr>
                <w:rFonts w:hint="eastAsia" w:ascii="Calibri" w:hAnsi="Calibri" w:eastAsia="宋体" w:cs="Times New Roman"/>
                <w:bCs/>
                <w:color w:val="auto"/>
                <w:sz w:val="21"/>
                <w:szCs w:val="21"/>
                <w:highlight w:val="none"/>
              </w:rPr>
              <w:t>八大重金属</w:t>
            </w:r>
            <w:r>
              <w:rPr>
                <w:rFonts w:hint="eastAsia" w:cs="Times New Roman"/>
                <w:bCs/>
                <w:color w:val="auto"/>
                <w:sz w:val="21"/>
                <w:szCs w:val="21"/>
                <w:highlight w:val="none"/>
                <w:lang w:val="en-US" w:eastAsia="zh-CN"/>
              </w:rPr>
              <w:t>达标</w:t>
            </w:r>
            <w:r>
              <w:rPr>
                <w:rFonts w:hint="eastAsia" w:ascii="Calibri" w:hAnsi="Calibri" w:eastAsia="宋体" w:cs="Times New Roman"/>
                <w:bCs/>
                <w:color w:val="auto"/>
                <w:sz w:val="21"/>
                <w:szCs w:val="21"/>
                <w:highlight w:val="none"/>
              </w:rPr>
              <w:t>）</w:t>
            </w:r>
            <w:r>
              <w:rPr>
                <w:rFonts w:hint="eastAsia" w:asciiTheme="majorEastAsia" w:hAnsiTheme="majorEastAsia" w:eastAsiaTheme="majorEastAsia" w:cstheme="majorEastAsia"/>
                <w:b w:val="0"/>
                <w:bCs w:val="0"/>
                <w:color w:val="000000"/>
                <w:sz w:val="21"/>
                <w:szCs w:val="21"/>
                <w:highlight w:val="none"/>
                <w:lang w:val="en-US" w:eastAsia="zh-CN"/>
              </w:rPr>
              <w:t>的，</w:t>
            </w:r>
            <w:r>
              <w:rPr>
                <w:rFonts w:hint="eastAsia" w:asciiTheme="majorEastAsia" w:hAnsiTheme="majorEastAsia" w:eastAsiaTheme="majorEastAsia" w:cstheme="majorEastAsia"/>
                <w:b w:val="0"/>
                <w:bCs w:val="0"/>
                <w:kern w:val="2"/>
                <w:sz w:val="21"/>
                <w:szCs w:val="21"/>
                <w:highlight w:val="none"/>
                <w:lang w:val="en-US" w:eastAsia="zh-CN"/>
              </w:rPr>
              <w:t>得2分。</w:t>
            </w:r>
          </w:p>
          <w:p>
            <w:pPr>
              <w:pStyle w:val="9"/>
              <w:numPr>
                <w:ilvl w:val="0"/>
                <w:numId w:val="18"/>
              </w:numPr>
              <w:spacing w:line="320" w:lineRule="exact"/>
              <w:ind w:left="0" w:leftChars="0" w:firstLine="0" w:firstLineChars="0"/>
              <w:rPr>
                <w:rFonts w:hint="eastAsia" w:asciiTheme="majorEastAsia" w:hAnsiTheme="majorEastAsia" w:eastAsiaTheme="majorEastAsia" w:cstheme="majorEastAsia"/>
                <w:b w:val="0"/>
                <w:bCs w:val="0"/>
                <w:kern w:val="2"/>
                <w:sz w:val="21"/>
                <w:szCs w:val="21"/>
                <w:highlight w:val="none"/>
                <w:lang w:val="en-US" w:eastAsia="zh-CN"/>
              </w:rPr>
            </w:pPr>
            <w:r>
              <w:rPr>
                <w:rFonts w:hint="eastAsia"/>
                <w:color w:val="auto"/>
                <w:kern w:val="0"/>
                <w:sz w:val="21"/>
                <w:szCs w:val="21"/>
                <w:highlight w:val="none"/>
                <w:lang w:val="en-US" w:eastAsia="zh-CN"/>
              </w:rPr>
              <w:t>投标人提供</w:t>
            </w:r>
            <w:r>
              <w:rPr>
                <w:rFonts w:hint="eastAsia"/>
                <w:color w:val="auto"/>
                <w:kern w:val="0"/>
                <w:sz w:val="21"/>
                <w:szCs w:val="21"/>
                <w:highlight w:val="none"/>
              </w:rPr>
              <w:t>大型户外玩具由国家玩具质量监督检测中心出具的检测</w:t>
            </w:r>
            <w:r>
              <w:rPr>
                <w:rFonts w:hint="eastAsia"/>
                <w:color w:val="auto"/>
                <w:kern w:val="0"/>
                <w:sz w:val="21"/>
                <w:szCs w:val="21"/>
                <w:highlight w:val="none"/>
                <w:lang w:val="en-US" w:eastAsia="zh-CN"/>
              </w:rPr>
              <w:t>报告，得2</w:t>
            </w:r>
            <w:bookmarkStart w:id="29" w:name="_GoBack"/>
            <w:bookmarkEnd w:id="29"/>
            <w:r>
              <w:rPr>
                <w:rFonts w:hint="eastAsia"/>
                <w:color w:val="auto"/>
                <w:kern w:val="0"/>
                <w:sz w:val="21"/>
                <w:szCs w:val="21"/>
                <w:highlight w:val="none"/>
                <w:lang w:val="en-US" w:eastAsia="zh-CN"/>
              </w:rPr>
              <w:t>分。</w:t>
            </w:r>
          </w:p>
          <w:p>
            <w:pPr>
              <w:pStyle w:val="9"/>
              <w:numPr>
                <w:ilvl w:val="0"/>
                <w:numId w:val="18"/>
              </w:numPr>
              <w:spacing w:line="320" w:lineRule="exact"/>
              <w:ind w:left="0" w:leftChars="0" w:firstLine="0" w:firstLineChars="0"/>
              <w:rPr>
                <w:rFonts w:hint="eastAsia" w:asciiTheme="majorEastAsia" w:hAnsiTheme="majorEastAsia" w:eastAsiaTheme="majorEastAsia" w:cstheme="majorEastAsia"/>
                <w:b w:val="0"/>
                <w:bCs w:val="0"/>
                <w:kern w:val="2"/>
                <w:sz w:val="21"/>
                <w:szCs w:val="21"/>
                <w:highlight w:val="none"/>
                <w:lang w:val="en-US" w:eastAsia="zh-CN"/>
              </w:rPr>
            </w:pPr>
            <w:r>
              <w:rPr>
                <w:rFonts w:hint="eastAsia"/>
                <w:color w:val="auto"/>
                <w:kern w:val="0"/>
                <w:sz w:val="21"/>
                <w:szCs w:val="21"/>
                <w:highlight w:val="none"/>
                <w:lang w:val="en-US" w:eastAsia="zh-CN"/>
              </w:rPr>
              <w:t>投标人提供</w:t>
            </w:r>
            <w:r>
              <w:rPr>
                <w:rFonts w:hint="eastAsia"/>
                <w:color w:val="auto"/>
                <w:kern w:val="0"/>
                <w:sz w:val="21"/>
                <w:szCs w:val="21"/>
                <w:highlight w:val="none"/>
              </w:rPr>
              <w:t>大型户外玩具平台、立柱、扣件由国家玩具质量监督检测中心出具的（防锈）盐雾不少于500小时测试检验合格的检测报告</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得2分。</w:t>
            </w:r>
          </w:p>
          <w:p>
            <w:pPr>
              <w:pStyle w:val="9"/>
              <w:numPr>
                <w:ilvl w:val="0"/>
                <w:numId w:val="18"/>
              </w:numPr>
              <w:spacing w:line="320" w:lineRule="exact"/>
              <w:ind w:left="0" w:leftChars="0" w:firstLine="0" w:firstLineChars="0"/>
              <w:rPr>
                <w:rFonts w:hint="eastAsia"/>
                <w:highlight w:val="none"/>
                <w:lang w:val="en-US" w:eastAsia="zh-CN"/>
              </w:rPr>
            </w:pPr>
            <w:r>
              <w:rPr>
                <w:rFonts w:hint="eastAsia" w:asciiTheme="majorEastAsia" w:hAnsiTheme="majorEastAsia" w:eastAsiaTheme="majorEastAsia" w:cstheme="majorEastAsia"/>
                <w:b w:val="0"/>
                <w:bCs w:val="0"/>
                <w:kern w:val="2"/>
                <w:sz w:val="21"/>
                <w:szCs w:val="21"/>
                <w:highlight w:val="none"/>
                <w:lang w:val="en-US" w:eastAsia="zh-CN"/>
              </w:rPr>
              <w:t>投标人提供</w:t>
            </w:r>
            <w:r>
              <w:rPr>
                <w:rFonts w:hint="eastAsia"/>
                <w:color w:val="auto"/>
                <w:kern w:val="0"/>
                <w:sz w:val="21"/>
                <w:szCs w:val="21"/>
                <w:highlight w:val="none"/>
              </w:rPr>
              <w:t>大型户外玩具塑料件由质量监督检测中心出具的抗紫外线防老化不少于350小时测试检验合格SGS的报告检测报告</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得2分。</w:t>
            </w:r>
          </w:p>
          <w:p>
            <w:pPr>
              <w:pStyle w:val="9"/>
              <w:numPr>
                <w:ilvl w:val="0"/>
                <w:numId w:val="18"/>
              </w:numPr>
              <w:spacing w:line="320" w:lineRule="exact"/>
              <w:ind w:left="0" w:leftChars="0" w:firstLine="0" w:firstLineChars="0"/>
              <w:rPr>
                <w:rFonts w:hint="eastAsia"/>
                <w:highlight w:val="none"/>
                <w:lang w:val="en-US" w:eastAsia="zh-CN"/>
              </w:rPr>
            </w:pPr>
            <w:r>
              <w:rPr>
                <w:rFonts w:hint="eastAsia" w:asciiTheme="majorEastAsia" w:hAnsiTheme="majorEastAsia" w:eastAsiaTheme="majorEastAsia" w:cstheme="majorEastAsia"/>
                <w:b w:val="0"/>
                <w:bCs w:val="0"/>
                <w:kern w:val="2"/>
                <w:sz w:val="21"/>
                <w:szCs w:val="21"/>
                <w:highlight w:val="none"/>
                <w:lang w:val="en-US" w:eastAsia="zh-CN"/>
              </w:rPr>
              <w:t>投标人提供</w:t>
            </w:r>
            <w:r>
              <w:rPr>
                <w:rFonts w:hint="eastAsia" w:ascii="宋体" w:hAnsi="宋体" w:cs="宋体"/>
                <w:color w:val="auto"/>
                <w:sz w:val="21"/>
                <w:szCs w:val="21"/>
                <w:highlight w:val="none"/>
              </w:rPr>
              <w:t>体操垫国家体育用品质量监督检验中心出具的检测报告</w:t>
            </w:r>
            <w:r>
              <w:rPr>
                <w:rFonts w:hint="eastAsia" w:ascii="宋体" w:hAnsi="宋体" w:cs="宋体"/>
                <w:color w:val="auto"/>
                <w:sz w:val="21"/>
                <w:szCs w:val="21"/>
                <w:highlight w:val="none"/>
                <w:lang w:eastAsia="zh-CN"/>
              </w:rPr>
              <w:t>，</w:t>
            </w:r>
            <w:r>
              <w:rPr>
                <w:rFonts w:hint="eastAsia"/>
                <w:color w:val="auto"/>
                <w:kern w:val="0"/>
                <w:sz w:val="21"/>
                <w:szCs w:val="21"/>
                <w:highlight w:val="none"/>
                <w:lang w:val="en-US" w:eastAsia="zh-CN"/>
              </w:rPr>
              <w:t>得2分。</w:t>
            </w:r>
          </w:p>
          <w:p>
            <w:pPr>
              <w:pStyle w:val="9"/>
              <w:numPr>
                <w:ilvl w:val="0"/>
                <w:numId w:val="18"/>
              </w:numPr>
              <w:spacing w:line="320" w:lineRule="exact"/>
              <w:ind w:left="0" w:leftChars="0" w:firstLine="0" w:firstLineChars="0"/>
              <w:rPr>
                <w:rFonts w:hint="eastAsia"/>
                <w:highlight w:val="none"/>
                <w:lang w:val="en-US" w:eastAsia="zh-CN"/>
              </w:rPr>
            </w:pPr>
            <w:r>
              <w:rPr>
                <w:rFonts w:hint="eastAsia" w:ascii="宋体" w:hAnsi="宋体"/>
                <w:color w:val="auto"/>
                <w:sz w:val="21"/>
                <w:szCs w:val="21"/>
                <w:highlight w:val="none"/>
                <w:lang w:val="en-US" w:eastAsia="zh-CN"/>
              </w:rPr>
              <w:t>投标人</w:t>
            </w:r>
            <w:r>
              <w:rPr>
                <w:rFonts w:hint="eastAsia" w:asciiTheme="majorEastAsia" w:hAnsiTheme="majorEastAsia" w:eastAsiaTheme="majorEastAsia" w:cstheme="majorEastAsia"/>
                <w:b w:val="0"/>
                <w:bCs w:val="0"/>
                <w:kern w:val="2"/>
                <w:sz w:val="21"/>
                <w:szCs w:val="21"/>
                <w:highlight w:val="none"/>
                <w:lang w:val="en-US" w:eastAsia="zh-CN"/>
              </w:rPr>
              <w:t>提</w:t>
            </w:r>
            <w:r>
              <w:rPr>
                <w:rFonts w:hint="eastAsia" w:ascii="宋体" w:hAnsi="宋体"/>
                <w:color w:val="auto"/>
                <w:sz w:val="21"/>
                <w:szCs w:val="21"/>
                <w:highlight w:val="none"/>
              </w:rPr>
              <w:t>供所投篮球架省级或省级以上质量技术监督部门出具的检测报</w:t>
            </w:r>
            <w:r>
              <w:rPr>
                <w:rFonts w:hint="eastAsia" w:ascii="宋体" w:hAnsi="宋体" w:cs="宋体"/>
                <w:color w:val="auto"/>
                <w:sz w:val="21"/>
                <w:szCs w:val="21"/>
                <w:highlight w:val="none"/>
                <w:lang w:eastAsia="zh-CN"/>
              </w:rPr>
              <w:t>，</w:t>
            </w:r>
            <w:r>
              <w:rPr>
                <w:rFonts w:hint="eastAsia"/>
                <w:color w:val="auto"/>
                <w:kern w:val="0"/>
                <w:sz w:val="21"/>
                <w:szCs w:val="21"/>
                <w:highlight w:val="none"/>
                <w:lang w:val="en-US" w:eastAsia="zh-CN"/>
              </w:rPr>
              <w:t>得2分。</w:t>
            </w:r>
          </w:p>
          <w:p>
            <w:pPr>
              <w:pStyle w:val="9"/>
              <w:numPr>
                <w:ilvl w:val="0"/>
                <w:numId w:val="18"/>
              </w:numPr>
              <w:spacing w:line="320" w:lineRule="exact"/>
              <w:ind w:left="0" w:leftChars="0" w:firstLine="0" w:firstLineChars="0"/>
              <w:rPr>
                <w:rFonts w:hint="eastAsia"/>
                <w:highlight w:val="none"/>
                <w:lang w:val="en-US" w:eastAsia="zh-CN"/>
              </w:rPr>
            </w:pPr>
            <w:r>
              <w:rPr>
                <w:rFonts w:hint="eastAsia" w:ascii="宋体" w:hAnsi="宋体"/>
                <w:color w:val="auto"/>
                <w:sz w:val="21"/>
                <w:szCs w:val="21"/>
                <w:highlight w:val="none"/>
                <w:lang w:val="en-US" w:eastAsia="zh-CN"/>
              </w:rPr>
              <w:t>投标人</w:t>
            </w:r>
            <w:r>
              <w:rPr>
                <w:rFonts w:hint="eastAsia" w:asciiTheme="majorEastAsia" w:hAnsiTheme="majorEastAsia" w:eastAsiaTheme="majorEastAsia" w:cstheme="majorEastAsia"/>
                <w:b w:val="0"/>
                <w:bCs w:val="0"/>
                <w:kern w:val="2"/>
                <w:sz w:val="21"/>
                <w:szCs w:val="21"/>
                <w:highlight w:val="none"/>
                <w:lang w:val="en-US" w:eastAsia="zh-CN"/>
              </w:rPr>
              <w:t>提</w:t>
            </w:r>
            <w:r>
              <w:rPr>
                <w:rFonts w:hint="eastAsia" w:ascii="宋体" w:hAnsi="宋体"/>
                <w:color w:val="auto"/>
                <w:sz w:val="21"/>
                <w:szCs w:val="21"/>
                <w:highlight w:val="none"/>
              </w:rPr>
              <w:t>供所投</w:t>
            </w:r>
            <w:r>
              <w:rPr>
                <w:rFonts w:hint="eastAsia" w:ascii="宋体" w:hAnsi="宋体" w:cs="宋体"/>
                <w:color w:val="auto"/>
                <w:kern w:val="0"/>
                <w:sz w:val="21"/>
                <w:szCs w:val="21"/>
                <w:highlight w:val="none"/>
              </w:rPr>
              <w:t>钻圈省级或省级以上质量技术监督部门出具的检测报告</w:t>
            </w:r>
            <w:r>
              <w:rPr>
                <w:rFonts w:hint="eastAsia" w:ascii="宋体" w:hAnsi="宋体" w:cs="宋体"/>
                <w:color w:val="auto"/>
                <w:sz w:val="21"/>
                <w:szCs w:val="21"/>
                <w:highlight w:val="none"/>
                <w:lang w:eastAsia="zh-CN"/>
              </w:rPr>
              <w:t>，</w:t>
            </w:r>
            <w:r>
              <w:rPr>
                <w:rFonts w:hint="eastAsia"/>
                <w:color w:val="auto"/>
                <w:kern w:val="0"/>
                <w:sz w:val="21"/>
                <w:szCs w:val="21"/>
                <w:highlight w:val="none"/>
                <w:lang w:val="en-US" w:eastAsia="zh-CN"/>
              </w:rPr>
              <w:t>得2分。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rPr>
                <w:rFonts w:hint="eastAsia" w:ascii="宋体" w:hAnsi="宋体" w:eastAsia="宋体" w:cs="Times New Roman"/>
                <w:b w:val="0"/>
                <w:i w:val="0"/>
                <w:color w:val="000000"/>
                <w:kern w:val="2"/>
                <w:sz w:val="21"/>
                <w:szCs w:val="21"/>
                <w:highlight w:val="none"/>
                <w:u w:val="none"/>
                <w:lang w:val="en-US" w:eastAsia="zh-CN" w:bidi="ar"/>
              </w:rPr>
            </w:pPr>
            <w:r>
              <w:rPr>
                <w:rFonts w:hint="eastAsia"/>
                <w:highlight w:val="none"/>
                <w:lang w:val="en-US" w:eastAsia="zh-CN"/>
              </w:rPr>
              <w:t>10、</w:t>
            </w:r>
            <w:r>
              <w:rPr>
                <w:rFonts w:hint="eastAsia"/>
                <w:highlight w:val="none"/>
                <w:lang w:eastAsia="zh-CN"/>
              </w:rPr>
              <w:t>评委根据样品小样的材质</w:t>
            </w:r>
            <w:r>
              <w:rPr>
                <w:rFonts w:hint="eastAsia"/>
                <w:highlight w:val="none"/>
              </w:rPr>
              <w:t>、</w:t>
            </w:r>
            <w:r>
              <w:rPr>
                <w:rFonts w:hint="eastAsia"/>
                <w:highlight w:val="none"/>
                <w:lang w:eastAsia="zh-CN"/>
              </w:rPr>
              <w:t>质量</w:t>
            </w:r>
            <w:r>
              <w:rPr>
                <w:rFonts w:hint="eastAsia"/>
                <w:highlight w:val="none"/>
              </w:rPr>
              <w:t>、环保等方面</w:t>
            </w:r>
            <w:r>
              <w:rPr>
                <w:rFonts w:hint="eastAsia"/>
                <w:highlight w:val="none"/>
                <w:lang w:eastAsia="zh-CN"/>
              </w:rPr>
              <w:t>进行综合打分分为三</w:t>
            </w:r>
            <w:r>
              <w:rPr>
                <w:rFonts w:hint="eastAsia"/>
                <w:highlight w:val="none"/>
              </w:rPr>
              <w:t>类</w:t>
            </w:r>
            <w:r>
              <w:rPr>
                <w:rFonts w:hint="eastAsia"/>
                <w:highlight w:val="none"/>
                <w:lang w:eastAsia="zh-CN"/>
              </w:rPr>
              <w:t>进行</w:t>
            </w:r>
            <w:r>
              <w:rPr>
                <w:rFonts w:hint="eastAsia"/>
                <w:highlight w:val="none"/>
              </w:rPr>
              <w:t>打分。</w:t>
            </w:r>
            <w:r>
              <w:rPr>
                <w:rFonts w:hint="eastAsia"/>
                <w:highlight w:val="none"/>
                <w:lang w:eastAsia="zh-CN"/>
              </w:rPr>
              <w:t>第一类</w:t>
            </w:r>
            <w:r>
              <w:rPr>
                <w:rFonts w:hint="eastAsia"/>
                <w:highlight w:val="none"/>
                <w:lang w:val="en-US" w:eastAsia="zh-CN"/>
              </w:rPr>
              <w:t>9分，第二类6分，第三类2分。未提供样品或样品不满足技术参数，</w:t>
            </w:r>
            <w:r>
              <w:rPr>
                <w:rFonts w:hint="eastAsia"/>
                <w:highlight w:val="none"/>
                <w:lang w:eastAsia="zh-CN"/>
              </w:rPr>
              <w:t>按废标处理</w:t>
            </w: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9140" w:type="dxa"/>
            <w:gridSpan w:val="3"/>
            <w:tcBorders>
              <w:right w:val="single" w:color="auto" w:sz="4" w:space="0"/>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rPr>
                <w:rFonts w:hint="eastAsia"/>
                <w:highlight w:val="none"/>
                <w:lang w:val="en-US" w:eastAsia="zh-CN"/>
              </w:rPr>
            </w:pPr>
            <w:r>
              <w:rPr>
                <w:rFonts w:hint="eastAsia" w:ascii="宋体" w:hAnsi="宋体" w:cs="仿宋_GB2312"/>
                <w:sz w:val="21"/>
                <w:szCs w:val="21"/>
                <w:highlight w:val="none"/>
                <w:lang w:val="zh-CN"/>
              </w:rPr>
              <w:t>注：评标标准中所涉及到的证书及材料不需提供原件，均应在电子投标文件中提供原件扫描件（或图片）。</w:t>
            </w:r>
          </w:p>
        </w:tc>
      </w:tr>
    </w:tbl>
    <w:p>
      <w:pPr>
        <w:spacing w:line="360" w:lineRule="auto"/>
        <w:rPr>
          <w:rFonts w:cs="仿宋_GB2312" w:asciiTheme="minorEastAsia" w:hAnsiTheme="minorEastAsia"/>
          <w:b/>
          <w:szCs w:val="21"/>
          <w:lang w:val="zh-CN"/>
        </w:rPr>
      </w:pP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其中：价格分计算（落实政府采购政策价格调整部分）</w:t>
      </w:r>
    </w:p>
    <w:tbl>
      <w:tblPr>
        <w:tblStyle w:val="2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序号</w:t>
            </w:r>
          </w:p>
        </w:tc>
        <w:tc>
          <w:tcPr>
            <w:tcW w:w="2823" w:type="dxa"/>
            <w:vAlign w:val="center"/>
          </w:tcPr>
          <w:p>
            <w:pPr>
              <w:jc w:val="center"/>
              <w:rPr>
                <w:rFonts w:ascii="宋体" w:hAnsi="宋体"/>
                <w:b/>
                <w:color w:val="000000"/>
                <w:szCs w:val="21"/>
                <w:lang w:val="en-GB"/>
              </w:rPr>
            </w:pPr>
            <w:r>
              <w:rPr>
                <w:rFonts w:hint="eastAsia" w:ascii="宋体" w:hAnsi="宋体"/>
                <w:b/>
                <w:color w:val="000000"/>
                <w:szCs w:val="21"/>
                <w:lang w:val="en-GB"/>
              </w:rPr>
              <w:t>情形</w:t>
            </w:r>
          </w:p>
        </w:tc>
        <w:tc>
          <w:tcPr>
            <w:tcW w:w="2552" w:type="dxa"/>
            <w:vAlign w:val="center"/>
          </w:tcPr>
          <w:p>
            <w:pPr>
              <w:jc w:val="center"/>
              <w:rPr>
                <w:rFonts w:ascii="宋体" w:hAnsi="宋体"/>
                <w:b/>
                <w:color w:val="000000"/>
                <w:szCs w:val="21"/>
                <w:lang w:val="en-GB"/>
              </w:rPr>
            </w:pPr>
            <w:r>
              <w:rPr>
                <w:rFonts w:hint="eastAsia" w:ascii="宋体" w:hAnsi="宋体"/>
                <w:b/>
                <w:color w:val="000000"/>
                <w:szCs w:val="21"/>
              </w:rPr>
              <w:t>价格扣除</w:t>
            </w:r>
            <w:r>
              <w:rPr>
                <w:rFonts w:hint="eastAsia" w:ascii="宋体" w:hAnsi="宋体"/>
                <w:b/>
                <w:color w:val="000000"/>
                <w:szCs w:val="21"/>
                <w:lang w:val="en-GB"/>
              </w:rPr>
              <w:t>比例</w:t>
            </w:r>
          </w:p>
        </w:tc>
        <w:tc>
          <w:tcPr>
            <w:tcW w:w="2835" w:type="dxa"/>
            <w:vAlign w:val="center"/>
          </w:tcPr>
          <w:p>
            <w:pPr>
              <w:jc w:val="center"/>
              <w:rPr>
                <w:rFonts w:ascii="宋体" w:hAnsi="宋体"/>
                <w:b/>
                <w:color w:val="000000"/>
                <w:szCs w:val="21"/>
                <w:lang w:val="en-GB"/>
              </w:rPr>
            </w:pPr>
            <w:r>
              <w:rPr>
                <w:rFonts w:hint="eastAsia" w:ascii="宋体" w:hAnsi="宋体"/>
                <w:b/>
                <w:color w:val="000000"/>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1</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非联合体投标人</w:t>
            </w:r>
          </w:p>
        </w:tc>
        <w:tc>
          <w:tcPr>
            <w:tcW w:w="2552" w:type="dxa"/>
            <w:vAlign w:val="center"/>
          </w:tcPr>
          <w:p>
            <w:pPr>
              <w:jc w:val="center"/>
              <w:rPr>
                <w:rFonts w:ascii="宋体" w:hAnsi="宋体"/>
                <w:b/>
                <w:szCs w:val="21"/>
                <w:lang w:val="en-GB"/>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tc>
        <w:tc>
          <w:tcPr>
            <w:tcW w:w="2835" w:type="dxa"/>
            <w:vMerge w:val="restart"/>
            <w:shd w:val="clear" w:color="auto" w:fill="auto"/>
            <w:vAlign w:val="center"/>
          </w:tcPr>
          <w:p>
            <w:pPr>
              <w:jc w:val="center"/>
              <w:rPr>
                <w:color w:val="000000"/>
                <w:szCs w:val="21"/>
                <w:lang w:val="en-GB"/>
              </w:rPr>
            </w:pPr>
            <w:r>
              <w:rPr>
                <w:rFonts w:hint="eastAsia"/>
                <w:color w:val="000000"/>
                <w:szCs w:val="21"/>
                <w:lang w:val="en-GB"/>
              </w:rPr>
              <w:t>评标价格＝投标报价—</w:t>
            </w:r>
            <w:r>
              <w:rPr>
                <w:rFonts w:hint="eastAsia"/>
                <w:color w:val="000000"/>
                <w:szCs w:val="21"/>
              </w:rPr>
              <w:t>小型和微型企业产品的价格</w:t>
            </w:r>
            <w:r>
              <w:rPr>
                <w:rFonts w:hint="eastAsia" w:ascii="宋体" w:hAnsi="宋体"/>
                <w:color w:val="000000"/>
                <w:szCs w:val="21"/>
                <w:lang w:val="en-GB"/>
              </w:rPr>
              <w:t>×</w:t>
            </w:r>
            <w:r>
              <w:rPr>
                <w:rFonts w:hint="eastAsia"/>
                <w:color w:val="000000"/>
                <w:szCs w:val="21"/>
                <w:lang w:val="en-GB"/>
              </w:rPr>
              <w:t>6%</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2</w:t>
            </w:r>
          </w:p>
        </w:tc>
        <w:tc>
          <w:tcPr>
            <w:tcW w:w="2823" w:type="dxa"/>
            <w:vAlign w:val="center"/>
          </w:tcPr>
          <w:p>
            <w:pPr>
              <w:jc w:val="center"/>
              <w:rPr>
                <w:rFonts w:ascii="宋体" w:hAnsi="宋体"/>
                <w:b/>
                <w:color w:val="000000"/>
                <w:szCs w:val="21"/>
              </w:rPr>
            </w:pPr>
            <w:r>
              <w:rPr>
                <w:rFonts w:hint="eastAsia" w:ascii="宋体" w:hAnsi="宋体"/>
                <w:color w:val="000000"/>
                <w:szCs w:val="21"/>
                <w:lang w:val="en-GB"/>
              </w:rPr>
              <w:t>联合体各方均为小型、微型企业</w:t>
            </w:r>
          </w:p>
        </w:tc>
        <w:tc>
          <w:tcPr>
            <w:tcW w:w="2552" w:type="dxa"/>
            <w:vAlign w:val="center"/>
          </w:tcPr>
          <w:p>
            <w:pPr>
              <w:jc w:val="center"/>
              <w:rPr>
                <w:rFonts w:ascii="宋体" w:hAnsi="宋体"/>
                <w:szCs w:val="21"/>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3</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对联合体总金额扣除</w:t>
            </w:r>
          </w:p>
          <w:p>
            <w:pPr>
              <w:jc w:val="center"/>
              <w:rPr>
                <w:rFonts w:ascii="宋体" w:hAnsi="宋体"/>
                <w:b/>
                <w:szCs w:val="21"/>
                <w:lang w:val="en-GB"/>
              </w:rPr>
            </w:pPr>
            <w:r>
              <w:rPr>
                <w:rFonts w:hint="eastAsia" w:ascii="宋体" w:hAnsi="宋体"/>
                <w:szCs w:val="21"/>
                <w:u w:val="single"/>
              </w:rPr>
              <w:t xml:space="preserve"> </w:t>
            </w:r>
            <w:r>
              <w:rPr>
                <w:rFonts w:ascii="宋体" w:hAnsi="宋体"/>
                <w:szCs w:val="21"/>
                <w:u w:val="single"/>
              </w:rPr>
              <w:t>2</w:t>
            </w:r>
            <w:r>
              <w:rPr>
                <w:rFonts w:hint="eastAsia" w:ascii="宋体" w:hAnsi="宋体"/>
                <w:szCs w:val="21"/>
                <w:u w:val="single"/>
              </w:rPr>
              <w:t xml:space="preserve"> </w:t>
            </w:r>
            <w:r>
              <w:rPr>
                <w:rFonts w:hint="eastAsia" w:ascii="宋体" w:hAnsi="宋体"/>
                <w:szCs w:val="21"/>
              </w:rPr>
              <w:t>%</w:t>
            </w:r>
          </w:p>
        </w:tc>
        <w:tc>
          <w:tcPr>
            <w:tcW w:w="2835" w:type="dxa"/>
            <w:shd w:val="clear" w:color="auto" w:fill="auto"/>
            <w:vAlign w:val="center"/>
          </w:tcPr>
          <w:p>
            <w:pPr>
              <w:jc w:val="center"/>
              <w:rPr>
                <w:rFonts w:ascii="宋体" w:hAnsi="宋体"/>
                <w:color w:val="FF0000"/>
                <w:szCs w:val="21"/>
                <w:u w:val="single"/>
              </w:rPr>
            </w:pPr>
            <w:r>
              <w:rPr>
                <w:rFonts w:hint="eastAsia" w:ascii="宋体" w:hAnsi="宋体"/>
                <w:color w:val="000000"/>
                <w:szCs w:val="21"/>
                <w:lang w:val="en-GB"/>
              </w:rPr>
              <w:t>评标价格＝投标报价×</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u w:val="single"/>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4</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监狱企业</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对监狱企业产品价格扣除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rFonts w:ascii="宋体" w:hAnsi="宋体"/>
                <w:color w:val="000000"/>
                <w:szCs w:val="21"/>
                <w:lang w:val="en-GB"/>
              </w:rPr>
            </w:pPr>
            <w:r>
              <w:rPr>
                <w:rFonts w:hint="eastAsia"/>
                <w:color w:val="000000"/>
                <w:szCs w:val="21"/>
                <w:lang w:val="en-GB"/>
              </w:rPr>
              <w:t>评标价格＝投标报价—</w:t>
            </w:r>
            <w:r>
              <w:rPr>
                <w:rFonts w:hint="eastAsia"/>
                <w:color w:val="000000"/>
                <w:szCs w:val="21"/>
              </w:rPr>
              <w:t>监狱企业产品的价格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5</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残疾人福利性单位</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对残疾人福利性单位产品价格扣除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color w:val="000000"/>
                <w:szCs w:val="21"/>
                <w:lang w:val="en-GB"/>
              </w:rPr>
            </w:pPr>
            <w:r>
              <w:rPr>
                <w:rFonts w:hint="eastAsia"/>
                <w:color w:val="000000"/>
                <w:szCs w:val="21"/>
                <w:lang w:val="en-GB"/>
              </w:rPr>
              <w:t>评标价格＝投标报价—</w:t>
            </w:r>
            <w:r>
              <w:rPr>
                <w:rFonts w:hint="eastAsia"/>
                <w:color w:val="000000"/>
                <w:szCs w:val="21"/>
              </w:rPr>
              <w:t>残疾人福利性单位产品的价格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经评标委员会</w:t>
            </w:r>
            <w:r>
              <w:rPr>
                <w:rFonts w:hint="eastAsia" w:cs="仿宋_GB2312" w:asciiTheme="minorEastAsia" w:hAnsiTheme="minorEastAsia"/>
                <w:szCs w:val="21"/>
                <w:lang w:val="zh-CN"/>
              </w:rPr>
              <w:t>审查、评价</w:t>
            </w:r>
            <w:r>
              <w:rPr>
                <w:rFonts w:cs="仿宋_GB2312" w:asciiTheme="minorEastAsia" w:hAnsiTheme="minorEastAsia"/>
                <w:szCs w:val="21"/>
                <w:lang w:val="zh-CN"/>
              </w:rPr>
              <w:t>，</w:t>
            </w:r>
            <w:r>
              <w:rPr>
                <w:rFonts w:hint="eastAsia" w:cs="仿宋_GB2312" w:asciiTheme="minorEastAsia" w:hAnsiTheme="minorEastAsia"/>
                <w:szCs w:val="21"/>
                <w:lang w:val="zh-CN"/>
              </w:rPr>
              <w:t>投标文件符合</w:t>
            </w:r>
            <w:r>
              <w:rPr>
                <w:rFonts w:cs="仿宋_GB2312" w:asciiTheme="minorEastAsia" w:hAnsiTheme="minorEastAsia"/>
                <w:szCs w:val="21"/>
                <w:lang w:val="zh-CN"/>
              </w:rPr>
              <w:t>招标文件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评标价格的</w:t>
            </w:r>
            <w:r>
              <w:rPr>
                <w:rFonts w:cs="仿宋_GB2312" w:asciiTheme="minorEastAsia" w:hAnsiTheme="minorEastAsia"/>
                <w:szCs w:val="21"/>
                <w:lang w:val="zh-CN"/>
              </w:rPr>
              <w:t>最低价者定为评标基准价，其价格分为满分。其他投标人的价格分统一按下列公式</w:t>
            </w:r>
            <w:r>
              <w:rPr>
                <w:rFonts w:hint="eastAsia" w:cs="仿宋_GB2312" w:asciiTheme="minorEastAsia" w:hAnsiTheme="minorEastAsia"/>
                <w:szCs w:val="21"/>
                <w:lang w:val="zh-CN"/>
              </w:rPr>
              <w:t>计算</w:t>
            </w:r>
            <w:r>
              <w:rPr>
                <w:rFonts w:cs="仿宋_GB2312" w:asciiTheme="minorEastAsia" w:hAnsiTheme="minorEastAsia"/>
                <w:szCs w:val="21"/>
                <w:lang w:val="zh-CN"/>
              </w:rPr>
              <w:t>。即：</w:t>
            </w:r>
          </w:p>
          <w:p>
            <w:pPr>
              <w:widowControl/>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=评标价格的最低价</w:t>
            </w:r>
          </w:p>
          <w:p>
            <w:pPr>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其他投标报价得分</w:t>
            </w:r>
            <w:r>
              <w:rPr>
                <w:rFonts w:hint="eastAsia" w:cs="仿宋_GB2312" w:asciiTheme="minorEastAsia" w:hAnsiTheme="minorEastAsia"/>
                <w:szCs w:val="21"/>
                <w:lang w:val="zh-CN"/>
              </w:rPr>
              <w:t>=（</w:t>
            </w: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w:t>
            </w:r>
            <w:r>
              <w:rPr>
                <w:rFonts w:cs="仿宋_GB2312" w:asciiTheme="minorEastAsia" w:hAnsiTheme="minorEastAsia"/>
                <w:szCs w:val="21"/>
                <w:lang w:val="zh-CN"/>
              </w:rPr>
              <w:t>×</w:t>
            </w:r>
            <w:r>
              <w:rPr>
                <w:rFonts w:hint="eastAsia" w:cs="仿宋_GB2312" w:asciiTheme="minorEastAsia" w:hAnsiTheme="minorEastAsia"/>
                <w:szCs w:val="21"/>
                <w:lang w:val="zh-CN"/>
              </w:rPr>
              <w:t>评标标准中价格分值</w:t>
            </w:r>
          </w:p>
        </w:tc>
      </w:tr>
    </w:tbl>
    <w:p>
      <w:pPr>
        <w:spacing w:line="360" w:lineRule="auto"/>
        <w:rPr>
          <w:rFonts w:ascii="宋体" w:hAnsi="宋体"/>
          <w:bCs/>
          <w:color w:val="auto"/>
          <w:szCs w:val="21"/>
          <w:lang w:val="en-GB"/>
        </w:rPr>
      </w:pPr>
      <w:r>
        <w:rPr>
          <w:rFonts w:hint="eastAsia" w:ascii="宋体" w:hAnsi="宋体"/>
          <w:bCs/>
          <w:color w:val="auto"/>
          <w:szCs w:val="21"/>
          <w:lang w:val="en-GB"/>
        </w:rPr>
        <w:t>备注：</w:t>
      </w:r>
    </w:p>
    <w:p>
      <w:pPr>
        <w:spacing w:line="360" w:lineRule="auto"/>
        <w:ind w:firstLine="420" w:firstLineChars="200"/>
        <w:rPr>
          <w:rFonts w:ascii="宋体" w:hAnsi="宋体"/>
          <w:bCs/>
          <w:color w:val="auto"/>
          <w:szCs w:val="21"/>
          <w:lang w:val="en-GB"/>
        </w:rPr>
      </w:pPr>
      <w:r>
        <w:rPr>
          <w:rFonts w:hint="eastAsia" w:ascii="宋体" w:hAnsi="宋体"/>
          <w:bCs/>
          <w:color w:val="auto"/>
          <w:szCs w:val="21"/>
          <w:lang w:val="en-GB"/>
        </w:rPr>
        <w:t>a、不接受联合体投标的项目，本表中第2项、第3项情形不适用。</w:t>
      </w:r>
    </w:p>
    <w:p>
      <w:pPr>
        <w:spacing w:line="360" w:lineRule="auto"/>
        <w:ind w:firstLine="420" w:firstLineChars="200"/>
        <w:rPr>
          <w:rFonts w:ascii="宋体" w:hAnsi="宋体"/>
          <w:bCs/>
          <w:color w:val="auto"/>
          <w:szCs w:val="21"/>
          <w:highlight w:val="none"/>
          <w:lang w:val="en-GB"/>
        </w:rPr>
      </w:pPr>
      <w:r>
        <w:rPr>
          <w:rFonts w:hint="eastAsia" w:ascii="宋体" w:hAnsi="宋体"/>
          <w:bCs/>
          <w:color w:val="auto"/>
          <w:szCs w:val="21"/>
          <w:lang w:val="en-GB"/>
        </w:rPr>
        <w:t>b、小型</w:t>
      </w:r>
      <w:r>
        <w:rPr>
          <w:rFonts w:hint="eastAsia" w:ascii="宋体" w:hAnsi="宋体"/>
          <w:bCs/>
          <w:color w:val="auto"/>
          <w:szCs w:val="21"/>
          <w:highlight w:val="none"/>
          <w:lang w:val="en-GB"/>
        </w:rPr>
        <w:t>和微型企业产品包括货物及其提供的服务与工程。</w:t>
      </w:r>
    </w:p>
    <w:p>
      <w:pPr>
        <w:spacing w:line="360" w:lineRule="auto"/>
        <w:ind w:firstLine="420" w:firstLineChars="200"/>
        <w:rPr>
          <w:rFonts w:ascii="宋体" w:hAnsi="宋体"/>
          <w:bCs/>
          <w:color w:val="auto"/>
          <w:szCs w:val="21"/>
          <w:highlight w:val="none"/>
          <w:lang w:val="en-GB"/>
        </w:rPr>
      </w:pPr>
      <w:r>
        <w:rPr>
          <w:rFonts w:hint="eastAsia" w:ascii="宋体" w:hAnsi="宋体"/>
          <w:bCs/>
          <w:color w:val="auto"/>
          <w:szCs w:val="21"/>
          <w:highlight w:val="none"/>
          <w:lang w:val="en-GB"/>
        </w:rPr>
        <w:t>c、中小企业、残疾人福利性单位提供其他企业制造的货物的，则该货物的制造商也必须为上述企业，否则不能享受价格优惠。</w:t>
      </w:r>
    </w:p>
    <w:p>
      <w:pPr>
        <w:spacing w:line="360" w:lineRule="auto"/>
        <w:ind w:firstLine="420" w:firstLineChars="200"/>
        <w:rPr>
          <w:rFonts w:ascii="宋体" w:hAnsi="宋体"/>
          <w:bCs/>
          <w:color w:val="auto"/>
          <w:szCs w:val="21"/>
          <w:highlight w:val="none"/>
          <w:lang w:val="en-GB"/>
        </w:rPr>
      </w:pPr>
      <w:r>
        <w:rPr>
          <w:rFonts w:hint="eastAsia" w:ascii="宋体" w:hAnsi="宋体"/>
          <w:bCs/>
          <w:color w:val="auto"/>
          <w:szCs w:val="21"/>
          <w:highlight w:val="none"/>
          <w:lang w:val="en-GB"/>
        </w:rPr>
        <w:t>d、残疾人福利性单位属于小型、微型企业的，不重复享受政策。</w:t>
      </w:r>
    </w:p>
    <w:p>
      <w:pPr>
        <w:spacing w:line="360" w:lineRule="auto"/>
        <w:ind w:firstLine="420" w:firstLineChars="200"/>
        <w:rPr>
          <w:rFonts w:ascii="宋体" w:hAnsi="宋体"/>
          <w:bCs/>
          <w:color w:val="auto"/>
          <w:szCs w:val="21"/>
          <w:highlight w:val="none"/>
          <w:lang w:val="en-GB"/>
        </w:rPr>
      </w:pPr>
      <w:r>
        <w:rPr>
          <w:rFonts w:ascii="宋体" w:hAnsi="宋体"/>
          <w:bCs/>
          <w:color w:val="auto"/>
          <w:szCs w:val="21"/>
          <w:highlight w:val="none"/>
          <w:lang w:val="en-GB"/>
        </w:rPr>
        <w:t>E</w:t>
      </w:r>
      <w:r>
        <w:rPr>
          <w:rFonts w:hint="eastAsia" w:ascii="宋体" w:hAnsi="宋体"/>
          <w:bCs/>
          <w:color w:val="auto"/>
          <w:szCs w:val="21"/>
          <w:highlight w:val="none"/>
          <w:lang w:val="en-GB"/>
        </w:rPr>
        <w:t>、小型和微型企业不包括民办非企业单位。</w:t>
      </w:r>
    </w:p>
    <w:p>
      <w:pPr>
        <w:pStyle w:val="15"/>
        <w:spacing w:line="360" w:lineRule="auto"/>
        <w:ind w:firstLine="422"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b/>
          <w:sz w:val="21"/>
          <w:szCs w:val="21"/>
          <w:lang w:val="zh-CN"/>
        </w:rPr>
        <w:t>（7）</w:t>
      </w:r>
      <w:r>
        <w:rPr>
          <w:rFonts w:cs="仿宋_GB2312" w:asciiTheme="minorEastAsia" w:hAnsiTheme="minorEastAsia" w:eastAsiaTheme="minorEastAsia"/>
          <w:b/>
          <w:sz w:val="21"/>
          <w:szCs w:val="21"/>
          <w:lang w:val="zh-CN"/>
        </w:rPr>
        <w:t>评标结果汇总完成后，除下列情形外，任何人不得修改评标结果：</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1） </w:t>
      </w:r>
      <w:r>
        <w:rPr>
          <w:rFonts w:cs="仿宋_GB2312" w:asciiTheme="minorEastAsia" w:hAnsiTheme="minorEastAsia"/>
          <w:szCs w:val="21"/>
          <w:lang w:val="zh-CN"/>
        </w:rPr>
        <w:t>分值汇总计算错误的；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2） </w:t>
      </w:r>
      <w:r>
        <w:rPr>
          <w:rFonts w:cs="仿宋_GB2312" w:asciiTheme="minorEastAsia" w:hAnsiTheme="minorEastAsia"/>
          <w:szCs w:val="21"/>
          <w:lang w:val="zh-CN"/>
        </w:rPr>
        <w:t>分项评分超出评分标准范围的；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3） </w:t>
      </w:r>
      <w:r>
        <w:rPr>
          <w:rFonts w:cs="仿宋_GB2312" w:asciiTheme="minorEastAsia" w:hAnsiTheme="minorEastAsia"/>
          <w:szCs w:val="21"/>
          <w:lang w:val="zh-CN"/>
        </w:rPr>
        <w:t>评标委员会成员对客观评审因素评分不一致的；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4） </w:t>
      </w:r>
      <w:r>
        <w:rPr>
          <w:rFonts w:cs="仿宋_GB2312" w:asciiTheme="minorEastAsia" w:hAnsiTheme="minorEastAsia"/>
          <w:szCs w:val="21"/>
          <w:lang w:val="zh-CN"/>
        </w:rPr>
        <w:t>经评标委员会认定评分畸高、畸低的。</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cs="仿宋_GB2312" w:asciiTheme="minorEastAsia" w:hAnsiTheme="minorEastAsia"/>
          <w:szCs w:val="21"/>
          <w:lang w:val="zh-CN"/>
        </w:rPr>
        <w:t>投标人对本条第一款情形提出质疑的，采购人或者采购代理机构可以组织原评标委员会进行</w:t>
      </w:r>
      <w:r>
        <w:rPr>
          <w:rFonts w:cs="仿宋_GB2312" w:asciiTheme="minorEastAsia" w:hAnsiTheme="minorEastAsia"/>
          <w:szCs w:val="21"/>
          <w:highlight w:val="none"/>
          <w:lang w:val="zh-CN"/>
        </w:rPr>
        <w:t>重新评审，重新评审改变评标结果的，应当书面报告本级财政部门。</w:t>
      </w:r>
    </w:p>
    <w:p>
      <w:pPr>
        <w:tabs>
          <w:tab w:val="left" w:pos="1260"/>
        </w:tabs>
        <w:autoSpaceDE w:val="0"/>
        <w:autoSpaceDN w:val="0"/>
        <w:spacing w:line="360" w:lineRule="auto"/>
        <w:ind w:firstLine="420" w:firstLineChars="200"/>
        <w:contextualSpacing/>
        <w:rPr>
          <w:rFonts w:cs="仿宋_GB2312" w:asciiTheme="minorEastAsia" w:hAnsiTheme="minorEastAsia"/>
          <w:szCs w:val="21"/>
          <w:highlight w:val="none"/>
          <w:lang w:val="zh-CN"/>
        </w:rPr>
      </w:pPr>
      <w:r>
        <w:rPr>
          <w:rFonts w:hint="eastAsia"/>
        </w:rPr>
        <w:t>分数汇总时，将各评委对某一投标人评分的算术平均值作为该投标人的最终得分。计分过程取至小数点后两位，最终得分按四舍五入取至小数点后两位。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得分、投标报价、投标文件得分都相同的由评标委员会集体商议决定排序。</w:t>
      </w:r>
    </w:p>
    <w:p>
      <w:pPr>
        <w:wordWrap w:val="0"/>
        <w:spacing w:line="360" w:lineRule="auto"/>
        <w:ind w:firstLine="422" w:firstLineChars="200"/>
        <w:contextualSpacing/>
        <w:rPr>
          <w:rFonts w:cs="仿宋_GB2312" w:asciiTheme="minorEastAsia" w:hAnsiTheme="minorEastAsia"/>
          <w:szCs w:val="21"/>
          <w:highlight w:val="none"/>
          <w:lang w:val="zh-CN"/>
        </w:rPr>
      </w:pPr>
      <w:r>
        <w:rPr>
          <w:rFonts w:hint="eastAsia" w:cs="仿宋_GB2312" w:asciiTheme="minorEastAsia" w:hAnsiTheme="minorEastAsia"/>
          <w:b/>
          <w:bCs/>
          <w:szCs w:val="21"/>
          <w:highlight w:val="none"/>
          <w:lang w:val="zh-CN"/>
        </w:rPr>
        <w:t>（8）按照《关于推进全流程电子化交易和在线监管工作有关问题的通知》（许公管办[2019]3号）规定：</w:t>
      </w:r>
      <w:r>
        <w:rPr>
          <w:rFonts w:hint="eastAsia" w:cs="仿宋_GB2312" w:asciiTheme="minorEastAsia" w:hAnsiTheme="minorEastAsia"/>
          <w:szCs w:val="21"/>
          <w:highlight w:val="none"/>
          <w:lang w:val="zh-CN"/>
        </w:rPr>
        <w:t>评标专家应严格按照要求查看“硬件特征码”相关信息并进行评审，在评审报告中显示“不同投标人电子投标文件制作硬件特征码”是否均一致的分析及判定结果。</w:t>
      </w:r>
    </w:p>
    <w:p>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w:t>
      </w:r>
      <w:r>
        <w:rPr>
          <w:rFonts w:hint="eastAsia" w:cs="仿宋_GB2312" w:asciiTheme="minorEastAsia" w:hAnsiTheme="minorEastAsia"/>
          <w:b/>
          <w:szCs w:val="21"/>
          <w:lang w:val="en-US" w:eastAsia="zh-CN"/>
        </w:rPr>
        <w:t>9</w:t>
      </w:r>
      <w:r>
        <w:rPr>
          <w:rFonts w:hint="eastAsia" w:cs="仿宋_GB2312" w:asciiTheme="minorEastAsia" w:hAnsiTheme="minorEastAsia"/>
          <w:b/>
          <w:szCs w:val="21"/>
          <w:lang w:val="zh-CN"/>
        </w:rPr>
        <w:t>）</w:t>
      </w:r>
      <w:r>
        <w:rPr>
          <w:rFonts w:cs="仿宋_GB2312" w:asciiTheme="minorEastAsia" w:hAnsiTheme="minorEastAsia"/>
          <w:b/>
          <w:szCs w:val="21"/>
          <w:lang w:val="zh-CN"/>
        </w:rPr>
        <w:t>评标委员会</w:t>
      </w:r>
      <w:r>
        <w:rPr>
          <w:rFonts w:hint="eastAsia" w:cs="仿宋_GB2312" w:asciiTheme="minorEastAsia" w:hAnsiTheme="minorEastAsia"/>
          <w:b/>
          <w:szCs w:val="21"/>
          <w:lang w:val="zh-CN"/>
        </w:rPr>
        <w:t>争议处理</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4、</w:t>
      </w:r>
      <w:r>
        <w:rPr>
          <w:rFonts w:cs="仿宋_GB2312" w:asciiTheme="minorEastAsia" w:hAnsiTheme="minorEastAsia"/>
          <w:b/>
          <w:szCs w:val="21"/>
          <w:lang w:val="zh-CN"/>
        </w:rPr>
        <w:t>确定中标候选人名单，以及根据采购人委托直接确定中标人</w:t>
      </w:r>
      <w:r>
        <w:rPr>
          <w:rFonts w:hint="eastAsia" w:cs="仿宋_GB2312" w:asciiTheme="minorEastAsia" w:hAnsiTheme="minorEastAsia"/>
          <w:b/>
          <w:szCs w:val="21"/>
          <w:lang w:val="zh-CN"/>
        </w:rPr>
        <w:t>。</w:t>
      </w: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both"/>
        <w:rPr>
          <w:rFonts w:hint="eastAsia" w:cs="宋体" w:asciiTheme="majorEastAsia" w:hAnsiTheme="majorEastAsia" w:eastAsiaTheme="majorEastAsia"/>
          <w:b/>
          <w:kern w:val="0"/>
          <w:sz w:val="32"/>
          <w:szCs w:val="32"/>
          <w:highlight w:val="none"/>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第七章 合同条款及格式</w:t>
      </w:r>
    </w:p>
    <w:p>
      <w:pPr>
        <w:pStyle w:val="15"/>
        <w:spacing w:line="360" w:lineRule="auto"/>
        <w:contextualSpacing/>
        <w:jc w:val="center"/>
        <w:rPr>
          <w:rFonts w:cs="宋体" w:asciiTheme="majorEastAsia" w:hAnsiTheme="majorEastAsia" w:eastAsiaTheme="majorEastAsia"/>
          <w:b/>
          <w:kern w:val="0"/>
          <w:sz w:val="36"/>
          <w:szCs w:val="36"/>
          <w:highlight w:val="none"/>
        </w:rPr>
      </w:pPr>
    </w:p>
    <w:p>
      <w:pPr>
        <w:spacing w:line="360" w:lineRule="auto"/>
        <w:jc w:val="center"/>
        <w:rPr>
          <w:rFonts w:ascii="宋体" w:hAnsi="宋体" w:cs="微软雅黑"/>
          <w:b/>
          <w:bCs/>
          <w:szCs w:val="21"/>
          <w:highlight w:val="none"/>
        </w:rPr>
      </w:pPr>
      <w:r>
        <w:rPr>
          <w:rFonts w:hint="eastAsia" w:ascii="宋体" w:hAnsi="宋体" w:cs="微软雅黑"/>
          <w:b/>
          <w:bCs/>
          <w:szCs w:val="21"/>
          <w:highlight w:val="none"/>
        </w:rPr>
        <w:t>（此合同仅供参考。以最终采购人与中标人签定的合同条款为准进行公示，</w:t>
      </w:r>
    </w:p>
    <w:p>
      <w:pPr>
        <w:spacing w:line="360" w:lineRule="auto"/>
        <w:jc w:val="center"/>
        <w:rPr>
          <w:rFonts w:ascii="宋体" w:hAnsi="宋体" w:cs="微软雅黑"/>
          <w:b/>
          <w:bCs/>
          <w:szCs w:val="21"/>
          <w:highlight w:val="none"/>
        </w:rPr>
      </w:pPr>
      <w:r>
        <w:rPr>
          <w:rFonts w:hint="eastAsia" w:ascii="宋体" w:hAnsi="宋体" w:cs="微软雅黑"/>
          <w:b/>
          <w:bCs/>
          <w:szCs w:val="21"/>
          <w:highlight w:val="none"/>
        </w:rPr>
        <w:t>最终签定合同的主要条款不能与招标文件有冲突）</w:t>
      </w:r>
    </w:p>
    <w:p>
      <w:pPr>
        <w:pStyle w:val="22"/>
        <w:spacing w:before="75" w:after="75" w:line="360" w:lineRule="auto"/>
        <w:rPr>
          <w:rFonts w:hint="eastAsia" w:ascii="宋体" w:hAnsi="宋体" w:eastAsia="微软雅黑"/>
          <w:color w:val="000000"/>
          <w:highlight w:val="none"/>
          <w:u w:val="single"/>
        </w:rPr>
      </w:pP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甲方：</w:t>
      </w:r>
      <w:r>
        <w:rPr>
          <w:rFonts w:asciiTheme="minorEastAsia" w:hAnsiTheme="minorEastAsia" w:eastAsiaTheme="minorEastAsia"/>
          <w:color w:val="000000"/>
          <w:sz w:val="21"/>
          <w:szCs w:val="21"/>
          <w:highlight w:val="none"/>
          <w:u w:val="single"/>
        </w:rPr>
        <w:t>（采购人全称）</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乙方：</w:t>
      </w:r>
      <w:r>
        <w:rPr>
          <w:rFonts w:asciiTheme="minorEastAsia" w:hAnsiTheme="minorEastAsia" w:eastAsiaTheme="minorEastAsia"/>
          <w:color w:val="000000"/>
          <w:sz w:val="21"/>
          <w:szCs w:val="21"/>
          <w:highlight w:val="none"/>
          <w:u w:val="single"/>
        </w:rPr>
        <w:t>（中标人全称）</w:t>
      </w:r>
    </w:p>
    <w:p>
      <w:pPr>
        <w:pStyle w:val="22"/>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根据招标编号为</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的</w:t>
      </w:r>
      <w:r>
        <w:rPr>
          <w:rFonts w:asciiTheme="minorEastAsia" w:hAnsiTheme="minorEastAsia" w:eastAsiaTheme="minorEastAsia"/>
          <w:color w:val="000000"/>
          <w:sz w:val="21"/>
          <w:szCs w:val="21"/>
          <w:highlight w:val="none"/>
          <w:u w:val="single"/>
        </w:rPr>
        <w:t>（填写“项目名称”）</w:t>
      </w:r>
      <w:r>
        <w:rPr>
          <w:rFonts w:asciiTheme="minorEastAsia" w:hAnsiTheme="minorEastAsia" w:eastAsiaTheme="minorEastAsia"/>
          <w:color w:val="000000"/>
          <w:sz w:val="21"/>
          <w:szCs w:val="21"/>
          <w:highlight w:val="none"/>
        </w:rPr>
        <w:t>项目（以下简称：“本项目”）的招标结果，乙方为中标人。现经甲乙双方友好协商，就以下事项达成一致并签订本合同：</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1、下列合同文件是构成本合同不可分割的部分：</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1.1合同条款；</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1.2招标文件、乙方的投标文件；</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1.3其他文件或材料：□无。□</w:t>
      </w:r>
      <w:r>
        <w:rPr>
          <w:rFonts w:asciiTheme="minorEastAsia" w:hAnsiTheme="minorEastAsia" w:eastAsiaTheme="minorEastAsia"/>
          <w:color w:val="000000"/>
          <w:sz w:val="21"/>
          <w:szCs w:val="21"/>
          <w:highlight w:val="none"/>
          <w:u w:val="single"/>
        </w:rPr>
        <w:t>（按照实际情况编制填写需要增加的内容）</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2、合同标的</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3、合同总金额</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3.1合同总金额为人民币大写：</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元（￥</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4、合同标的交付时间、地点和条件</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4.1交付时间：</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4.2交付地点：</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4.3交付条件：</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5、合同标的应符合招标文件、乙方投标文件的规定或约定，具体如下：</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6、验收</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6.1验收应按照招标文件、乙方投标文件的规定或约定进行，具体如下：</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6.2本项目是否邀请其他投标人参与验收：</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□不邀请。□邀请，具体如下：</w:t>
      </w:r>
      <w:r>
        <w:rPr>
          <w:rFonts w:asciiTheme="minorEastAsia" w:hAnsiTheme="minorEastAsia" w:eastAsiaTheme="minorEastAsia"/>
          <w:color w:val="000000"/>
          <w:sz w:val="21"/>
          <w:szCs w:val="21"/>
          <w:highlight w:val="none"/>
          <w:u w:val="single"/>
        </w:rPr>
        <w:t>（按照招标文件规定填写）</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7、合同款项的支付应按照招标文件的规定进行，具体如下：</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（按照实际情况编制填写，可以是表格或文字描述，包括一次性支付或分期支付等）</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8、履约保证金</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□无。□有，具体如下：</w:t>
      </w:r>
      <w:r>
        <w:rPr>
          <w:rFonts w:asciiTheme="minorEastAsia" w:hAnsiTheme="minorEastAsia" w:eastAsiaTheme="minorEastAsia"/>
          <w:color w:val="000000"/>
          <w:sz w:val="21"/>
          <w:szCs w:val="21"/>
          <w:highlight w:val="none"/>
          <w:u w:val="single"/>
        </w:rPr>
        <w:t>（按照招标文件规定填写）</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9、合同有效期</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10、违约责任</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（按照实际情况编制填写，可以是表格或文字描述）</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11、知识产权</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hAnsiTheme="minorEastAsia" w:eastAsiaTheme="minorEastAsia"/>
          <w:color w:val="000000"/>
          <w:sz w:val="21"/>
          <w:szCs w:val="21"/>
          <w:highlight w:val="none"/>
          <w:u w:val="single"/>
        </w:rPr>
        <w:t>（按照实际情况编制填写）</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12、解决争议的方法</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12.1甲、乙双方协商解决。</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12.2若协商解决不成，则通过下列途径之一解决：</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□提交仲裁委员会仲裁，具体如下：</w:t>
      </w:r>
      <w:r>
        <w:rPr>
          <w:rFonts w:asciiTheme="minorEastAsia" w:hAnsiTheme="minorEastAsia" w:eastAsiaTheme="minorEastAsia"/>
          <w:color w:val="000000"/>
          <w:sz w:val="21"/>
          <w:szCs w:val="21"/>
          <w:highlight w:val="none"/>
          <w:u w:val="single"/>
        </w:rPr>
        <w:t>（按照实际情况编制填写）</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□向人民法院提起诉讼，具体如下：</w:t>
      </w:r>
      <w:r>
        <w:rPr>
          <w:rFonts w:asciiTheme="minorEastAsia" w:hAnsiTheme="minorEastAsia" w:eastAsiaTheme="minorEastAsia"/>
          <w:color w:val="000000"/>
          <w:sz w:val="21"/>
          <w:szCs w:val="21"/>
          <w:highlight w:val="none"/>
          <w:u w:val="single"/>
        </w:rPr>
        <w:t>（按照实际情况编制填写）</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13、不可抗力</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14、合同条款</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u w:val="single"/>
        </w:rPr>
        <w:t>（按照实际情况编制填写。招标文件第五章已有规定的，双方均不得变更或调整；招标文件第五章未作规定的，双方可通过友好协商进行约定）</w:t>
      </w:r>
      <w:r>
        <w:rPr>
          <w:rFonts w:asciiTheme="minorEastAsia" w:hAnsiTheme="minorEastAsia" w:eastAsiaTheme="minorEastAsia"/>
          <w:color w:val="000000"/>
          <w:sz w:val="21"/>
          <w:szCs w:val="21"/>
          <w:highlight w:val="none"/>
        </w:rPr>
        <w:t>。</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15、其他约定</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15.1合同文件与本合同具有同等法律效力。</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15.2本合同未尽事宜，双方可另行补充。</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15.3合同生效：自签订之日起生效。</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15.4本合同一式</w:t>
      </w:r>
      <w:r>
        <w:rPr>
          <w:rFonts w:asciiTheme="minorEastAsia" w:hAnsiTheme="minorEastAsia" w:eastAsiaTheme="minorEastAsia"/>
          <w:color w:val="000000"/>
          <w:sz w:val="21"/>
          <w:szCs w:val="21"/>
          <w:highlight w:val="none"/>
          <w:u w:val="single"/>
        </w:rPr>
        <w:t>（填写具体份数）</w:t>
      </w:r>
      <w:r>
        <w:rPr>
          <w:rFonts w:asciiTheme="minorEastAsia" w:hAnsiTheme="minorEastAsia" w:eastAsiaTheme="minorEastAsia"/>
          <w:color w:val="000000"/>
          <w:sz w:val="21"/>
          <w:szCs w:val="21"/>
          <w:highlight w:val="none"/>
        </w:rPr>
        <w:t>份，经双方授权代表签字并盖章后生效。甲方、乙方各执</w:t>
      </w:r>
      <w:r>
        <w:rPr>
          <w:rFonts w:asciiTheme="minorEastAsia" w:hAnsiTheme="minorEastAsia" w:eastAsiaTheme="minorEastAsia"/>
          <w:color w:val="000000"/>
          <w:sz w:val="21"/>
          <w:szCs w:val="21"/>
          <w:highlight w:val="none"/>
          <w:u w:val="single"/>
        </w:rPr>
        <w:t>（填写具体份数）</w:t>
      </w:r>
      <w:r>
        <w:rPr>
          <w:rFonts w:asciiTheme="minorEastAsia" w:hAnsiTheme="minorEastAsia" w:eastAsiaTheme="minorEastAsia"/>
          <w:color w:val="000000"/>
          <w:sz w:val="21"/>
          <w:szCs w:val="21"/>
          <w:highlight w:val="none"/>
        </w:rPr>
        <w:t>份，送</w:t>
      </w:r>
      <w:r>
        <w:rPr>
          <w:rFonts w:asciiTheme="minorEastAsia" w:hAnsiTheme="minorEastAsia" w:eastAsiaTheme="minorEastAsia"/>
          <w:color w:val="000000"/>
          <w:sz w:val="21"/>
          <w:szCs w:val="21"/>
          <w:highlight w:val="none"/>
          <w:u w:val="single"/>
        </w:rPr>
        <w:t>（填写需要备案的监管部门的全称）</w:t>
      </w:r>
      <w:r>
        <w:rPr>
          <w:rFonts w:asciiTheme="minorEastAsia" w:hAnsiTheme="minorEastAsia" w:eastAsiaTheme="minorEastAsia"/>
          <w:color w:val="000000"/>
          <w:sz w:val="21"/>
          <w:szCs w:val="21"/>
          <w:highlight w:val="none"/>
        </w:rPr>
        <w:t>备案</w:t>
      </w:r>
      <w:r>
        <w:rPr>
          <w:rFonts w:asciiTheme="minorEastAsia" w:hAnsiTheme="minorEastAsia" w:eastAsiaTheme="minorEastAsia"/>
          <w:color w:val="000000"/>
          <w:sz w:val="21"/>
          <w:szCs w:val="21"/>
          <w:highlight w:val="none"/>
          <w:u w:val="single"/>
        </w:rPr>
        <w:t>（填写具体份数）</w:t>
      </w:r>
      <w:r>
        <w:rPr>
          <w:rFonts w:asciiTheme="minorEastAsia" w:hAnsiTheme="minorEastAsia" w:eastAsiaTheme="minorEastAsia"/>
          <w:color w:val="000000"/>
          <w:sz w:val="21"/>
          <w:szCs w:val="21"/>
          <w:highlight w:val="none"/>
        </w:rPr>
        <w:t>份，具有同等效力。</w:t>
      </w:r>
    </w:p>
    <w:p>
      <w:pPr>
        <w:pStyle w:val="22"/>
        <w:spacing w:before="75" w:after="75" w:line="360" w:lineRule="auto"/>
        <w:ind w:firstLine="482"/>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15.5其他：□无。□</w:t>
      </w:r>
      <w:r>
        <w:rPr>
          <w:rFonts w:asciiTheme="minorEastAsia" w:hAnsiTheme="minorEastAsia" w:eastAsiaTheme="minorEastAsia"/>
          <w:color w:val="000000"/>
          <w:sz w:val="21"/>
          <w:szCs w:val="21"/>
          <w:highlight w:val="none"/>
          <w:u w:val="single"/>
        </w:rPr>
        <w:t>（按照实际情况编制填写需要增加的内容）</w:t>
      </w:r>
      <w:r>
        <w:rPr>
          <w:rFonts w:asciiTheme="minorEastAsia" w:hAnsiTheme="minorEastAsia" w:eastAsiaTheme="minorEastAsia"/>
          <w:color w:val="000000"/>
          <w:sz w:val="21"/>
          <w:szCs w:val="21"/>
          <w:highlight w:val="none"/>
        </w:rPr>
        <w:t>。</w:t>
      </w:r>
    </w:p>
    <w:p>
      <w:pPr>
        <w:pStyle w:val="22"/>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2"/>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甲方：                        乙方：</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住所：                        住所：</w:t>
      </w:r>
    </w:p>
    <w:p>
      <w:pPr>
        <w:pStyle w:val="22"/>
        <w:spacing w:before="75" w:after="75" w:line="360" w:lineRule="auto"/>
        <w:rPr>
          <w:rFonts w:asciiTheme="minorEastAsia" w:hAnsiTheme="minorEastAsia" w:eastAsiaTheme="minorEastAsia"/>
          <w:color w:val="000000"/>
          <w:sz w:val="21"/>
          <w:szCs w:val="21"/>
          <w:highlight w:val="none"/>
        </w:rPr>
      </w:pPr>
      <w:r>
        <w:rPr>
          <w:rFonts w:hint="eastAsia" w:asciiTheme="minorEastAsia" w:hAnsiTheme="minorEastAsia" w:eastAsiaTheme="minorEastAsia"/>
          <w:color w:val="000000"/>
          <w:sz w:val="21"/>
          <w:szCs w:val="21"/>
          <w:highlight w:val="none"/>
        </w:rPr>
        <w:t>法定代表人（</w:t>
      </w:r>
      <w:r>
        <w:rPr>
          <w:rFonts w:asciiTheme="minorEastAsia" w:hAnsiTheme="minorEastAsia" w:eastAsiaTheme="minorEastAsia"/>
          <w:color w:val="000000"/>
          <w:sz w:val="21"/>
          <w:szCs w:val="21"/>
          <w:highlight w:val="none"/>
        </w:rPr>
        <w:t>单位负责人</w:t>
      </w:r>
      <w:r>
        <w:rPr>
          <w:rFonts w:hint="eastAsia" w:asciiTheme="minorEastAsia" w:hAnsiTheme="minorEastAsia" w:eastAsiaTheme="minorEastAsia"/>
          <w:color w:val="000000"/>
          <w:sz w:val="21"/>
          <w:szCs w:val="21"/>
          <w:highlight w:val="none"/>
        </w:rPr>
        <w:t>）</w:t>
      </w:r>
      <w:r>
        <w:rPr>
          <w:rFonts w:asciiTheme="minorEastAsia" w:hAnsiTheme="minorEastAsia" w:eastAsiaTheme="minorEastAsia"/>
          <w:color w:val="000000"/>
          <w:sz w:val="21"/>
          <w:szCs w:val="21"/>
          <w:highlight w:val="none"/>
        </w:rPr>
        <w:t>：              </w:t>
      </w:r>
      <w:r>
        <w:rPr>
          <w:rFonts w:hint="eastAsia" w:asciiTheme="minorEastAsia" w:hAnsiTheme="minorEastAsia" w:eastAsiaTheme="minorEastAsia"/>
          <w:color w:val="000000"/>
          <w:sz w:val="21"/>
          <w:szCs w:val="21"/>
          <w:highlight w:val="none"/>
        </w:rPr>
        <w:t>法定代表人（</w:t>
      </w:r>
      <w:r>
        <w:rPr>
          <w:rFonts w:asciiTheme="minorEastAsia" w:hAnsiTheme="minorEastAsia" w:eastAsiaTheme="minorEastAsia"/>
          <w:color w:val="000000"/>
          <w:sz w:val="21"/>
          <w:szCs w:val="21"/>
          <w:highlight w:val="none"/>
        </w:rPr>
        <w:t>单位负责人</w:t>
      </w:r>
      <w:r>
        <w:rPr>
          <w:rFonts w:hint="eastAsia" w:asciiTheme="minorEastAsia" w:hAnsiTheme="minorEastAsia" w:eastAsiaTheme="minorEastAsia"/>
          <w:color w:val="000000"/>
          <w:sz w:val="21"/>
          <w:szCs w:val="21"/>
          <w:highlight w:val="none"/>
        </w:rPr>
        <w:t>）</w:t>
      </w:r>
      <w:r>
        <w:rPr>
          <w:rFonts w:asciiTheme="minorEastAsia" w:hAnsiTheme="minorEastAsia" w:eastAsiaTheme="minorEastAsia"/>
          <w:color w:val="000000"/>
          <w:sz w:val="21"/>
          <w:szCs w:val="21"/>
          <w:highlight w:val="none"/>
        </w:rPr>
        <w:t>：</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联系方法：                      联系方法：</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开户银行：                      开户银行：</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账号：                        账号：</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2"/>
        <w:spacing w:before="75" w:after="75"/>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 </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签订地点：</w:t>
      </w:r>
      <w:r>
        <w:rPr>
          <w:rFonts w:asciiTheme="minorEastAsia" w:hAnsiTheme="minorEastAsia" w:eastAsiaTheme="minorEastAsia"/>
          <w:color w:val="000000"/>
          <w:sz w:val="21"/>
          <w:szCs w:val="21"/>
          <w:highlight w:val="none"/>
          <w:u w:val="single"/>
        </w:rPr>
        <w:t>                </w:t>
      </w:r>
    </w:p>
    <w:p>
      <w:pPr>
        <w:pStyle w:val="22"/>
        <w:spacing w:before="75" w:after="75" w:line="360" w:lineRule="auto"/>
        <w:rPr>
          <w:rFonts w:asciiTheme="minorEastAsia" w:hAnsiTheme="minorEastAsia" w:eastAsiaTheme="minorEastAsia"/>
          <w:color w:val="000000"/>
          <w:sz w:val="21"/>
          <w:szCs w:val="21"/>
          <w:highlight w:val="none"/>
        </w:rPr>
      </w:pPr>
      <w:r>
        <w:rPr>
          <w:rFonts w:asciiTheme="minorEastAsia" w:hAnsiTheme="minorEastAsia" w:eastAsiaTheme="minorEastAsia"/>
          <w:color w:val="000000"/>
          <w:sz w:val="21"/>
          <w:szCs w:val="21"/>
          <w:highlight w:val="none"/>
        </w:rPr>
        <w:t>签订日期：</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年</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月</w:t>
      </w:r>
      <w:r>
        <w:rPr>
          <w:rFonts w:asciiTheme="minorEastAsia" w:hAnsiTheme="minorEastAsia" w:eastAsiaTheme="minorEastAsia"/>
          <w:color w:val="000000"/>
          <w:sz w:val="21"/>
          <w:szCs w:val="21"/>
          <w:highlight w:val="none"/>
          <w:u w:val="single"/>
        </w:rPr>
        <w:t>   </w:t>
      </w:r>
      <w:r>
        <w:rPr>
          <w:rFonts w:asciiTheme="minorEastAsia" w:hAnsiTheme="minorEastAsia" w:eastAsiaTheme="minorEastAsia"/>
          <w:color w:val="000000"/>
          <w:sz w:val="21"/>
          <w:szCs w:val="21"/>
          <w:highlight w:val="none"/>
        </w:rPr>
        <w:t>日</w:t>
      </w: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highlight w:val="none"/>
        </w:rPr>
      </w:pPr>
    </w:p>
    <w:p>
      <w:pPr>
        <w:pStyle w:val="15"/>
        <w:spacing w:line="360" w:lineRule="auto"/>
        <w:contextualSpacing/>
        <w:jc w:val="center"/>
        <w:rPr>
          <w:rFonts w:cs="宋体" w:asciiTheme="majorEastAsia" w:hAnsiTheme="majorEastAsia" w:eastAsiaTheme="majorEastAsia"/>
          <w:b/>
          <w:kern w:val="0"/>
          <w:sz w:val="36"/>
          <w:szCs w:val="36"/>
          <w:highlight w:val="none"/>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pStyle w:val="15"/>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投标文件有关格式</w:t>
      </w:r>
    </w:p>
    <w:p>
      <w:pPr>
        <w:autoSpaceDE w:val="0"/>
        <w:autoSpaceDN w:val="0"/>
        <w:adjustRightInd w:val="0"/>
        <w:spacing w:line="700" w:lineRule="exact"/>
        <w:ind w:firstLine="551"/>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2"/>
          <w:szCs w:val="32"/>
        </w:rPr>
        <w:t>（如涉及本项目的提供）</w:t>
      </w:r>
    </w:p>
    <w:p>
      <w:pPr>
        <w:autoSpaceDE w:val="0"/>
        <w:autoSpaceDN w:val="0"/>
        <w:adjustRightInd w:val="0"/>
        <w:spacing w:line="700" w:lineRule="exact"/>
        <w:ind w:firstLine="551"/>
        <w:jc w:val="center"/>
        <w:rPr>
          <w:rFonts w:cs="黑体" w:asciiTheme="minorEastAsia" w:hAnsiTheme="minorEastAsia"/>
          <w:b/>
          <w:bCs/>
          <w:sz w:val="44"/>
          <w:szCs w:val="44"/>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pStyle w:val="11"/>
        <w:rPr>
          <w:rFonts w:cs="黑体" w:asciiTheme="minorEastAsia" w:hAnsiTheme="minorEastAsia"/>
          <w:b/>
          <w:bCs/>
          <w:sz w:val="44"/>
          <w:szCs w:val="44"/>
          <w:lang w:val="zh-CN"/>
        </w:rPr>
      </w:pPr>
    </w:p>
    <w:p>
      <w:pPr>
        <w:pStyle w:val="11"/>
        <w:rPr>
          <w:rFonts w:cs="黑体" w:asciiTheme="minorEastAsia" w:hAnsiTheme="minorEastAsia"/>
          <w:b/>
          <w:bCs/>
          <w:sz w:val="44"/>
          <w:szCs w:val="44"/>
          <w:lang w:val="zh-CN"/>
        </w:rPr>
      </w:pPr>
    </w:p>
    <w:p>
      <w:pPr>
        <w:pStyle w:val="52"/>
        <w:numPr>
          <w:ilvl w:val="0"/>
          <w:numId w:val="0"/>
        </w:numPr>
        <w:tabs>
          <w:tab w:val="left" w:pos="660"/>
        </w:tabs>
        <w:snapToGrid w:val="0"/>
        <w:spacing w:before="0" w:line="400" w:lineRule="exact"/>
        <w:rPr>
          <w:rFonts w:cs="黑体"/>
          <w:color w:val="auto"/>
          <w:kern w:val="2"/>
          <w:sz w:val="28"/>
          <w:szCs w:val="28"/>
          <w:lang w:val="zh-CN"/>
        </w:rPr>
      </w:pPr>
      <w:r>
        <w:rPr>
          <w:rFonts w:hint="eastAsia" w:cs="黑体"/>
          <w:color w:val="auto"/>
          <w:kern w:val="2"/>
          <w:sz w:val="28"/>
          <w:szCs w:val="28"/>
          <w:lang w:val="zh-CN"/>
        </w:rPr>
        <w:t>一、供应商应答索引表</w:t>
      </w:r>
    </w:p>
    <w:tbl>
      <w:tblPr>
        <w:tblStyle w:val="24"/>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709"/>
        <w:gridCol w:w="284"/>
        <w:gridCol w:w="1984"/>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供应商应答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noWrap w:val="0"/>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noWrap w:val="0"/>
            <w:vAlign w:val="center"/>
          </w:tcPr>
          <w:p>
            <w:pPr>
              <w:pStyle w:val="15"/>
              <w:kinsoku w:val="0"/>
              <w:overflowPunct w:val="0"/>
              <w:autoSpaceDE w:val="0"/>
              <w:autoSpaceDN w:val="0"/>
              <w:spacing w:line="320" w:lineRule="exact"/>
              <w:rPr>
                <w:rFonts w:hAnsi="宋体" w:eastAsia="宋体" w:cs="微软雅黑"/>
                <w:b w:val="0"/>
                <w:bCs/>
                <w:sz w:val="21"/>
              </w:rPr>
            </w:pPr>
            <w:r>
              <w:rPr>
                <w:rFonts w:hint="eastAsia" w:hAnsi="宋体" w:eastAsia="宋体" w:cs="Courier New"/>
                <w:b w:val="0"/>
                <w:bCs/>
                <w:sz w:val="21"/>
              </w:rPr>
              <w:t>供应商应答索引表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报价一览表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投标函</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bCs/>
                <w:sz w:val="21"/>
              </w:rPr>
            </w:pPr>
            <w:r>
              <w:rPr>
                <w:rFonts w:hint="eastAsia" w:hAnsi="宋体" w:eastAsia="宋体" w:cs="宋体"/>
                <w:b w:val="0"/>
                <w:bCs/>
                <w:kern w:val="2"/>
                <w:sz w:val="21"/>
                <w:lang w:val="zh-CN"/>
              </w:rPr>
              <w:t>法定代表人（单位负责人）</w:t>
            </w:r>
            <w:r>
              <w:rPr>
                <w:rFonts w:hAnsi="宋体" w:eastAsia="宋体" w:cs="宋体"/>
                <w:b w:val="0"/>
                <w:bCs/>
                <w:kern w:val="2"/>
                <w:sz w:val="21"/>
                <w:lang w:val="zh-CN"/>
              </w:rPr>
              <w:t>资</w:t>
            </w:r>
            <w:r>
              <w:rPr>
                <w:rFonts w:hint="eastAsia" w:hAnsi="宋体" w:eastAsia="宋体" w:cs="宋体"/>
                <w:b w:val="0"/>
                <w:bCs/>
                <w:kern w:val="2"/>
                <w:sz w:val="21"/>
                <w:lang w:val="zh-CN"/>
              </w:rPr>
              <w:t>格</w:t>
            </w:r>
            <w:r>
              <w:rPr>
                <w:rFonts w:hAnsi="宋体" w:eastAsia="宋体" w:cs="宋体"/>
                <w:b w:val="0"/>
                <w:bCs/>
                <w:kern w:val="2"/>
                <w:sz w:val="21"/>
                <w:lang w:val="zh-CN"/>
              </w:rPr>
              <w:t>证</w:t>
            </w:r>
            <w:r>
              <w:rPr>
                <w:rFonts w:hint="eastAsia" w:hAnsi="宋体" w:eastAsia="宋体" w:cs="宋体"/>
                <w:b w:val="0"/>
                <w:bCs/>
                <w:kern w:val="2"/>
                <w:sz w:val="21"/>
                <w:lang w:val="zh-CN"/>
              </w:rPr>
              <w:t>明</w:t>
            </w:r>
            <w:r>
              <w:rPr>
                <w:rFonts w:hAnsi="宋体" w:eastAsia="宋体" w:cs="宋体"/>
                <w:b w:val="0"/>
                <w:bCs/>
                <w:kern w:val="2"/>
                <w:sz w:val="21"/>
                <w:lang w:val="zh-CN"/>
              </w:rPr>
              <w:t>书</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法定代表人（单位负责人）授权书</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sz w:val="21"/>
              </w:rPr>
              <w:t>营业执照等证明</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bCs/>
                <w:sz w:val="21"/>
              </w:rPr>
            </w:pPr>
            <w:r>
              <w:rPr>
                <w:rFonts w:hint="eastAsia" w:hAnsi="宋体" w:eastAsia="宋体" w:cs="Courier New"/>
                <w:b w:val="0"/>
                <w:bCs/>
                <w:kern w:val="2"/>
                <w:sz w:val="21"/>
              </w:rPr>
              <w:t>依法纳税凭据复印件</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restart"/>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noWrap w:val="0"/>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vMerge w:val="restart"/>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709" w:type="dxa"/>
            <w:vMerge w:val="continue"/>
            <w:tcBorders>
              <w:left w:val="single" w:color="auto" w:sz="4" w:space="0"/>
              <w:right w:val="single" w:color="auto" w:sz="6" w:space="0"/>
            </w:tcBorders>
            <w:noWrap w:val="0"/>
            <w:vAlign w:val="center"/>
          </w:tcPr>
          <w:p>
            <w:pPr>
              <w:snapToGrid w:val="0"/>
              <w:spacing w:line="400" w:lineRule="exact"/>
              <w:rPr>
                <w:rFonts w:ascii="宋体" w:hAnsi="宋体" w:cs="微软雅黑"/>
                <w:szCs w:val="21"/>
              </w:rPr>
            </w:pP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noWrap w:val="0"/>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noWrap w:val="0"/>
            <w:vAlign w:val="center"/>
          </w:tcPr>
          <w:p>
            <w:pPr>
              <w:snapToGrid w:val="0"/>
              <w:spacing w:line="400" w:lineRule="exact"/>
              <w:rPr>
                <w:rFonts w:ascii="宋体" w:hAnsi="宋体" w:cs="微软雅黑"/>
                <w:szCs w:val="21"/>
              </w:rPr>
            </w:pPr>
            <w:r>
              <w:rPr>
                <w:rFonts w:hint="eastAsia" w:ascii="宋体" w:hAnsi="宋体"/>
                <w:bCs/>
                <w:szCs w:val="21"/>
              </w:rPr>
              <w:t>依法缴纳社会保险凭据复印件</w:t>
            </w:r>
          </w:p>
        </w:tc>
        <w:tc>
          <w:tcPr>
            <w:tcW w:w="1559" w:type="dxa"/>
            <w:noWrap w:val="0"/>
            <w:vAlign w:val="center"/>
          </w:tcPr>
          <w:p>
            <w:pPr>
              <w:snapToGrid w:val="0"/>
              <w:spacing w:line="400" w:lineRule="exact"/>
              <w:jc w:val="center"/>
              <w:rPr>
                <w:rFonts w:ascii="宋体" w:hAnsi="宋体" w:cs="微软雅黑"/>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restart"/>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noWrap w:val="0"/>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vMerge w:val="restart"/>
            <w:tcBorders>
              <w:left w:val="single" w:color="auto" w:sz="6" w:space="0"/>
              <w:right w:val="single" w:color="auto" w:sz="6" w:space="0"/>
            </w:tcBorders>
            <w:noWrap w:val="0"/>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gridSpan w:val="2"/>
            <w:tcBorders>
              <w:left w:val="single" w:color="auto" w:sz="6" w:space="0"/>
            </w:tcBorders>
            <w:noWrap w:val="0"/>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noWrap w:val="0"/>
            <w:vAlign w:val="center"/>
          </w:tcPr>
          <w:p>
            <w:pPr>
              <w:pStyle w:val="15"/>
              <w:kinsoku w:val="0"/>
              <w:overflowPunct w:val="0"/>
              <w:autoSpaceDE w:val="0"/>
              <w:autoSpaceDN w:val="0"/>
              <w:spacing w:line="320" w:lineRule="exact"/>
              <w:rPr>
                <w:rFonts w:hAnsi="宋体" w:cs="微软雅黑"/>
                <w:bCs/>
                <w:sz w:val="21"/>
              </w:rPr>
            </w:pPr>
          </w:p>
        </w:tc>
        <w:tc>
          <w:tcPr>
            <w:tcW w:w="709" w:type="dxa"/>
            <w:vMerge w:val="continue"/>
            <w:tcBorders>
              <w:left w:val="single" w:color="auto" w:sz="6" w:space="0"/>
              <w:right w:val="single" w:color="auto" w:sz="6" w:space="0"/>
            </w:tcBorders>
            <w:noWrap w:val="0"/>
            <w:vAlign w:val="center"/>
          </w:tcPr>
          <w:p>
            <w:pPr>
              <w:pStyle w:val="15"/>
              <w:kinsoku w:val="0"/>
              <w:overflowPunct w:val="0"/>
              <w:autoSpaceDE w:val="0"/>
              <w:autoSpaceDN w:val="0"/>
              <w:spacing w:line="320" w:lineRule="exact"/>
              <w:rPr>
                <w:rFonts w:hAnsi="宋体" w:cs="微软雅黑"/>
                <w:bCs/>
                <w:sz w:val="21"/>
              </w:rPr>
            </w:pPr>
          </w:p>
        </w:tc>
        <w:tc>
          <w:tcPr>
            <w:tcW w:w="2268" w:type="dxa"/>
            <w:gridSpan w:val="2"/>
            <w:tcBorders>
              <w:left w:val="single" w:color="auto" w:sz="6" w:space="0"/>
            </w:tcBorders>
            <w:noWrap w:val="0"/>
            <w:vAlign w:val="center"/>
          </w:tcPr>
          <w:p>
            <w:pPr>
              <w:pStyle w:val="15"/>
              <w:kinsoku w:val="0"/>
              <w:overflowPunct w:val="0"/>
              <w:autoSpaceDE w:val="0"/>
              <w:autoSpaceDN w:val="0"/>
              <w:spacing w:line="320" w:lineRule="exact"/>
              <w:rPr>
                <w:rFonts w:hAnsi="宋体" w:eastAsia="宋体" w:cs="微软雅黑"/>
                <w:b w:val="0"/>
                <w:sz w:val="21"/>
              </w:rPr>
            </w:pPr>
            <w:r>
              <w:rPr>
                <w:rFonts w:hint="eastAsia" w:hAnsi="宋体" w:eastAsia="宋体" w:cs="微软雅黑"/>
                <w:b w:val="0"/>
                <w:sz w:val="21"/>
              </w:rPr>
              <w:t>技术人员职称证书</w:t>
            </w:r>
          </w:p>
        </w:tc>
        <w:tc>
          <w:tcPr>
            <w:tcW w:w="1559" w:type="dxa"/>
            <w:noWrap w:val="0"/>
            <w:vAlign w:val="center"/>
          </w:tcPr>
          <w:p>
            <w:pPr>
              <w:pStyle w:val="15"/>
              <w:rPr>
                <w:rFonts w:cs="Courier New"/>
                <w:kern w:val="2"/>
                <w:sz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pStyle w:val="15"/>
              <w:kinsoku w:val="0"/>
              <w:overflowPunct w:val="0"/>
              <w:autoSpaceDE w:val="0"/>
              <w:autoSpaceDN w:val="0"/>
              <w:spacing w:line="320" w:lineRule="exact"/>
              <w:rPr>
                <w:rFonts w:hAnsi="宋体" w:cs="微软雅黑"/>
                <w:bCs/>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noWrap w:val="0"/>
            <w:vAlign w:val="center"/>
          </w:tcPr>
          <w:p>
            <w:pPr>
              <w:pStyle w:val="15"/>
              <w:kinsoku w:val="0"/>
              <w:overflowPunct w:val="0"/>
              <w:autoSpaceDE w:val="0"/>
              <w:autoSpaceDN w:val="0"/>
              <w:spacing w:line="320" w:lineRule="exact"/>
              <w:rPr>
                <w:rFonts w:hAnsi="宋体" w:cs="微软雅黑"/>
                <w:bCs/>
                <w:sz w:val="21"/>
              </w:rPr>
            </w:pPr>
          </w:p>
        </w:tc>
        <w:tc>
          <w:tcPr>
            <w:tcW w:w="709" w:type="dxa"/>
            <w:vMerge w:val="continue"/>
            <w:tcBorders>
              <w:left w:val="single" w:color="auto" w:sz="6" w:space="0"/>
              <w:right w:val="single" w:color="auto" w:sz="6" w:space="0"/>
            </w:tcBorders>
            <w:noWrap w:val="0"/>
            <w:vAlign w:val="center"/>
          </w:tcPr>
          <w:p>
            <w:pPr>
              <w:pStyle w:val="15"/>
              <w:kinsoku w:val="0"/>
              <w:overflowPunct w:val="0"/>
              <w:autoSpaceDE w:val="0"/>
              <w:autoSpaceDN w:val="0"/>
              <w:spacing w:line="320" w:lineRule="exact"/>
              <w:rPr>
                <w:rFonts w:hAnsi="宋体" w:cs="微软雅黑"/>
                <w:bCs/>
                <w:sz w:val="21"/>
              </w:rPr>
            </w:pPr>
          </w:p>
        </w:tc>
        <w:tc>
          <w:tcPr>
            <w:tcW w:w="2268" w:type="dxa"/>
            <w:gridSpan w:val="2"/>
            <w:tcBorders>
              <w:left w:val="single" w:color="auto" w:sz="6" w:space="0"/>
            </w:tcBorders>
            <w:noWrap w:val="0"/>
            <w:vAlign w:val="center"/>
          </w:tcPr>
          <w:p>
            <w:pPr>
              <w:pStyle w:val="15"/>
              <w:kinsoku w:val="0"/>
              <w:overflowPunct w:val="0"/>
              <w:autoSpaceDE w:val="0"/>
              <w:autoSpaceDN w:val="0"/>
              <w:spacing w:line="320" w:lineRule="exact"/>
              <w:rPr>
                <w:rFonts w:hAnsi="宋体" w:eastAsia="宋体" w:cs="微软雅黑"/>
                <w:b w:val="0"/>
                <w:sz w:val="21"/>
              </w:rPr>
            </w:pPr>
            <w:r>
              <w:rPr>
                <w:rFonts w:hint="eastAsia" w:hAnsi="宋体" w:eastAsia="宋体" w:cs="微软雅黑"/>
                <w:b w:val="0"/>
                <w:sz w:val="21"/>
              </w:rPr>
              <w:t>用工合同</w:t>
            </w:r>
          </w:p>
        </w:tc>
        <w:tc>
          <w:tcPr>
            <w:tcW w:w="1559" w:type="dxa"/>
            <w:noWrap w:val="0"/>
            <w:vAlign w:val="center"/>
          </w:tcPr>
          <w:p>
            <w:pPr>
              <w:pStyle w:val="15"/>
              <w:rPr>
                <w:rFonts w:cs="Courier New"/>
                <w:kern w:val="2"/>
                <w:sz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pStyle w:val="15"/>
              <w:kinsoku w:val="0"/>
              <w:overflowPunct w:val="0"/>
              <w:autoSpaceDE w:val="0"/>
              <w:autoSpaceDN w:val="0"/>
              <w:spacing w:line="320" w:lineRule="exact"/>
              <w:rPr>
                <w:rFonts w:hAnsi="宋体" w:cs="微软雅黑"/>
                <w:bCs/>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Merge w:val="continue"/>
            <w:noWrap w:val="0"/>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noWrap w:val="0"/>
            <w:vAlign w:val="center"/>
          </w:tcPr>
          <w:p>
            <w:pPr>
              <w:pStyle w:val="15"/>
              <w:kinsoku w:val="0"/>
              <w:overflowPunct w:val="0"/>
              <w:autoSpaceDE w:val="0"/>
              <w:autoSpaceDN w:val="0"/>
              <w:spacing w:line="320" w:lineRule="exact"/>
              <w:rPr>
                <w:rFonts w:hAnsi="宋体" w:cs="微软雅黑"/>
                <w:bCs/>
                <w:sz w:val="21"/>
              </w:rPr>
            </w:pPr>
          </w:p>
        </w:tc>
        <w:tc>
          <w:tcPr>
            <w:tcW w:w="2977" w:type="dxa"/>
            <w:gridSpan w:val="3"/>
            <w:tcBorders>
              <w:left w:val="single" w:color="auto" w:sz="6" w:space="0"/>
            </w:tcBorders>
            <w:noWrap w:val="0"/>
            <w:vAlign w:val="center"/>
          </w:tcPr>
          <w:p>
            <w:pPr>
              <w:pStyle w:val="15"/>
              <w:kinsoku w:val="0"/>
              <w:overflowPunct w:val="0"/>
              <w:autoSpaceDE w:val="0"/>
              <w:autoSpaceDN w:val="0"/>
              <w:spacing w:line="320" w:lineRule="exact"/>
              <w:rPr>
                <w:rFonts w:hAnsi="宋体" w:eastAsia="宋体" w:cs="微软雅黑"/>
                <w:b w:val="0"/>
                <w:sz w:val="21"/>
              </w:rPr>
            </w:pPr>
            <w:r>
              <w:rPr>
                <w:rFonts w:hint="eastAsia" w:hAnsi="宋体" w:eastAsia="宋体" w:cs="Courier New"/>
                <w:b w:val="0"/>
                <w:kern w:val="2"/>
                <w:sz w:val="21"/>
              </w:rPr>
              <w:t>供应商相关承诺函或声明</w:t>
            </w:r>
          </w:p>
        </w:tc>
        <w:tc>
          <w:tcPr>
            <w:tcW w:w="1559" w:type="dxa"/>
            <w:noWrap w:val="0"/>
            <w:vAlign w:val="center"/>
          </w:tcPr>
          <w:p>
            <w:pPr>
              <w:pStyle w:val="15"/>
              <w:rPr>
                <w:rFonts w:cs="Courier New"/>
                <w:kern w:val="2"/>
                <w:sz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noWrap w:val="0"/>
            <w:vAlign w:val="center"/>
          </w:tcPr>
          <w:p>
            <w:pPr>
              <w:pStyle w:val="15"/>
              <w:kinsoku w:val="0"/>
              <w:overflowPunct w:val="0"/>
              <w:autoSpaceDE w:val="0"/>
              <w:autoSpaceDN w:val="0"/>
              <w:spacing w:line="320" w:lineRule="exact"/>
              <w:rPr>
                <w:rFonts w:hAnsi="宋体" w:eastAsia="宋体" w:cs="微软雅黑"/>
                <w:b w:val="0"/>
                <w:sz w:val="21"/>
              </w:rPr>
            </w:pPr>
            <w:r>
              <w:rPr>
                <w:rFonts w:hint="eastAsia" w:hAnsi="宋体" w:eastAsia="宋体" w:cs="Courier New"/>
                <w:b w:val="0"/>
                <w:sz w:val="21"/>
              </w:rPr>
              <w:t>没有重大违法记录的声明</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noWrap w:val="0"/>
            <w:vAlign w:val="center"/>
          </w:tcPr>
          <w:p>
            <w:pPr>
              <w:pStyle w:val="15"/>
              <w:kinsoku w:val="0"/>
              <w:overflowPunct w:val="0"/>
              <w:autoSpaceDE w:val="0"/>
              <w:autoSpaceDN w:val="0"/>
              <w:spacing w:line="320" w:lineRule="exact"/>
              <w:rPr>
                <w:rFonts w:hAnsi="宋体" w:eastAsia="宋体" w:cs="Courier New"/>
                <w:b w:val="0"/>
                <w:sz w:val="21"/>
              </w:rPr>
            </w:pPr>
            <w:r>
              <w:rPr>
                <w:rFonts w:hint="eastAsia" w:hAnsi="宋体" w:eastAsia="宋体" w:cs="微软雅黑"/>
                <w:b w:val="0"/>
                <w:bCs/>
                <w:sz w:val="21"/>
              </w:rPr>
              <w:t>供应商须具备的特殊资质证书</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noWrap w:val="0"/>
            <w:vAlign w:val="center"/>
          </w:tcPr>
          <w:p>
            <w:pPr>
              <w:pStyle w:val="15"/>
              <w:kinsoku w:val="0"/>
              <w:overflowPunct w:val="0"/>
              <w:autoSpaceDE w:val="0"/>
              <w:autoSpaceDN w:val="0"/>
              <w:spacing w:line="320" w:lineRule="exact"/>
              <w:rPr>
                <w:rFonts w:hAnsi="宋体" w:eastAsia="宋体" w:cs="微软雅黑"/>
                <w:b w:val="0"/>
                <w:sz w:val="21"/>
              </w:rPr>
            </w:pPr>
            <w:r>
              <w:rPr>
                <w:rFonts w:hint="eastAsia" w:hAnsi="宋体" w:eastAsia="宋体" w:cs="宋体"/>
                <w:b w:val="0"/>
                <w:kern w:val="2"/>
                <w:sz w:val="21"/>
                <w:lang w:val="zh-CN"/>
              </w:rPr>
              <w:t>投标承诺函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szCs w:val="21"/>
                <w:lang w:val="zh-CN"/>
              </w:rPr>
            </w:pPr>
            <w:r>
              <w:rPr>
                <w:rFonts w:hint="eastAsia" w:ascii="宋体" w:hAnsi="宋体" w:cs="宋体"/>
                <w:bCs/>
                <w:szCs w:val="21"/>
                <w:lang w:val="zh-CN"/>
              </w:rPr>
              <w:t>14</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联合体协议</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szCs w:val="21"/>
                <w:lang w:val="zh-CN"/>
              </w:rPr>
            </w:pPr>
            <w:r>
              <w:rPr>
                <w:rFonts w:hint="eastAsia" w:ascii="宋体" w:hAnsi="宋体" w:cs="宋体"/>
                <w:bCs/>
                <w:szCs w:val="21"/>
                <w:lang w:val="zh-CN"/>
              </w:rPr>
              <w:t>15</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供应商与参加本项目投标的其他供应商之间，单位负责人不为同一人并且不存在直接控股、管理关系承诺函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16</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供应商未为本项目提供整体设计、规范编制或者项目管理、监理、检测等服务承诺函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投标分项报价表</w:t>
            </w:r>
          </w:p>
        </w:tc>
        <w:tc>
          <w:tcPr>
            <w:tcW w:w="1559" w:type="dxa"/>
            <w:tcBorders>
              <w:top w:val="double" w:color="auto" w:sz="4" w:space="0"/>
            </w:tcBorders>
            <w:noWrap w:val="0"/>
            <w:vAlign w:val="center"/>
          </w:tcPr>
          <w:p>
            <w:pPr>
              <w:jc w:val="center"/>
              <w:rPr>
                <w:szCs w:val="21"/>
              </w:rPr>
            </w:pPr>
          </w:p>
        </w:tc>
        <w:tc>
          <w:tcPr>
            <w:tcW w:w="1560" w:type="dxa"/>
            <w:tcBorders>
              <w:top w:val="double" w:color="auto" w:sz="4" w:space="0"/>
            </w:tcBorders>
            <w:noWrap w:val="0"/>
            <w:vAlign w:val="center"/>
          </w:tcPr>
          <w:p>
            <w:pPr>
              <w:snapToGrid w:val="0"/>
              <w:spacing w:line="400" w:lineRule="exact"/>
              <w:rPr>
                <w:rFonts w:ascii="宋体" w:hAnsi="宋体" w:cs="微软雅黑"/>
                <w:szCs w:val="21"/>
              </w:rPr>
            </w:pPr>
          </w:p>
        </w:tc>
        <w:tc>
          <w:tcPr>
            <w:tcW w:w="2018" w:type="dxa"/>
            <w:tcBorders>
              <w:top w:val="double" w:color="auto" w:sz="4" w:space="0"/>
            </w:tcBorders>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技术规格偏离表</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技术方案（演出方案）</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服务方案</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业绩情况表</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政府强制采购节能产品品目清单情况</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优先采购节能产品政府采购品目清单情况</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优先采购环境标志产品政府采购品目清单情况</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25</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中小企业声明函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26</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残疾人福利性单位声明函</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27</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监狱企业证明文件</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28</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CCC强制性产品认证</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468" w:type="dxa"/>
            <w:vMerge w:val="restart"/>
            <w:noWrap w:val="0"/>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29</w:t>
            </w:r>
          </w:p>
        </w:tc>
        <w:tc>
          <w:tcPr>
            <w:tcW w:w="1767" w:type="dxa"/>
            <w:gridSpan w:val="3"/>
            <w:vMerge w:val="restart"/>
            <w:noWrap w:val="0"/>
            <w:vAlign w:val="center"/>
          </w:tcPr>
          <w:p>
            <w:pPr>
              <w:rPr>
                <w:rFonts w:hint="eastAsia"/>
              </w:rPr>
            </w:pPr>
            <w:r>
              <w:rPr>
                <w:rFonts w:ascii="宋体" w:hAnsi="宋体" w:cs="宋体"/>
                <w:kern w:val="0"/>
                <w:szCs w:val="21"/>
              </w:rPr>
              <w:t>信息安全产品强制性认证</w:t>
            </w:r>
          </w:p>
        </w:tc>
        <w:tc>
          <w:tcPr>
            <w:tcW w:w="1984" w:type="dxa"/>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认证机构颁发的认证证书</w:t>
            </w:r>
          </w:p>
        </w:tc>
        <w:tc>
          <w:tcPr>
            <w:tcW w:w="1559" w:type="dxa"/>
            <w:vMerge w:val="restart"/>
            <w:noWrap w:val="0"/>
            <w:vAlign w:val="center"/>
          </w:tcPr>
          <w:p>
            <w:pPr>
              <w:jc w:val="center"/>
              <w:rPr>
                <w:szCs w:val="21"/>
              </w:rPr>
            </w:pPr>
          </w:p>
        </w:tc>
        <w:tc>
          <w:tcPr>
            <w:tcW w:w="1560" w:type="dxa"/>
            <w:vMerge w:val="restart"/>
            <w:tcBorders>
              <w:top w:val="single" w:color="auto" w:sz="4" w:space="0"/>
            </w:tcBorders>
            <w:noWrap w:val="0"/>
            <w:vAlign w:val="center"/>
          </w:tcPr>
          <w:p>
            <w:pPr>
              <w:snapToGrid w:val="0"/>
              <w:spacing w:line="400" w:lineRule="exact"/>
              <w:rPr>
                <w:rFonts w:ascii="宋体" w:hAnsi="宋体" w:cs="微软雅黑"/>
                <w:szCs w:val="21"/>
              </w:rPr>
            </w:pPr>
          </w:p>
        </w:tc>
        <w:tc>
          <w:tcPr>
            <w:tcW w:w="2018" w:type="dxa"/>
            <w:vMerge w:val="restart"/>
            <w:tcBorders>
              <w:top w:val="single" w:color="auto" w:sz="4" w:space="0"/>
            </w:tcBorders>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468" w:type="dxa"/>
            <w:vMerge w:val="continue"/>
            <w:noWrap w:val="0"/>
            <w:vAlign w:val="center"/>
          </w:tcPr>
          <w:p>
            <w:pPr>
              <w:adjustRightInd w:val="0"/>
              <w:snapToGrid w:val="0"/>
              <w:spacing w:line="400" w:lineRule="exact"/>
              <w:jc w:val="center"/>
              <w:textAlignment w:val="baseline"/>
              <w:rPr>
                <w:rFonts w:hint="eastAsia" w:ascii="宋体" w:hAnsi="宋体" w:cs="微软雅黑"/>
                <w:szCs w:val="21"/>
              </w:rPr>
            </w:pPr>
          </w:p>
        </w:tc>
        <w:tc>
          <w:tcPr>
            <w:tcW w:w="1767" w:type="dxa"/>
            <w:gridSpan w:val="3"/>
            <w:vMerge w:val="continue"/>
            <w:noWrap w:val="0"/>
            <w:vAlign w:val="center"/>
          </w:tcPr>
          <w:p>
            <w:pPr>
              <w:rPr>
                <w:rFonts w:ascii="宋体" w:hAnsi="宋体" w:cs="宋体"/>
                <w:kern w:val="0"/>
                <w:szCs w:val="21"/>
              </w:rPr>
            </w:pPr>
          </w:p>
        </w:tc>
        <w:tc>
          <w:tcPr>
            <w:tcW w:w="1984" w:type="dxa"/>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中国信息安全认证中心官网产品查询结果截图</w:t>
            </w:r>
          </w:p>
        </w:tc>
        <w:tc>
          <w:tcPr>
            <w:tcW w:w="1559" w:type="dxa"/>
            <w:vMerge w:val="continue"/>
            <w:noWrap w:val="0"/>
            <w:vAlign w:val="center"/>
          </w:tcPr>
          <w:p>
            <w:pPr>
              <w:jc w:val="center"/>
              <w:rPr>
                <w:szCs w:val="21"/>
              </w:rPr>
            </w:pPr>
          </w:p>
        </w:tc>
        <w:tc>
          <w:tcPr>
            <w:tcW w:w="1560" w:type="dxa"/>
            <w:vMerge w:val="continue"/>
            <w:noWrap w:val="0"/>
            <w:vAlign w:val="center"/>
          </w:tcPr>
          <w:p>
            <w:pPr>
              <w:snapToGrid w:val="0"/>
              <w:spacing w:line="400" w:lineRule="exact"/>
              <w:rPr>
                <w:rFonts w:ascii="宋体" w:hAnsi="宋体" w:cs="微软雅黑"/>
                <w:szCs w:val="21"/>
              </w:rPr>
            </w:pPr>
          </w:p>
        </w:tc>
        <w:tc>
          <w:tcPr>
            <w:tcW w:w="2018" w:type="dxa"/>
            <w:vMerge w:val="continue"/>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30</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国家级贫困县域注册地证明材料</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31</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扶贫部门出具的聘用建档立卡贫困人员身份证明</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32</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建档立卡贫困人员社保材料</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szCs w:val="21"/>
                <w:lang w:val="zh-CN"/>
              </w:rPr>
            </w:pPr>
            <w:r>
              <w:rPr>
                <w:rFonts w:hint="eastAsia" w:ascii="宋体" w:hAnsi="宋体" w:cs="宋体"/>
                <w:szCs w:val="21"/>
                <w:lang w:val="zh-CN"/>
              </w:rPr>
              <w:t>33</w:t>
            </w:r>
          </w:p>
        </w:tc>
        <w:tc>
          <w:tcPr>
            <w:tcW w:w="3751" w:type="dxa"/>
            <w:gridSpan w:val="4"/>
            <w:noWrap w:val="0"/>
            <w:vAlign w:val="center"/>
          </w:tcPr>
          <w:p>
            <w:pPr>
              <w:pStyle w:val="15"/>
              <w:kinsoku w:val="0"/>
              <w:overflowPunct w:val="0"/>
              <w:autoSpaceDE w:val="0"/>
              <w:autoSpaceDN w:val="0"/>
              <w:spacing w:line="320" w:lineRule="exact"/>
              <w:rPr>
                <w:rFonts w:hAnsi="宋体" w:eastAsia="宋体" w:cs="宋体"/>
                <w:b w:val="0"/>
                <w:kern w:val="2"/>
                <w:sz w:val="21"/>
                <w:lang w:val="zh-CN"/>
              </w:rPr>
            </w:pPr>
            <w:r>
              <w:rPr>
                <w:rFonts w:hint="eastAsia" w:hAnsi="宋体" w:eastAsia="宋体" w:cs="宋体"/>
                <w:b w:val="0"/>
                <w:kern w:val="2"/>
                <w:sz w:val="21"/>
                <w:lang w:val="zh-CN"/>
              </w:rPr>
              <w:t>其它资料</w:t>
            </w:r>
          </w:p>
        </w:tc>
        <w:tc>
          <w:tcPr>
            <w:tcW w:w="1559" w:type="dxa"/>
            <w:noWrap w:val="0"/>
            <w:vAlign w:val="center"/>
          </w:tcPr>
          <w:p>
            <w:pPr>
              <w:jc w:val="center"/>
              <w:rPr>
                <w:szCs w:val="21"/>
              </w:rPr>
            </w:pPr>
          </w:p>
        </w:tc>
        <w:tc>
          <w:tcPr>
            <w:tcW w:w="1560" w:type="dxa"/>
            <w:noWrap w:val="0"/>
            <w:vAlign w:val="center"/>
          </w:tcPr>
          <w:p>
            <w:pPr>
              <w:snapToGrid w:val="0"/>
              <w:spacing w:line="400" w:lineRule="exact"/>
              <w:rPr>
                <w:rFonts w:ascii="宋体" w:hAnsi="宋体" w:cs="微软雅黑"/>
                <w:szCs w:val="21"/>
              </w:rPr>
            </w:pPr>
          </w:p>
        </w:tc>
        <w:tc>
          <w:tcPr>
            <w:tcW w:w="2018" w:type="dxa"/>
            <w:noWrap w:val="0"/>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sz w:val="24"/>
          <w:szCs w:val="24"/>
        </w:rPr>
      </w:pPr>
      <w:r>
        <w:rPr>
          <w:rFonts w:hint="eastAsia" w:ascii="楷体" w:hAnsi="楷体" w:eastAsia="楷体"/>
          <w:color w:val="000000"/>
          <w:sz w:val="24"/>
          <w:szCs w:val="24"/>
        </w:rPr>
        <w:t>注：</w:t>
      </w:r>
      <w:r>
        <w:rPr>
          <w:rFonts w:hint="eastAsia" w:ascii="楷体" w:hAnsi="楷体" w:eastAsia="楷体"/>
          <w:sz w:val="24"/>
          <w:szCs w:val="24"/>
        </w:rPr>
        <w:t>①本表序号8请按照本</w:t>
      </w:r>
      <w:r>
        <w:rPr>
          <w:rFonts w:hint="eastAsia" w:ascii="楷体" w:hAnsi="楷体" w:eastAsia="楷体"/>
          <w:sz w:val="24"/>
          <w:szCs w:val="24"/>
          <w:lang w:eastAsia="zh-CN"/>
        </w:rPr>
        <w:t>采购</w:t>
      </w:r>
      <w:r>
        <w:rPr>
          <w:rFonts w:hint="eastAsia" w:ascii="楷体" w:hAnsi="楷体" w:eastAsia="楷体"/>
          <w:sz w:val="24"/>
          <w:szCs w:val="24"/>
        </w:rPr>
        <w:t>文件 “第六章资格审查与评标”资格审查表中序号3要求，根据所提供经审计财务报告、基本开户银行资信证明、银行资信证明、政府采购投标担保函情况填写其中一项即可。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hint="eastAsia" w:ascii="楷体" w:hAnsi="楷体" w:eastAsia="楷体"/>
          <w:sz w:val="24"/>
          <w:szCs w:val="24"/>
        </w:rPr>
        <w:t>②本表序号10请按照本</w:t>
      </w:r>
      <w:r>
        <w:rPr>
          <w:rFonts w:hint="eastAsia" w:ascii="楷体" w:hAnsi="楷体" w:eastAsia="楷体"/>
          <w:sz w:val="24"/>
          <w:szCs w:val="24"/>
          <w:lang w:eastAsia="zh-CN"/>
        </w:rPr>
        <w:t>采购</w:t>
      </w:r>
      <w:r>
        <w:rPr>
          <w:rFonts w:hint="eastAsia" w:ascii="楷体" w:hAnsi="楷体" w:eastAsia="楷体"/>
          <w:sz w:val="24"/>
          <w:szCs w:val="24"/>
        </w:rPr>
        <w:t>文件 “第六章资格审查与评标”资格审查表中序号6要求提供，根据所提供证明材料或承诺函（声明）情况填写其中一项即可。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hint="eastAsia" w:ascii="楷体" w:hAnsi="楷体" w:eastAsia="楷体"/>
          <w:sz w:val="24"/>
          <w:szCs w:val="24"/>
        </w:rPr>
        <w:t>③本表序号29请根据所投产品提供证书或截图情况填写其中一项即可。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ascii="楷体" w:hAnsi="楷体" w:eastAsia="楷体"/>
          <w:sz w:val="24"/>
          <w:szCs w:val="24"/>
        </w:rPr>
        <w:fldChar w:fldCharType="begin"/>
      </w:r>
      <w:r>
        <w:rPr>
          <w:rFonts w:hint="eastAsia" w:ascii="楷体" w:hAnsi="楷体" w:eastAsia="楷体"/>
          <w:sz w:val="24"/>
          <w:szCs w:val="24"/>
        </w:rPr>
        <w:instrText xml:space="preserve">= 4 \* GB3</w:instrText>
      </w:r>
      <w:r>
        <w:rPr>
          <w:rFonts w:ascii="楷体" w:hAnsi="楷体" w:eastAsia="楷体"/>
          <w:sz w:val="24"/>
          <w:szCs w:val="24"/>
        </w:rPr>
        <w:fldChar w:fldCharType="separate"/>
      </w:r>
      <w:r>
        <w:rPr>
          <w:rFonts w:hint="eastAsia" w:ascii="楷体" w:hAnsi="楷体" w:eastAsia="楷体"/>
          <w:sz w:val="24"/>
          <w:szCs w:val="24"/>
        </w:rPr>
        <w:t>④</w:t>
      </w:r>
      <w:r>
        <w:rPr>
          <w:rFonts w:ascii="楷体" w:hAnsi="楷体" w:eastAsia="楷体"/>
          <w:sz w:val="24"/>
          <w:szCs w:val="24"/>
        </w:rPr>
        <w:fldChar w:fldCharType="end"/>
      </w:r>
      <w:r>
        <w:rPr>
          <w:rFonts w:hint="eastAsia" w:ascii="楷体" w:hAnsi="楷体" w:eastAsia="楷体"/>
          <w:sz w:val="24"/>
          <w:szCs w:val="24"/>
        </w:rPr>
        <w:t>本表序号30-32仅适用于物业项目。</w:t>
      </w: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center"/>
        <w:rPr>
          <w:rFonts w:hint="eastAsia" w:asciiTheme="majorEastAsia" w:hAnsiTheme="majorEastAsia" w:eastAsiaTheme="majorEastAsia"/>
          <w:b/>
          <w:snapToGrid w:val="0"/>
          <w:kern w:val="0"/>
          <w:sz w:val="28"/>
          <w:szCs w:val="28"/>
        </w:rPr>
      </w:pPr>
    </w:p>
    <w:p>
      <w:pPr>
        <w:pStyle w:val="15"/>
        <w:spacing w:line="360" w:lineRule="auto"/>
        <w:jc w:val="both"/>
        <w:rPr>
          <w:rFonts w:hint="eastAsia" w:asciiTheme="majorEastAsia" w:hAnsiTheme="majorEastAsia" w:eastAsiaTheme="majorEastAsia"/>
          <w:b/>
          <w:snapToGrid w:val="0"/>
          <w:kern w:val="0"/>
          <w:sz w:val="28"/>
          <w:szCs w:val="28"/>
        </w:rPr>
      </w:pPr>
    </w:p>
    <w:p>
      <w:pPr>
        <w:pStyle w:val="15"/>
        <w:spacing w:line="360" w:lineRule="auto"/>
        <w:jc w:val="both"/>
        <w:rPr>
          <w:rFonts w:hint="eastAsia" w:asciiTheme="majorEastAsia" w:hAnsiTheme="majorEastAsia" w:eastAsiaTheme="majorEastAsia"/>
          <w:b/>
          <w:snapToGrid w:val="0"/>
          <w:kern w:val="0"/>
          <w:sz w:val="28"/>
          <w:szCs w:val="28"/>
        </w:rPr>
      </w:pPr>
    </w:p>
    <w:p>
      <w:pPr>
        <w:pStyle w:val="15"/>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w:t>
      </w:r>
      <w:r>
        <w:rPr>
          <w:rFonts w:hint="eastAsia" w:asciiTheme="majorEastAsia" w:hAnsiTheme="majorEastAsia" w:eastAsiaTheme="majorEastAsia"/>
          <w:b/>
          <w:snapToGrid w:val="0"/>
          <w:kern w:val="0"/>
          <w:szCs w:val="24"/>
        </w:rPr>
        <w:t>开标一览表</w:t>
      </w:r>
    </w:p>
    <w:p>
      <w:pPr>
        <w:pStyle w:val="15"/>
        <w:spacing w:line="360" w:lineRule="auto"/>
        <w:jc w:val="center"/>
        <w:rPr>
          <w:rFonts w:asciiTheme="majorEastAsia" w:hAnsiTheme="majorEastAsia" w:eastAsiaTheme="majorEastAsia"/>
          <w:b/>
          <w:snapToGrid w:val="0"/>
          <w:kern w:val="0"/>
          <w:szCs w:val="24"/>
        </w:rPr>
      </w:pPr>
    </w:p>
    <w:p>
      <w:pPr>
        <w:pStyle w:val="15"/>
        <w:spacing w:line="360" w:lineRule="auto"/>
        <w:jc w:val="center"/>
        <w:rPr>
          <w:rFonts w:asciiTheme="majorEastAsia" w:hAnsiTheme="majorEastAsia" w:eastAsiaTheme="majorEastAsia"/>
          <w:b/>
          <w:snapToGrid w:val="0"/>
          <w:kern w:val="0"/>
          <w:sz w:val="28"/>
          <w:szCs w:val="28"/>
        </w:rPr>
      </w:pPr>
    </w:p>
    <w:p>
      <w:pPr>
        <w:pStyle w:val="15"/>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4"/>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标包</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lang w:val="zh-CN"/>
        </w:rPr>
        <w:t>投标人名称：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日期：</w:t>
      </w:r>
      <w:r>
        <w:rPr>
          <w:rFonts w:cs="宋体" w:asciiTheme="minorEastAsia" w:hAnsiTheme="minorEastAsia"/>
          <w:szCs w:val="21"/>
          <w:highlight w:val="none"/>
          <w:lang w:val="zh-CN"/>
        </w:rPr>
        <w:t xml:space="preserve">    </w:t>
      </w:r>
      <w:r>
        <w:rPr>
          <w:rFonts w:hint="eastAsia" w:cs="宋体" w:asciiTheme="minorEastAsia" w:hAnsiTheme="minorEastAsia"/>
          <w:szCs w:val="21"/>
          <w:highlight w:val="none"/>
          <w:lang w:val="zh-CN"/>
        </w:rPr>
        <w:t>年</w:t>
      </w:r>
      <w:r>
        <w:rPr>
          <w:rFonts w:cs="宋体" w:asciiTheme="minorEastAsia" w:hAnsiTheme="minorEastAsia"/>
          <w:szCs w:val="21"/>
          <w:highlight w:val="none"/>
          <w:lang w:val="zh-CN"/>
        </w:rPr>
        <w:t xml:space="preserve">    </w:t>
      </w:r>
      <w:r>
        <w:rPr>
          <w:rFonts w:hint="eastAsia" w:cs="宋体" w:asciiTheme="minorEastAsia" w:hAnsiTheme="minorEastAsia"/>
          <w:szCs w:val="21"/>
          <w:highlight w:val="none"/>
          <w:lang w:val="zh-CN"/>
        </w:rPr>
        <w:t>月</w:t>
      </w:r>
      <w:r>
        <w:rPr>
          <w:rFonts w:cs="宋体" w:asciiTheme="minorEastAsia" w:hAnsiTheme="minorEastAsia"/>
          <w:szCs w:val="21"/>
          <w:highlight w:val="none"/>
          <w:lang w:val="zh-CN"/>
        </w:rPr>
        <w:t xml:space="preserve">    </w:t>
      </w:r>
      <w:r>
        <w:rPr>
          <w:rFonts w:hint="eastAsia" w:cs="宋体" w:asciiTheme="minorEastAsia" w:hAnsiTheme="minorEastAsia"/>
          <w:szCs w:val="21"/>
          <w:highlight w:val="none"/>
          <w:lang w:val="zh-CN"/>
        </w:rPr>
        <w:t>日</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注：1、交付日期指完成该项目的最终时间（日历天）。</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lang w:val="zh-CN"/>
        </w:rPr>
        <w:t>2、如招标公告明确项目交付日期以年为单位，本表应填写完成该项目的年限。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pStyle w:val="2"/>
        <w:rPr>
          <w:rFonts w:hint="eastAsia" w:asciiTheme="majorEastAsia" w:hAnsiTheme="majorEastAsia" w:eastAsiaTheme="majorEastAsia"/>
          <w:b/>
          <w:snapToGrid w:val="0"/>
          <w:kern w:val="0"/>
          <w:szCs w:val="24"/>
        </w:rPr>
      </w:pPr>
    </w:p>
    <w:p>
      <w:pPr>
        <w:rPr>
          <w:rFonts w:hint="eastAsia"/>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p>
    <w:p>
      <w:pPr>
        <w:adjustRightInd w:val="0"/>
        <w:spacing w:line="360" w:lineRule="auto"/>
        <w:contextualSpacing/>
        <w:rPr>
          <w:rFonts w:hint="eastAsia"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w:t>
      </w:r>
      <w:r>
        <w:rPr>
          <w:rFonts w:hint="eastAsia" w:asciiTheme="majorEastAsia" w:hAnsiTheme="majorEastAsia" w:eastAsiaTheme="majorEastAsia"/>
          <w:b/>
          <w:snapToGrid w:val="0"/>
          <w:kern w:val="0"/>
          <w:szCs w:val="24"/>
          <w:lang w:val="en-US" w:eastAsia="zh-CN"/>
        </w:rPr>
        <w:t xml:space="preserve">                                 </w:t>
      </w:r>
      <w:r>
        <w:rPr>
          <w:rFonts w:hint="eastAsia" w:asciiTheme="majorEastAsia" w:hAnsiTheme="majorEastAsia" w:eastAsiaTheme="majorEastAsia"/>
          <w:b/>
          <w:snapToGrid w:val="0"/>
          <w:kern w:val="0"/>
          <w:szCs w:val="24"/>
        </w:rPr>
        <w:t>投 标 函</w:t>
      </w:r>
    </w:p>
    <w:p>
      <w:pPr>
        <w:adjustRightInd w:val="0"/>
        <w:spacing w:line="360" w:lineRule="auto"/>
        <w:contextualSpacing/>
        <w:rPr>
          <w:rFonts w:asciiTheme="minorEastAsia" w:hAnsiTheme="minorEastAsia"/>
          <w:b/>
          <w:snapToGrid w:val="0"/>
          <w:kern w:val="0"/>
          <w:szCs w:val="21"/>
        </w:rPr>
      </w:pPr>
      <w:r>
        <w:rPr>
          <w:rFonts w:hint="eastAsia" w:asciiTheme="majorEastAsia" w:hAnsiTheme="majorEastAsia" w:eastAsiaTheme="majorEastAsia"/>
          <w:b/>
          <w:snapToGrid w:val="0"/>
          <w:kern w:val="0"/>
          <w:szCs w:val="24"/>
        </w:rPr>
        <w:t xml:space="preserve"> </w:t>
      </w: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_（项目名称、招标编号）采购的招标公告及投标邀请，_______（姓名和职务）被正式授权并代表投标人</w:t>
      </w:r>
      <w:r>
        <w:rPr>
          <w:rFonts w:hint="eastAsia" w:asciiTheme="minorEastAsia" w:hAnsiTheme="minorEastAsia"/>
          <w:snapToGrid w:val="0"/>
          <w:kern w:val="0"/>
          <w:szCs w:val="21"/>
          <w:u w:val="single"/>
        </w:rPr>
        <w:t xml:space="preserve">         </w:t>
      </w:r>
      <w:r>
        <w:rPr>
          <w:rFonts w:hint="eastAsia" w:asciiTheme="minorEastAsia" w:hAnsiTheme="minorEastAsia"/>
          <w:snapToGrid w:val="0"/>
          <w:kern w:val="0"/>
          <w:szCs w:val="21"/>
        </w:rPr>
        <w:t>（投标人名称、地址）提交。</w:t>
      </w:r>
    </w:p>
    <w:p>
      <w:pPr>
        <w:pStyle w:val="15"/>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w:t>
      </w:r>
      <w:r>
        <w:rPr>
          <w:rFonts w:asciiTheme="minorEastAsia" w:hAnsiTheme="minorEastAsia" w:eastAsiaTheme="minorEastAsia"/>
          <w:snapToGrid w:val="0"/>
          <w:kern w:val="0"/>
          <w:sz w:val="21"/>
          <w:szCs w:val="21"/>
          <w:u w:val="single"/>
        </w:rPr>
        <w:t xml:space="preserve">  </w:t>
      </w:r>
      <w:r>
        <w:rPr>
          <w:rFonts w:hint="eastAsia" w:asciiTheme="minorEastAsia" w:hAnsiTheme="minorEastAsia" w:eastAsiaTheme="minorEastAsia"/>
          <w:snapToGrid w:val="0"/>
          <w:kern w:val="0"/>
          <w:sz w:val="21"/>
          <w:szCs w:val="21"/>
          <w:u w:val="single"/>
        </w:rPr>
        <w:t xml:space="preserve">           </w:t>
      </w:r>
      <w:r>
        <w:rPr>
          <w:rFonts w:asciiTheme="minorEastAsia" w:hAnsiTheme="minorEastAsia" w:eastAsiaTheme="minorEastAsia"/>
          <w:snapToGrid w:val="0"/>
          <w:kern w:val="0"/>
          <w:sz w:val="21"/>
          <w:szCs w:val="21"/>
          <w:u w:val="single"/>
        </w:rPr>
        <w:t xml:space="preserve">  </w:t>
      </w:r>
      <w:r>
        <w:rPr>
          <w:rFonts w:hint="eastAsia" w:asciiTheme="minorEastAsia" w:hAnsiTheme="minorEastAsia" w:eastAsiaTheme="minorEastAsia"/>
          <w:snapToGrid w:val="0"/>
          <w:kern w:val="0"/>
          <w:sz w:val="21"/>
          <w:szCs w:val="21"/>
        </w:rPr>
        <w:t>（项目名称、招标编号）招标文件的全部内容。</w:t>
      </w:r>
    </w:p>
    <w:p>
      <w:pPr>
        <w:pStyle w:val="15"/>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1"/>
          <w:szCs w:val="21"/>
        </w:rPr>
        <w:t>已完全理解并接受招标文件的各项规定和要求及资金支付规定，对招标文件的合理性、合法性不再有异议。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u w:val="single"/>
        </w:rPr>
        <w:t xml:space="preserve">     </w:t>
      </w:r>
      <w:r>
        <w:rPr>
          <w:rFonts w:hint="eastAsia" w:asciiTheme="minorEastAsia" w:hAnsiTheme="minorEastAsia"/>
          <w:i w:val="0"/>
          <w:iCs w:val="0"/>
          <w:snapToGrid w:val="0"/>
          <w:kern w:val="0"/>
          <w:szCs w:val="21"/>
          <w:u w:val="single"/>
        </w:rPr>
        <w:t xml:space="preserve"> (投标人名称)     </w:t>
      </w:r>
      <w:r>
        <w:rPr>
          <w:rFonts w:hint="eastAsia" w:asciiTheme="minorEastAsia" w:hAnsiTheme="minorEastAsia"/>
          <w:i w:val="0"/>
          <w:iCs w:val="0"/>
          <w:snapToGrid w:val="0"/>
          <w:kern w:val="0"/>
          <w:szCs w:val="21"/>
        </w:rPr>
        <w:t>作为投标人正式授权</w:t>
      </w:r>
      <w:r>
        <w:rPr>
          <w:rFonts w:hint="eastAsia" w:asciiTheme="minorEastAsia" w:hAnsiTheme="minorEastAsia"/>
          <w:i w:val="0"/>
          <w:iCs w:val="0"/>
          <w:snapToGrid w:val="0"/>
          <w:kern w:val="0"/>
          <w:szCs w:val="21"/>
          <w:u w:val="single"/>
        </w:rPr>
        <w:t xml:space="preserve">     (授权代表全名, 职务)  </w:t>
      </w:r>
      <w:r>
        <w:rPr>
          <w:rFonts w:hint="eastAsia" w:asciiTheme="minorEastAsia" w:hAnsiTheme="minorEastAsia"/>
          <w:i/>
          <w:snapToGrid w:val="0"/>
          <w:kern w:val="0"/>
          <w:szCs w:val="21"/>
          <w:u w:val="single"/>
        </w:rPr>
        <w:t xml:space="preserve">     </w:t>
      </w:r>
      <w:r>
        <w:rPr>
          <w:rFonts w:hint="eastAsia" w:asciiTheme="minorEastAsia" w:hAnsiTheme="minorEastAsia"/>
          <w:snapToGrid w:val="0"/>
          <w:kern w:val="0"/>
          <w:szCs w:val="21"/>
        </w:rPr>
        <w:t>代表我方全权处理有关本投标的一切事宜。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在此提交的投标文件，正本一份</w:t>
      </w:r>
      <w:r>
        <w:rPr>
          <w:rFonts w:hint="eastAsia" w:cs="Courier New" w:asciiTheme="minorEastAsia" w:hAnsiTheme="minorEastAsia"/>
          <w:szCs w:val="21"/>
        </w:rPr>
        <w:t>，副本</w:t>
      </w:r>
      <w:r>
        <w:rPr>
          <w:rFonts w:hint="eastAsia" w:cs="Courier New" w:asciiTheme="minorEastAsia" w:hAnsiTheme="minorEastAsia"/>
          <w:szCs w:val="21"/>
          <w:lang w:eastAsia="zh-CN"/>
        </w:rPr>
        <w:t>一</w:t>
      </w:r>
      <w:r>
        <w:rPr>
          <w:rFonts w:hint="eastAsia" w:cs="Courier New" w:asciiTheme="minorEastAsia" w:hAnsiTheme="minorEastAsia"/>
          <w:szCs w:val="21"/>
        </w:rPr>
        <w:t>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我方已完全明白招标文件的所有条款要求，并申明如下：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一、按招标文件提供的全部货物与相关服务的投标总价详见《开标一览表》。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二、本投标文件的有效期为投标截止时间起</w:t>
      </w:r>
      <w:r>
        <w:rPr>
          <w:rFonts w:hint="eastAsia" w:cs="Courier New" w:asciiTheme="minorEastAsia" w:hAnsiTheme="minorEastAsia"/>
          <w:szCs w:val="21"/>
          <w:u w:val="single"/>
        </w:rPr>
        <w:t xml:space="preserve">  </w:t>
      </w:r>
      <w:r>
        <w:rPr>
          <w:rFonts w:hint="eastAsia" w:cs="Courier New" w:asciiTheme="minorEastAsia" w:hAnsiTheme="minorEastAsia"/>
          <w:szCs w:val="21"/>
          <w:u w:val="single"/>
          <w:lang w:val="en-US" w:eastAsia="zh-CN"/>
        </w:rPr>
        <w:t xml:space="preserve">  </w:t>
      </w:r>
      <w:r>
        <w:rPr>
          <w:rFonts w:hint="eastAsia" w:cs="Courier New" w:asciiTheme="minorEastAsia" w:hAnsiTheme="minorEastAsia"/>
          <w:szCs w:val="21"/>
          <w:u w:val="single"/>
        </w:rPr>
        <w:t xml:space="preserve"> </w:t>
      </w:r>
      <w:r>
        <w:rPr>
          <w:rFonts w:hint="eastAsia" w:cs="Courier New" w:asciiTheme="minorEastAsia" w:hAnsiTheme="minorEastAsia"/>
          <w:szCs w:val="21"/>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三、我方明白并同意，在规定的开标日之后，投标有效期之内撤销投标的，则贵方将不予退还投标保证金。</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四、我方同意按照贵方可能提出的要求而提供与投标有关的任何其它数据、信息或资料。</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五、我方理解贵方不一定接受最低投标价或任何贵方可能收到的投标。</w:t>
      </w:r>
    </w:p>
    <w:p>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六、我方如果中标，将保证履行招标文件及其澄清、修改文件（如果有）中的全部责任和义务，按质、按量、按期完成《项目需求》及《合同书》中的全部任务。</w:t>
      </w:r>
    </w:p>
    <w:p>
      <w:pPr>
        <w:pStyle w:val="22"/>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15"/>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5"/>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以上内容如有虚假或与事实不符的，评审委员会可将</w:t>
      </w:r>
      <w:r>
        <w:rPr>
          <w:rFonts w:hint="eastAsia" w:cs="Arial" w:asciiTheme="minorEastAsia" w:hAnsiTheme="minorEastAsia"/>
          <w:szCs w:val="21"/>
        </w:rPr>
        <w:t>我方做无效投标处理，我方愿意承担相应的法律责任。</w:t>
      </w:r>
    </w:p>
    <w:p>
      <w:pPr>
        <w:pStyle w:val="15"/>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5"/>
        <w:adjustRightInd w:val="0"/>
        <w:spacing w:line="360" w:lineRule="auto"/>
        <w:ind w:firstLine="420" w:firstLineChars="200"/>
        <w:contextualSpacing/>
        <w:rPr>
          <w:rFonts w:asciiTheme="minorEastAsia" w:hAnsiTheme="minorEastAsia" w:eastAsiaTheme="minorEastAsia"/>
          <w:sz w:val="21"/>
          <w:szCs w:val="21"/>
          <w:highlight w:val="none"/>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我方对在本函及投标文</w:t>
      </w:r>
      <w:r>
        <w:rPr>
          <w:rFonts w:hint="eastAsia" w:asciiTheme="minorEastAsia" w:hAnsiTheme="minorEastAsia" w:eastAsiaTheme="minorEastAsia"/>
          <w:sz w:val="21"/>
          <w:szCs w:val="21"/>
          <w:highlight w:val="none"/>
        </w:rPr>
        <w:t>件中所作的所有承诺承担法律责任。</w:t>
      </w:r>
    </w:p>
    <w:p>
      <w:pPr>
        <w:pStyle w:val="15"/>
        <w:adjustRightInd w:val="0"/>
        <w:snapToGrid w:val="0"/>
        <w:spacing w:line="360" w:lineRule="auto"/>
        <w:rPr>
          <w:rFonts w:asciiTheme="minorEastAsia" w:hAnsiTheme="minorEastAsia" w:eastAsiaTheme="minorEastAsia"/>
          <w:sz w:val="21"/>
          <w:szCs w:val="21"/>
          <w:highlight w:val="none"/>
        </w:rPr>
      </w:pPr>
    </w:p>
    <w:p>
      <w:pPr>
        <w:pStyle w:val="15"/>
        <w:adjustRightInd w:val="0"/>
        <w:snapToGrid w:val="0"/>
        <w:spacing w:line="360" w:lineRule="auto"/>
        <w:rPr>
          <w:rFonts w:asciiTheme="minorEastAsia" w:hAnsiTheme="minorEastAsia" w:eastAsiaTheme="minorEastAsia"/>
          <w:sz w:val="21"/>
          <w:szCs w:val="21"/>
          <w:highlight w:val="none"/>
        </w:rPr>
      </w:pPr>
    </w:p>
    <w:p>
      <w:pPr>
        <w:pStyle w:val="15"/>
        <w:adjustRightInd w:val="0"/>
        <w:snapToGrid w:val="0"/>
        <w:spacing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所有与本招标有关的一切正式往来请寄：</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地    址：</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  邮政编码：</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电    话：</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  传    真：</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w:t>
      </w:r>
    </w:p>
    <w:p>
      <w:pPr>
        <w:adjustRightInd w:val="0"/>
        <w:snapToGrid w:val="0"/>
        <w:spacing w:line="360" w:lineRule="auto"/>
        <w:rPr>
          <w:rFonts w:cs="宋体" w:asciiTheme="minorEastAsia" w:hAnsiTheme="minorEastAsia"/>
          <w:szCs w:val="21"/>
          <w:highlight w:val="none"/>
          <w:u w:val="single"/>
        </w:rPr>
      </w:pPr>
      <w:r>
        <w:rPr>
          <w:rFonts w:hint="eastAsia" w:cs="宋体" w:asciiTheme="minorEastAsia" w:hAnsiTheme="minorEastAsia"/>
          <w:szCs w:val="21"/>
          <w:highlight w:val="none"/>
        </w:rPr>
        <w:t>投标人代表姓名：</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  职    务：</w:t>
      </w:r>
      <w:r>
        <w:rPr>
          <w:rFonts w:hint="eastAsia" w:cs="宋体" w:asciiTheme="minorEastAsia" w:hAnsiTheme="minorEastAsia"/>
          <w:szCs w:val="21"/>
          <w:highlight w:val="none"/>
          <w:u w:val="single"/>
        </w:rPr>
        <w:t xml:space="preserve">                 </w:t>
      </w:r>
      <w:r>
        <w:rPr>
          <w:rFonts w:hint="eastAsia" w:cs="宋体" w:asciiTheme="minorEastAsia" w:hAnsiTheme="minorEastAsia"/>
          <w:szCs w:val="21"/>
          <w:highlight w:val="none"/>
        </w:rPr>
        <w:t>.</w:t>
      </w:r>
    </w:p>
    <w:p>
      <w:pPr>
        <w:adjustRightInd w:val="0"/>
        <w:snapToGrid w:val="0"/>
        <w:spacing w:line="360" w:lineRule="auto"/>
        <w:rPr>
          <w:rFonts w:cs="宋体" w:asciiTheme="minorEastAsia" w:hAnsiTheme="minorEastAsia"/>
          <w:szCs w:val="21"/>
          <w:highlight w:val="none"/>
          <w:u w:val="single"/>
        </w:rPr>
      </w:pPr>
    </w:p>
    <w:p>
      <w:pPr>
        <w:adjustRightInd w:val="0"/>
        <w:snapToGrid w:val="0"/>
        <w:spacing w:line="360" w:lineRule="auto"/>
        <w:rPr>
          <w:rFonts w:cs="宋体" w:asciiTheme="minorEastAsia" w:hAnsiTheme="minorEastAsia"/>
          <w:szCs w:val="21"/>
          <w:highlight w:val="none"/>
          <w:u w:val="single"/>
        </w:rPr>
      </w:pP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投标人法定代表人（单位负责人）或法定代表人（单位负责人）授权代表签字或盖章：</w:t>
      </w:r>
      <w:r>
        <w:rPr>
          <w:rFonts w:hint="eastAsia" w:cs="宋体" w:asciiTheme="minorEastAsia" w:hAnsiTheme="minorEastAsia"/>
          <w:szCs w:val="21"/>
          <w:highlight w:val="none"/>
          <w:u w:val="single"/>
        </w:rPr>
        <w:t xml:space="preserve">         </w:t>
      </w:r>
    </w:p>
    <w:p>
      <w:pPr>
        <w:adjustRightInd w:val="0"/>
        <w:snapToGrid w:val="0"/>
        <w:spacing w:line="360" w:lineRule="auto"/>
        <w:rPr>
          <w:rFonts w:cs="宋体" w:asciiTheme="minorEastAsia" w:hAnsiTheme="minorEastAsia"/>
          <w:szCs w:val="21"/>
          <w:highlight w:val="none"/>
        </w:rPr>
      </w:pPr>
      <w:r>
        <w:rPr>
          <w:rFonts w:hint="eastAsia" w:cs="宋体" w:asciiTheme="minorEastAsia" w:hAnsiTheme="minorEastAsia"/>
          <w:szCs w:val="21"/>
          <w:highlight w:val="none"/>
        </w:rPr>
        <w:t>投标人名称（盖章）：</w:t>
      </w:r>
      <w:r>
        <w:rPr>
          <w:rFonts w:hint="eastAsia" w:cs="宋体" w:asciiTheme="minorEastAsia" w:hAnsiTheme="minorEastAsia"/>
          <w:szCs w:val="21"/>
          <w:highlight w:val="none"/>
          <w:u w:val="single"/>
        </w:rPr>
        <w:t xml:space="preserve">                   </w:t>
      </w:r>
    </w:p>
    <w:p>
      <w:pPr>
        <w:adjustRightInd w:val="0"/>
        <w:snapToGrid w:val="0"/>
        <w:spacing w:line="360" w:lineRule="auto"/>
        <w:ind w:firstLine="4305" w:firstLineChars="2050"/>
        <w:rPr>
          <w:rFonts w:cs="宋体" w:asciiTheme="minorEastAsia" w:hAnsiTheme="minorEastAsia"/>
          <w:szCs w:val="21"/>
          <w:highlight w:val="none"/>
        </w:rPr>
      </w:pPr>
    </w:p>
    <w:p>
      <w:pPr>
        <w:adjustRightInd w:val="0"/>
        <w:snapToGrid w:val="0"/>
        <w:spacing w:line="360" w:lineRule="auto"/>
        <w:ind w:firstLine="4305" w:firstLineChars="2050"/>
        <w:rPr>
          <w:rFonts w:cs="宋体" w:asciiTheme="minorEastAsia" w:hAnsiTheme="minorEastAsia"/>
          <w:szCs w:val="21"/>
          <w:highlight w:val="none"/>
        </w:rPr>
      </w:pPr>
    </w:p>
    <w:p>
      <w:pPr>
        <w:adjustRightInd w:val="0"/>
        <w:snapToGrid w:val="0"/>
        <w:spacing w:line="360" w:lineRule="auto"/>
        <w:ind w:firstLine="4305" w:firstLineChars="2050"/>
        <w:rPr>
          <w:rFonts w:cs="宋体" w:asciiTheme="minorEastAsia" w:hAnsiTheme="minorEastAsia"/>
          <w:szCs w:val="21"/>
          <w:highlight w:val="none"/>
        </w:rPr>
      </w:pPr>
    </w:p>
    <w:p>
      <w:pPr>
        <w:adjustRightInd w:val="0"/>
        <w:snapToGrid w:val="0"/>
        <w:spacing w:line="360" w:lineRule="auto"/>
        <w:ind w:firstLine="4305" w:firstLineChars="2050"/>
        <w:rPr>
          <w:rFonts w:hint="eastAsia" w:asciiTheme="majorEastAsia" w:hAnsiTheme="majorEastAsia" w:eastAsiaTheme="majorEastAsia"/>
          <w:b/>
          <w:bCs/>
          <w:color w:val="000000"/>
          <w:sz w:val="24"/>
          <w:szCs w:val="24"/>
          <w:highlight w:val="none"/>
        </w:rPr>
      </w:pPr>
      <w:r>
        <w:rPr>
          <w:rFonts w:hint="eastAsia" w:cs="宋体" w:asciiTheme="minorEastAsia" w:hAnsiTheme="minorEastAsia"/>
          <w:szCs w:val="21"/>
          <w:highlight w:val="none"/>
        </w:rPr>
        <w:t>日期：    年    月    日</w:t>
      </w:r>
    </w:p>
    <w:p>
      <w:pPr>
        <w:spacing w:line="480" w:lineRule="exact"/>
        <w:jc w:val="center"/>
        <w:rPr>
          <w:rFonts w:hint="eastAsia" w:asciiTheme="majorEastAsia" w:hAnsiTheme="majorEastAsia" w:eastAsiaTheme="majorEastAsia"/>
          <w:b/>
          <w:bCs/>
          <w:color w:val="000000"/>
          <w:sz w:val="24"/>
          <w:szCs w:val="24"/>
          <w:highlight w:val="none"/>
        </w:rPr>
      </w:pPr>
    </w:p>
    <w:p>
      <w:pPr>
        <w:spacing w:line="480" w:lineRule="exact"/>
        <w:jc w:val="center"/>
        <w:rPr>
          <w:rFonts w:asciiTheme="majorEastAsia" w:hAnsiTheme="majorEastAsia" w:eastAsiaTheme="majorEastAsia"/>
          <w:b/>
          <w:bCs/>
          <w:color w:val="000000"/>
          <w:sz w:val="24"/>
          <w:szCs w:val="24"/>
          <w:highlight w:val="none"/>
        </w:rPr>
      </w:pPr>
      <w:r>
        <w:rPr>
          <w:rFonts w:hint="eastAsia" w:asciiTheme="majorEastAsia" w:hAnsiTheme="majorEastAsia" w:eastAsiaTheme="majorEastAsia"/>
          <w:b/>
          <w:bCs/>
          <w:color w:val="000000"/>
          <w:sz w:val="24"/>
          <w:szCs w:val="24"/>
          <w:highlight w:val="none"/>
        </w:rPr>
        <w:t>3.2 法定代表人（单位负责人）</w:t>
      </w:r>
      <w:r>
        <w:rPr>
          <w:rFonts w:asciiTheme="majorEastAsia" w:hAnsiTheme="majorEastAsia" w:eastAsiaTheme="majorEastAsia"/>
          <w:b/>
          <w:bCs/>
          <w:color w:val="000000"/>
          <w:sz w:val="24"/>
          <w:szCs w:val="24"/>
          <w:highlight w:val="none"/>
        </w:rPr>
        <w:t>资</w:t>
      </w:r>
      <w:r>
        <w:rPr>
          <w:rFonts w:hint="eastAsia" w:asciiTheme="majorEastAsia" w:hAnsiTheme="majorEastAsia" w:eastAsiaTheme="majorEastAsia"/>
          <w:b/>
          <w:bCs/>
          <w:color w:val="000000"/>
          <w:sz w:val="24"/>
          <w:szCs w:val="24"/>
          <w:highlight w:val="none"/>
        </w:rPr>
        <w:t>格</w:t>
      </w:r>
      <w:r>
        <w:rPr>
          <w:rFonts w:asciiTheme="majorEastAsia" w:hAnsiTheme="majorEastAsia" w:eastAsiaTheme="majorEastAsia"/>
          <w:b/>
          <w:bCs/>
          <w:color w:val="000000"/>
          <w:sz w:val="24"/>
          <w:szCs w:val="24"/>
          <w:highlight w:val="none"/>
        </w:rPr>
        <w:t>证</w:t>
      </w:r>
      <w:r>
        <w:rPr>
          <w:rFonts w:hint="eastAsia" w:asciiTheme="majorEastAsia" w:hAnsiTheme="majorEastAsia" w:eastAsiaTheme="majorEastAsia"/>
          <w:b/>
          <w:bCs/>
          <w:color w:val="000000"/>
          <w:sz w:val="24"/>
          <w:szCs w:val="24"/>
          <w:highlight w:val="none"/>
        </w:rPr>
        <w:t>明</w:t>
      </w:r>
      <w:r>
        <w:rPr>
          <w:rFonts w:asciiTheme="majorEastAsia" w:hAnsiTheme="majorEastAsia" w:eastAsiaTheme="majorEastAsia"/>
          <w:b/>
          <w:bCs/>
          <w:color w:val="000000"/>
          <w:sz w:val="24"/>
          <w:szCs w:val="24"/>
          <w:highlight w:val="none"/>
        </w:rPr>
        <w:t>书</w:t>
      </w:r>
    </w:p>
    <w:p>
      <w:pPr>
        <w:autoSpaceDE w:val="0"/>
        <w:autoSpaceDN w:val="0"/>
        <w:adjustRightInd w:val="0"/>
        <w:spacing w:line="480" w:lineRule="auto"/>
        <w:ind w:firstLine="616" w:firstLineChars="257"/>
        <w:rPr>
          <w:rFonts w:ascii="宋体" w:hAnsi="宋体"/>
          <w:color w:val="000000"/>
          <w:sz w:val="24"/>
          <w:szCs w:val="24"/>
          <w:highlight w:val="none"/>
        </w:rPr>
      </w:pPr>
    </w:p>
    <w:p>
      <w:pPr>
        <w:pStyle w:val="43"/>
        <w:spacing w:line="480" w:lineRule="auto"/>
        <w:ind w:firstLine="472" w:firstLineChars="225"/>
        <w:jc w:val="left"/>
        <w:rPr>
          <w:rFonts w:asciiTheme="minorEastAsia" w:hAnsiTheme="minorEastAsia"/>
          <w:color w:val="000000"/>
          <w:sz w:val="21"/>
          <w:szCs w:val="21"/>
          <w:highlight w:val="none"/>
        </w:rPr>
      </w:pPr>
      <w:r>
        <w:rPr>
          <w:rFonts w:asciiTheme="minorEastAsia" w:hAnsiTheme="minorEastAsia"/>
          <w:color w:val="000000"/>
          <w:sz w:val="21"/>
          <w:szCs w:val="21"/>
          <w:highlight w:val="none"/>
        </w:rPr>
        <w:t>单</w:t>
      </w:r>
      <w:r>
        <w:rPr>
          <w:rFonts w:hint="eastAsia" w:asciiTheme="minorEastAsia" w:hAnsiTheme="minorEastAsia"/>
          <w:color w:val="000000"/>
          <w:sz w:val="21"/>
          <w:szCs w:val="21"/>
          <w:highlight w:val="none"/>
        </w:rPr>
        <w:t>位名</w:t>
      </w:r>
      <w:r>
        <w:rPr>
          <w:rFonts w:asciiTheme="minorEastAsia" w:hAnsiTheme="minorEastAsia"/>
          <w:color w:val="000000"/>
          <w:sz w:val="21"/>
          <w:szCs w:val="21"/>
          <w:highlight w:val="none"/>
        </w:rPr>
        <w:t>称</w:t>
      </w:r>
      <w:r>
        <w:rPr>
          <w:rFonts w:hint="eastAsia" w:asciiTheme="minorEastAsia" w:hAnsiTheme="minorEastAsia"/>
          <w:color w:val="000000"/>
          <w:sz w:val="21"/>
          <w:szCs w:val="21"/>
          <w:highlight w:val="none"/>
        </w:rPr>
        <w:t>：</w:t>
      </w:r>
    </w:p>
    <w:p>
      <w:pPr>
        <w:pStyle w:val="43"/>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地址：</w:t>
      </w:r>
    </w:p>
    <w:p>
      <w:pPr>
        <w:pStyle w:val="43"/>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姓名：       性</w:t>
      </w:r>
      <w:r>
        <w:rPr>
          <w:rFonts w:asciiTheme="minorEastAsia" w:hAnsiTheme="minorEastAsia"/>
          <w:color w:val="000000"/>
          <w:sz w:val="21"/>
          <w:szCs w:val="21"/>
          <w:highlight w:val="none"/>
        </w:rPr>
        <w:t>别</w:t>
      </w:r>
      <w:r>
        <w:rPr>
          <w:rFonts w:hint="eastAsia" w:asciiTheme="minorEastAsia" w:hAnsiTheme="minorEastAsia"/>
          <w:color w:val="000000"/>
          <w:sz w:val="21"/>
          <w:szCs w:val="21"/>
          <w:highlight w:val="none"/>
        </w:rPr>
        <w:t>：     年</w:t>
      </w:r>
      <w:r>
        <w:rPr>
          <w:rFonts w:asciiTheme="minorEastAsia" w:hAnsiTheme="minorEastAsia"/>
          <w:color w:val="000000"/>
          <w:sz w:val="21"/>
          <w:szCs w:val="21"/>
          <w:highlight w:val="none"/>
        </w:rPr>
        <w:t>龄</w:t>
      </w:r>
      <w:r>
        <w:rPr>
          <w:rFonts w:hint="eastAsia" w:asciiTheme="minorEastAsia" w:hAnsiTheme="minorEastAsia"/>
          <w:color w:val="000000"/>
          <w:sz w:val="21"/>
          <w:szCs w:val="21"/>
          <w:highlight w:val="none"/>
        </w:rPr>
        <w:t>：</w:t>
      </w:r>
      <w:r>
        <w:rPr>
          <w:rFonts w:asciiTheme="minorEastAsia" w:hAnsiTheme="minorEastAsia"/>
          <w:color w:val="000000"/>
          <w:sz w:val="21"/>
          <w:szCs w:val="21"/>
          <w:highlight w:val="none"/>
        </w:rPr>
        <w:t xml:space="preserve">     职务</w:t>
      </w:r>
      <w:r>
        <w:rPr>
          <w:rFonts w:hint="eastAsia" w:asciiTheme="minorEastAsia" w:hAnsiTheme="minorEastAsia"/>
          <w:color w:val="000000"/>
          <w:sz w:val="21"/>
          <w:szCs w:val="21"/>
          <w:highlight w:val="none"/>
        </w:rPr>
        <w:t xml:space="preserve">：        </w:t>
      </w:r>
    </w:p>
    <w:p>
      <w:pPr>
        <w:pStyle w:val="43"/>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本人系</w:t>
      </w:r>
      <w:r>
        <w:rPr>
          <w:rFonts w:hint="eastAsia" w:asciiTheme="minorEastAsia" w:hAnsiTheme="minorEastAsia"/>
          <w:color w:val="000000"/>
          <w:sz w:val="21"/>
          <w:szCs w:val="21"/>
          <w:highlight w:val="none"/>
          <w:u w:val="single"/>
        </w:rPr>
        <w:t xml:space="preserve">  </w:t>
      </w:r>
      <w:r>
        <w:rPr>
          <w:rFonts w:hint="eastAsia" w:asciiTheme="minorEastAsia" w:hAnsiTheme="minorEastAsia"/>
          <w:i/>
          <w:snapToGrid w:val="0"/>
          <w:sz w:val="21"/>
          <w:szCs w:val="21"/>
          <w:highlight w:val="none"/>
          <w:u w:val="single"/>
        </w:rPr>
        <w:t>投</w:t>
      </w:r>
      <w:r>
        <w:rPr>
          <w:rFonts w:asciiTheme="minorEastAsia" w:hAnsiTheme="minorEastAsia"/>
          <w:i/>
          <w:snapToGrid w:val="0"/>
          <w:sz w:val="21"/>
          <w:szCs w:val="21"/>
          <w:highlight w:val="none"/>
          <w:u w:val="single"/>
        </w:rPr>
        <w:t>标</w:t>
      </w:r>
      <w:r>
        <w:rPr>
          <w:rFonts w:hint="eastAsia" w:asciiTheme="minorEastAsia" w:hAnsiTheme="minorEastAsia"/>
          <w:i/>
          <w:snapToGrid w:val="0"/>
          <w:sz w:val="21"/>
          <w:szCs w:val="21"/>
          <w:highlight w:val="none"/>
          <w:u w:val="single"/>
        </w:rPr>
        <w:t>人名</w:t>
      </w:r>
      <w:r>
        <w:rPr>
          <w:rFonts w:asciiTheme="minorEastAsia" w:hAnsiTheme="minorEastAsia"/>
          <w:i/>
          <w:snapToGrid w:val="0"/>
          <w:sz w:val="21"/>
          <w:szCs w:val="21"/>
          <w:highlight w:val="none"/>
          <w:u w:val="single"/>
        </w:rPr>
        <w:t>称</w:t>
      </w:r>
      <w:r>
        <w:rPr>
          <w:rFonts w:hint="eastAsia" w:asciiTheme="minorEastAsia" w:hAnsiTheme="minorEastAsia"/>
          <w:i/>
          <w:snapToGrid w:val="0"/>
          <w:sz w:val="21"/>
          <w:szCs w:val="21"/>
          <w:highlight w:val="none"/>
          <w:u w:val="single"/>
        </w:rPr>
        <w:t xml:space="preserve">  </w:t>
      </w:r>
      <w:r>
        <w:rPr>
          <w:rFonts w:hint="eastAsia" w:asciiTheme="minorEastAsia" w:hAnsiTheme="minorEastAsia"/>
          <w:color w:val="000000"/>
          <w:sz w:val="21"/>
          <w:szCs w:val="21"/>
          <w:highlight w:val="none"/>
        </w:rPr>
        <w:t>的法定代表人（单位负责人）。就</w:t>
      </w:r>
      <w:r>
        <w:rPr>
          <w:rFonts w:asciiTheme="minorEastAsia" w:hAnsiTheme="minorEastAsia"/>
          <w:color w:val="000000"/>
          <w:sz w:val="21"/>
          <w:szCs w:val="21"/>
          <w:highlight w:val="none"/>
        </w:rPr>
        <w:t>参</w:t>
      </w:r>
      <w:r>
        <w:rPr>
          <w:rFonts w:hint="eastAsia" w:asciiTheme="minorEastAsia" w:hAnsiTheme="minorEastAsia"/>
          <w:color w:val="000000"/>
          <w:sz w:val="21"/>
          <w:szCs w:val="21"/>
          <w:highlight w:val="none"/>
        </w:rPr>
        <w:t>加贵方招</w:t>
      </w:r>
      <w:r>
        <w:rPr>
          <w:rFonts w:asciiTheme="minorEastAsia" w:hAnsiTheme="minorEastAsia"/>
          <w:color w:val="000000"/>
          <w:sz w:val="21"/>
          <w:szCs w:val="21"/>
          <w:highlight w:val="none"/>
        </w:rPr>
        <w:t>标编号为</w:t>
      </w:r>
      <w:r>
        <w:rPr>
          <w:rFonts w:hint="eastAsia" w:asciiTheme="minorEastAsia" w:hAnsiTheme="minorEastAsia"/>
          <w:color w:val="000000"/>
          <w:sz w:val="21"/>
          <w:szCs w:val="21"/>
          <w:highlight w:val="none"/>
          <w:u w:val="single"/>
        </w:rPr>
        <w:t xml:space="preserve">  </w:t>
      </w:r>
      <w:r>
        <w:rPr>
          <w:rFonts w:asciiTheme="minorEastAsia" w:hAnsiTheme="minorEastAsia"/>
          <w:i/>
          <w:color w:val="000000"/>
          <w:sz w:val="21"/>
          <w:szCs w:val="21"/>
          <w:highlight w:val="none"/>
          <w:u w:val="single"/>
        </w:rPr>
        <w:t>项目编号</w:t>
      </w:r>
      <w:r>
        <w:rPr>
          <w:rFonts w:hint="eastAsia" w:asciiTheme="minorEastAsia" w:hAnsiTheme="minorEastAsia"/>
          <w:i/>
          <w:color w:val="000000"/>
          <w:sz w:val="21"/>
          <w:szCs w:val="21"/>
          <w:highlight w:val="none"/>
          <w:u w:val="single"/>
        </w:rPr>
        <w:t xml:space="preserve"> </w:t>
      </w:r>
      <w:r>
        <w:rPr>
          <w:rFonts w:hint="eastAsia" w:asciiTheme="minorEastAsia" w:hAnsiTheme="minorEastAsia"/>
          <w:color w:val="000000"/>
          <w:sz w:val="21"/>
          <w:szCs w:val="21"/>
          <w:highlight w:val="none"/>
          <w:u w:val="single"/>
        </w:rPr>
        <w:t xml:space="preserve">  </w:t>
      </w:r>
      <w:r>
        <w:rPr>
          <w:rFonts w:hint="eastAsia" w:asciiTheme="minorEastAsia" w:hAnsiTheme="minorEastAsia"/>
          <w:color w:val="000000"/>
          <w:sz w:val="21"/>
          <w:szCs w:val="21"/>
          <w:highlight w:val="none"/>
        </w:rPr>
        <w:t>的</w:t>
      </w:r>
      <w:r>
        <w:rPr>
          <w:rFonts w:hint="eastAsia" w:asciiTheme="minorEastAsia" w:hAnsiTheme="minorEastAsia"/>
          <w:color w:val="000000"/>
          <w:sz w:val="21"/>
          <w:szCs w:val="21"/>
          <w:highlight w:val="none"/>
          <w:u w:val="single"/>
        </w:rPr>
        <w:t xml:space="preserve">  </w:t>
      </w:r>
      <w:r>
        <w:rPr>
          <w:rFonts w:asciiTheme="minorEastAsia" w:hAnsiTheme="minorEastAsia"/>
          <w:i/>
          <w:color w:val="000000"/>
          <w:sz w:val="21"/>
          <w:szCs w:val="21"/>
          <w:highlight w:val="none"/>
          <w:u w:val="single"/>
        </w:rPr>
        <w:t>项目</w:t>
      </w:r>
      <w:r>
        <w:rPr>
          <w:rFonts w:hint="eastAsia" w:asciiTheme="minorEastAsia" w:hAnsiTheme="minorEastAsia"/>
          <w:i/>
          <w:color w:val="000000"/>
          <w:sz w:val="21"/>
          <w:szCs w:val="21"/>
          <w:highlight w:val="none"/>
          <w:u w:val="single"/>
        </w:rPr>
        <w:t>名</w:t>
      </w:r>
      <w:r>
        <w:rPr>
          <w:rFonts w:asciiTheme="minorEastAsia" w:hAnsiTheme="minorEastAsia"/>
          <w:i/>
          <w:color w:val="000000"/>
          <w:sz w:val="21"/>
          <w:szCs w:val="21"/>
          <w:highlight w:val="none"/>
          <w:u w:val="single"/>
        </w:rPr>
        <w:t>称</w:t>
      </w:r>
      <w:r>
        <w:rPr>
          <w:rFonts w:hint="eastAsia" w:asciiTheme="minorEastAsia" w:hAnsiTheme="minorEastAsia"/>
          <w:i/>
          <w:color w:val="000000"/>
          <w:sz w:val="21"/>
          <w:szCs w:val="21"/>
          <w:highlight w:val="none"/>
          <w:u w:val="single"/>
        </w:rPr>
        <w:t xml:space="preserve"> </w:t>
      </w:r>
      <w:r>
        <w:rPr>
          <w:rFonts w:hint="eastAsia" w:asciiTheme="minorEastAsia" w:hAnsiTheme="minorEastAsia"/>
          <w:color w:val="000000"/>
          <w:sz w:val="21"/>
          <w:szCs w:val="21"/>
          <w:highlight w:val="none"/>
          <w:u w:val="single"/>
        </w:rPr>
        <w:t xml:space="preserve">   </w:t>
      </w:r>
      <w:r>
        <w:rPr>
          <w:rFonts w:hint="eastAsia" w:asciiTheme="minorEastAsia" w:hAnsiTheme="minorEastAsia"/>
          <w:color w:val="000000"/>
          <w:sz w:val="21"/>
          <w:szCs w:val="21"/>
          <w:highlight w:val="none"/>
        </w:rPr>
        <w:t>公</w:t>
      </w:r>
      <w:r>
        <w:rPr>
          <w:rFonts w:asciiTheme="minorEastAsia" w:hAnsiTheme="minorEastAsia"/>
          <w:color w:val="000000"/>
          <w:sz w:val="21"/>
          <w:szCs w:val="21"/>
          <w:highlight w:val="none"/>
        </w:rPr>
        <w:t>开</w:t>
      </w:r>
      <w:r>
        <w:rPr>
          <w:rFonts w:hint="eastAsia" w:asciiTheme="minorEastAsia" w:hAnsiTheme="minorEastAsia"/>
          <w:color w:val="000000"/>
          <w:sz w:val="21"/>
          <w:szCs w:val="21"/>
          <w:highlight w:val="none"/>
        </w:rPr>
        <w:t>招</w:t>
      </w:r>
      <w:r>
        <w:rPr>
          <w:rFonts w:asciiTheme="minorEastAsia" w:hAnsiTheme="minorEastAsia"/>
          <w:color w:val="000000"/>
          <w:sz w:val="21"/>
          <w:szCs w:val="21"/>
          <w:highlight w:val="none"/>
        </w:rPr>
        <w:t>标项目</w:t>
      </w:r>
      <w:r>
        <w:rPr>
          <w:rFonts w:hint="eastAsia" w:asciiTheme="minorEastAsia" w:hAnsiTheme="minorEastAsia"/>
          <w:color w:val="000000"/>
          <w:sz w:val="21"/>
          <w:szCs w:val="21"/>
          <w:highlight w:val="none"/>
        </w:rPr>
        <w:t>的投</w:t>
      </w:r>
      <w:r>
        <w:rPr>
          <w:rFonts w:asciiTheme="minorEastAsia" w:hAnsiTheme="minorEastAsia"/>
          <w:color w:val="000000"/>
          <w:sz w:val="21"/>
          <w:szCs w:val="21"/>
          <w:highlight w:val="none"/>
        </w:rPr>
        <w:t>标报价</w:t>
      </w:r>
      <w:r>
        <w:rPr>
          <w:rFonts w:hint="eastAsia" w:asciiTheme="minorEastAsia" w:hAnsiTheme="minorEastAsia"/>
          <w:color w:val="000000"/>
          <w:sz w:val="21"/>
          <w:szCs w:val="21"/>
          <w:highlight w:val="none"/>
        </w:rPr>
        <w:t>，</w:t>
      </w:r>
      <w:r>
        <w:rPr>
          <w:rFonts w:asciiTheme="minorEastAsia" w:hAnsiTheme="minorEastAsia"/>
          <w:color w:val="000000"/>
          <w:sz w:val="21"/>
          <w:szCs w:val="21"/>
          <w:highlight w:val="none"/>
        </w:rPr>
        <w:t>签</w:t>
      </w:r>
      <w:r>
        <w:rPr>
          <w:rFonts w:hint="eastAsia" w:asciiTheme="minorEastAsia" w:hAnsiTheme="minorEastAsia"/>
          <w:color w:val="000000"/>
          <w:sz w:val="21"/>
          <w:szCs w:val="21"/>
          <w:highlight w:val="none"/>
        </w:rPr>
        <w:t>署上</w:t>
      </w:r>
      <w:r>
        <w:rPr>
          <w:rFonts w:asciiTheme="minorEastAsia" w:hAnsiTheme="minorEastAsia"/>
          <w:color w:val="000000"/>
          <w:sz w:val="21"/>
          <w:szCs w:val="21"/>
          <w:highlight w:val="none"/>
        </w:rPr>
        <w:t>述项目</w:t>
      </w:r>
      <w:r>
        <w:rPr>
          <w:rFonts w:hint="eastAsia" w:asciiTheme="minorEastAsia" w:hAnsiTheme="minorEastAsia"/>
          <w:color w:val="000000"/>
          <w:sz w:val="21"/>
          <w:szCs w:val="21"/>
          <w:highlight w:val="none"/>
        </w:rPr>
        <w:t>的投</w:t>
      </w:r>
      <w:r>
        <w:rPr>
          <w:rFonts w:asciiTheme="minorEastAsia" w:hAnsiTheme="minorEastAsia"/>
          <w:color w:val="000000"/>
          <w:sz w:val="21"/>
          <w:szCs w:val="21"/>
          <w:highlight w:val="none"/>
        </w:rPr>
        <w:t>标</w:t>
      </w:r>
      <w:r>
        <w:rPr>
          <w:rFonts w:hint="eastAsia" w:asciiTheme="minorEastAsia" w:hAnsiTheme="minorEastAsia"/>
          <w:color w:val="000000"/>
          <w:sz w:val="21"/>
          <w:szCs w:val="21"/>
          <w:highlight w:val="none"/>
        </w:rPr>
        <w:t>文件及合同的</w:t>
      </w:r>
      <w:r>
        <w:rPr>
          <w:rFonts w:asciiTheme="minorEastAsia" w:hAnsiTheme="minorEastAsia"/>
          <w:color w:val="000000"/>
          <w:sz w:val="21"/>
          <w:szCs w:val="21"/>
          <w:highlight w:val="none"/>
        </w:rPr>
        <w:t>执</w:t>
      </w:r>
      <w:r>
        <w:rPr>
          <w:rFonts w:hint="eastAsia" w:asciiTheme="minorEastAsia" w:hAnsiTheme="minorEastAsia"/>
          <w:color w:val="000000"/>
          <w:sz w:val="21"/>
          <w:szCs w:val="21"/>
          <w:highlight w:val="none"/>
        </w:rPr>
        <w:t>行、完成、服</w:t>
      </w:r>
      <w:r>
        <w:rPr>
          <w:rFonts w:asciiTheme="minorEastAsia" w:hAnsiTheme="minorEastAsia"/>
          <w:color w:val="000000"/>
          <w:sz w:val="21"/>
          <w:szCs w:val="21"/>
          <w:highlight w:val="none"/>
        </w:rPr>
        <w:t>务</w:t>
      </w:r>
      <w:r>
        <w:rPr>
          <w:rFonts w:hint="eastAsia" w:asciiTheme="minorEastAsia" w:hAnsiTheme="minorEastAsia"/>
          <w:color w:val="000000"/>
          <w:sz w:val="21"/>
          <w:szCs w:val="21"/>
          <w:highlight w:val="none"/>
        </w:rPr>
        <w:t>和保修，</w:t>
      </w:r>
      <w:r>
        <w:rPr>
          <w:rFonts w:asciiTheme="minorEastAsia" w:hAnsiTheme="minorEastAsia"/>
          <w:color w:val="000000"/>
          <w:sz w:val="21"/>
          <w:szCs w:val="21"/>
          <w:highlight w:val="none"/>
        </w:rPr>
        <w:t>签</w:t>
      </w:r>
      <w:r>
        <w:rPr>
          <w:rFonts w:hint="eastAsia" w:asciiTheme="minorEastAsia" w:hAnsiTheme="minorEastAsia"/>
          <w:color w:val="000000"/>
          <w:sz w:val="21"/>
          <w:szCs w:val="21"/>
          <w:highlight w:val="none"/>
        </w:rPr>
        <w:t>署合同和</w:t>
      </w:r>
      <w:r>
        <w:rPr>
          <w:rFonts w:asciiTheme="minorEastAsia" w:hAnsiTheme="minorEastAsia"/>
          <w:color w:val="000000"/>
          <w:sz w:val="21"/>
          <w:szCs w:val="21"/>
          <w:highlight w:val="none"/>
        </w:rPr>
        <w:t>处</w:t>
      </w:r>
      <w:r>
        <w:rPr>
          <w:rFonts w:hint="eastAsia" w:asciiTheme="minorEastAsia" w:hAnsiTheme="minorEastAsia"/>
          <w:color w:val="000000"/>
          <w:sz w:val="21"/>
          <w:szCs w:val="21"/>
          <w:highlight w:val="none"/>
        </w:rPr>
        <w:t>理与之有</w:t>
      </w:r>
      <w:r>
        <w:rPr>
          <w:rFonts w:asciiTheme="minorEastAsia" w:hAnsiTheme="minorEastAsia"/>
          <w:color w:val="000000"/>
          <w:sz w:val="21"/>
          <w:szCs w:val="21"/>
          <w:highlight w:val="none"/>
        </w:rPr>
        <w:t>关的</w:t>
      </w:r>
      <w:r>
        <w:rPr>
          <w:rFonts w:hint="eastAsia" w:asciiTheme="minorEastAsia" w:hAnsiTheme="minorEastAsia"/>
          <w:color w:val="000000"/>
          <w:sz w:val="21"/>
          <w:szCs w:val="21"/>
          <w:highlight w:val="none"/>
        </w:rPr>
        <w:t>一切事</w:t>
      </w:r>
      <w:r>
        <w:rPr>
          <w:rFonts w:asciiTheme="minorEastAsia" w:hAnsiTheme="minorEastAsia"/>
          <w:color w:val="000000"/>
          <w:sz w:val="21"/>
          <w:szCs w:val="21"/>
          <w:highlight w:val="none"/>
        </w:rPr>
        <w:t>务</w:t>
      </w:r>
      <w:r>
        <w:rPr>
          <w:rFonts w:hint="eastAsia" w:asciiTheme="minorEastAsia" w:hAnsiTheme="minorEastAsia"/>
          <w:color w:val="000000"/>
          <w:sz w:val="21"/>
          <w:szCs w:val="21"/>
          <w:highlight w:val="none"/>
        </w:rPr>
        <w:t>。</w:t>
      </w:r>
    </w:p>
    <w:p>
      <w:pPr>
        <w:pStyle w:val="43"/>
        <w:spacing w:line="480" w:lineRule="auto"/>
        <w:ind w:firstLine="472" w:firstLineChars="225"/>
        <w:jc w:val="left"/>
        <w:rPr>
          <w:rFonts w:asciiTheme="minorEastAsia" w:hAnsiTheme="minorEastAsia"/>
          <w:color w:val="000000"/>
          <w:sz w:val="21"/>
          <w:szCs w:val="21"/>
          <w:highlight w:val="none"/>
        </w:rPr>
      </w:pPr>
      <w:r>
        <w:rPr>
          <w:rFonts w:hint="eastAsia" w:asciiTheme="minorEastAsia" w:hAnsiTheme="minorEastAsia"/>
          <w:color w:val="000000"/>
          <w:sz w:val="21"/>
          <w:szCs w:val="21"/>
          <w:highlight w:val="none"/>
        </w:rPr>
        <w:t>特此</w:t>
      </w:r>
      <w:r>
        <w:rPr>
          <w:rFonts w:asciiTheme="minorEastAsia" w:hAnsiTheme="minorEastAsia"/>
          <w:color w:val="000000"/>
          <w:sz w:val="21"/>
          <w:szCs w:val="21"/>
          <w:highlight w:val="none"/>
        </w:rPr>
        <w:t>证</w:t>
      </w:r>
      <w:r>
        <w:rPr>
          <w:rFonts w:hint="eastAsia" w:asciiTheme="minorEastAsia" w:hAnsiTheme="minorEastAsia"/>
          <w:color w:val="000000"/>
          <w:sz w:val="21"/>
          <w:szCs w:val="21"/>
          <w:highlight w:val="none"/>
        </w:rPr>
        <w:t>明。</w:t>
      </w:r>
    </w:p>
    <w:p>
      <w:pPr>
        <w:pStyle w:val="43"/>
        <w:spacing w:line="480" w:lineRule="auto"/>
        <w:ind w:firstLine="472" w:firstLineChars="225"/>
        <w:jc w:val="left"/>
        <w:rPr>
          <w:rFonts w:asciiTheme="minorEastAsia" w:hAnsiTheme="minorEastAsia"/>
          <w:color w:val="000000"/>
          <w:sz w:val="21"/>
          <w:szCs w:val="21"/>
          <w:highlight w:val="none"/>
        </w:rPr>
      </w:pPr>
    </w:p>
    <w:p>
      <w:pPr>
        <w:pStyle w:val="43"/>
        <w:spacing w:line="480" w:lineRule="auto"/>
        <w:ind w:firstLine="472" w:firstLineChars="225"/>
        <w:jc w:val="left"/>
        <w:rPr>
          <w:rFonts w:asciiTheme="minorEastAsia" w:hAnsiTheme="minorEastAsia"/>
          <w:color w:val="000000"/>
          <w:sz w:val="21"/>
          <w:szCs w:val="21"/>
          <w:highlight w:val="none"/>
        </w:rPr>
      </w:pPr>
    </w:p>
    <w:p>
      <w:pPr>
        <w:pStyle w:val="43"/>
        <w:spacing w:line="480" w:lineRule="auto"/>
        <w:ind w:left="-538" w:leftChars="-256" w:firstLine="539" w:firstLineChars="257"/>
        <w:jc w:val="center"/>
        <w:rPr>
          <w:rFonts w:asciiTheme="minorEastAsia" w:hAnsiTheme="minorEastAsia"/>
          <w:bCs/>
          <w:color w:val="000000"/>
          <w:sz w:val="21"/>
          <w:szCs w:val="21"/>
          <w:highlight w:val="none"/>
        </w:rPr>
      </w:pPr>
      <w:r>
        <w:rPr>
          <w:rFonts w:hint="eastAsia" w:asciiTheme="minorEastAsia" w:hAnsiTheme="minorEastAsia"/>
          <w:bCs/>
          <w:color w:val="000000"/>
          <w:sz w:val="21"/>
          <w:szCs w:val="21"/>
          <w:highlight w:val="none"/>
        </w:rPr>
        <w:t>【此</w:t>
      </w:r>
      <w:r>
        <w:rPr>
          <w:rFonts w:asciiTheme="minorEastAsia" w:hAnsiTheme="minorEastAsia"/>
          <w:bCs/>
          <w:color w:val="000000"/>
          <w:sz w:val="21"/>
          <w:szCs w:val="21"/>
          <w:highlight w:val="none"/>
        </w:rPr>
        <w:t>处请</w:t>
      </w:r>
      <w:r>
        <w:rPr>
          <w:rFonts w:hint="eastAsia" w:asciiTheme="minorEastAsia" w:hAnsiTheme="minorEastAsia"/>
          <w:bCs/>
          <w:color w:val="000000"/>
          <w:sz w:val="21"/>
          <w:szCs w:val="21"/>
          <w:highlight w:val="none"/>
        </w:rPr>
        <w:t>粘</w:t>
      </w:r>
      <w:r>
        <w:rPr>
          <w:rFonts w:asciiTheme="minorEastAsia" w:hAnsiTheme="minorEastAsia"/>
          <w:bCs/>
          <w:color w:val="000000"/>
          <w:sz w:val="21"/>
          <w:szCs w:val="21"/>
          <w:highlight w:val="none"/>
        </w:rPr>
        <w:t>贴</w:t>
      </w:r>
      <w:r>
        <w:rPr>
          <w:rFonts w:hint="eastAsia" w:asciiTheme="minorEastAsia" w:hAnsiTheme="minorEastAsia"/>
          <w:bCs/>
          <w:color w:val="000000"/>
          <w:sz w:val="21"/>
          <w:szCs w:val="21"/>
          <w:highlight w:val="none"/>
        </w:rPr>
        <w:t>法定代表人（单位负责人）身份</w:t>
      </w:r>
      <w:r>
        <w:rPr>
          <w:rFonts w:asciiTheme="minorEastAsia" w:hAnsiTheme="minorEastAsia"/>
          <w:bCs/>
          <w:color w:val="000000"/>
          <w:sz w:val="21"/>
          <w:szCs w:val="21"/>
          <w:highlight w:val="none"/>
        </w:rPr>
        <w:t>证复</w:t>
      </w:r>
      <w:r>
        <w:rPr>
          <w:rFonts w:hint="eastAsia" w:asciiTheme="minorEastAsia" w:hAnsiTheme="minorEastAsia"/>
          <w:bCs/>
          <w:color w:val="000000"/>
          <w:sz w:val="21"/>
          <w:szCs w:val="21"/>
          <w:highlight w:val="none"/>
        </w:rPr>
        <w:t>印件，需清晰反映身份证有效期限】</w:t>
      </w:r>
    </w:p>
    <w:p>
      <w:pPr>
        <w:pStyle w:val="43"/>
        <w:spacing w:line="480" w:lineRule="auto"/>
        <w:ind w:left="-538" w:leftChars="-256" w:firstLine="539" w:firstLineChars="257"/>
        <w:jc w:val="center"/>
        <w:rPr>
          <w:rFonts w:asciiTheme="minorEastAsia" w:hAnsiTheme="minorEastAsia"/>
          <w:bCs/>
          <w:color w:val="000000"/>
          <w:sz w:val="21"/>
          <w:szCs w:val="21"/>
          <w:highlight w:val="none"/>
        </w:rPr>
      </w:pPr>
    </w:p>
    <w:p>
      <w:pPr>
        <w:autoSpaceDE w:val="0"/>
        <w:autoSpaceDN w:val="0"/>
        <w:adjustRightInd w:val="0"/>
        <w:spacing w:line="360" w:lineRule="auto"/>
        <w:ind w:right="-11"/>
        <w:rPr>
          <w:rFonts w:cs="宋体" w:asciiTheme="minorEastAsia" w:hAnsiTheme="minorEastAsia"/>
          <w:szCs w:val="21"/>
          <w:highlight w:val="none"/>
          <w:lang w:val="zh-CN"/>
        </w:rPr>
      </w:pPr>
    </w:p>
    <w:p>
      <w:pPr>
        <w:autoSpaceDE w:val="0"/>
        <w:autoSpaceDN w:val="0"/>
        <w:adjustRightInd w:val="0"/>
        <w:spacing w:line="360" w:lineRule="auto"/>
        <w:ind w:right="-11"/>
        <w:rPr>
          <w:rFonts w:cs="宋体" w:asciiTheme="minorEastAsia" w:hAnsiTheme="minorEastAsia"/>
          <w:szCs w:val="21"/>
          <w:highlight w:val="none"/>
          <w:lang w:val="zh-CN"/>
        </w:rPr>
      </w:pPr>
    </w:p>
    <w:p>
      <w:pPr>
        <w:autoSpaceDE w:val="0"/>
        <w:autoSpaceDN w:val="0"/>
        <w:adjustRightInd w:val="0"/>
        <w:spacing w:line="360" w:lineRule="auto"/>
        <w:ind w:right="-11"/>
        <w:rPr>
          <w:rFonts w:cs="宋体" w:asciiTheme="minorEastAsia" w:hAnsiTheme="minorEastAsia"/>
          <w:szCs w:val="21"/>
          <w:highlight w:val="none"/>
          <w:lang w:val="zh-CN"/>
        </w:rPr>
      </w:pPr>
    </w:p>
    <w:p>
      <w:pPr>
        <w:spacing w:line="480" w:lineRule="auto"/>
        <w:ind w:firstLine="3937" w:firstLineChars="1875"/>
        <w:rPr>
          <w:rFonts w:cs="Arial" w:asciiTheme="minorEastAsia" w:hAnsiTheme="minorEastAsia"/>
          <w:color w:val="000000"/>
          <w:szCs w:val="21"/>
          <w:highlight w:val="none"/>
          <w:u w:val="single"/>
        </w:rPr>
      </w:pPr>
      <w:r>
        <w:rPr>
          <w:rFonts w:hint="eastAsia" w:cs="Arial" w:asciiTheme="minorEastAsia" w:hAnsiTheme="minorEastAsia"/>
          <w:color w:val="000000"/>
          <w:szCs w:val="21"/>
          <w:highlight w:val="none"/>
        </w:rPr>
        <w:t>投标人名称（并加盖公章）：</w:t>
      </w:r>
    </w:p>
    <w:p>
      <w:pPr>
        <w:pStyle w:val="46"/>
        <w:spacing w:before="60" w:line="480" w:lineRule="auto"/>
        <w:ind w:firstLine="3937" w:firstLineChars="1875"/>
        <w:rPr>
          <w:rFonts w:cs="Arial" w:asciiTheme="minorEastAsia" w:hAnsiTheme="minorEastAsia" w:eastAsiaTheme="minorEastAsia"/>
          <w:color w:val="000000"/>
          <w:sz w:val="21"/>
          <w:szCs w:val="21"/>
          <w:highlight w:val="none"/>
        </w:rPr>
      </w:pPr>
      <w:r>
        <w:rPr>
          <w:rFonts w:hint="eastAsia" w:cs="Arial" w:asciiTheme="minorEastAsia" w:hAnsiTheme="minorEastAsia" w:eastAsiaTheme="minorEastAsia"/>
          <w:color w:val="000000"/>
          <w:sz w:val="21"/>
          <w:szCs w:val="21"/>
          <w:highlight w:val="none"/>
        </w:rPr>
        <w:t>签署日期：   年   月  日</w:t>
      </w:r>
    </w:p>
    <w:p>
      <w:pPr>
        <w:pStyle w:val="45"/>
        <w:spacing w:line="480" w:lineRule="auto"/>
        <w:rPr>
          <w:rFonts w:cs="Arial" w:asciiTheme="minorEastAsia" w:hAnsiTheme="minorEastAsia"/>
          <w:color w:val="000000"/>
          <w:sz w:val="21"/>
          <w:szCs w:val="21"/>
          <w:highlight w:val="none"/>
        </w:rPr>
      </w:pPr>
    </w:p>
    <w:p>
      <w:pPr>
        <w:rPr>
          <w:szCs w:val="21"/>
          <w:highlight w:val="none"/>
        </w:rPr>
      </w:pPr>
    </w:p>
    <w:p>
      <w:pPr>
        <w:spacing w:line="320" w:lineRule="exact"/>
        <w:ind w:firstLine="420" w:firstLineChars="200"/>
        <w:rPr>
          <w:rFonts w:asciiTheme="minorEastAsia" w:hAnsiTheme="minorEastAsia"/>
          <w:bCs/>
          <w:color w:val="000000"/>
          <w:kern w:val="12"/>
          <w:szCs w:val="21"/>
          <w:highlight w:val="none"/>
        </w:rPr>
      </w:pPr>
      <w:r>
        <w:rPr>
          <w:rFonts w:hint="eastAsia" w:asciiTheme="minorEastAsia" w:hAnsiTheme="minorEastAsia"/>
          <w:bCs/>
          <w:color w:val="000000"/>
          <w:kern w:val="12"/>
          <w:szCs w:val="21"/>
          <w:highlight w:val="none"/>
        </w:rPr>
        <w:t>说明：法定代表人（单位负责人）</w:t>
      </w:r>
      <w:r>
        <w:rPr>
          <w:rFonts w:asciiTheme="minorEastAsia" w:hAnsiTheme="minorEastAsia"/>
          <w:bCs/>
          <w:color w:val="000000"/>
          <w:kern w:val="12"/>
          <w:szCs w:val="21"/>
          <w:highlight w:val="none"/>
        </w:rPr>
        <w:t>参</w:t>
      </w:r>
      <w:r>
        <w:rPr>
          <w:rFonts w:hint="eastAsia" w:asciiTheme="minorEastAsia" w:hAnsiTheme="minorEastAsia"/>
          <w:bCs/>
          <w:color w:val="000000"/>
          <w:kern w:val="12"/>
          <w:szCs w:val="21"/>
          <w:highlight w:val="none"/>
        </w:rPr>
        <w:t>加本招</w:t>
      </w:r>
      <w:r>
        <w:rPr>
          <w:rFonts w:asciiTheme="minorEastAsia" w:hAnsiTheme="minorEastAsia"/>
          <w:bCs/>
          <w:color w:val="000000"/>
          <w:kern w:val="12"/>
          <w:szCs w:val="21"/>
          <w:highlight w:val="none"/>
        </w:rPr>
        <w:t>标项目</w:t>
      </w:r>
      <w:r>
        <w:rPr>
          <w:rFonts w:hint="eastAsia" w:asciiTheme="minorEastAsia" w:hAnsiTheme="minorEastAsia"/>
          <w:bCs/>
          <w:color w:val="000000"/>
          <w:kern w:val="12"/>
          <w:szCs w:val="21"/>
          <w:highlight w:val="none"/>
        </w:rPr>
        <w:t>投</w:t>
      </w:r>
      <w:r>
        <w:rPr>
          <w:rFonts w:asciiTheme="minorEastAsia" w:hAnsiTheme="minorEastAsia"/>
          <w:bCs/>
          <w:color w:val="000000"/>
          <w:kern w:val="12"/>
          <w:szCs w:val="21"/>
          <w:highlight w:val="none"/>
        </w:rPr>
        <w:t>标</w:t>
      </w:r>
      <w:r>
        <w:rPr>
          <w:rFonts w:hint="eastAsia" w:asciiTheme="minorEastAsia" w:hAnsiTheme="minorEastAsia"/>
          <w:bCs/>
          <w:color w:val="000000"/>
          <w:kern w:val="12"/>
          <w:szCs w:val="21"/>
          <w:highlight w:val="none"/>
        </w:rPr>
        <w:t>的，</w:t>
      </w:r>
      <w:r>
        <w:rPr>
          <w:rFonts w:asciiTheme="minorEastAsia" w:hAnsiTheme="minorEastAsia"/>
          <w:bCs/>
          <w:color w:val="000000"/>
          <w:kern w:val="12"/>
          <w:szCs w:val="21"/>
          <w:highlight w:val="none"/>
        </w:rPr>
        <w:t>仅须</w:t>
      </w:r>
      <w:r>
        <w:rPr>
          <w:rFonts w:hint="eastAsia" w:asciiTheme="minorEastAsia" w:hAnsiTheme="minorEastAsia"/>
          <w:bCs/>
          <w:color w:val="000000"/>
          <w:kern w:val="12"/>
          <w:szCs w:val="21"/>
          <w:highlight w:val="none"/>
        </w:rPr>
        <w:t>出具此</w:t>
      </w:r>
      <w:r>
        <w:rPr>
          <w:rFonts w:asciiTheme="minorEastAsia" w:hAnsiTheme="minorEastAsia"/>
          <w:bCs/>
          <w:color w:val="000000"/>
          <w:kern w:val="12"/>
          <w:szCs w:val="21"/>
          <w:highlight w:val="none"/>
        </w:rPr>
        <w:t>证</w:t>
      </w:r>
      <w:r>
        <w:rPr>
          <w:rFonts w:hint="eastAsia" w:asciiTheme="minorEastAsia" w:hAnsiTheme="minorEastAsia"/>
          <w:bCs/>
          <w:color w:val="000000"/>
          <w:kern w:val="12"/>
          <w:szCs w:val="21"/>
          <w:highlight w:val="none"/>
        </w:rPr>
        <w:t>明</w:t>
      </w:r>
      <w:r>
        <w:rPr>
          <w:rFonts w:asciiTheme="minorEastAsia" w:hAnsiTheme="minorEastAsia"/>
          <w:bCs/>
          <w:color w:val="000000"/>
          <w:kern w:val="12"/>
          <w:szCs w:val="21"/>
          <w:highlight w:val="none"/>
        </w:rPr>
        <w:t>书</w:t>
      </w:r>
      <w:r>
        <w:rPr>
          <w:rFonts w:hint="eastAsia" w:asciiTheme="minorEastAsia" w:hAnsiTheme="minorEastAsia"/>
          <w:bCs/>
          <w:color w:val="000000"/>
          <w:kern w:val="12"/>
          <w:szCs w:val="21"/>
          <w:highlight w:val="none"/>
        </w:rPr>
        <w:t>。</w:t>
      </w:r>
    </w:p>
    <w:p>
      <w:pPr>
        <w:spacing w:line="480" w:lineRule="exact"/>
        <w:jc w:val="center"/>
        <w:rPr>
          <w:rFonts w:ascii="宋体" w:hAnsi="宋体"/>
          <w:b/>
          <w:bCs/>
          <w:color w:val="000000"/>
          <w:sz w:val="36"/>
          <w:szCs w:val="36"/>
          <w:highlight w:val="none"/>
        </w:rPr>
      </w:pPr>
    </w:p>
    <w:p>
      <w:pPr>
        <w:spacing w:line="480" w:lineRule="exact"/>
        <w:jc w:val="center"/>
        <w:rPr>
          <w:rFonts w:ascii="宋体" w:hAnsi="宋体"/>
          <w:b/>
          <w:bCs/>
          <w:color w:val="000000"/>
          <w:sz w:val="24"/>
          <w:szCs w:val="24"/>
          <w:highlight w:val="none"/>
        </w:rPr>
      </w:pPr>
      <w:r>
        <w:rPr>
          <w:rFonts w:hint="eastAsia" w:ascii="宋体" w:hAnsi="宋体"/>
          <w:b/>
          <w:bCs/>
          <w:color w:val="000000"/>
          <w:sz w:val="24"/>
          <w:szCs w:val="24"/>
          <w:highlight w:val="none"/>
        </w:rPr>
        <w:t>3.3 法定代表人（单位负责人）授权书</w:t>
      </w:r>
    </w:p>
    <w:p>
      <w:pPr>
        <w:spacing w:line="480" w:lineRule="exact"/>
        <w:jc w:val="center"/>
        <w:rPr>
          <w:rFonts w:ascii="宋体" w:hAnsi="宋体"/>
          <w:b/>
          <w:bCs/>
          <w:color w:val="000000"/>
          <w:sz w:val="36"/>
          <w:szCs w:val="36"/>
          <w:highlight w:val="none"/>
        </w:rPr>
      </w:pPr>
    </w:p>
    <w:p>
      <w:pPr>
        <w:adjustRightInd w:val="0"/>
        <w:spacing w:line="360" w:lineRule="auto"/>
        <w:ind w:firstLine="441" w:firstLineChars="210"/>
        <w:contextualSpacing/>
        <w:rPr>
          <w:rFonts w:cs="Arial" w:asciiTheme="minorEastAsia" w:hAnsiTheme="minorEastAsia"/>
          <w:szCs w:val="21"/>
          <w:highlight w:val="none"/>
        </w:rPr>
      </w:pPr>
      <w:r>
        <w:rPr>
          <w:rFonts w:hint="eastAsia" w:asciiTheme="minorEastAsia" w:hAnsiTheme="minorEastAsia"/>
          <w:szCs w:val="21"/>
          <w:highlight w:val="none"/>
        </w:rPr>
        <w:t xml:space="preserve"> </w:t>
      </w:r>
      <w:r>
        <w:rPr>
          <w:rFonts w:hint="eastAsia" w:cs="Arial" w:asciiTheme="minorEastAsia" w:hAnsiTheme="minorEastAsia"/>
          <w:szCs w:val="21"/>
          <w:highlight w:val="none"/>
        </w:rPr>
        <w:t>本人</w:t>
      </w:r>
      <w:r>
        <w:rPr>
          <w:rFonts w:hint="eastAsia" w:cs="Arial" w:asciiTheme="minorEastAsia" w:hAnsiTheme="minorEastAsia"/>
          <w:szCs w:val="21"/>
          <w:highlight w:val="none"/>
          <w:u w:val="single"/>
        </w:rPr>
        <w:t xml:space="preserve">　 </w:t>
      </w:r>
      <w:r>
        <w:rPr>
          <w:rFonts w:hint="eastAsia" w:asciiTheme="minorEastAsia" w:hAnsiTheme="minorEastAsia"/>
          <w:i/>
          <w:snapToGrid w:val="0"/>
          <w:szCs w:val="21"/>
          <w:highlight w:val="none"/>
          <w:u w:val="single"/>
        </w:rPr>
        <w:t>法人姓名</w:t>
      </w:r>
      <w:r>
        <w:rPr>
          <w:rFonts w:hint="eastAsia" w:cs="Arial" w:asciiTheme="minorEastAsia" w:hAnsiTheme="minorEastAsia"/>
          <w:szCs w:val="21"/>
          <w:highlight w:val="none"/>
          <w:u w:val="single"/>
        </w:rPr>
        <w:t xml:space="preserve">  </w:t>
      </w:r>
      <w:r>
        <w:rPr>
          <w:rFonts w:hint="eastAsia" w:cs="Arial" w:asciiTheme="minorEastAsia" w:hAnsiTheme="minorEastAsia"/>
          <w:szCs w:val="21"/>
          <w:highlight w:val="none"/>
        </w:rPr>
        <w:t>系</w:t>
      </w:r>
      <w:r>
        <w:rPr>
          <w:rFonts w:hint="eastAsia" w:cs="Arial" w:asciiTheme="minorEastAsia" w:hAnsiTheme="minorEastAsia"/>
          <w:szCs w:val="21"/>
          <w:highlight w:val="none"/>
          <w:u w:val="single"/>
        </w:rPr>
        <w:t>　</w:t>
      </w:r>
      <w:r>
        <w:rPr>
          <w:rFonts w:hint="eastAsia" w:asciiTheme="minorEastAsia" w:hAnsiTheme="minorEastAsia"/>
          <w:i/>
          <w:snapToGrid w:val="0"/>
          <w:szCs w:val="21"/>
          <w:highlight w:val="none"/>
          <w:u w:val="single"/>
        </w:rPr>
        <w:t xml:space="preserve">投标人名称  </w:t>
      </w:r>
      <w:r>
        <w:rPr>
          <w:rFonts w:hint="eastAsia" w:cs="Arial" w:asciiTheme="minorEastAsia" w:hAnsiTheme="minorEastAsia"/>
          <w:szCs w:val="21"/>
          <w:highlight w:val="none"/>
          <w:u w:val="single"/>
        </w:rPr>
        <w:t xml:space="preserve"> </w:t>
      </w:r>
      <w:r>
        <w:rPr>
          <w:rFonts w:hint="eastAsia" w:cs="Arial" w:asciiTheme="minorEastAsia" w:hAnsiTheme="minorEastAsia"/>
          <w:szCs w:val="21"/>
          <w:highlight w:val="none"/>
        </w:rPr>
        <w:t>的法定代表人（单位负责人），现委托</w:t>
      </w:r>
      <w:r>
        <w:rPr>
          <w:rFonts w:hint="eastAsia" w:cs="Arial" w:asciiTheme="minorEastAsia" w:hAnsiTheme="minorEastAsia"/>
          <w:szCs w:val="21"/>
          <w:highlight w:val="none"/>
          <w:u w:val="single"/>
        </w:rPr>
        <w:t xml:space="preserve">　 </w:t>
      </w:r>
      <w:r>
        <w:rPr>
          <w:rFonts w:hint="eastAsia" w:asciiTheme="minorEastAsia" w:hAnsiTheme="minorEastAsia"/>
          <w:i/>
          <w:snapToGrid w:val="0"/>
          <w:szCs w:val="21"/>
          <w:highlight w:val="none"/>
          <w:u w:val="single"/>
        </w:rPr>
        <w:t>姓名，职务</w:t>
      </w:r>
      <w:r>
        <w:rPr>
          <w:rFonts w:hint="eastAsia" w:cs="Arial" w:asciiTheme="minorEastAsia" w:hAnsiTheme="minorEastAsia"/>
          <w:szCs w:val="21"/>
          <w:highlight w:val="none"/>
          <w:u w:val="single"/>
        </w:rPr>
        <w:t xml:space="preserve">    </w:t>
      </w:r>
      <w:r>
        <w:rPr>
          <w:rFonts w:hint="eastAsia" w:cs="Arial" w:asciiTheme="minorEastAsia" w:hAnsiTheme="minorEastAsia"/>
          <w:szCs w:val="21"/>
          <w:highlight w:val="none"/>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41" w:firstLineChars="210"/>
        <w:contextualSpacing/>
        <w:rPr>
          <w:rFonts w:cs="Arial" w:asciiTheme="minorEastAsia" w:hAnsiTheme="minorEastAsia"/>
          <w:szCs w:val="21"/>
          <w:highlight w:val="none"/>
        </w:rPr>
      </w:pPr>
      <w:r>
        <w:rPr>
          <w:rFonts w:hint="eastAsia" w:cs="Arial" w:asciiTheme="minorEastAsia" w:hAnsiTheme="minorEastAsia"/>
          <w:szCs w:val="21"/>
          <w:highlight w:val="none"/>
        </w:rPr>
        <w:t>我方对被授权人的签名事项负全部责任。</w:t>
      </w:r>
    </w:p>
    <w:p>
      <w:pPr>
        <w:adjustRightInd w:val="0"/>
        <w:spacing w:line="360" w:lineRule="auto"/>
        <w:ind w:firstLine="441" w:firstLineChars="210"/>
        <w:contextualSpacing/>
        <w:rPr>
          <w:rFonts w:cs="Arial" w:asciiTheme="minorEastAsia" w:hAnsiTheme="minorEastAsia"/>
          <w:szCs w:val="21"/>
          <w:highlight w:val="none"/>
        </w:rPr>
      </w:pPr>
      <w:r>
        <w:rPr>
          <w:rFonts w:hint="eastAsia" w:cs="Arial" w:asciiTheme="minorEastAsia" w:hAnsiTheme="minorEastAsia"/>
          <w:szCs w:val="21"/>
          <w:highlight w:val="none"/>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adjustRightInd w:val="0"/>
        <w:spacing w:line="360" w:lineRule="auto"/>
        <w:ind w:firstLine="441" w:firstLineChars="210"/>
        <w:contextualSpacing/>
        <w:rPr>
          <w:rFonts w:cs="Arial" w:asciiTheme="minorEastAsia" w:hAnsiTheme="minorEastAsia"/>
          <w:szCs w:val="21"/>
          <w:highlight w:val="none"/>
        </w:rPr>
      </w:pPr>
      <w:r>
        <w:rPr>
          <w:rFonts w:hint="eastAsia" w:cs="Arial" w:asciiTheme="minorEastAsia" w:hAnsiTheme="minorEastAsia"/>
          <w:szCs w:val="21"/>
          <w:highlight w:val="none"/>
        </w:rPr>
        <w:t>被授权人无转委托权，特此委托。</w:t>
      </w:r>
    </w:p>
    <w:p>
      <w:pPr>
        <w:spacing w:line="480" w:lineRule="auto"/>
        <w:ind w:firstLine="420" w:firstLineChars="200"/>
        <w:rPr>
          <w:rFonts w:asciiTheme="minorEastAsia" w:hAnsiTheme="minorEastAsia"/>
          <w:szCs w:val="21"/>
          <w:highlight w:val="none"/>
        </w:rPr>
      </w:pPr>
      <w:r>
        <w:rPr>
          <w:rFonts w:hint="eastAsia" w:asciiTheme="minorEastAsia" w:hAnsiTheme="minorEastAsia"/>
          <w:szCs w:val="21"/>
          <w:highlight w:val="none"/>
        </w:rPr>
        <w:t xml:space="preserve">投标人名称： </w:t>
      </w:r>
      <w:r>
        <w:rPr>
          <w:rFonts w:hint="eastAsia" w:asciiTheme="minorEastAsia" w:hAnsiTheme="minorEastAsia"/>
          <w:szCs w:val="21"/>
          <w:highlight w:val="none"/>
          <w:u w:val="single"/>
        </w:rPr>
        <w:t xml:space="preserve">       （全称）       </w:t>
      </w:r>
      <w:r>
        <w:rPr>
          <w:rFonts w:hint="eastAsia" w:asciiTheme="minorEastAsia" w:hAnsiTheme="minorEastAsia"/>
          <w:szCs w:val="21"/>
          <w:highlight w:val="none"/>
        </w:rPr>
        <w:t xml:space="preserve"> （盖单位公章）</w:t>
      </w:r>
    </w:p>
    <w:p>
      <w:pPr>
        <w:spacing w:line="480" w:lineRule="auto"/>
        <w:ind w:firstLine="420" w:firstLineChars="200"/>
        <w:rPr>
          <w:rFonts w:asciiTheme="minorEastAsia" w:hAnsiTheme="minorEastAsia"/>
          <w:szCs w:val="21"/>
          <w:highlight w:val="none"/>
        </w:rPr>
      </w:pPr>
      <w:r>
        <w:rPr>
          <w:rFonts w:hint="eastAsia" w:asciiTheme="minorEastAsia" w:hAnsiTheme="minorEastAsia"/>
          <w:szCs w:val="21"/>
          <w:highlight w:val="none"/>
        </w:rPr>
        <w:t xml:space="preserve">法定代表人（单位负责人）： </w:t>
      </w:r>
      <w:r>
        <w:rPr>
          <w:rFonts w:hint="eastAsia" w:asciiTheme="minorEastAsia" w:hAnsiTheme="minorEastAsia"/>
          <w:szCs w:val="21"/>
          <w:highlight w:val="none"/>
          <w:u w:val="single"/>
        </w:rPr>
        <w:t xml:space="preserve">            </w:t>
      </w:r>
      <w:r>
        <w:rPr>
          <w:rFonts w:hint="eastAsia" w:asciiTheme="minorEastAsia" w:hAnsiTheme="minorEastAsia"/>
          <w:szCs w:val="21"/>
          <w:highlight w:val="none"/>
        </w:rPr>
        <w:t xml:space="preserve"> （签字或加盖名章）</w:t>
      </w:r>
    </w:p>
    <w:p>
      <w:pPr>
        <w:spacing w:line="480" w:lineRule="auto"/>
        <w:ind w:firstLine="420" w:firstLineChars="200"/>
        <w:rPr>
          <w:rFonts w:asciiTheme="minorEastAsia" w:hAnsiTheme="minorEastAsia"/>
          <w:szCs w:val="21"/>
          <w:highlight w:val="none"/>
        </w:rPr>
      </w:pPr>
      <w:r>
        <w:rPr>
          <w:rFonts w:hint="eastAsia" w:asciiTheme="minorEastAsia" w:hAnsiTheme="minorEastAsia"/>
          <w:szCs w:val="21"/>
          <w:highlight w:val="none"/>
        </w:rPr>
        <w:t xml:space="preserve">法定代表人（单位负责人）授权代表： </w:t>
      </w:r>
      <w:r>
        <w:rPr>
          <w:rFonts w:hint="eastAsia" w:asciiTheme="minorEastAsia" w:hAnsiTheme="minorEastAsia"/>
          <w:szCs w:val="21"/>
          <w:highlight w:val="none"/>
          <w:u w:val="single"/>
        </w:rPr>
        <w:t xml:space="preserve">         </w:t>
      </w:r>
      <w:r>
        <w:rPr>
          <w:rFonts w:hint="eastAsia" w:asciiTheme="minorEastAsia" w:hAnsiTheme="minorEastAsia"/>
          <w:szCs w:val="21"/>
          <w:highlight w:val="none"/>
        </w:rPr>
        <w:t xml:space="preserve"> （签字或加盖名章）</w:t>
      </w:r>
    </w:p>
    <w:tbl>
      <w:tblPr>
        <w:tblStyle w:val="24"/>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法定代表人（单位负责人）身份证（正面）</w:t>
            </w:r>
          </w:p>
        </w:tc>
        <w:tc>
          <w:tcPr>
            <w:tcW w:w="4485" w:type="dxa"/>
            <w:gridSpan w:val="2"/>
            <w:vAlign w:val="center"/>
          </w:tcPr>
          <w:p>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highlight w:val="none"/>
              </w:rPr>
            </w:pPr>
            <w:bookmarkStart w:id="24" w:name="_资格证明文件"/>
            <w:bookmarkEnd w:id="24"/>
            <w:bookmarkStart w:id="25" w:name="_Toc364329026"/>
            <w:r>
              <w:rPr>
                <w:rFonts w:hint="eastAsia" w:asciiTheme="minorEastAsia" w:hAnsiTheme="minorEastAsia"/>
                <w:szCs w:val="21"/>
                <w:highlight w:val="none"/>
              </w:rPr>
              <w:t>法定代表人（单位负责人）授权代表身份证</w:t>
            </w:r>
          </w:p>
          <w:p>
            <w:pPr>
              <w:jc w:val="center"/>
              <w:rPr>
                <w:rFonts w:asciiTheme="minorEastAsia" w:hAnsiTheme="minorEastAsia"/>
                <w:szCs w:val="21"/>
                <w:highlight w:val="none"/>
              </w:rPr>
            </w:pPr>
            <w:r>
              <w:rPr>
                <w:rFonts w:hint="eastAsia" w:asciiTheme="minorEastAsia" w:hAnsiTheme="minorEastAsia"/>
                <w:szCs w:val="21"/>
                <w:highlight w:val="none"/>
              </w:rPr>
              <w:t>（正面）</w:t>
            </w:r>
            <w:bookmarkEnd w:id="25"/>
          </w:p>
        </w:tc>
        <w:tc>
          <w:tcPr>
            <w:tcW w:w="4492" w:type="dxa"/>
            <w:gridSpan w:val="2"/>
            <w:vAlign w:val="center"/>
          </w:tcPr>
          <w:p>
            <w:pPr>
              <w:jc w:val="center"/>
              <w:rPr>
                <w:rFonts w:asciiTheme="minorEastAsia" w:hAnsiTheme="minorEastAsia"/>
                <w:szCs w:val="21"/>
                <w:highlight w:val="none"/>
              </w:rPr>
            </w:pPr>
            <w:bookmarkStart w:id="26" w:name="_Toc364329027"/>
            <w:r>
              <w:rPr>
                <w:rFonts w:hint="eastAsia" w:asciiTheme="minorEastAsia" w:hAnsiTheme="minorEastAsia"/>
                <w:szCs w:val="21"/>
                <w:highlight w:val="none"/>
              </w:rPr>
              <w:t>法定代表人（单位负责人）授权代表身份证</w:t>
            </w:r>
          </w:p>
          <w:p>
            <w:pPr>
              <w:jc w:val="center"/>
              <w:rPr>
                <w:rFonts w:asciiTheme="minorEastAsia" w:hAnsiTheme="minorEastAsia"/>
                <w:szCs w:val="21"/>
                <w:highlight w:val="none"/>
              </w:rPr>
            </w:pPr>
            <w:r>
              <w:rPr>
                <w:rFonts w:hint="eastAsia" w:asciiTheme="minorEastAsia" w:hAnsiTheme="minorEastAsia"/>
                <w:szCs w:val="21"/>
                <w:highlight w:val="none"/>
              </w:rPr>
              <w:t>（反面）</w:t>
            </w:r>
            <w:bookmarkEnd w:id="26"/>
          </w:p>
        </w:tc>
      </w:tr>
    </w:tbl>
    <w:p>
      <w:pPr>
        <w:spacing w:line="320" w:lineRule="exact"/>
        <w:ind w:left="2" w:firstLine="357" w:firstLineChars="149"/>
        <w:rPr>
          <w:rFonts w:cs="Courier New" w:asciiTheme="minorEastAsia" w:hAnsiTheme="minorEastAsia"/>
          <w:sz w:val="24"/>
          <w:szCs w:val="24"/>
          <w:highlight w:val="none"/>
        </w:rPr>
      </w:pPr>
    </w:p>
    <w:p>
      <w:pPr>
        <w:widowControl/>
        <w:spacing w:before="100" w:beforeAutospacing="1" w:after="100" w:afterAutospacing="1" w:line="360" w:lineRule="auto"/>
        <w:jc w:val="center"/>
        <w:rPr>
          <w:rFonts w:ascii="宋体" w:hAnsi="宋体"/>
          <w:b/>
          <w:bCs/>
          <w:color w:val="000000"/>
          <w:sz w:val="24"/>
          <w:szCs w:val="24"/>
          <w:highlight w:val="none"/>
        </w:rPr>
      </w:pPr>
      <w:r>
        <w:rPr>
          <w:rFonts w:hint="eastAsia" w:ascii="宋体" w:hAnsi="宋体"/>
          <w:b/>
          <w:bCs/>
          <w:color w:val="000000"/>
          <w:sz w:val="24"/>
          <w:szCs w:val="24"/>
          <w:highlight w:val="none"/>
        </w:rPr>
        <w:t>3.4 没有重大违法记录的声明</w:t>
      </w:r>
    </w:p>
    <w:p>
      <w:pPr>
        <w:spacing w:beforeLines="50" w:afterLines="50"/>
        <w:jc w:val="center"/>
        <w:rPr>
          <w:rFonts w:ascii="宋体" w:hAnsi="宋体" w:cs="Arial"/>
          <w:color w:val="000000"/>
          <w:kern w:val="0"/>
          <w:sz w:val="28"/>
          <w:szCs w:val="28"/>
          <w:highlight w:val="none"/>
        </w:rPr>
      </w:pPr>
      <w:r>
        <w:rPr>
          <w:rFonts w:hint="eastAsia" w:ascii="宋体" w:hAnsi="宋体" w:cs="Arial"/>
          <w:color w:val="000000"/>
          <w:kern w:val="0"/>
          <w:sz w:val="28"/>
          <w:szCs w:val="28"/>
          <w:highlight w:val="none"/>
        </w:rPr>
        <w:t>声　   明</w:t>
      </w:r>
    </w:p>
    <w:p>
      <w:pPr>
        <w:spacing w:beforeLines="50" w:afterLines="50" w:line="360" w:lineRule="auto"/>
        <w:ind w:firstLine="420" w:firstLineChars="200"/>
        <w:rPr>
          <w:rFonts w:cs="宋体" w:asciiTheme="minorEastAsia" w:hAnsiTheme="minorEastAsia"/>
          <w:szCs w:val="21"/>
          <w:highlight w:val="none"/>
          <w:lang w:val="zh-CN"/>
        </w:rPr>
      </w:pPr>
      <w:r>
        <w:rPr>
          <w:rFonts w:hint="eastAsia" w:cs="宋体" w:asciiTheme="minorEastAsia" w:hAnsiTheme="minorEastAsia"/>
          <w:szCs w:val="21"/>
          <w:highlight w:val="none"/>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highlight w:val="none"/>
          <w:lang w:val="zh-CN"/>
        </w:rPr>
      </w:pPr>
      <w:r>
        <w:rPr>
          <w:rFonts w:hint="eastAsia" w:cs="宋体" w:asciiTheme="minorEastAsia" w:hAnsiTheme="minorEastAsia"/>
          <w:szCs w:val="21"/>
          <w:highlight w:val="none"/>
          <w:lang w:val="zh-CN"/>
        </w:rPr>
        <w:t>特此声明。</w:t>
      </w:r>
    </w:p>
    <w:p>
      <w:pPr>
        <w:spacing w:beforeLines="50" w:afterLines="50" w:line="360" w:lineRule="auto"/>
        <w:ind w:firstLine="420" w:firstLineChars="200"/>
        <w:rPr>
          <w:rFonts w:cs="宋体" w:asciiTheme="minorEastAsia" w:hAnsiTheme="minorEastAsia"/>
          <w:szCs w:val="21"/>
          <w:highlight w:val="none"/>
          <w:lang w:val="zh-CN"/>
        </w:rPr>
      </w:pPr>
      <w:r>
        <w:rPr>
          <w:rFonts w:hint="eastAsia" w:cs="宋体" w:asciiTheme="minorEastAsia" w:hAnsiTheme="minorEastAsia"/>
          <w:szCs w:val="21"/>
          <w:highlight w:val="none"/>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highlight w:val="none"/>
          <w:lang w:val="zh-CN"/>
        </w:rPr>
      </w:pPr>
    </w:p>
    <w:p>
      <w:pPr>
        <w:spacing w:beforeLines="50" w:afterLines="50" w:line="360" w:lineRule="auto"/>
        <w:ind w:right="420" w:firstLine="4800" w:firstLineChars="2286"/>
        <w:rPr>
          <w:rFonts w:cs="宋体" w:asciiTheme="minorEastAsia" w:hAnsiTheme="minorEastAsia"/>
          <w:szCs w:val="21"/>
          <w:highlight w:val="none"/>
          <w:lang w:val="zh-CN"/>
        </w:rPr>
      </w:pPr>
      <w:r>
        <w:rPr>
          <w:rFonts w:hint="eastAsia" w:cs="宋体" w:asciiTheme="minorEastAsia" w:hAnsiTheme="minorEastAsia"/>
          <w:szCs w:val="21"/>
          <w:highlight w:val="none"/>
          <w:lang w:val="zh-CN"/>
        </w:rPr>
        <w:t>单位名称（盖章）：</w:t>
      </w:r>
    </w:p>
    <w:p>
      <w:pPr>
        <w:spacing w:beforeLines="50" w:afterLines="50" w:line="360" w:lineRule="auto"/>
        <w:ind w:right="420" w:firstLine="4800" w:firstLineChars="2286"/>
        <w:rPr>
          <w:rFonts w:cs="宋体" w:asciiTheme="minorEastAsia" w:hAnsiTheme="minorEastAsia"/>
          <w:szCs w:val="21"/>
          <w:highlight w:val="none"/>
          <w:lang w:val="zh-CN"/>
        </w:rPr>
      </w:pPr>
      <w:r>
        <w:rPr>
          <w:rFonts w:hint="eastAsia" w:cs="宋体" w:asciiTheme="minorEastAsia" w:hAnsiTheme="minorEastAsia"/>
          <w:szCs w:val="21"/>
          <w:highlight w:val="none"/>
          <w:lang w:val="zh-CN"/>
        </w:rPr>
        <w:t xml:space="preserve">日    期：     </w:t>
      </w:r>
      <w:r>
        <w:rPr>
          <w:rFonts w:hint="eastAsia" w:cs="宋体" w:asciiTheme="minorEastAsia" w:hAnsiTheme="minorEastAsia"/>
          <w:szCs w:val="21"/>
          <w:highlight w:val="none"/>
        </w:rPr>
        <w:t>年    月    日</w:t>
      </w:r>
    </w:p>
    <w:p>
      <w:pPr>
        <w:spacing w:beforeLines="50" w:afterLines="50" w:line="360" w:lineRule="auto"/>
        <w:ind w:right="420" w:firstLine="5486" w:firstLineChars="2286"/>
        <w:rPr>
          <w:rFonts w:cs="宋体" w:asciiTheme="minorEastAsia" w:hAnsiTheme="minorEastAsia"/>
          <w:sz w:val="24"/>
          <w:szCs w:val="24"/>
          <w:highlight w:val="none"/>
          <w:lang w:val="zh-CN"/>
        </w:rPr>
      </w:pPr>
    </w:p>
    <w:p>
      <w:pPr>
        <w:spacing w:beforeLines="50" w:afterLines="50" w:line="360" w:lineRule="auto"/>
        <w:ind w:right="420" w:firstLine="5486" w:firstLineChars="2286"/>
        <w:rPr>
          <w:rFonts w:cs="宋体" w:asciiTheme="minorEastAsia" w:hAnsiTheme="minorEastAsia"/>
          <w:sz w:val="24"/>
          <w:szCs w:val="24"/>
          <w:highlight w:val="none"/>
          <w:lang w:val="zh-CN"/>
        </w:rPr>
      </w:pPr>
    </w:p>
    <w:p>
      <w:pPr>
        <w:spacing w:beforeLines="50" w:afterLines="50" w:line="360" w:lineRule="auto"/>
        <w:ind w:right="420" w:firstLine="5486" w:firstLineChars="2286"/>
        <w:rPr>
          <w:rFonts w:cs="宋体" w:asciiTheme="minorEastAsia" w:hAnsiTheme="minorEastAsia"/>
          <w:sz w:val="24"/>
          <w:szCs w:val="24"/>
          <w:highlight w:val="none"/>
          <w:lang w:val="zh-CN"/>
        </w:rPr>
      </w:pPr>
    </w:p>
    <w:p>
      <w:pPr>
        <w:widowControl/>
        <w:spacing w:before="100" w:beforeAutospacing="1" w:after="100" w:afterAutospacing="1" w:line="360" w:lineRule="auto"/>
        <w:jc w:val="center"/>
        <w:rPr>
          <w:rFonts w:hint="eastAsia" w:ascii="宋体" w:hAnsi="宋体"/>
          <w:b/>
          <w:bCs/>
          <w:color w:val="000000"/>
          <w:sz w:val="24"/>
          <w:szCs w:val="24"/>
          <w:highlight w:val="none"/>
          <w:lang w:val="zh-CN"/>
        </w:rPr>
      </w:pPr>
    </w:p>
    <w:p>
      <w:pPr>
        <w:widowControl/>
        <w:spacing w:before="100" w:beforeAutospacing="1" w:after="100" w:afterAutospacing="1" w:line="360" w:lineRule="auto"/>
        <w:jc w:val="center"/>
        <w:rPr>
          <w:rFonts w:hint="eastAsia" w:ascii="宋体" w:hAnsi="宋体"/>
          <w:b/>
          <w:bCs/>
          <w:color w:val="000000"/>
          <w:sz w:val="24"/>
          <w:szCs w:val="24"/>
          <w:highlight w:val="none"/>
          <w:lang w:val="zh-CN"/>
        </w:rPr>
      </w:pPr>
    </w:p>
    <w:p>
      <w:pPr>
        <w:widowControl/>
        <w:spacing w:before="100" w:beforeAutospacing="1" w:after="100" w:afterAutospacing="1" w:line="360" w:lineRule="auto"/>
        <w:jc w:val="center"/>
        <w:rPr>
          <w:rFonts w:hint="eastAsia" w:ascii="宋体" w:hAnsi="宋体"/>
          <w:b/>
          <w:bCs/>
          <w:color w:val="000000"/>
          <w:sz w:val="24"/>
          <w:szCs w:val="24"/>
          <w:highlight w:val="none"/>
          <w:lang w:val="zh-CN"/>
        </w:rPr>
      </w:pPr>
    </w:p>
    <w:p>
      <w:pPr>
        <w:pStyle w:val="23"/>
        <w:rPr>
          <w:rFonts w:hint="eastAsia" w:ascii="宋体" w:hAnsi="宋体"/>
          <w:b/>
          <w:bCs/>
          <w:color w:val="000000"/>
          <w:sz w:val="24"/>
          <w:szCs w:val="24"/>
          <w:highlight w:val="none"/>
          <w:lang w:val="zh-CN"/>
        </w:rPr>
      </w:pPr>
    </w:p>
    <w:p>
      <w:pPr>
        <w:pStyle w:val="23"/>
        <w:rPr>
          <w:rFonts w:hint="eastAsia" w:ascii="宋体" w:hAnsi="宋体"/>
          <w:b/>
          <w:bCs/>
          <w:color w:val="000000"/>
          <w:sz w:val="24"/>
          <w:szCs w:val="24"/>
          <w:highlight w:val="none"/>
          <w:lang w:val="zh-CN"/>
        </w:rPr>
      </w:pPr>
    </w:p>
    <w:p>
      <w:pPr>
        <w:pStyle w:val="23"/>
        <w:rPr>
          <w:rFonts w:hint="eastAsia" w:ascii="宋体" w:hAnsi="宋体"/>
          <w:b/>
          <w:bCs/>
          <w:color w:val="000000"/>
          <w:sz w:val="24"/>
          <w:szCs w:val="24"/>
          <w:highlight w:val="none"/>
          <w:lang w:val="zh-CN"/>
        </w:rPr>
      </w:pPr>
    </w:p>
    <w:p>
      <w:pPr>
        <w:autoSpaceDE w:val="0"/>
        <w:autoSpaceDN w:val="0"/>
        <w:adjustRightInd w:val="0"/>
        <w:spacing w:line="360" w:lineRule="auto"/>
        <w:jc w:val="center"/>
        <w:outlineLvl w:val="0"/>
        <w:rPr>
          <w:rFonts w:hint="eastAsia" w:ascii="宋体" w:hAnsi="宋体"/>
          <w:b/>
          <w:bCs/>
          <w:sz w:val="24"/>
        </w:rPr>
      </w:pPr>
      <w:r>
        <w:rPr>
          <w:rFonts w:hint="eastAsia" w:ascii="宋体" w:hAnsi="宋体"/>
          <w:b/>
          <w:bCs/>
          <w:sz w:val="24"/>
        </w:rPr>
        <w:t>3.5 投标承诺函</w:t>
      </w:r>
    </w:p>
    <w:p>
      <w:pPr>
        <w:spacing w:line="360" w:lineRule="auto"/>
        <w:rPr>
          <w:rFonts w:hint="eastAsia" w:ascii="宋体" w:hAnsi="宋体"/>
          <w:sz w:val="24"/>
        </w:rPr>
      </w:pPr>
      <w:r>
        <w:rPr>
          <w:rFonts w:hint="eastAsia" w:ascii="宋体" w:hAnsi="宋体"/>
          <w:sz w:val="24"/>
        </w:rPr>
        <w:t>本企业郑重承诺：</w:t>
      </w:r>
    </w:p>
    <w:p>
      <w:pPr>
        <w:spacing w:line="360" w:lineRule="auto"/>
        <w:ind w:firstLine="480" w:firstLineChars="200"/>
        <w:rPr>
          <w:rFonts w:hint="eastAsia" w:ascii="宋体" w:hAnsi="宋体"/>
          <w:sz w:val="24"/>
        </w:rPr>
      </w:pPr>
      <w:r>
        <w:rPr>
          <w:rFonts w:hint="eastAsia" w:ascii="宋体" w:hAnsi="宋体"/>
          <w:sz w:val="24"/>
        </w:rPr>
        <w:t>一、将遵循公开、公平、公正和诚实信用的原则参加</w:t>
      </w:r>
      <w:r>
        <w:rPr>
          <w:rFonts w:ascii="宋体" w:hAnsi="宋体"/>
          <w:sz w:val="24"/>
          <w:u w:val="single"/>
        </w:rPr>
        <w:t>(</w:t>
      </w:r>
      <w:r>
        <w:rPr>
          <w:rFonts w:hint="eastAsia" w:ascii="宋体" w:hAnsi="宋体"/>
          <w:sz w:val="24"/>
          <w:u w:val="single"/>
        </w:rPr>
        <w:t>具体政府采购项目名称）</w:t>
      </w:r>
      <w:r>
        <w:rPr>
          <w:rFonts w:hint="eastAsia" w:ascii="宋体" w:hAnsi="宋体"/>
          <w:sz w:val="24"/>
        </w:rPr>
        <w:t>的投标；</w:t>
      </w:r>
    </w:p>
    <w:p>
      <w:pPr>
        <w:spacing w:line="360" w:lineRule="auto"/>
        <w:ind w:firstLine="480" w:firstLineChars="200"/>
        <w:rPr>
          <w:rFonts w:hint="eastAsia" w:ascii="宋体" w:hAnsi="宋体"/>
          <w:sz w:val="24"/>
        </w:rPr>
      </w:pPr>
      <w:r>
        <w:rPr>
          <w:rFonts w:hint="eastAsia" w:ascii="宋体" w:hAnsi="宋体"/>
          <w:sz w:val="24"/>
        </w:rPr>
        <w:t>二、本次投标所提供的一切材料都是真实、有效、合法的；</w:t>
      </w:r>
    </w:p>
    <w:p>
      <w:pPr>
        <w:spacing w:line="360" w:lineRule="auto"/>
        <w:ind w:firstLine="480" w:firstLineChars="200"/>
        <w:rPr>
          <w:rFonts w:hint="eastAsia" w:ascii="宋体" w:hAnsi="宋体"/>
          <w:sz w:val="24"/>
        </w:rPr>
      </w:pPr>
      <w:r>
        <w:rPr>
          <w:rFonts w:hint="eastAsia" w:ascii="宋体" w:hAnsi="宋体"/>
          <w:sz w:val="24"/>
        </w:rPr>
        <w:t>三、不与其他投标人相互串通投标报价，不排挤其他投标人的公平竞争，不损害采购人或其他投标人的合法权益；</w:t>
      </w:r>
    </w:p>
    <w:p>
      <w:pPr>
        <w:spacing w:line="360" w:lineRule="auto"/>
        <w:ind w:firstLine="480" w:firstLineChars="200"/>
        <w:rPr>
          <w:rFonts w:hint="eastAsia" w:ascii="宋体" w:hAnsi="宋体"/>
          <w:sz w:val="24"/>
        </w:rPr>
      </w:pPr>
      <w:r>
        <w:rPr>
          <w:rFonts w:hint="eastAsia" w:ascii="宋体" w:hAnsi="宋体"/>
          <w:sz w:val="24"/>
        </w:rPr>
        <w:t>四、不与采购人或集中采购机构串通投标，不损害国家利益、社会公共利益或者他人的合法权益；</w:t>
      </w:r>
    </w:p>
    <w:p>
      <w:pPr>
        <w:spacing w:line="360" w:lineRule="auto"/>
        <w:ind w:firstLine="480" w:firstLineChars="200"/>
        <w:rPr>
          <w:rFonts w:hint="eastAsia" w:ascii="宋体" w:hAnsi="宋体"/>
          <w:sz w:val="24"/>
        </w:rPr>
      </w:pPr>
      <w:r>
        <w:rPr>
          <w:rFonts w:hint="eastAsia" w:ascii="宋体" w:hAnsi="宋体"/>
          <w:sz w:val="24"/>
        </w:rPr>
        <w:t>五、不向采购人或者评标委员会成员行贿以牟取中标；</w:t>
      </w:r>
    </w:p>
    <w:p>
      <w:pPr>
        <w:spacing w:line="360" w:lineRule="auto"/>
        <w:ind w:firstLine="480" w:firstLineChars="200"/>
        <w:rPr>
          <w:rFonts w:hint="eastAsia" w:ascii="宋体" w:hAnsi="宋体"/>
          <w:sz w:val="24"/>
        </w:rPr>
      </w:pPr>
      <w:r>
        <w:rPr>
          <w:rFonts w:hint="eastAsia" w:ascii="宋体" w:hAnsi="宋体"/>
          <w:sz w:val="24"/>
        </w:rPr>
        <w:t>六、不以他人名义投标或者以其他方式弄虚作假，骗取中标；</w:t>
      </w:r>
    </w:p>
    <w:p>
      <w:pPr>
        <w:spacing w:line="360" w:lineRule="auto"/>
        <w:ind w:firstLine="480" w:firstLineChars="200"/>
        <w:rPr>
          <w:rFonts w:hint="eastAsia" w:ascii="宋体" w:hAnsi="宋体"/>
          <w:sz w:val="24"/>
        </w:rPr>
      </w:pPr>
      <w:r>
        <w:rPr>
          <w:rFonts w:hint="eastAsia" w:ascii="宋体" w:hAnsi="宋体"/>
          <w:sz w:val="24"/>
        </w:rPr>
        <w:t>七、不扰乱长葛市政府采购市场秩序；</w:t>
      </w:r>
    </w:p>
    <w:p>
      <w:pPr>
        <w:spacing w:line="360" w:lineRule="auto"/>
        <w:ind w:firstLine="480" w:firstLineChars="200"/>
        <w:rPr>
          <w:rFonts w:hint="eastAsia" w:ascii="宋体" w:hAnsi="宋体"/>
          <w:sz w:val="24"/>
        </w:rPr>
      </w:pPr>
      <w:r>
        <w:rPr>
          <w:rFonts w:hint="eastAsia" w:ascii="宋体" w:hAnsi="宋体"/>
          <w:sz w:val="24"/>
        </w:rPr>
        <w:t>八、不在开标后进行虚假恶意投诉；</w:t>
      </w:r>
    </w:p>
    <w:p>
      <w:pPr>
        <w:spacing w:line="360" w:lineRule="auto"/>
        <w:ind w:firstLine="480" w:firstLineChars="200"/>
        <w:rPr>
          <w:rFonts w:hint="eastAsia" w:ascii="宋体" w:hAnsi="宋体"/>
          <w:sz w:val="24"/>
        </w:rPr>
      </w:pPr>
      <w:r>
        <w:rPr>
          <w:rFonts w:hint="eastAsia" w:ascii="宋体" w:hAnsi="宋体"/>
          <w:sz w:val="24"/>
        </w:rPr>
        <w:t>九、中标后不得将招标文件规定不予转包、分包的项目转包、分包于他人。</w:t>
      </w:r>
    </w:p>
    <w:p>
      <w:pPr>
        <w:spacing w:line="360" w:lineRule="auto"/>
        <w:ind w:firstLine="480" w:firstLineChars="200"/>
        <w:rPr>
          <w:rFonts w:ascii="宋体" w:hAnsi="宋体" w:cs="宋体"/>
          <w:sz w:val="24"/>
          <w:szCs w:val="21"/>
          <w:lang w:val="zh-CN"/>
        </w:rPr>
      </w:pPr>
      <w:r>
        <w:rPr>
          <w:rFonts w:hint="eastAsia" w:ascii="宋体" w:hAnsi="宋体" w:cs="宋体"/>
          <w:sz w:val="24"/>
          <w:szCs w:val="21"/>
          <w:lang w:val="zh-CN"/>
        </w:rPr>
        <w:t>本公司若有违反本承诺内容的行为，愿意承担法律责任，包括：愿意接受相关行政主管部门作出的处罚，愿意接受长葛市政府采购监督管理办公室作出的罚没履约保证金或者现金处罚、限制交易和停止交易等市场准入与清出的处理。</w:t>
      </w:r>
    </w:p>
    <w:p>
      <w:pPr>
        <w:spacing w:before="156" w:beforeLines="50" w:after="156" w:afterLines="50" w:line="360" w:lineRule="auto"/>
        <w:ind w:firstLine="480" w:firstLineChars="200"/>
        <w:rPr>
          <w:rFonts w:ascii="宋体" w:hAnsi="宋体" w:cs="宋体"/>
          <w:sz w:val="24"/>
          <w:szCs w:val="21"/>
          <w:lang w:val="zh-CN"/>
        </w:rPr>
      </w:pPr>
    </w:p>
    <w:p>
      <w:pPr>
        <w:spacing w:before="156" w:beforeLines="50" w:after="156" w:afterLines="50" w:line="360" w:lineRule="auto"/>
        <w:ind w:firstLine="3360" w:firstLineChars="1400"/>
        <w:rPr>
          <w:rFonts w:hint="eastAsia" w:ascii="宋体" w:hAnsi="宋体" w:cs="宋体"/>
          <w:sz w:val="24"/>
          <w:szCs w:val="21"/>
          <w:lang w:val="zh-CN"/>
        </w:rPr>
      </w:pPr>
      <w:r>
        <w:rPr>
          <w:rFonts w:hint="eastAsia" w:ascii="宋体" w:hAnsi="宋体" w:cs="宋体"/>
          <w:sz w:val="24"/>
          <w:szCs w:val="21"/>
          <w:lang w:val="zh-CN"/>
        </w:rPr>
        <w:t>法定代表人或者被委托人（签字</w:t>
      </w:r>
      <w:r>
        <w:rPr>
          <w:rFonts w:ascii="宋体" w:hAnsi="宋体" w:cs="宋体"/>
          <w:sz w:val="24"/>
          <w:szCs w:val="21"/>
          <w:lang w:val="zh-CN"/>
        </w:rPr>
        <w:t>)</w:t>
      </w:r>
      <w:r>
        <w:rPr>
          <w:rFonts w:hint="eastAsia" w:ascii="宋体" w:hAnsi="宋体" w:cs="宋体"/>
          <w:sz w:val="24"/>
          <w:szCs w:val="21"/>
          <w:lang w:val="zh-CN"/>
        </w:rPr>
        <w:t>：</w:t>
      </w:r>
    </w:p>
    <w:p>
      <w:pPr>
        <w:spacing w:before="156" w:beforeLines="50" w:after="156" w:afterLines="50" w:line="360" w:lineRule="auto"/>
        <w:ind w:firstLine="3360" w:firstLineChars="1400"/>
        <w:rPr>
          <w:rFonts w:hint="eastAsia" w:ascii="宋体" w:hAnsi="宋体" w:cs="宋体"/>
          <w:sz w:val="24"/>
          <w:szCs w:val="21"/>
          <w:lang w:val="zh-CN"/>
        </w:rPr>
      </w:pPr>
      <w:r>
        <w:rPr>
          <w:rFonts w:hint="eastAsia" w:ascii="宋体" w:hAnsi="宋体" w:cs="宋体"/>
          <w:sz w:val="24"/>
          <w:szCs w:val="21"/>
          <w:lang w:val="zh-CN"/>
        </w:rPr>
        <w:t>投标人名称</w:t>
      </w:r>
      <w:r>
        <w:rPr>
          <w:rFonts w:ascii="宋体" w:hAnsi="宋体" w:cs="宋体"/>
          <w:sz w:val="24"/>
          <w:szCs w:val="21"/>
          <w:lang w:val="zh-CN"/>
        </w:rPr>
        <w:t>(</w:t>
      </w:r>
      <w:r>
        <w:rPr>
          <w:rFonts w:hint="eastAsia" w:ascii="宋体" w:hAnsi="宋体" w:cs="宋体"/>
          <w:sz w:val="24"/>
          <w:szCs w:val="21"/>
          <w:lang w:val="zh-CN"/>
        </w:rPr>
        <w:t>盖章</w:t>
      </w:r>
      <w:r>
        <w:rPr>
          <w:rFonts w:ascii="宋体" w:hAnsi="宋体" w:cs="宋体"/>
          <w:sz w:val="24"/>
          <w:szCs w:val="21"/>
          <w:lang w:val="zh-CN"/>
        </w:rPr>
        <w:t>)</w:t>
      </w:r>
      <w:r>
        <w:rPr>
          <w:rFonts w:hint="eastAsia" w:ascii="宋体" w:hAnsi="宋体" w:cs="宋体"/>
          <w:sz w:val="24"/>
          <w:szCs w:val="21"/>
          <w:lang w:val="zh-CN"/>
        </w:rPr>
        <w:t>：</w:t>
      </w:r>
    </w:p>
    <w:p>
      <w:pPr>
        <w:spacing w:before="156" w:beforeLines="50" w:after="156" w:afterLines="50" w:line="360" w:lineRule="auto"/>
        <w:ind w:firstLine="3360" w:firstLineChars="1400"/>
        <w:rPr>
          <w:rFonts w:ascii="宋体" w:hAnsi="宋体" w:cs="宋体"/>
          <w:sz w:val="24"/>
          <w:szCs w:val="21"/>
          <w:lang w:val="zh-CN"/>
        </w:rPr>
      </w:pPr>
      <w:r>
        <w:rPr>
          <w:rFonts w:hint="eastAsia" w:ascii="宋体" w:hAnsi="宋体" w:cs="宋体"/>
          <w:sz w:val="24"/>
          <w:szCs w:val="21"/>
          <w:lang w:val="zh-CN"/>
        </w:rPr>
        <w:t>年</w:t>
      </w:r>
      <w:r>
        <w:rPr>
          <w:rFonts w:ascii="宋体" w:hAnsi="宋体" w:cs="宋体"/>
          <w:sz w:val="24"/>
          <w:szCs w:val="21"/>
          <w:lang w:val="zh-CN"/>
        </w:rPr>
        <w:t xml:space="preserve">  </w:t>
      </w:r>
      <w:r>
        <w:rPr>
          <w:rFonts w:hint="eastAsia" w:ascii="宋体" w:hAnsi="宋体" w:cs="宋体"/>
          <w:sz w:val="24"/>
          <w:szCs w:val="21"/>
          <w:lang w:val="zh-CN"/>
        </w:rPr>
        <w:t>月</w:t>
      </w:r>
      <w:r>
        <w:rPr>
          <w:rFonts w:ascii="宋体" w:hAnsi="宋体" w:cs="宋体"/>
          <w:sz w:val="24"/>
          <w:szCs w:val="21"/>
          <w:lang w:val="zh-CN"/>
        </w:rPr>
        <w:t xml:space="preserve">  </w:t>
      </w:r>
      <w:r>
        <w:rPr>
          <w:rFonts w:hint="eastAsia" w:ascii="宋体" w:hAnsi="宋体" w:cs="宋体"/>
          <w:sz w:val="24"/>
          <w:szCs w:val="21"/>
          <w:lang w:val="zh-CN"/>
        </w:rPr>
        <w:t>日</w:t>
      </w:r>
    </w:p>
    <w:p>
      <w:pPr>
        <w:spacing w:beforeLines="50" w:afterLines="50" w:line="360" w:lineRule="auto"/>
        <w:ind w:firstLine="420" w:firstLineChars="200"/>
        <w:rPr>
          <w:rFonts w:hint="eastAsia" w:cs="宋体" w:asciiTheme="minorEastAsia" w:hAnsiTheme="minorEastAsia"/>
          <w:szCs w:val="21"/>
          <w:highlight w:val="none"/>
          <w:lang w:val="zh-CN"/>
        </w:rPr>
      </w:pPr>
    </w:p>
    <w:p>
      <w:pPr>
        <w:spacing w:beforeLines="50" w:afterLines="50" w:line="360" w:lineRule="auto"/>
        <w:ind w:firstLine="420" w:firstLineChars="200"/>
        <w:rPr>
          <w:rFonts w:hint="eastAsia" w:cs="宋体" w:asciiTheme="minorEastAsia" w:hAnsiTheme="minorEastAsia"/>
          <w:szCs w:val="21"/>
          <w:highlight w:val="none"/>
          <w:lang w:val="zh-CN"/>
        </w:rPr>
      </w:pPr>
    </w:p>
    <w:p>
      <w:pPr>
        <w:autoSpaceDE w:val="0"/>
        <w:autoSpaceDN w:val="0"/>
        <w:adjustRightInd w:val="0"/>
        <w:spacing w:line="360" w:lineRule="auto"/>
        <w:ind w:right="-11"/>
        <w:rPr>
          <w:rFonts w:ascii="宋体" w:cs="宋体"/>
          <w:szCs w:val="21"/>
          <w:highlight w:val="none"/>
          <w:lang w:val="zh-CN"/>
        </w:rPr>
      </w:pPr>
    </w:p>
    <w:p>
      <w:pPr>
        <w:autoSpaceDE w:val="0"/>
        <w:autoSpaceDN w:val="0"/>
        <w:adjustRightInd w:val="0"/>
        <w:spacing w:line="360" w:lineRule="auto"/>
        <w:outlineLvl w:val="0"/>
        <w:rPr>
          <w:rFonts w:ascii="宋体" w:cs="宋体"/>
          <w:sz w:val="24"/>
          <w:highlight w:val="none"/>
          <w:lang w:val="zh-CN"/>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highlight w:val="none"/>
        </w:rPr>
      </w:pPr>
    </w:p>
    <w:p>
      <w:pPr>
        <w:autoSpaceDE w:val="0"/>
        <w:autoSpaceDN w:val="0"/>
        <w:adjustRightInd w:val="0"/>
        <w:spacing w:line="360" w:lineRule="auto"/>
        <w:jc w:val="center"/>
        <w:rPr>
          <w:rFonts w:cs="黑体" w:asciiTheme="minorEastAsia" w:hAnsiTheme="minorEastAsia"/>
          <w:b/>
          <w:bCs/>
          <w:sz w:val="44"/>
          <w:szCs w:val="44"/>
          <w:highlight w:val="none"/>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rPr>
        <w:t>4.1 投</w:t>
      </w:r>
      <w:r>
        <w:rPr>
          <w:rFonts w:hint="eastAsia" w:ascii="宋体" w:hAnsi="宋体"/>
          <w:b/>
          <w:bCs/>
          <w:color w:val="000000"/>
          <w:sz w:val="24"/>
          <w:szCs w:val="24"/>
          <w:highlight w:val="none"/>
        </w:rPr>
        <w:t>标分项报价表（货物类项目）</w:t>
      </w:r>
    </w:p>
    <w:p>
      <w:pPr>
        <w:autoSpaceDE w:val="0"/>
        <w:autoSpaceDN w:val="0"/>
        <w:adjustRightInd w:val="0"/>
        <w:spacing w:line="360" w:lineRule="auto"/>
        <w:jc w:val="center"/>
        <w:outlineLvl w:val="0"/>
        <w:rPr>
          <w:rFonts w:ascii="宋体" w:hAnsi="宋体"/>
          <w:b/>
          <w:bCs/>
          <w:color w:val="000000"/>
          <w:sz w:val="24"/>
          <w:szCs w:val="24"/>
          <w:highlight w:val="none"/>
        </w:rPr>
      </w:pPr>
    </w:p>
    <w:p>
      <w:pPr>
        <w:spacing w:before="50" w:afterLines="50" w:line="360" w:lineRule="auto"/>
        <w:contextualSpacing/>
        <w:jc w:val="left"/>
        <w:rPr>
          <w:rFonts w:asciiTheme="minorEastAsia" w:hAnsiTheme="minorEastAsia"/>
          <w:color w:val="000000"/>
          <w:szCs w:val="21"/>
          <w:highlight w:val="none"/>
        </w:rPr>
      </w:pPr>
      <w:r>
        <w:rPr>
          <w:rFonts w:hint="eastAsia" w:asciiTheme="minorEastAsia" w:hAnsiTheme="minorEastAsia"/>
          <w:color w:val="000000"/>
          <w:szCs w:val="21"/>
          <w:highlight w:val="none"/>
        </w:rPr>
        <w:t>项目编号：</w:t>
      </w:r>
    </w:p>
    <w:p>
      <w:pPr>
        <w:autoSpaceDE w:val="0"/>
        <w:autoSpaceDN w:val="0"/>
        <w:adjustRightInd w:val="0"/>
        <w:spacing w:line="360" w:lineRule="auto"/>
        <w:outlineLvl w:val="0"/>
        <w:rPr>
          <w:rFonts w:hAnsi="宋体" w:eastAsia="宋体"/>
          <w:b/>
          <w:snapToGrid w:val="0"/>
          <w:kern w:val="0"/>
          <w:szCs w:val="21"/>
          <w:highlight w:val="none"/>
        </w:rPr>
      </w:pPr>
      <w:r>
        <w:rPr>
          <w:rFonts w:hint="eastAsia" w:asciiTheme="minorEastAsia" w:hAnsiTheme="minorEastAsia"/>
          <w:color w:val="000000"/>
          <w:szCs w:val="21"/>
          <w:highlight w:val="none"/>
        </w:rPr>
        <w:t xml:space="preserve">项目名称：   </w:t>
      </w:r>
    </w:p>
    <w:tbl>
      <w:tblPr>
        <w:tblStyle w:val="24"/>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名</w:t>
            </w:r>
            <w:r>
              <w:rPr>
                <w:rFonts w:cs="宋体" w:asciiTheme="minorEastAsia" w:hAnsiTheme="minorEastAsia"/>
                <w:b/>
                <w:szCs w:val="21"/>
                <w:highlight w:val="none"/>
                <w:lang w:val="zh-CN"/>
              </w:rPr>
              <w:t xml:space="preserve"> </w:t>
            </w:r>
            <w:r>
              <w:rPr>
                <w:rFonts w:hint="eastAsia" w:cs="宋体" w:asciiTheme="minorEastAsia" w:hAnsiTheme="minorEastAsia"/>
                <w:b/>
                <w:szCs w:val="21"/>
                <w:highlight w:val="none"/>
                <w:lang w:val="zh-CN"/>
              </w:rPr>
              <w:t>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技术</w:t>
            </w:r>
          </w:p>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单</w:t>
            </w:r>
            <w:r>
              <w:rPr>
                <w:rFonts w:cs="宋体" w:asciiTheme="minorEastAsia" w:hAnsiTheme="minorEastAsia"/>
                <w:b/>
                <w:szCs w:val="21"/>
                <w:highlight w:val="none"/>
                <w:lang w:val="zh-CN"/>
              </w:rPr>
              <w:t xml:space="preserve"> </w:t>
            </w:r>
            <w:r>
              <w:rPr>
                <w:rFonts w:hint="eastAsia" w:cs="宋体" w:asciiTheme="minorEastAsia" w:hAnsiTheme="minorEastAsia"/>
                <w:b/>
                <w:szCs w:val="21"/>
                <w:highlight w:val="none"/>
                <w:lang w:val="zh-CN"/>
              </w:rPr>
              <w:t>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数</w:t>
            </w:r>
            <w:r>
              <w:rPr>
                <w:rFonts w:cs="宋体" w:asciiTheme="minorEastAsia" w:hAnsiTheme="minorEastAsia"/>
                <w:b/>
                <w:szCs w:val="21"/>
                <w:highlight w:val="none"/>
                <w:lang w:val="zh-CN"/>
              </w:rPr>
              <w:t xml:space="preserve"> </w:t>
            </w:r>
            <w:r>
              <w:rPr>
                <w:rFonts w:hint="eastAsia" w:cs="宋体" w:asciiTheme="minorEastAsia" w:hAnsiTheme="minorEastAsia"/>
                <w:b/>
                <w:szCs w:val="21"/>
                <w:highlight w:val="none"/>
                <w:lang w:val="zh-CN"/>
              </w:rPr>
              <w:t>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产地及</w:t>
            </w:r>
          </w:p>
          <w:p>
            <w:pPr>
              <w:autoSpaceDE w:val="0"/>
              <w:autoSpaceDN w:val="0"/>
              <w:adjustRightInd w:val="0"/>
              <w:spacing w:line="360" w:lineRule="auto"/>
              <w:ind w:left="120" w:hanging="120"/>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highlight w:val="none"/>
              </w:rPr>
            </w:pPr>
            <w:r>
              <w:rPr>
                <w:rFonts w:hint="eastAsia" w:asciiTheme="minorEastAsia" w:hAnsiTheme="minorEastAsia"/>
                <w:szCs w:val="21"/>
                <w:highlight w:val="none"/>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highlight w:val="none"/>
              </w:rPr>
            </w:pPr>
            <w:r>
              <w:rPr>
                <w:rFonts w:hint="eastAsia" w:asciiTheme="minorEastAsia" w:hAnsiTheme="minorEastAsia"/>
                <w:szCs w:val="21"/>
                <w:highlight w:val="none"/>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highlight w:val="none"/>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highlight w:val="none"/>
              </w:rPr>
            </w:pPr>
            <w:r>
              <w:rPr>
                <w:rFonts w:hint="eastAsia" w:cs="宋体" w:asciiTheme="minorEastAsia" w:hAnsiTheme="minorEastAsia"/>
                <w:szCs w:val="21"/>
                <w:highlight w:val="none"/>
                <w:lang w:val="zh-CN"/>
              </w:rPr>
              <w:t>合</w:t>
            </w:r>
            <w:r>
              <w:rPr>
                <w:rFonts w:asciiTheme="minorEastAsia" w:hAnsiTheme="minorEastAsia"/>
                <w:szCs w:val="21"/>
                <w:highlight w:val="none"/>
              </w:rPr>
              <w:t xml:space="preserve">  </w:t>
            </w:r>
            <w:r>
              <w:rPr>
                <w:rFonts w:hint="eastAsia" w:cs="宋体" w:asciiTheme="minorEastAsia" w:hAnsiTheme="minorEastAsia"/>
                <w:szCs w:val="21"/>
                <w:highlight w:val="none"/>
                <w:lang w:val="zh-CN"/>
              </w:rPr>
              <w:t>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highlight w:val="none"/>
                <w:lang w:val="zh-CN"/>
              </w:rPr>
            </w:pPr>
            <w:r>
              <w:rPr>
                <w:rFonts w:hint="eastAsia" w:cs="宋体" w:asciiTheme="minorEastAsia" w:hAnsiTheme="minorEastAsia"/>
                <w:szCs w:val="21"/>
                <w:highlight w:val="none"/>
                <w:lang w:val="zh-CN"/>
              </w:rPr>
              <w:t>大写：　　　　　　</w:t>
            </w:r>
            <w:r>
              <w:rPr>
                <w:rFonts w:asciiTheme="minorEastAsia" w:hAnsiTheme="minorEastAsia"/>
                <w:szCs w:val="21"/>
                <w:highlight w:val="none"/>
              </w:rPr>
              <w:t xml:space="preserve">              </w:t>
            </w:r>
            <w:r>
              <w:rPr>
                <w:rFonts w:hint="eastAsia" w:cs="宋体" w:asciiTheme="minorEastAsia" w:hAnsiTheme="minorEastAsia"/>
                <w:szCs w:val="21"/>
                <w:highlight w:val="none"/>
                <w:lang w:val="zh-CN"/>
              </w:rPr>
              <w:t>小写：</w:t>
            </w: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p>
    <w:p>
      <w:pPr>
        <w:autoSpaceDE w:val="0"/>
        <w:autoSpaceDN w:val="0"/>
        <w:adjustRightInd w:val="0"/>
        <w:spacing w:line="480" w:lineRule="auto"/>
        <w:rPr>
          <w:rFonts w:cs="宋体" w:asciiTheme="minorEastAsia" w:hAnsiTheme="minorEastAsia"/>
          <w:sz w:val="24"/>
          <w:szCs w:val="24"/>
          <w:highlight w:val="none"/>
          <w:lang w:val="zh-CN"/>
        </w:rPr>
      </w:pPr>
    </w:p>
    <w:p>
      <w:pPr>
        <w:pStyle w:val="3"/>
        <w:numPr>
          <w:ilvl w:val="0"/>
          <w:numId w:val="0"/>
        </w:numPr>
        <w:rPr>
          <w:lang w:val="zh-CN"/>
        </w:rPr>
      </w:pPr>
    </w:p>
    <w:p>
      <w:pPr>
        <w:pStyle w:val="3"/>
        <w:numPr>
          <w:ilvl w:val="0"/>
          <w:numId w:val="0"/>
        </w:numPr>
        <w:rPr>
          <w:lang w:val="zh-CN"/>
        </w:rPr>
      </w:pPr>
    </w:p>
    <w:p>
      <w:pPr>
        <w:rPr>
          <w:lang w:val="zh-CN"/>
        </w:rPr>
      </w:pPr>
    </w:p>
    <w:p>
      <w:pPr>
        <w:spacing w:line="300" w:lineRule="exact"/>
        <w:rPr>
          <w:rFonts w:asciiTheme="minorEastAsia" w:hAnsiTheme="minorEastAsia"/>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4.2 技术规格偏离表（货物类项目）</w:t>
      </w:r>
    </w:p>
    <w:p>
      <w:pPr>
        <w:spacing w:before="50" w:afterLines="50" w:line="360" w:lineRule="auto"/>
        <w:contextualSpacing/>
        <w:jc w:val="left"/>
        <w:rPr>
          <w:rFonts w:asciiTheme="minorEastAsia" w:hAnsiTheme="minorEastAsia"/>
          <w:color w:val="000000"/>
          <w:szCs w:val="21"/>
          <w:highlight w:val="none"/>
        </w:rPr>
      </w:pPr>
      <w:r>
        <w:rPr>
          <w:rFonts w:hint="eastAsia" w:asciiTheme="minorEastAsia" w:hAnsiTheme="minorEastAsia"/>
          <w:color w:val="000000"/>
          <w:szCs w:val="21"/>
          <w:highlight w:val="none"/>
        </w:rPr>
        <w:t>项目编号：</w:t>
      </w:r>
    </w:p>
    <w:p>
      <w:pPr>
        <w:autoSpaceDE w:val="0"/>
        <w:autoSpaceDN w:val="0"/>
        <w:adjustRightInd w:val="0"/>
        <w:spacing w:line="360" w:lineRule="auto"/>
        <w:outlineLvl w:val="0"/>
        <w:rPr>
          <w:rFonts w:hAnsi="宋体" w:eastAsia="宋体"/>
          <w:b/>
          <w:snapToGrid w:val="0"/>
          <w:kern w:val="0"/>
          <w:szCs w:val="21"/>
          <w:highlight w:val="none"/>
        </w:rPr>
      </w:pPr>
      <w:r>
        <w:rPr>
          <w:rFonts w:hint="eastAsia" w:asciiTheme="minorEastAsia" w:hAnsiTheme="minorEastAsia"/>
          <w:color w:val="000000"/>
          <w:szCs w:val="21"/>
          <w:highlight w:val="none"/>
        </w:rPr>
        <w:t xml:space="preserve">项目名称：   </w:t>
      </w:r>
    </w:p>
    <w:tbl>
      <w:tblPr>
        <w:tblStyle w:val="24"/>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货物服务</w:t>
            </w:r>
          </w:p>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招标文件</w:t>
            </w:r>
          </w:p>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投标技术</w:t>
            </w:r>
          </w:p>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偏离</w:t>
            </w:r>
          </w:p>
          <w:p>
            <w:pPr>
              <w:jc w:val="center"/>
              <w:rPr>
                <w:rFonts w:ascii="宋体" w:hAnsi="宋体" w:eastAsia="宋体" w:cs="宋体"/>
                <w:b/>
                <w:bCs/>
                <w:szCs w:val="21"/>
                <w:highlight w:val="none"/>
              </w:rPr>
            </w:pPr>
            <w:r>
              <w:rPr>
                <w:rFonts w:hint="eastAsia" w:ascii="宋体" w:hAnsi="宋体" w:eastAsia="宋体" w:cs="宋体"/>
                <w:b/>
                <w:bCs/>
                <w:szCs w:val="21"/>
                <w:highlight w:val="none"/>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偏离内容</w:t>
            </w:r>
          </w:p>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highlight w:val="none"/>
              </w:rPr>
            </w:pPr>
            <w:r>
              <w:rPr>
                <w:rFonts w:hint="eastAsia" w:asciiTheme="minorEastAsia" w:hAnsiTheme="minorEastAsia"/>
                <w:bCs/>
                <w:szCs w:val="21"/>
                <w:highlight w:val="none"/>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highlight w:val="none"/>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highlight w:val="none"/>
              </w:rPr>
            </w:pPr>
            <w:r>
              <w:rPr>
                <w:rFonts w:hint="eastAsia" w:asciiTheme="minorEastAsia" w:hAnsiTheme="minorEastAsia"/>
                <w:szCs w:val="21"/>
                <w:highlight w:val="none"/>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highlight w:val="none"/>
              </w:rPr>
            </w:pP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r>
        <w:rPr>
          <w:rFonts w:cs="宋体" w:asciiTheme="minorEastAsia" w:hAnsiTheme="minorEastAsia"/>
          <w:szCs w:val="21"/>
          <w:highlight w:val="none"/>
          <w:lang w:val="zh-CN"/>
        </w:rPr>
        <w:t xml:space="preserve"> </w:t>
      </w:r>
    </w:p>
    <w:p>
      <w:pPr>
        <w:autoSpaceDE w:val="0"/>
        <w:autoSpaceDN w:val="0"/>
        <w:adjustRightInd w:val="0"/>
        <w:spacing w:line="480" w:lineRule="auto"/>
        <w:rPr>
          <w:rFonts w:cs="宋体" w:asciiTheme="minorEastAsia" w:hAnsiTheme="minorEastAsia"/>
          <w:szCs w:val="21"/>
          <w:highlight w:val="none"/>
          <w:lang w:val="zh-CN"/>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4.3 技术方案（实施方案）</w:t>
      </w:r>
    </w:p>
    <w:p>
      <w:pPr>
        <w:snapToGrid w:val="0"/>
        <w:spacing w:line="360" w:lineRule="auto"/>
        <w:jc w:val="center"/>
        <w:rPr>
          <w:rFonts w:hAnsi="宋体" w:eastAsia="宋体"/>
          <w:b/>
          <w:snapToGrid w:val="0"/>
          <w:kern w:val="0"/>
          <w:sz w:val="36"/>
          <w:szCs w:val="36"/>
          <w:highlight w:val="none"/>
        </w:rPr>
      </w:pPr>
    </w:p>
    <w:p>
      <w:pPr>
        <w:autoSpaceDE w:val="0"/>
        <w:autoSpaceDN w:val="0"/>
        <w:adjustRightInd w:val="0"/>
        <w:spacing w:line="360" w:lineRule="auto"/>
        <w:jc w:val="center"/>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（投标人根据招标文件要求自行编制）</w:t>
      </w:r>
    </w:p>
    <w:p>
      <w:pPr>
        <w:snapToGrid w:val="0"/>
        <w:spacing w:line="360" w:lineRule="auto"/>
        <w:jc w:val="center"/>
        <w:rPr>
          <w:rFonts w:hAnsi="宋体" w:eastAsia="宋体"/>
          <w:b/>
          <w:snapToGrid w:val="0"/>
          <w:kern w:val="0"/>
          <w:sz w:val="36"/>
          <w:szCs w:val="36"/>
          <w:highlight w:val="none"/>
        </w:rPr>
      </w:pPr>
    </w:p>
    <w:p>
      <w:pPr>
        <w:snapToGrid w:val="0"/>
        <w:spacing w:line="360" w:lineRule="auto"/>
        <w:jc w:val="center"/>
        <w:rPr>
          <w:rFonts w:hAnsi="宋体" w:eastAsia="宋体"/>
          <w:b/>
          <w:snapToGrid w:val="0"/>
          <w:kern w:val="0"/>
          <w:sz w:val="36"/>
          <w:szCs w:val="36"/>
          <w:highlight w:val="none"/>
        </w:rPr>
      </w:pPr>
    </w:p>
    <w:p>
      <w:pPr>
        <w:snapToGrid w:val="0"/>
        <w:spacing w:line="360" w:lineRule="auto"/>
        <w:jc w:val="center"/>
        <w:rPr>
          <w:rFonts w:hAnsi="宋体" w:eastAsia="宋体"/>
          <w:b/>
          <w:snapToGrid w:val="0"/>
          <w:kern w:val="0"/>
          <w:sz w:val="36"/>
          <w:szCs w:val="36"/>
          <w:highlight w:val="none"/>
        </w:rPr>
      </w:pPr>
    </w:p>
    <w:p>
      <w:pPr>
        <w:pStyle w:val="23"/>
      </w:pPr>
    </w:p>
    <w:p>
      <w:pPr>
        <w:snapToGrid w:val="0"/>
        <w:spacing w:line="360" w:lineRule="auto"/>
        <w:jc w:val="center"/>
        <w:rPr>
          <w:rFonts w:hAnsi="宋体" w:eastAsia="宋体"/>
          <w:b/>
          <w:snapToGrid w:val="0"/>
          <w:kern w:val="0"/>
          <w:sz w:val="36"/>
          <w:szCs w:val="36"/>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4.4 业绩情况表</w:t>
      </w:r>
    </w:p>
    <w:p>
      <w:pPr>
        <w:autoSpaceDE w:val="0"/>
        <w:autoSpaceDN w:val="0"/>
        <w:adjustRightInd w:val="0"/>
        <w:spacing w:line="360" w:lineRule="auto"/>
        <w:jc w:val="center"/>
        <w:outlineLvl w:val="0"/>
        <w:rPr>
          <w:rFonts w:ascii="宋体" w:hAnsi="宋体"/>
          <w:b/>
          <w:bCs/>
          <w:color w:val="000000"/>
          <w:sz w:val="28"/>
          <w:szCs w:val="28"/>
          <w:highlight w:val="none"/>
        </w:rPr>
      </w:pPr>
    </w:p>
    <w:p>
      <w:pPr>
        <w:spacing w:before="50" w:afterLines="50" w:line="360" w:lineRule="auto"/>
        <w:contextualSpacing/>
        <w:jc w:val="left"/>
        <w:rPr>
          <w:rFonts w:asciiTheme="minorEastAsia" w:hAnsiTheme="minorEastAsia"/>
          <w:color w:val="000000"/>
          <w:szCs w:val="21"/>
          <w:highlight w:val="none"/>
        </w:rPr>
      </w:pPr>
      <w:r>
        <w:rPr>
          <w:rFonts w:hint="eastAsia" w:asciiTheme="minorEastAsia" w:hAnsiTheme="minorEastAsia"/>
          <w:color w:val="000000"/>
          <w:szCs w:val="21"/>
          <w:highlight w:val="none"/>
        </w:rPr>
        <w:t>项目编号：</w:t>
      </w:r>
    </w:p>
    <w:p>
      <w:pPr>
        <w:snapToGrid w:val="0"/>
        <w:spacing w:line="360" w:lineRule="auto"/>
        <w:rPr>
          <w:rFonts w:hAnsi="宋体" w:eastAsia="宋体"/>
          <w:b/>
          <w:snapToGrid w:val="0"/>
          <w:kern w:val="0"/>
          <w:szCs w:val="21"/>
          <w:highlight w:val="none"/>
        </w:rPr>
      </w:pPr>
      <w:r>
        <w:rPr>
          <w:rFonts w:hint="eastAsia" w:asciiTheme="minorEastAsia" w:hAnsiTheme="minorEastAsia"/>
          <w:color w:val="000000"/>
          <w:szCs w:val="21"/>
          <w:highlight w:val="none"/>
        </w:rPr>
        <w:t xml:space="preserve">项目名称：   </w:t>
      </w:r>
    </w:p>
    <w:tbl>
      <w:tblPr>
        <w:tblStyle w:val="24"/>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pPr>
              <w:pStyle w:val="8"/>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序号</w:t>
            </w:r>
          </w:p>
        </w:tc>
        <w:tc>
          <w:tcPr>
            <w:tcW w:w="1808" w:type="dxa"/>
            <w:shd w:val="clear" w:color="auto" w:fill="F3F3F3"/>
            <w:vAlign w:val="center"/>
          </w:tcPr>
          <w:p>
            <w:pPr>
              <w:pStyle w:val="8"/>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客户单位名称</w:t>
            </w:r>
          </w:p>
        </w:tc>
        <w:tc>
          <w:tcPr>
            <w:tcW w:w="3579" w:type="dxa"/>
            <w:shd w:val="clear" w:color="auto" w:fill="F3F3F3"/>
            <w:vAlign w:val="center"/>
          </w:tcPr>
          <w:p>
            <w:pPr>
              <w:pStyle w:val="8"/>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项目名称及主要内容</w:t>
            </w:r>
          </w:p>
        </w:tc>
        <w:tc>
          <w:tcPr>
            <w:tcW w:w="1440" w:type="dxa"/>
            <w:shd w:val="clear" w:color="auto" w:fill="F3F3F3"/>
            <w:vAlign w:val="center"/>
          </w:tcPr>
          <w:p>
            <w:pPr>
              <w:pStyle w:val="8"/>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合同金额</w:t>
            </w:r>
          </w:p>
          <w:p>
            <w:pPr>
              <w:pStyle w:val="8"/>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（万元）</w:t>
            </w:r>
          </w:p>
        </w:tc>
        <w:tc>
          <w:tcPr>
            <w:tcW w:w="1706" w:type="dxa"/>
            <w:shd w:val="clear" w:color="auto" w:fill="F3F3F3"/>
            <w:vAlign w:val="center"/>
          </w:tcPr>
          <w:p>
            <w:pPr>
              <w:pStyle w:val="8"/>
              <w:jc w:val="center"/>
              <w:rPr>
                <w:rFonts w:ascii="宋体" w:hAnsi="宋体" w:eastAsia="宋体" w:cs="Times New Roman"/>
                <w:b/>
                <w:bCs/>
                <w:sz w:val="21"/>
                <w:szCs w:val="21"/>
                <w:highlight w:val="none"/>
              </w:rPr>
            </w:pPr>
            <w:r>
              <w:rPr>
                <w:rFonts w:hint="eastAsia" w:ascii="宋体" w:hAnsi="宋体" w:eastAsia="宋体" w:cs="宋体"/>
                <w:b/>
                <w:bCs/>
                <w:sz w:val="21"/>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1</w:t>
            </w:r>
          </w:p>
        </w:tc>
        <w:tc>
          <w:tcPr>
            <w:tcW w:w="1808" w:type="dxa"/>
            <w:vAlign w:val="center"/>
          </w:tcPr>
          <w:p>
            <w:pPr>
              <w:pStyle w:val="8"/>
              <w:spacing w:line="360" w:lineRule="auto"/>
              <w:rPr>
                <w:rFonts w:ascii="宋体" w:hAnsi="宋体" w:eastAsia="宋体" w:cs="Times New Roman"/>
                <w:sz w:val="21"/>
                <w:szCs w:val="21"/>
                <w:highlight w:val="none"/>
              </w:rPr>
            </w:pPr>
          </w:p>
        </w:tc>
        <w:tc>
          <w:tcPr>
            <w:tcW w:w="3579" w:type="dxa"/>
            <w:vAlign w:val="center"/>
          </w:tcPr>
          <w:p>
            <w:pPr>
              <w:pStyle w:val="8"/>
              <w:spacing w:line="360" w:lineRule="auto"/>
              <w:rPr>
                <w:rFonts w:ascii="宋体" w:hAnsi="宋体" w:eastAsia="宋体" w:cs="Times New Roman"/>
                <w:sz w:val="21"/>
                <w:szCs w:val="21"/>
                <w:highlight w:val="none"/>
              </w:rPr>
            </w:pPr>
          </w:p>
        </w:tc>
        <w:tc>
          <w:tcPr>
            <w:tcW w:w="1440" w:type="dxa"/>
            <w:vAlign w:val="center"/>
          </w:tcPr>
          <w:p>
            <w:pPr>
              <w:pStyle w:val="8"/>
              <w:spacing w:line="360" w:lineRule="auto"/>
              <w:rPr>
                <w:rFonts w:ascii="宋体" w:hAnsi="宋体" w:eastAsia="宋体" w:cs="Times New Roman"/>
                <w:sz w:val="21"/>
                <w:szCs w:val="21"/>
                <w:highlight w:val="none"/>
              </w:rPr>
            </w:pPr>
          </w:p>
        </w:tc>
        <w:tc>
          <w:tcPr>
            <w:tcW w:w="1706" w:type="dxa"/>
            <w:vAlign w:val="center"/>
          </w:tcPr>
          <w:p>
            <w:pPr>
              <w:pStyle w:val="8"/>
              <w:spacing w:line="360" w:lineRule="auto"/>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2</w:t>
            </w:r>
          </w:p>
        </w:tc>
        <w:tc>
          <w:tcPr>
            <w:tcW w:w="1808" w:type="dxa"/>
            <w:vAlign w:val="center"/>
          </w:tcPr>
          <w:p>
            <w:pPr>
              <w:pStyle w:val="8"/>
              <w:spacing w:line="360" w:lineRule="auto"/>
              <w:rPr>
                <w:rFonts w:ascii="宋体" w:hAnsi="宋体" w:eastAsia="宋体" w:cs="Times New Roman"/>
                <w:sz w:val="21"/>
                <w:szCs w:val="21"/>
                <w:highlight w:val="none"/>
              </w:rPr>
            </w:pPr>
          </w:p>
        </w:tc>
        <w:tc>
          <w:tcPr>
            <w:tcW w:w="3579" w:type="dxa"/>
            <w:vAlign w:val="center"/>
          </w:tcPr>
          <w:p>
            <w:pPr>
              <w:pStyle w:val="8"/>
              <w:spacing w:line="360" w:lineRule="auto"/>
              <w:rPr>
                <w:rFonts w:ascii="宋体" w:hAnsi="宋体" w:eastAsia="宋体" w:cs="Times New Roman"/>
                <w:sz w:val="21"/>
                <w:szCs w:val="21"/>
                <w:highlight w:val="none"/>
              </w:rPr>
            </w:pPr>
          </w:p>
        </w:tc>
        <w:tc>
          <w:tcPr>
            <w:tcW w:w="1440" w:type="dxa"/>
            <w:vAlign w:val="center"/>
          </w:tcPr>
          <w:p>
            <w:pPr>
              <w:pStyle w:val="8"/>
              <w:spacing w:line="360" w:lineRule="auto"/>
              <w:rPr>
                <w:rFonts w:ascii="宋体" w:hAnsi="宋体" w:eastAsia="宋体" w:cs="Times New Roman"/>
                <w:sz w:val="21"/>
                <w:szCs w:val="21"/>
                <w:highlight w:val="none"/>
              </w:rPr>
            </w:pPr>
          </w:p>
        </w:tc>
        <w:tc>
          <w:tcPr>
            <w:tcW w:w="1706" w:type="dxa"/>
            <w:vAlign w:val="center"/>
          </w:tcPr>
          <w:p>
            <w:pPr>
              <w:pStyle w:val="8"/>
              <w:spacing w:line="360" w:lineRule="auto"/>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3</w:t>
            </w:r>
          </w:p>
        </w:tc>
        <w:tc>
          <w:tcPr>
            <w:tcW w:w="1808" w:type="dxa"/>
            <w:vAlign w:val="center"/>
          </w:tcPr>
          <w:p>
            <w:pPr>
              <w:pStyle w:val="8"/>
              <w:spacing w:line="360" w:lineRule="auto"/>
              <w:rPr>
                <w:rFonts w:ascii="宋体" w:hAnsi="宋体" w:eastAsia="宋体" w:cs="Times New Roman"/>
                <w:sz w:val="21"/>
                <w:szCs w:val="21"/>
                <w:highlight w:val="none"/>
              </w:rPr>
            </w:pPr>
          </w:p>
        </w:tc>
        <w:tc>
          <w:tcPr>
            <w:tcW w:w="3579" w:type="dxa"/>
            <w:vAlign w:val="center"/>
          </w:tcPr>
          <w:p>
            <w:pPr>
              <w:pStyle w:val="8"/>
              <w:spacing w:line="360" w:lineRule="auto"/>
              <w:rPr>
                <w:rFonts w:ascii="宋体" w:hAnsi="宋体" w:eastAsia="宋体" w:cs="Times New Roman"/>
                <w:sz w:val="21"/>
                <w:szCs w:val="21"/>
                <w:highlight w:val="none"/>
              </w:rPr>
            </w:pPr>
          </w:p>
        </w:tc>
        <w:tc>
          <w:tcPr>
            <w:tcW w:w="1440" w:type="dxa"/>
            <w:vAlign w:val="center"/>
          </w:tcPr>
          <w:p>
            <w:pPr>
              <w:pStyle w:val="8"/>
              <w:spacing w:line="360" w:lineRule="auto"/>
              <w:rPr>
                <w:rFonts w:ascii="宋体" w:hAnsi="宋体" w:eastAsia="宋体" w:cs="Times New Roman"/>
                <w:sz w:val="21"/>
                <w:szCs w:val="21"/>
                <w:highlight w:val="none"/>
              </w:rPr>
            </w:pPr>
          </w:p>
        </w:tc>
        <w:tc>
          <w:tcPr>
            <w:tcW w:w="1706" w:type="dxa"/>
            <w:vAlign w:val="center"/>
          </w:tcPr>
          <w:p>
            <w:pPr>
              <w:pStyle w:val="8"/>
              <w:spacing w:line="360" w:lineRule="auto"/>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highlight w:val="none"/>
              </w:rPr>
            </w:pPr>
            <w:r>
              <w:rPr>
                <w:rFonts w:ascii="宋体" w:hAnsi="宋体" w:eastAsia="宋体" w:cs="宋体"/>
                <w:sz w:val="21"/>
                <w:szCs w:val="21"/>
                <w:highlight w:val="none"/>
              </w:rPr>
              <w:t>4</w:t>
            </w:r>
          </w:p>
        </w:tc>
        <w:tc>
          <w:tcPr>
            <w:tcW w:w="1808" w:type="dxa"/>
            <w:vAlign w:val="center"/>
          </w:tcPr>
          <w:p>
            <w:pPr>
              <w:rPr>
                <w:rFonts w:ascii="宋体"/>
                <w:szCs w:val="21"/>
                <w:highlight w:val="none"/>
              </w:rPr>
            </w:pPr>
          </w:p>
        </w:tc>
        <w:tc>
          <w:tcPr>
            <w:tcW w:w="3579" w:type="dxa"/>
            <w:vAlign w:val="center"/>
          </w:tcPr>
          <w:p>
            <w:pPr>
              <w:rPr>
                <w:rFonts w:ascii="宋体"/>
                <w:szCs w:val="21"/>
                <w:highlight w:val="none"/>
              </w:rPr>
            </w:pPr>
          </w:p>
        </w:tc>
        <w:tc>
          <w:tcPr>
            <w:tcW w:w="1440" w:type="dxa"/>
            <w:vAlign w:val="center"/>
          </w:tcPr>
          <w:p>
            <w:pPr>
              <w:rPr>
                <w:rFonts w:ascii="宋体"/>
                <w:szCs w:val="21"/>
                <w:highlight w:val="none"/>
              </w:rPr>
            </w:pPr>
          </w:p>
        </w:tc>
        <w:tc>
          <w:tcPr>
            <w:tcW w:w="1706" w:type="dxa"/>
            <w:vAlign w:val="center"/>
          </w:tcPr>
          <w:p>
            <w:pPr>
              <w:rPr>
                <w:rFonts w:asci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1808" w:type="dxa"/>
            <w:vAlign w:val="center"/>
          </w:tcPr>
          <w:p>
            <w:pPr>
              <w:rPr>
                <w:rFonts w:ascii="宋体"/>
                <w:szCs w:val="21"/>
                <w:highlight w:val="none"/>
              </w:rPr>
            </w:pPr>
          </w:p>
        </w:tc>
        <w:tc>
          <w:tcPr>
            <w:tcW w:w="3579" w:type="dxa"/>
            <w:vAlign w:val="center"/>
          </w:tcPr>
          <w:p>
            <w:pPr>
              <w:rPr>
                <w:rFonts w:ascii="宋体"/>
                <w:szCs w:val="21"/>
                <w:highlight w:val="none"/>
              </w:rPr>
            </w:pPr>
          </w:p>
        </w:tc>
        <w:tc>
          <w:tcPr>
            <w:tcW w:w="1440" w:type="dxa"/>
            <w:vAlign w:val="center"/>
          </w:tcPr>
          <w:p>
            <w:pPr>
              <w:rPr>
                <w:rFonts w:ascii="宋体"/>
                <w:szCs w:val="21"/>
                <w:highlight w:val="none"/>
              </w:rPr>
            </w:pPr>
          </w:p>
        </w:tc>
        <w:tc>
          <w:tcPr>
            <w:tcW w:w="1706" w:type="dxa"/>
            <w:vAlign w:val="center"/>
          </w:tcPr>
          <w:p>
            <w:pPr>
              <w:rPr>
                <w:rFonts w:ascii="宋体"/>
                <w:szCs w:val="21"/>
                <w:highlight w:val="none"/>
              </w:rPr>
            </w:pPr>
          </w:p>
        </w:tc>
      </w:tr>
    </w:tbl>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投标人（公章）：</w:t>
      </w:r>
    </w:p>
    <w:p>
      <w:pPr>
        <w:autoSpaceDE w:val="0"/>
        <w:autoSpaceDN w:val="0"/>
        <w:adjustRightInd w:val="0"/>
        <w:spacing w:line="480" w:lineRule="auto"/>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投标人法定代表人（单位负责人）或授权代表签字：</w:t>
      </w:r>
      <w:r>
        <w:rPr>
          <w:rFonts w:cs="宋体" w:asciiTheme="minorEastAsia" w:hAnsiTheme="minorEastAsia"/>
          <w:szCs w:val="21"/>
          <w:highlight w:val="none"/>
          <w:lang w:val="zh-CN"/>
        </w:rPr>
        <w:t xml:space="preserve"> </w:t>
      </w:r>
    </w:p>
    <w:p>
      <w:pPr>
        <w:autoSpaceDE w:val="0"/>
        <w:autoSpaceDN w:val="0"/>
        <w:adjustRightInd w:val="0"/>
        <w:spacing w:line="480" w:lineRule="auto"/>
        <w:rPr>
          <w:rFonts w:cs="宋体" w:asciiTheme="minorEastAsia" w:hAnsiTheme="minorEastAsia"/>
          <w:sz w:val="24"/>
          <w:szCs w:val="24"/>
          <w:highlight w:val="none"/>
          <w:lang w:val="zh-CN"/>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pStyle w:val="23"/>
        <w:rPr>
          <w:rFonts w:hint="eastAsia"/>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4.5 售后服务方案</w:t>
      </w:r>
    </w:p>
    <w:p>
      <w:pPr>
        <w:autoSpaceDE w:val="0"/>
        <w:autoSpaceDN w:val="0"/>
        <w:adjustRightInd w:val="0"/>
        <w:spacing w:line="360" w:lineRule="auto"/>
        <w:jc w:val="center"/>
        <w:outlineLvl w:val="0"/>
        <w:rPr>
          <w:rFonts w:ascii="宋体" w:hAnsi="宋体"/>
          <w:b/>
          <w:bCs/>
          <w:color w:val="000000"/>
          <w:sz w:val="36"/>
          <w:szCs w:val="36"/>
          <w:highlight w:val="none"/>
        </w:rPr>
      </w:pPr>
    </w:p>
    <w:p>
      <w:pPr>
        <w:autoSpaceDE w:val="0"/>
        <w:autoSpaceDN w:val="0"/>
        <w:adjustRightInd w:val="0"/>
        <w:spacing w:line="360" w:lineRule="auto"/>
        <w:jc w:val="center"/>
        <w:rPr>
          <w:rFonts w:cs="宋体" w:asciiTheme="minorEastAsia" w:hAnsiTheme="minorEastAsia"/>
          <w:szCs w:val="21"/>
          <w:highlight w:val="none"/>
          <w:lang w:val="zh-CN"/>
        </w:rPr>
      </w:pPr>
      <w:r>
        <w:rPr>
          <w:rFonts w:hint="eastAsia" w:cs="宋体" w:asciiTheme="minorEastAsia" w:hAnsiTheme="minorEastAsia"/>
          <w:szCs w:val="21"/>
          <w:highlight w:val="none"/>
          <w:lang w:val="zh-CN"/>
        </w:rPr>
        <w:t>（投标人根据招标文件要求自行编制）</w:t>
      </w:r>
    </w:p>
    <w:p>
      <w:pPr>
        <w:autoSpaceDE w:val="0"/>
        <w:autoSpaceDN w:val="0"/>
        <w:adjustRightInd w:val="0"/>
        <w:spacing w:line="360" w:lineRule="auto"/>
        <w:jc w:val="center"/>
        <w:outlineLvl w:val="0"/>
        <w:rPr>
          <w:rFonts w:ascii="宋体" w:hAnsi="宋体"/>
          <w:b/>
          <w:bCs/>
          <w:color w:val="000000"/>
          <w:sz w:val="36"/>
          <w:szCs w:val="36"/>
          <w:highlight w:val="none"/>
        </w:rPr>
      </w:pPr>
    </w:p>
    <w:p>
      <w:pPr>
        <w:autoSpaceDE w:val="0"/>
        <w:autoSpaceDN w:val="0"/>
        <w:adjustRightInd w:val="0"/>
        <w:spacing w:line="360" w:lineRule="auto"/>
        <w:jc w:val="center"/>
        <w:outlineLvl w:val="0"/>
        <w:rPr>
          <w:rFonts w:ascii="宋体" w:hAnsi="宋体"/>
          <w:b/>
          <w:bCs/>
          <w:color w:val="000000"/>
          <w:sz w:val="36"/>
          <w:szCs w:val="36"/>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4.6 中小企业声明函</w:t>
      </w:r>
    </w:p>
    <w:p>
      <w:pPr>
        <w:spacing w:line="360" w:lineRule="auto"/>
        <w:jc w:val="center"/>
        <w:rPr>
          <w:rFonts w:ascii="宋体" w:hAnsi="宋体"/>
          <w:b/>
          <w:bCs/>
          <w:color w:val="000000"/>
          <w:szCs w:val="21"/>
          <w:highlight w:val="none"/>
        </w:rPr>
      </w:pPr>
    </w:p>
    <w:p>
      <w:pPr>
        <w:widowControl/>
        <w:spacing w:before="100" w:beforeAutospacing="1" w:after="100" w:afterAutospacing="1" w:line="360" w:lineRule="auto"/>
        <w:ind w:firstLine="420"/>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highlight w:val="none"/>
        </w:rPr>
        <w:br w:type="textWrapping"/>
      </w:r>
      <w:r>
        <w:rPr>
          <w:rFonts w:hint="eastAsia" w:ascii="宋体" w:hAnsi="宋体" w:cs="Arial"/>
          <w:color w:val="000000"/>
          <w:kern w:val="0"/>
          <w:szCs w:val="21"/>
          <w:highlight w:val="none"/>
        </w:rPr>
        <w:t>　　根据《工业和信息化部、国家统计局、国家发展和改革委员会、财政部关于印发中小企业划型标准规定的通知》（工信部联企业[2011]300号）规定的划分标准，</w:t>
      </w:r>
      <w:r>
        <w:rPr>
          <w:rFonts w:hint="eastAsia"/>
          <w:color w:val="000000"/>
          <w:szCs w:val="21"/>
          <w:highlight w:val="none"/>
        </w:rPr>
        <w:t>按照《国家统计局关于印发统计上大中小微型企业划分办法的通知》（国统字</w:t>
      </w:r>
      <w:r>
        <w:rPr>
          <w:color w:val="000000"/>
          <w:szCs w:val="21"/>
          <w:highlight w:val="none"/>
        </w:rPr>
        <w:t>[2011] 75</w:t>
      </w:r>
      <w:r>
        <w:rPr>
          <w:rFonts w:hint="eastAsia"/>
          <w:color w:val="000000"/>
          <w:szCs w:val="21"/>
          <w:highlight w:val="none"/>
        </w:rPr>
        <w:t>号）规定，本公司所属行业为</w:t>
      </w:r>
      <w:r>
        <w:rPr>
          <w:color w:val="000000"/>
          <w:szCs w:val="21"/>
          <w:highlight w:val="none"/>
        </w:rPr>
        <w:t>______</w:t>
      </w:r>
      <w:r>
        <w:rPr>
          <w:rFonts w:hint="eastAsia"/>
          <w:color w:val="000000"/>
          <w:szCs w:val="21"/>
          <w:highlight w:val="none"/>
        </w:rPr>
        <w:t>，截至上一财年末，公司资产总额</w:t>
      </w:r>
      <w:r>
        <w:rPr>
          <w:color w:val="000000"/>
          <w:szCs w:val="21"/>
          <w:highlight w:val="none"/>
        </w:rPr>
        <w:t>______</w:t>
      </w:r>
      <w:r>
        <w:rPr>
          <w:rFonts w:hint="eastAsia"/>
          <w:color w:val="000000"/>
          <w:szCs w:val="21"/>
          <w:highlight w:val="none"/>
        </w:rPr>
        <w:t>万元，营业收入</w:t>
      </w:r>
      <w:r>
        <w:rPr>
          <w:color w:val="000000"/>
          <w:szCs w:val="21"/>
          <w:highlight w:val="none"/>
        </w:rPr>
        <w:t>______</w:t>
      </w:r>
      <w:r>
        <w:rPr>
          <w:rFonts w:hint="eastAsia"/>
          <w:color w:val="000000"/>
          <w:szCs w:val="21"/>
          <w:highlight w:val="none"/>
        </w:rPr>
        <w:t>万元，从业人员</w:t>
      </w:r>
      <w:r>
        <w:rPr>
          <w:color w:val="000000"/>
          <w:szCs w:val="21"/>
          <w:highlight w:val="none"/>
        </w:rPr>
        <w:t>______</w:t>
      </w:r>
      <w:r>
        <w:rPr>
          <w:rFonts w:hint="eastAsia"/>
          <w:color w:val="000000"/>
          <w:szCs w:val="21"/>
          <w:highlight w:val="none"/>
        </w:rPr>
        <w:t>人，</w:t>
      </w:r>
      <w:r>
        <w:rPr>
          <w:rFonts w:hint="eastAsia" w:ascii="宋体" w:hAnsi="宋体" w:cs="Arial"/>
          <w:color w:val="000000"/>
          <w:kern w:val="0"/>
          <w:szCs w:val="21"/>
          <w:highlight w:val="none"/>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highlight w:val="none"/>
        </w:rPr>
      </w:pPr>
    </w:p>
    <w:p>
      <w:pPr>
        <w:widowControl/>
        <w:spacing w:before="100" w:beforeAutospacing="1" w:after="100" w:afterAutospacing="1" w:line="360" w:lineRule="auto"/>
        <w:ind w:left="3885" w:leftChars="1850"/>
        <w:jc w:val="left"/>
        <w:rPr>
          <w:rFonts w:ascii="宋体" w:hAnsi="宋体" w:cs="Arial"/>
          <w:color w:val="000000"/>
          <w:kern w:val="0"/>
          <w:szCs w:val="21"/>
          <w:highlight w:val="none"/>
        </w:rPr>
      </w:pPr>
    </w:p>
    <w:p>
      <w:pPr>
        <w:widowControl/>
        <w:spacing w:before="100" w:beforeAutospacing="1" w:after="100" w:afterAutospacing="1" w:line="360" w:lineRule="auto"/>
        <w:ind w:left="3885" w:leftChars="1850"/>
        <w:jc w:val="left"/>
        <w:rPr>
          <w:rFonts w:ascii="宋体" w:hAnsi="宋体" w:cs="Arial"/>
          <w:color w:val="000000"/>
          <w:kern w:val="0"/>
          <w:szCs w:val="21"/>
          <w:highlight w:val="none"/>
        </w:rPr>
      </w:pPr>
      <w:r>
        <w:rPr>
          <w:rFonts w:hint="eastAsia" w:ascii="宋体" w:hAnsi="宋体" w:cs="Arial"/>
          <w:color w:val="000000"/>
          <w:kern w:val="0"/>
          <w:szCs w:val="21"/>
          <w:highlight w:val="none"/>
        </w:rPr>
        <w:t>企业名称（盖章）：　　　　　　　　　</w:t>
      </w:r>
      <w:r>
        <w:rPr>
          <w:rFonts w:hint="eastAsia" w:ascii="宋体" w:hAnsi="宋体" w:cs="Arial"/>
          <w:color w:val="000000"/>
          <w:kern w:val="0"/>
          <w:szCs w:val="21"/>
          <w:highlight w:val="none"/>
        </w:rPr>
        <w:br w:type="textWrapping"/>
      </w:r>
      <w:r>
        <w:rPr>
          <w:rFonts w:hint="eastAsia" w:ascii="宋体" w:hAnsi="宋体" w:cs="Arial"/>
          <w:color w:val="000000"/>
          <w:kern w:val="0"/>
          <w:szCs w:val="21"/>
          <w:highlight w:val="none"/>
        </w:rPr>
        <w:t xml:space="preserve">日　  期：      </w:t>
      </w:r>
      <w:r>
        <w:rPr>
          <w:rFonts w:hint="eastAsia" w:cs="宋体" w:asciiTheme="minorEastAsia" w:hAnsiTheme="minorEastAsia"/>
          <w:szCs w:val="21"/>
          <w:highlight w:val="none"/>
        </w:rPr>
        <w:t>年    月    日</w:t>
      </w:r>
    </w:p>
    <w:p>
      <w:pPr>
        <w:widowControl/>
        <w:spacing w:before="100" w:beforeAutospacing="1" w:after="100" w:afterAutospacing="1" w:line="360" w:lineRule="auto"/>
        <w:contextualSpacing/>
        <w:jc w:val="left"/>
        <w:rPr>
          <w:rFonts w:ascii="宋体" w:hAnsi="宋体"/>
          <w:color w:val="000000"/>
          <w:szCs w:val="21"/>
          <w:highlight w:val="none"/>
        </w:rPr>
      </w:pPr>
      <w:r>
        <w:rPr>
          <w:rFonts w:hint="eastAsia" w:ascii="宋体" w:hAnsi="宋体"/>
          <w:color w:val="000000"/>
          <w:szCs w:val="21"/>
          <w:highlight w:val="none"/>
        </w:rPr>
        <w:t>说明：</w:t>
      </w:r>
    </w:p>
    <w:p>
      <w:pPr>
        <w:widowControl/>
        <w:spacing w:before="100" w:beforeAutospacing="1" w:after="100" w:afterAutospacing="1" w:line="360" w:lineRule="auto"/>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2、如投标人为联合投标的，联合投标人需分别填写上述《中小企业声明函》。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highlight w:val="none"/>
        </w:rPr>
      </w:pPr>
      <w:r>
        <w:rPr>
          <w:rFonts w:hint="eastAsia" w:ascii="宋体" w:hAnsi="宋体" w:cs="Arial"/>
          <w:color w:val="000000"/>
          <w:kern w:val="0"/>
          <w:szCs w:val="21"/>
          <w:highlight w:val="none"/>
        </w:rPr>
        <w:t>3、小型和微型企业不包括民办非企业。</w:t>
      </w:r>
    </w:p>
    <w:p>
      <w:pPr>
        <w:autoSpaceDE w:val="0"/>
        <w:autoSpaceDN w:val="0"/>
        <w:adjustRightInd w:val="0"/>
        <w:spacing w:line="360" w:lineRule="auto"/>
        <w:jc w:val="center"/>
        <w:outlineLvl w:val="0"/>
        <w:rPr>
          <w:rFonts w:hint="eastAsia" w:ascii="宋体" w:hAnsi="宋体"/>
          <w:b/>
          <w:bCs/>
          <w:color w:val="000000"/>
          <w:sz w:val="24"/>
          <w:szCs w:val="24"/>
          <w:highlight w:val="none"/>
        </w:rPr>
      </w:pPr>
      <w:bookmarkStart w:id="27" w:name="OLE_LINK14"/>
      <w:bookmarkStart w:id="28" w:name="OLE_LINK13"/>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4.7 残疾人福利性单位声明函</w:t>
      </w:r>
    </w:p>
    <w:bookmarkEnd w:id="27"/>
    <w:bookmarkEnd w:id="28"/>
    <w:p>
      <w:pPr>
        <w:spacing w:line="360" w:lineRule="auto"/>
        <w:rPr>
          <w:rFonts w:ascii="宋体" w:hAnsi="宋体"/>
          <w:szCs w:val="21"/>
          <w:highlight w:val="none"/>
        </w:rPr>
      </w:pPr>
    </w:p>
    <w:p>
      <w:pPr>
        <w:spacing w:line="360" w:lineRule="auto"/>
        <w:ind w:firstLine="420" w:firstLineChars="200"/>
        <w:rPr>
          <w:rFonts w:ascii="宋体" w:hAnsi="宋体"/>
          <w:szCs w:val="21"/>
          <w:highlight w:val="none"/>
        </w:rPr>
      </w:pPr>
      <w:r>
        <w:rPr>
          <w:rFonts w:hint="eastAsia" w:ascii="宋体" w:hAnsi="宋体"/>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Cs w:val="21"/>
          <w:highlight w:val="none"/>
          <w:u w:val="single"/>
        </w:rPr>
        <w:t xml:space="preserve">        </w:t>
      </w:r>
      <w:r>
        <w:rPr>
          <w:rFonts w:hint="eastAsia" w:ascii="宋体" w:hAnsi="宋体"/>
          <w:szCs w:val="21"/>
          <w:highlight w:val="none"/>
        </w:rPr>
        <w:t>单位的</w:t>
      </w:r>
      <w:r>
        <w:rPr>
          <w:rFonts w:hint="eastAsia" w:ascii="宋体" w:hAnsi="宋体"/>
          <w:szCs w:val="21"/>
          <w:highlight w:val="none"/>
          <w:u w:val="single"/>
        </w:rPr>
        <w:t xml:space="preserve">           </w:t>
      </w:r>
      <w:r>
        <w:rPr>
          <w:rFonts w:hint="eastAsia" w:ascii="宋体" w:hAnsi="宋体"/>
          <w:szCs w:val="21"/>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highlight w:val="none"/>
        </w:rPr>
      </w:pPr>
      <w:r>
        <w:rPr>
          <w:rFonts w:hint="eastAsia" w:ascii="宋体" w:hAnsi="宋体"/>
          <w:szCs w:val="21"/>
          <w:highlight w:val="none"/>
        </w:rPr>
        <w:t>本单位对上述声明的真实性负责。如有虚假，将依法承担相应责任。</w:t>
      </w:r>
    </w:p>
    <w:p>
      <w:pPr>
        <w:spacing w:line="360" w:lineRule="auto"/>
        <w:rPr>
          <w:rFonts w:ascii="宋体" w:hAnsi="宋体"/>
          <w:szCs w:val="21"/>
          <w:highlight w:val="none"/>
        </w:rPr>
      </w:pPr>
    </w:p>
    <w:p>
      <w:pPr>
        <w:spacing w:line="360" w:lineRule="auto"/>
        <w:rPr>
          <w:rFonts w:ascii="宋体" w:hAnsi="宋体"/>
          <w:szCs w:val="21"/>
          <w:highlight w:val="none"/>
        </w:rPr>
      </w:pPr>
    </w:p>
    <w:p>
      <w:pPr>
        <w:spacing w:line="360" w:lineRule="auto"/>
        <w:rPr>
          <w:rFonts w:ascii="宋体" w:hAnsi="宋体"/>
          <w:szCs w:val="21"/>
          <w:highlight w:val="none"/>
        </w:rPr>
      </w:pPr>
      <w:r>
        <w:rPr>
          <w:rFonts w:hint="eastAsia" w:ascii="宋体" w:hAnsi="宋体"/>
          <w:szCs w:val="21"/>
          <w:highlight w:val="none"/>
        </w:rPr>
        <w:t xml:space="preserve">                                    单位名称（盖章）：</w:t>
      </w:r>
    </w:p>
    <w:p>
      <w:pPr>
        <w:spacing w:line="360" w:lineRule="auto"/>
        <w:rPr>
          <w:rFonts w:ascii="宋体" w:hAnsi="宋体"/>
          <w:szCs w:val="21"/>
          <w:highlight w:val="none"/>
        </w:rPr>
      </w:pPr>
      <w:r>
        <w:rPr>
          <w:rFonts w:hint="eastAsia" w:ascii="宋体" w:hAnsi="宋体"/>
          <w:szCs w:val="21"/>
          <w:highlight w:val="none"/>
        </w:rPr>
        <w:t xml:space="preserve">                                    日    期：      </w:t>
      </w:r>
      <w:r>
        <w:rPr>
          <w:rFonts w:hint="eastAsia" w:cs="宋体" w:asciiTheme="minorEastAsia" w:hAnsiTheme="minorEastAsia"/>
          <w:szCs w:val="21"/>
          <w:highlight w:val="none"/>
        </w:rPr>
        <w:t>年    月    日</w:t>
      </w:r>
    </w:p>
    <w:p>
      <w:pPr>
        <w:rPr>
          <w:highlight w:val="none"/>
        </w:rPr>
      </w:pPr>
    </w:p>
    <w:p>
      <w:pPr>
        <w:rPr>
          <w:highlight w:val="none"/>
        </w:rPr>
      </w:pPr>
    </w:p>
    <w:p>
      <w:pPr>
        <w:autoSpaceDE w:val="0"/>
        <w:autoSpaceDN w:val="0"/>
        <w:adjustRightInd w:val="0"/>
        <w:spacing w:line="360" w:lineRule="auto"/>
        <w:jc w:val="center"/>
        <w:outlineLvl w:val="0"/>
        <w:rPr>
          <w:rFonts w:hint="eastAsia" w:ascii="宋体" w:hAnsi="宋体"/>
          <w:b/>
          <w:bCs/>
          <w:color w:val="000000"/>
          <w:sz w:val="24"/>
          <w:szCs w:val="24"/>
          <w:highlight w:val="none"/>
        </w:rPr>
      </w:pPr>
    </w:p>
    <w:p>
      <w:pPr>
        <w:autoSpaceDE w:val="0"/>
        <w:autoSpaceDN w:val="0"/>
        <w:adjustRightInd w:val="0"/>
        <w:spacing w:line="360" w:lineRule="auto"/>
        <w:jc w:val="center"/>
        <w:outlineLvl w:val="0"/>
        <w:rPr>
          <w:rFonts w:ascii="宋体" w:hAnsi="宋体"/>
          <w:b/>
          <w:bCs/>
          <w:color w:val="000000"/>
          <w:sz w:val="24"/>
          <w:szCs w:val="24"/>
          <w:highlight w:val="none"/>
        </w:rPr>
      </w:pPr>
      <w:r>
        <w:rPr>
          <w:rFonts w:hint="eastAsia" w:ascii="宋体" w:hAnsi="宋体"/>
          <w:b/>
          <w:bCs/>
          <w:color w:val="000000"/>
          <w:sz w:val="24"/>
          <w:szCs w:val="24"/>
          <w:highlight w:val="none"/>
        </w:rPr>
        <w:t xml:space="preserve">4.8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highlight w:val="none"/>
        </w:rPr>
      </w:pPr>
    </w:p>
    <w:p>
      <w:pPr>
        <w:spacing w:line="360" w:lineRule="auto"/>
        <w:jc w:val="center"/>
        <w:rPr>
          <w:rFonts w:ascii="宋体" w:hAnsi="宋体" w:cs="Arial"/>
          <w:color w:val="000000"/>
          <w:kern w:val="0"/>
          <w:szCs w:val="21"/>
          <w:highlight w:val="none"/>
        </w:rPr>
      </w:pPr>
      <w:r>
        <w:rPr>
          <w:rFonts w:hint="eastAsia" w:ascii="宋体" w:hAnsi="宋体" w:cs="Arial"/>
          <w:color w:val="000000"/>
          <w:kern w:val="0"/>
          <w:szCs w:val="21"/>
          <w:highlight w:val="none"/>
        </w:rPr>
        <w:t>投标人所投产品涉及国家有属强制性规定的，须承诺其所投产品符合国家强制性要求（如CCC认证，格式自拟）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highlight w:val="none"/>
        </w:rPr>
      </w:pPr>
    </w:p>
    <w:p>
      <w:pPr>
        <w:widowControl/>
        <w:spacing w:before="100" w:beforeAutospacing="1" w:after="100" w:afterAutospacing="1" w:line="360" w:lineRule="auto"/>
        <w:jc w:val="center"/>
        <w:rPr>
          <w:rFonts w:ascii="宋体" w:hAnsi="宋体"/>
          <w:b/>
          <w:bCs/>
          <w:color w:val="000000"/>
          <w:sz w:val="36"/>
          <w:szCs w:val="36"/>
          <w:highlight w:val="none"/>
        </w:rPr>
      </w:pPr>
    </w:p>
    <w:p>
      <w:pPr>
        <w:rPr>
          <w:highlight w:val="none"/>
        </w:rPr>
      </w:pPr>
    </w:p>
    <w:p>
      <w:pPr>
        <w:rPr>
          <w:highlight w:val="none"/>
        </w:rPr>
      </w:pPr>
    </w:p>
    <w:p>
      <w:pPr>
        <w:autoSpaceDE w:val="0"/>
        <w:autoSpaceDN w:val="0"/>
        <w:adjustRightInd w:val="0"/>
        <w:spacing w:line="360" w:lineRule="auto"/>
        <w:jc w:val="center"/>
        <w:rPr>
          <w:rFonts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zh-CN"/>
        </w:rPr>
        <w:t>五、</w:t>
      </w:r>
      <w:r>
        <w:rPr>
          <w:rFonts w:cs="黑体" w:asciiTheme="minorEastAsia" w:hAnsiTheme="minorEastAsia"/>
          <w:b/>
          <w:bCs/>
          <w:sz w:val="28"/>
          <w:szCs w:val="28"/>
          <w:highlight w:val="none"/>
          <w:lang w:val="zh-CN"/>
        </w:rPr>
        <w:t>其他资料（若有）</w:t>
      </w:r>
    </w:p>
    <w:p>
      <w:pPr>
        <w:rPr>
          <w:highlight w:val="none"/>
        </w:rPr>
      </w:pPr>
    </w:p>
    <w:p>
      <w:pPr>
        <w:rPr>
          <w:highlight w:val="none"/>
        </w:rPr>
      </w:pPr>
    </w:p>
    <w:p>
      <w:pPr>
        <w:rPr>
          <w:highlight w:val="none"/>
        </w:rPr>
      </w:pPr>
    </w:p>
    <w:p>
      <w:pPr>
        <w:spacing w:line="360" w:lineRule="auto"/>
        <w:jc w:val="center"/>
        <w:rPr>
          <w:rFonts w:ascii="宋体" w:hAnsi="宋体"/>
          <w:b/>
          <w:bCs/>
          <w:color w:val="000000"/>
          <w:sz w:val="28"/>
          <w:szCs w:val="28"/>
          <w:highlight w:val="none"/>
        </w:rPr>
      </w:pPr>
      <w:r>
        <w:rPr>
          <w:rFonts w:ascii="宋体" w:hAnsi="宋体"/>
          <w:b/>
          <w:bCs/>
          <w:color w:val="000000"/>
          <w:sz w:val="28"/>
          <w:szCs w:val="28"/>
          <w:highlight w:val="none"/>
        </w:rPr>
        <w:t>除招标文件另有规定外，投标人认为需要提交的其他证明材料或资料加盖投标人的单位公章后应在此项下提交。</w:t>
      </w:r>
    </w:p>
    <w:p>
      <w:pPr>
        <w:spacing w:line="360" w:lineRule="auto"/>
        <w:jc w:val="center"/>
        <w:rPr>
          <w:rFonts w:ascii="宋体" w:hAnsi="宋体"/>
          <w:b/>
          <w:bCs/>
          <w:color w:val="000000"/>
          <w:sz w:val="28"/>
          <w:szCs w:val="28"/>
          <w:highlight w:val="none"/>
        </w:rPr>
      </w:pPr>
      <w:r>
        <w:rPr>
          <w:rFonts w:ascii="宋体" w:hAnsi="宋体"/>
          <w:b/>
          <w:bCs/>
          <w:color w:val="000000"/>
          <w:sz w:val="28"/>
          <w:szCs w:val="28"/>
          <w:highlight w:val="none"/>
        </w:rPr>
        <w:t>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
    <w:sectPr>
      <w:pgSz w:w="11906" w:h="16838"/>
      <w:pgMar w:top="2098" w:right="1474" w:bottom="1928" w:left="1587" w:header="851" w:footer="992"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简隶书">
    <w:altName w:val="黑体"/>
    <w:panose1 w:val="00000000000000000000"/>
    <w:charset w:val="86"/>
    <w:family w:val="auto"/>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ESEhnrgEAAEwD&#10;AAAOAAAAAAAAAAEAIAAAAB4BAABkcnMvZTJvRG9jLnhtbFBLBQYAAAAABgAGAFkBAAA+BQ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Ps5vjrgEAAEsD&#10;AAAOAAAAAAAAAAEAIAAAAB4BAABkcnMvZTJvRG9jLnhtbFBLBQYAAAAABgAGAFkBAAA+BQAAAAA=&#10;">
              <v:fill on="f" focussize="0,0"/>
              <v:stroke on="f"/>
              <v:imagedata o:title=""/>
              <o:lock v:ext="edit" aspectratio="f"/>
              <v:textbox inset="0mm,0mm,0mm,0mm" style="mso-fit-shape-to-text:t;">
                <w:txbxContent>
                  <w:p>
                    <w:pPr>
                      <w:pStyle w:val="1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rPr>
        <w:rFonts w:hint="eastAsia" w:eastAsiaTheme="minorEastAsia"/>
        <w:sz w:val="21"/>
        <w:szCs w:val="21"/>
        <w:lang w:val="en-US" w:eastAsia="zh-CN"/>
      </w:rPr>
    </w:pPr>
    <w:r>
      <w:rPr>
        <w:rFonts w:hint="eastAsia"/>
        <w:sz w:val="21"/>
        <w:szCs w:val="21"/>
        <w:lang w:val="en-US" w:eastAsia="zh-CN"/>
      </w:rPr>
      <w:t>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28205B"/>
    <w:multiLevelType w:val="singleLevel"/>
    <w:tmpl w:val="E428205B"/>
    <w:lvl w:ilvl="0" w:tentative="0">
      <w:start w:val="1"/>
      <w:numFmt w:val="decimal"/>
      <w:suff w:val="nothing"/>
      <w:lvlText w:val="%1、"/>
      <w:lvlJc w:val="left"/>
    </w:lvl>
  </w:abstractNum>
  <w:abstractNum w:abstractNumId="1">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pStyle w:val="4"/>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00000014"/>
    <w:multiLevelType w:val="multilevel"/>
    <w:tmpl w:val="00000014"/>
    <w:lvl w:ilvl="0" w:tentative="0">
      <w:start w:val="1"/>
      <w:numFmt w:val="decimal"/>
      <w:pStyle w:val="4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6986311"/>
    <w:multiLevelType w:val="singleLevel"/>
    <w:tmpl w:val="16986311"/>
    <w:lvl w:ilvl="0" w:tentative="0">
      <w:start w:val="3"/>
      <w:numFmt w:val="chineseCounting"/>
      <w:suff w:val="space"/>
      <w:lvlText w:val="第%1章"/>
      <w:lvlJc w:val="left"/>
      <w:rPr>
        <w:rFonts w:hint="eastAsia"/>
      </w:rPr>
    </w:lvl>
  </w:abstractNum>
  <w:abstractNum w:abstractNumId="5">
    <w:nsid w:val="18EA743F"/>
    <w:multiLevelType w:val="multilevel"/>
    <w:tmpl w:val="18EA743F"/>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C536185"/>
    <w:multiLevelType w:val="multilevel"/>
    <w:tmpl w:val="1C536185"/>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D311DEE"/>
    <w:multiLevelType w:val="multilevel"/>
    <w:tmpl w:val="1D311DEE"/>
    <w:lvl w:ilvl="0" w:tentative="0">
      <w:start w:val="30"/>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0">
    <w:nsid w:val="35703775"/>
    <w:multiLevelType w:val="multilevel"/>
    <w:tmpl w:val="35703775"/>
    <w:lvl w:ilvl="0" w:tentative="0">
      <w:start w:val="7"/>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9A414E2"/>
    <w:multiLevelType w:val="multilevel"/>
    <w:tmpl w:val="39A414E2"/>
    <w:lvl w:ilvl="0" w:tentative="0">
      <w:start w:val="36"/>
      <w:numFmt w:val="decimal"/>
      <w:lvlText w:val="%1.1 "/>
      <w:lvlJc w:val="left"/>
      <w:pPr>
        <w:ind w:left="964" w:hanging="544"/>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F0A2C70"/>
    <w:multiLevelType w:val="multilevel"/>
    <w:tmpl w:val="3F0A2C70"/>
    <w:lvl w:ilvl="0" w:tentative="0">
      <w:start w:val="2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DAEE194"/>
    <w:multiLevelType w:val="singleLevel"/>
    <w:tmpl w:val="4DAEE194"/>
    <w:lvl w:ilvl="0" w:tentative="0">
      <w:start w:val="1"/>
      <w:numFmt w:val="decimal"/>
      <w:suff w:val="nothing"/>
      <w:lvlText w:val="%1、"/>
      <w:lvlJc w:val="left"/>
    </w:lvl>
  </w:abstractNum>
  <w:abstractNum w:abstractNumId="14">
    <w:nsid w:val="563B5F73"/>
    <w:multiLevelType w:val="multilevel"/>
    <w:tmpl w:val="563B5F73"/>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9F817E8"/>
    <w:multiLevelType w:val="singleLevel"/>
    <w:tmpl w:val="59F817E8"/>
    <w:lvl w:ilvl="0" w:tentative="0">
      <w:start w:val="1"/>
      <w:numFmt w:val="chineseCounting"/>
      <w:pStyle w:val="52"/>
      <w:suff w:val="nothing"/>
      <w:lvlText w:val="%1、"/>
      <w:lvlJc w:val="left"/>
    </w:lvl>
  </w:abstractNum>
  <w:abstractNum w:abstractNumId="16">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2C53A37"/>
    <w:multiLevelType w:val="multilevel"/>
    <w:tmpl w:val="72C53A37"/>
    <w:lvl w:ilvl="0" w:tentative="0">
      <w:start w:val="24"/>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B3910BC"/>
    <w:multiLevelType w:val="multilevel"/>
    <w:tmpl w:val="7B3910BC"/>
    <w:lvl w:ilvl="0" w:tentative="0">
      <w:start w:val="1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15"/>
  </w:num>
  <w:num w:numId="4">
    <w:abstractNumId w:val="13"/>
  </w:num>
  <w:num w:numId="5">
    <w:abstractNumId w:val="4"/>
  </w:num>
  <w:num w:numId="6">
    <w:abstractNumId w:val="9"/>
  </w:num>
  <w:num w:numId="7">
    <w:abstractNumId w:val="16"/>
  </w:num>
  <w:num w:numId="8">
    <w:abstractNumId w:val="10"/>
  </w:num>
  <w:num w:numId="9">
    <w:abstractNumId w:val="6"/>
  </w:num>
  <w:num w:numId="10">
    <w:abstractNumId w:val="7"/>
  </w:num>
  <w:num w:numId="11">
    <w:abstractNumId w:val="18"/>
  </w:num>
  <w:num w:numId="12">
    <w:abstractNumId w:val="12"/>
  </w:num>
  <w:num w:numId="13">
    <w:abstractNumId w:val="17"/>
  </w:num>
  <w:num w:numId="14">
    <w:abstractNumId w:val="5"/>
  </w:num>
  <w:num w:numId="15">
    <w:abstractNumId w:val="8"/>
  </w:num>
  <w:num w:numId="16">
    <w:abstractNumId w:val="14"/>
  </w:num>
  <w:num w:numId="17">
    <w:abstractNumId w:val="11"/>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05"/>
  <w:drawingGridVerticalSpacing w:val="158"/>
  <w:displayHorizontalDrawingGridEvery w:val="1"/>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27E"/>
    <w:rsid w:val="000038EC"/>
    <w:rsid w:val="000125D2"/>
    <w:rsid w:val="00013E96"/>
    <w:rsid w:val="00014754"/>
    <w:rsid w:val="000249DA"/>
    <w:rsid w:val="00025C44"/>
    <w:rsid w:val="00026B40"/>
    <w:rsid w:val="0003728F"/>
    <w:rsid w:val="00045650"/>
    <w:rsid w:val="00060E86"/>
    <w:rsid w:val="00067481"/>
    <w:rsid w:val="00067C9C"/>
    <w:rsid w:val="00081595"/>
    <w:rsid w:val="00097CA0"/>
    <w:rsid w:val="000B2B07"/>
    <w:rsid w:val="000B6E5D"/>
    <w:rsid w:val="000B6E76"/>
    <w:rsid w:val="000B79DF"/>
    <w:rsid w:val="000C2361"/>
    <w:rsid w:val="000F6AA6"/>
    <w:rsid w:val="000F6F3D"/>
    <w:rsid w:val="00101AC4"/>
    <w:rsid w:val="00102513"/>
    <w:rsid w:val="00103ABF"/>
    <w:rsid w:val="0010660D"/>
    <w:rsid w:val="001123D9"/>
    <w:rsid w:val="00113131"/>
    <w:rsid w:val="001140FC"/>
    <w:rsid w:val="00114E94"/>
    <w:rsid w:val="0011673D"/>
    <w:rsid w:val="0012175D"/>
    <w:rsid w:val="001263E7"/>
    <w:rsid w:val="00143550"/>
    <w:rsid w:val="00143C31"/>
    <w:rsid w:val="001465A0"/>
    <w:rsid w:val="00151793"/>
    <w:rsid w:val="00152568"/>
    <w:rsid w:val="00152C02"/>
    <w:rsid w:val="00156F50"/>
    <w:rsid w:val="00160FC6"/>
    <w:rsid w:val="00166719"/>
    <w:rsid w:val="001736A6"/>
    <w:rsid w:val="00175DBF"/>
    <w:rsid w:val="0018527E"/>
    <w:rsid w:val="0018653E"/>
    <w:rsid w:val="001939DC"/>
    <w:rsid w:val="001953F2"/>
    <w:rsid w:val="00196B62"/>
    <w:rsid w:val="00197C55"/>
    <w:rsid w:val="001A0890"/>
    <w:rsid w:val="001A1DC2"/>
    <w:rsid w:val="001A4069"/>
    <w:rsid w:val="001B12D4"/>
    <w:rsid w:val="001B2E60"/>
    <w:rsid w:val="001B3117"/>
    <w:rsid w:val="001B451E"/>
    <w:rsid w:val="001C010D"/>
    <w:rsid w:val="001C7312"/>
    <w:rsid w:val="001D1685"/>
    <w:rsid w:val="001D2B18"/>
    <w:rsid w:val="001E1429"/>
    <w:rsid w:val="001E7708"/>
    <w:rsid w:val="00203E42"/>
    <w:rsid w:val="00204DF9"/>
    <w:rsid w:val="002175E7"/>
    <w:rsid w:val="0022188F"/>
    <w:rsid w:val="002241AC"/>
    <w:rsid w:val="0022663A"/>
    <w:rsid w:val="002305CC"/>
    <w:rsid w:val="00232D74"/>
    <w:rsid w:val="002341FC"/>
    <w:rsid w:val="002360FC"/>
    <w:rsid w:val="002422B9"/>
    <w:rsid w:val="00242F51"/>
    <w:rsid w:val="00243093"/>
    <w:rsid w:val="00251F15"/>
    <w:rsid w:val="00262239"/>
    <w:rsid w:val="00263892"/>
    <w:rsid w:val="00267A4C"/>
    <w:rsid w:val="002747B6"/>
    <w:rsid w:val="00282278"/>
    <w:rsid w:val="002848F9"/>
    <w:rsid w:val="00285974"/>
    <w:rsid w:val="0028685B"/>
    <w:rsid w:val="00291DE1"/>
    <w:rsid w:val="00295A12"/>
    <w:rsid w:val="00295CC4"/>
    <w:rsid w:val="002961F2"/>
    <w:rsid w:val="002A14BE"/>
    <w:rsid w:val="002A1EBF"/>
    <w:rsid w:val="002A3C1F"/>
    <w:rsid w:val="002A7C95"/>
    <w:rsid w:val="002B48A2"/>
    <w:rsid w:val="002B6A4F"/>
    <w:rsid w:val="002C5C3E"/>
    <w:rsid w:val="002D7820"/>
    <w:rsid w:val="002E24AC"/>
    <w:rsid w:val="002E27B1"/>
    <w:rsid w:val="002E4A9B"/>
    <w:rsid w:val="002E6A56"/>
    <w:rsid w:val="002F079F"/>
    <w:rsid w:val="002F7B84"/>
    <w:rsid w:val="003004BB"/>
    <w:rsid w:val="00302EC5"/>
    <w:rsid w:val="00321D34"/>
    <w:rsid w:val="0032405E"/>
    <w:rsid w:val="00331995"/>
    <w:rsid w:val="003342D8"/>
    <w:rsid w:val="0033506B"/>
    <w:rsid w:val="00342089"/>
    <w:rsid w:val="00352DF4"/>
    <w:rsid w:val="0035369D"/>
    <w:rsid w:val="00360545"/>
    <w:rsid w:val="0036152C"/>
    <w:rsid w:val="003639CB"/>
    <w:rsid w:val="0036447A"/>
    <w:rsid w:val="00371295"/>
    <w:rsid w:val="003726CA"/>
    <w:rsid w:val="00377AC4"/>
    <w:rsid w:val="00380522"/>
    <w:rsid w:val="00391A94"/>
    <w:rsid w:val="0039370D"/>
    <w:rsid w:val="003971D7"/>
    <w:rsid w:val="00397CD6"/>
    <w:rsid w:val="003A5CBF"/>
    <w:rsid w:val="003B0247"/>
    <w:rsid w:val="003B0702"/>
    <w:rsid w:val="003B11BC"/>
    <w:rsid w:val="003B2E92"/>
    <w:rsid w:val="003B5A23"/>
    <w:rsid w:val="003C2FDE"/>
    <w:rsid w:val="003D0F3B"/>
    <w:rsid w:val="003D5312"/>
    <w:rsid w:val="003E4753"/>
    <w:rsid w:val="003E4965"/>
    <w:rsid w:val="003E6C8B"/>
    <w:rsid w:val="003E6CF1"/>
    <w:rsid w:val="003F0BA6"/>
    <w:rsid w:val="003F1CEA"/>
    <w:rsid w:val="003F66D3"/>
    <w:rsid w:val="003F7748"/>
    <w:rsid w:val="00400BED"/>
    <w:rsid w:val="00401C65"/>
    <w:rsid w:val="0041133C"/>
    <w:rsid w:val="00417D50"/>
    <w:rsid w:val="00421FCC"/>
    <w:rsid w:val="0042208C"/>
    <w:rsid w:val="00425C9E"/>
    <w:rsid w:val="00426F5F"/>
    <w:rsid w:val="00431C09"/>
    <w:rsid w:val="0043273F"/>
    <w:rsid w:val="00432BA9"/>
    <w:rsid w:val="00435C50"/>
    <w:rsid w:val="00444404"/>
    <w:rsid w:val="004458B3"/>
    <w:rsid w:val="00450FD5"/>
    <w:rsid w:val="0045454F"/>
    <w:rsid w:val="004552DD"/>
    <w:rsid w:val="004555BF"/>
    <w:rsid w:val="00455D39"/>
    <w:rsid w:val="00456AAA"/>
    <w:rsid w:val="00466052"/>
    <w:rsid w:val="00471DCF"/>
    <w:rsid w:val="0047255E"/>
    <w:rsid w:val="00473A3B"/>
    <w:rsid w:val="00475D6F"/>
    <w:rsid w:val="004836C1"/>
    <w:rsid w:val="00490B4A"/>
    <w:rsid w:val="0049409E"/>
    <w:rsid w:val="004960A0"/>
    <w:rsid w:val="004A37B2"/>
    <w:rsid w:val="004B0A88"/>
    <w:rsid w:val="004B5C96"/>
    <w:rsid w:val="004C0D4D"/>
    <w:rsid w:val="004C0F8F"/>
    <w:rsid w:val="004C41D8"/>
    <w:rsid w:val="004C526D"/>
    <w:rsid w:val="004C5E01"/>
    <w:rsid w:val="004C7600"/>
    <w:rsid w:val="004D3D55"/>
    <w:rsid w:val="004D749D"/>
    <w:rsid w:val="004E671C"/>
    <w:rsid w:val="005001C4"/>
    <w:rsid w:val="00503567"/>
    <w:rsid w:val="00506310"/>
    <w:rsid w:val="00506E21"/>
    <w:rsid w:val="00510B29"/>
    <w:rsid w:val="00511187"/>
    <w:rsid w:val="00515CD7"/>
    <w:rsid w:val="005223E7"/>
    <w:rsid w:val="005242A0"/>
    <w:rsid w:val="005242FC"/>
    <w:rsid w:val="00543774"/>
    <w:rsid w:val="0054495A"/>
    <w:rsid w:val="00551D04"/>
    <w:rsid w:val="005637E2"/>
    <w:rsid w:val="00566E94"/>
    <w:rsid w:val="0057125E"/>
    <w:rsid w:val="005723F8"/>
    <w:rsid w:val="00580FBF"/>
    <w:rsid w:val="00583761"/>
    <w:rsid w:val="00583EAF"/>
    <w:rsid w:val="00584158"/>
    <w:rsid w:val="00585056"/>
    <w:rsid w:val="00585C8D"/>
    <w:rsid w:val="00586484"/>
    <w:rsid w:val="005930FB"/>
    <w:rsid w:val="005978CC"/>
    <w:rsid w:val="005A0F07"/>
    <w:rsid w:val="005B1360"/>
    <w:rsid w:val="005D0BBF"/>
    <w:rsid w:val="005D1822"/>
    <w:rsid w:val="005D209E"/>
    <w:rsid w:val="005D2AF1"/>
    <w:rsid w:val="005E0C2F"/>
    <w:rsid w:val="005E25D4"/>
    <w:rsid w:val="005E7603"/>
    <w:rsid w:val="005F34DE"/>
    <w:rsid w:val="005F6C34"/>
    <w:rsid w:val="006042BA"/>
    <w:rsid w:val="006121F2"/>
    <w:rsid w:val="006127ED"/>
    <w:rsid w:val="00615A1B"/>
    <w:rsid w:val="006203D4"/>
    <w:rsid w:val="006251F5"/>
    <w:rsid w:val="00625517"/>
    <w:rsid w:val="00636AAD"/>
    <w:rsid w:val="006433A7"/>
    <w:rsid w:val="0065716D"/>
    <w:rsid w:val="00662CA9"/>
    <w:rsid w:val="00671430"/>
    <w:rsid w:val="006754C2"/>
    <w:rsid w:val="0067638E"/>
    <w:rsid w:val="00691754"/>
    <w:rsid w:val="00691B6F"/>
    <w:rsid w:val="00694142"/>
    <w:rsid w:val="006A2213"/>
    <w:rsid w:val="006A5B8C"/>
    <w:rsid w:val="006B26D6"/>
    <w:rsid w:val="006B32D1"/>
    <w:rsid w:val="006B32F9"/>
    <w:rsid w:val="006B3DF8"/>
    <w:rsid w:val="006C1A4B"/>
    <w:rsid w:val="006C667F"/>
    <w:rsid w:val="006F1A4D"/>
    <w:rsid w:val="006F3204"/>
    <w:rsid w:val="007024F0"/>
    <w:rsid w:val="00703F21"/>
    <w:rsid w:val="00705ACE"/>
    <w:rsid w:val="00706B75"/>
    <w:rsid w:val="00724B2F"/>
    <w:rsid w:val="00740DAA"/>
    <w:rsid w:val="00752433"/>
    <w:rsid w:val="00756D00"/>
    <w:rsid w:val="00762E7D"/>
    <w:rsid w:val="0076566E"/>
    <w:rsid w:val="0077354D"/>
    <w:rsid w:val="00786F9A"/>
    <w:rsid w:val="00787606"/>
    <w:rsid w:val="00787A46"/>
    <w:rsid w:val="00792FB0"/>
    <w:rsid w:val="00796F1C"/>
    <w:rsid w:val="007A4155"/>
    <w:rsid w:val="007B6124"/>
    <w:rsid w:val="007B7A09"/>
    <w:rsid w:val="007E357B"/>
    <w:rsid w:val="007E740A"/>
    <w:rsid w:val="007F13CB"/>
    <w:rsid w:val="007F44E2"/>
    <w:rsid w:val="007F6DB4"/>
    <w:rsid w:val="0080116A"/>
    <w:rsid w:val="00806097"/>
    <w:rsid w:val="00806FD5"/>
    <w:rsid w:val="00810C37"/>
    <w:rsid w:val="00827965"/>
    <w:rsid w:val="00835185"/>
    <w:rsid w:val="008369F7"/>
    <w:rsid w:val="008377F7"/>
    <w:rsid w:val="00841C21"/>
    <w:rsid w:val="00845722"/>
    <w:rsid w:val="00845D07"/>
    <w:rsid w:val="008510DF"/>
    <w:rsid w:val="00855460"/>
    <w:rsid w:val="00861CAB"/>
    <w:rsid w:val="008666E2"/>
    <w:rsid w:val="0086689E"/>
    <w:rsid w:val="0087124E"/>
    <w:rsid w:val="00872C10"/>
    <w:rsid w:val="00876080"/>
    <w:rsid w:val="00876D6C"/>
    <w:rsid w:val="00882348"/>
    <w:rsid w:val="0088695D"/>
    <w:rsid w:val="00886A07"/>
    <w:rsid w:val="00890CE6"/>
    <w:rsid w:val="00897127"/>
    <w:rsid w:val="008A0159"/>
    <w:rsid w:val="008A7802"/>
    <w:rsid w:val="008A7B49"/>
    <w:rsid w:val="008B0AEE"/>
    <w:rsid w:val="008B112D"/>
    <w:rsid w:val="008B257C"/>
    <w:rsid w:val="008C1570"/>
    <w:rsid w:val="008C241B"/>
    <w:rsid w:val="008C5D40"/>
    <w:rsid w:val="008C6249"/>
    <w:rsid w:val="008C76D6"/>
    <w:rsid w:val="008D35B9"/>
    <w:rsid w:val="008D5EDA"/>
    <w:rsid w:val="008E0EEF"/>
    <w:rsid w:val="008E7E3F"/>
    <w:rsid w:val="008F09BC"/>
    <w:rsid w:val="008F25FB"/>
    <w:rsid w:val="008F4C40"/>
    <w:rsid w:val="0091007A"/>
    <w:rsid w:val="00915BCF"/>
    <w:rsid w:val="00923CEE"/>
    <w:rsid w:val="00925A0C"/>
    <w:rsid w:val="009273FE"/>
    <w:rsid w:val="00927E5E"/>
    <w:rsid w:val="009311AA"/>
    <w:rsid w:val="0093675B"/>
    <w:rsid w:val="009403C6"/>
    <w:rsid w:val="0094061B"/>
    <w:rsid w:val="0094177B"/>
    <w:rsid w:val="00947024"/>
    <w:rsid w:val="00947F70"/>
    <w:rsid w:val="00953751"/>
    <w:rsid w:val="0095480A"/>
    <w:rsid w:val="00960075"/>
    <w:rsid w:val="009608CD"/>
    <w:rsid w:val="00964419"/>
    <w:rsid w:val="009713EB"/>
    <w:rsid w:val="00972EDF"/>
    <w:rsid w:val="00983579"/>
    <w:rsid w:val="009847B2"/>
    <w:rsid w:val="00984FB9"/>
    <w:rsid w:val="009920C5"/>
    <w:rsid w:val="00993A5B"/>
    <w:rsid w:val="009A08E1"/>
    <w:rsid w:val="009A1751"/>
    <w:rsid w:val="009A5651"/>
    <w:rsid w:val="009A5B5A"/>
    <w:rsid w:val="009A711C"/>
    <w:rsid w:val="009C12AB"/>
    <w:rsid w:val="009D396E"/>
    <w:rsid w:val="009D5249"/>
    <w:rsid w:val="009D595D"/>
    <w:rsid w:val="009D7666"/>
    <w:rsid w:val="009D7F16"/>
    <w:rsid w:val="009E431F"/>
    <w:rsid w:val="009E65C7"/>
    <w:rsid w:val="009E6953"/>
    <w:rsid w:val="009E72B5"/>
    <w:rsid w:val="009F1C7D"/>
    <w:rsid w:val="00A046FE"/>
    <w:rsid w:val="00A150CE"/>
    <w:rsid w:val="00A16ABE"/>
    <w:rsid w:val="00A21B54"/>
    <w:rsid w:val="00A22BFC"/>
    <w:rsid w:val="00A313F0"/>
    <w:rsid w:val="00A34147"/>
    <w:rsid w:val="00A36041"/>
    <w:rsid w:val="00A37065"/>
    <w:rsid w:val="00A43668"/>
    <w:rsid w:val="00A44311"/>
    <w:rsid w:val="00A45162"/>
    <w:rsid w:val="00A563C1"/>
    <w:rsid w:val="00A60BAA"/>
    <w:rsid w:val="00A6470C"/>
    <w:rsid w:val="00A660D7"/>
    <w:rsid w:val="00A66E23"/>
    <w:rsid w:val="00A719D3"/>
    <w:rsid w:val="00A75F45"/>
    <w:rsid w:val="00A82ECD"/>
    <w:rsid w:val="00A92F80"/>
    <w:rsid w:val="00A9585A"/>
    <w:rsid w:val="00A9655D"/>
    <w:rsid w:val="00AA263A"/>
    <w:rsid w:val="00AA3BA5"/>
    <w:rsid w:val="00AA7436"/>
    <w:rsid w:val="00AB31CF"/>
    <w:rsid w:val="00AB7E1C"/>
    <w:rsid w:val="00AC4AA2"/>
    <w:rsid w:val="00AE3C24"/>
    <w:rsid w:val="00AF05E5"/>
    <w:rsid w:val="00B02855"/>
    <w:rsid w:val="00B02ECE"/>
    <w:rsid w:val="00B05341"/>
    <w:rsid w:val="00B0661B"/>
    <w:rsid w:val="00B10C59"/>
    <w:rsid w:val="00B2218F"/>
    <w:rsid w:val="00B3245E"/>
    <w:rsid w:val="00B37BD7"/>
    <w:rsid w:val="00B446B6"/>
    <w:rsid w:val="00B44784"/>
    <w:rsid w:val="00B572BC"/>
    <w:rsid w:val="00B63A0C"/>
    <w:rsid w:val="00B65650"/>
    <w:rsid w:val="00B67286"/>
    <w:rsid w:val="00B73AC4"/>
    <w:rsid w:val="00B7664A"/>
    <w:rsid w:val="00B804AD"/>
    <w:rsid w:val="00B82355"/>
    <w:rsid w:val="00B8591E"/>
    <w:rsid w:val="00B869CF"/>
    <w:rsid w:val="00B96B7F"/>
    <w:rsid w:val="00BC03F2"/>
    <w:rsid w:val="00BC4E22"/>
    <w:rsid w:val="00BC5968"/>
    <w:rsid w:val="00BC73D5"/>
    <w:rsid w:val="00BC79A3"/>
    <w:rsid w:val="00BD18DF"/>
    <w:rsid w:val="00BD4367"/>
    <w:rsid w:val="00BE0FAD"/>
    <w:rsid w:val="00BE3287"/>
    <w:rsid w:val="00BF28D6"/>
    <w:rsid w:val="00C035E9"/>
    <w:rsid w:val="00C2008A"/>
    <w:rsid w:val="00C2135E"/>
    <w:rsid w:val="00C2328C"/>
    <w:rsid w:val="00C24FFF"/>
    <w:rsid w:val="00C264A3"/>
    <w:rsid w:val="00C31673"/>
    <w:rsid w:val="00C34246"/>
    <w:rsid w:val="00C34BFA"/>
    <w:rsid w:val="00C3795C"/>
    <w:rsid w:val="00C37B84"/>
    <w:rsid w:val="00C42F15"/>
    <w:rsid w:val="00C4372D"/>
    <w:rsid w:val="00C47C6B"/>
    <w:rsid w:val="00C47DAB"/>
    <w:rsid w:val="00C505B8"/>
    <w:rsid w:val="00C7135F"/>
    <w:rsid w:val="00C87FE2"/>
    <w:rsid w:val="00C901F9"/>
    <w:rsid w:val="00C94030"/>
    <w:rsid w:val="00CA1263"/>
    <w:rsid w:val="00CC4E5F"/>
    <w:rsid w:val="00CC541D"/>
    <w:rsid w:val="00CC5D59"/>
    <w:rsid w:val="00CC73E0"/>
    <w:rsid w:val="00CD211C"/>
    <w:rsid w:val="00CD262E"/>
    <w:rsid w:val="00CD6588"/>
    <w:rsid w:val="00CD6AFC"/>
    <w:rsid w:val="00CD6FC3"/>
    <w:rsid w:val="00CD7313"/>
    <w:rsid w:val="00CD7EBA"/>
    <w:rsid w:val="00CE24B5"/>
    <w:rsid w:val="00CE315F"/>
    <w:rsid w:val="00CE61C0"/>
    <w:rsid w:val="00CE7AB6"/>
    <w:rsid w:val="00CF029E"/>
    <w:rsid w:val="00CF2B41"/>
    <w:rsid w:val="00CF35E7"/>
    <w:rsid w:val="00CF4451"/>
    <w:rsid w:val="00CF46CE"/>
    <w:rsid w:val="00CF5A21"/>
    <w:rsid w:val="00CF6C00"/>
    <w:rsid w:val="00D10639"/>
    <w:rsid w:val="00D1197B"/>
    <w:rsid w:val="00D1286B"/>
    <w:rsid w:val="00D1291D"/>
    <w:rsid w:val="00D26885"/>
    <w:rsid w:val="00D26E2A"/>
    <w:rsid w:val="00D271A8"/>
    <w:rsid w:val="00D27BE4"/>
    <w:rsid w:val="00D27EAA"/>
    <w:rsid w:val="00D34663"/>
    <w:rsid w:val="00D3745E"/>
    <w:rsid w:val="00D4115E"/>
    <w:rsid w:val="00D504B6"/>
    <w:rsid w:val="00D50F93"/>
    <w:rsid w:val="00D631A9"/>
    <w:rsid w:val="00D6584A"/>
    <w:rsid w:val="00D70BC8"/>
    <w:rsid w:val="00D7754C"/>
    <w:rsid w:val="00D916B7"/>
    <w:rsid w:val="00D91F02"/>
    <w:rsid w:val="00D93999"/>
    <w:rsid w:val="00D94533"/>
    <w:rsid w:val="00D96D5A"/>
    <w:rsid w:val="00DA2E14"/>
    <w:rsid w:val="00DA506C"/>
    <w:rsid w:val="00DA6E3D"/>
    <w:rsid w:val="00DB16B7"/>
    <w:rsid w:val="00DB18BC"/>
    <w:rsid w:val="00DB2A64"/>
    <w:rsid w:val="00DB3BD0"/>
    <w:rsid w:val="00DB4086"/>
    <w:rsid w:val="00DC0378"/>
    <w:rsid w:val="00DC198E"/>
    <w:rsid w:val="00DC23FE"/>
    <w:rsid w:val="00DC3EBE"/>
    <w:rsid w:val="00DC5A90"/>
    <w:rsid w:val="00DC6136"/>
    <w:rsid w:val="00DD1248"/>
    <w:rsid w:val="00DD1AC6"/>
    <w:rsid w:val="00DD2E40"/>
    <w:rsid w:val="00DD2FC3"/>
    <w:rsid w:val="00DD3C62"/>
    <w:rsid w:val="00DD646D"/>
    <w:rsid w:val="00DE5B90"/>
    <w:rsid w:val="00DF1B6D"/>
    <w:rsid w:val="00DF7176"/>
    <w:rsid w:val="00DF768C"/>
    <w:rsid w:val="00E04628"/>
    <w:rsid w:val="00E10512"/>
    <w:rsid w:val="00E20DC4"/>
    <w:rsid w:val="00E2238C"/>
    <w:rsid w:val="00E24ED0"/>
    <w:rsid w:val="00E25C54"/>
    <w:rsid w:val="00E32F7E"/>
    <w:rsid w:val="00E337C5"/>
    <w:rsid w:val="00E34DE5"/>
    <w:rsid w:val="00E441DC"/>
    <w:rsid w:val="00E46C37"/>
    <w:rsid w:val="00E51EC5"/>
    <w:rsid w:val="00E53D23"/>
    <w:rsid w:val="00E541ED"/>
    <w:rsid w:val="00E553BD"/>
    <w:rsid w:val="00E720F9"/>
    <w:rsid w:val="00E8521A"/>
    <w:rsid w:val="00E85AA3"/>
    <w:rsid w:val="00E85D65"/>
    <w:rsid w:val="00E86E90"/>
    <w:rsid w:val="00E968DE"/>
    <w:rsid w:val="00E97DE2"/>
    <w:rsid w:val="00EA7B33"/>
    <w:rsid w:val="00EB1668"/>
    <w:rsid w:val="00EB1BC1"/>
    <w:rsid w:val="00EC6530"/>
    <w:rsid w:val="00ED1FC0"/>
    <w:rsid w:val="00ED4CC0"/>
    <w:rsid w:val="00ED6D93"/>
    <w:rsid w:val="00EE37CF"/>
    <w:rsid w:val="00EE44B0"/>
    <w:rsid w:val="00EE5656"/>
    <w:rsid w:val="00EE71B5"/>
    <w:rsid w:val="00EF5686"/>
    <w:rsid w:val="00EF7FF8"/>
    <w:rsid w:val="00F00D41"/>
    <w:rsid w:val="00F06AA0"/>
    <w:rsid w:val="00F10C3E"/>
    <w:rsid w:val="00F164C3"/>
    <w:rsid w:val="00F17FA0"/>
    <w:rsid w:val="00F21BC6"/>
    <w:rsid w:val="00F24438"/>
    <w:rsid w:val="00F2455D"/>
    <w:rsid w:val="00F251A2"/>
    <w:rsid w:val="00F42638"/>
    <w:rsid w:val="00F54AB0"/>
    <w:rsid w:val="00F7295C"/>
    <w:rsid w:val="00F77444"/>
    <w:rsid w:val="00F82204"/>
    <w:rsid w:val="00F87C6A"/>
    <w:rsid w:val="00F91BB8"/>
    <w:rsid w:val="00F9327F"/>
    <w:rsid w:val="00F938DA"/>
    <w:rsid w:val="00F96C2B"/>
    <w:rsid w:val="00F97556"/>
    <w:rsid w:val="00FA580F"/>
    <w:rsid w:val="00FB0EC6"/>
    <w:rsid w:val="00FC2A56"/>
    <w:rsid w:val="00FC4586"/>
    <w:rsid w:val="00FC4608"/>
    <w:rsid w:val="00FC70C6"/>
    <w:rsid w:val="00FC7A5D"/>
    <w:rsid w:val="00FD018B"/>
    <w:rsid w:val="00FD53F7"/>
    <w:rsid w:val="00FD7F2E"/>
    <w:rsid w:val="00FE509A"/>
    <w:rsid w:val="00FE5DC3"/>
    <w:rsid w:val="00FF1177"/>
    <w:rsid w:val="00FF1CC3"/>
    <w:rsid w:val="00FF4CB4"/>
    <w:rsid w:val="00FF5143"/>
    <w:rsid w:val="00FF5683"/>
    <w:rsid w:val="01825D65"/>
    <w:rsid w:val="024D63D8"/>
    <w:rsid w:val="03EA15C2"/>
    <w:rsid w:val="05074704"/>
    <w:rsid w:val="057B354B"/>
    <w:rsid w:val="06C90EA4"/>
    <w:rsid w:val="08D412D3"/>
    <w:rsid w:val="0A582101"/>
    <w:rsid w:val="10E64FA4"/>
    <w:rsid w:val="131A0AC4"/>
    <w:rsid w:val="13464CFF"/>
    <w:rsid w:val="156C482A"/>
    <w:rsid w:val="16454CB4"/>
    <w:rsid w:val="17873035"/>
    <w:rsid w:val="17B353A0"/>
    <w:rsid w:val="1E8112E5"/>
    <w:rsid w:val="1EA31AA7"/>
    <w:rsid w:val="1EC1311C"/>
    <w:rsid w:val="1F1F47D2"/>
    <w:rsid w:val="203F2A24"/>
    <w:rsid w:val="21FD24F1"/>
    <w:rsid w:val="23007671"/>
    <w:rsid w:val="236F406A"/>
    <w:rsid w:val="23BE10D0"/>
    <w:rsid w:val="2439372E"/>
    <w:rsid w:val="25070EFD"/>
    <w:rsid w:val="25D57056"/>
    <w:rsid w:val="279B317D"/>
    <w:rsid w:val="28D35F51"/>
    <w:rsid w:val="2B5B3B51"/>
    <w:rsid w:val="2BA714D8"/>
    <w:rsid w:val="2C635DC2"/>
    <w:rsid w:val="33813D07"/>
    <w:rsid w:val="33BC3DF7"/>
    <w:rsid w:val="33F73B97"/>
    <w:rsid w:val="35966314"/>
    <w:rsid w:val="35DB3970"/>
    <w:rsid w:val="36ED49BA"/>
    <w:rsid w:val="381308DA"/>
    <w:rsid w:val="3C4B07BF"/>
    <w:rsid w:val="3F4848BC"/>
    <w:rsid w:val="404B2C3C"/>
    <w:rsid w:val="421B1247"/>
    <w:rsid w:val="44707CD3"/>
    <w:rsid w:val="464A19B1"/>
    <w:rsid w:val="466E5A81"/>
    <w:rsid w:val="4C1E4B6B"/>
    <w:rsid w:val="4C480673"/>
    <w:rsid w:val="4F004D7D"/>
    <w:rsid w:val="50AA04D1"/>
    <w:rsid w:val="537D225C"/>
    <w:rsid w:val="53BE2216"/>
    <w:rsid w:val="53FC735A"/>
    <w:rsid w:val="553523A8"/>
    <w:rsid w:val="574C699C"/>
    <w:rsid w:val="5B1F0BB5"/>
    <w:rsid w:val="5CAE3B9E"/>
    <w:rsid w:val="5D73605D"/>
    <w:rsid w:val="5F842FAD"/>
    <w:rsid w:val="60607234"/>
    <w:rsid w:val="60DC2489"/>
    <w:rsid w:val="615D776E"/>
    <w:rsid w:val="62A27B5F"/>
    <w:rsid w:val="63250FF2"/>
    <w:rsid w:val="632D7F14"/>
    <w:rsid w:val="642B11B3"/>
    <w:rsid w:val="65186307"/>
    <w:rsid w:val="66092B9F"/>
    <w:rsid w:val="665553D9"/>
    <w:rsid w:val="66620059"/>
    <w:rsid w:val="68D42E51"/>
    <w:rsid w:val="6A1D2A23"/>
    <w:rsid w:val="6A3D240C"/>
    <w:rsid w:val="6B9664C0"/>
    <w:rsid w:val="6C995C66"/>
    <w:rsid w:val="6EAB3F30"/>
    <w:rsid w:val="70371048"/>
    <w:rsid w:val="72B26E4A"/>
    <w:rsid w:val="73651F27"/>
    <w:rsid w:val="757D07F4"/>
    <w:rsid w:val="768205BA"/>
    <w:rsid w:val="78126F6B"/>
    <w:rsid w:val="7819078C"/>
    <w:rsid w:val="78735A1C"/>
    <w:rsid w:val="7E5A0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4">
    <w:name w:val="heading 2"/>
    <w:basedOn w:val="1"/>
    <w:next w:val="1"/>
    <w:link w:val="31"/>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2"/>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3"/>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7">
    <w:name w:val="Normal Indent"/>
    <w:basedOn w:val="1"/>
    <w:qFormat/>
    <w:uiPriority w:val="0"/>
    <w:pPr>
      <w:ind w:firstLine="425"/>
    </w:pPr>
    <w:rPr>
      <w:rFonts w:ascii="Times New Roman" w:hAnsi="Times New Roman" w:eastAsia="宋体" w:cs="Times New Roman"/>
      <w:szCs w:val="20"/>
    </w:rPr>
  </w:style>
  <w:style w:type="paragraph" w:styleId="8">
    <w:name w:val="caption"/>
    <w:basedOn w:val="1"/>
    <w:next w:val="1"/>
    <w:qFormat/>
    <w:uiPriority w:val="0"/>
    <w:rPr>
      <w:rFonts w:ascii="Arial" w:hAnsi="Arial" w:eastAsia="黑体" w:cs="Arial"/>
      <w:sz w:val="20"/>
      <w:szCs w:val="20"/>
    </w:rPr>
  </w:style>
  <w:style w:type="paragraph" w:styleId="9">
    <w:name w:val="annotation text"/>
    <w:basedOn w:val="1"/>
    <w:unhideWhenUsed/>
    <w:qFormat/>
    <w:uiPriority w:val="0"/>
    <w:pPr>
      <w:widowControl w:val="0"/>
      <w:jc w:val="left"/>
    </w:pPr>
    <w:rPr>
      <w:rFonts w:ascii="Calibri" w:hAnsi="Calibri" w:eastAsia="宋体" w:cs="Times New Roman"/>
      <w:sz w:val="20"/>
    </w:rPr>
  </w:style>
  <w:style w:type="paragraph" w:styleId="10">
    <w:name w:val="Body Text 3"/>
    <w:basedOn w:val="1"/>
    <w:link w:val="49"/>
    <w:qFormat/>
    <w:uiPriority w:val="0"/>
    <w:rPr>
      <w:rFonts w:ascii="Times New Roman" w:hAnsi="Times New Roman" w:eastAsia="宋体" w:cs="Times New Roman"/>
      <w:color w:val="FF0000"/>
      <w:sz w:val="24"/>
      <w:szCs w:val="24"/>
    </w:rPr>
  </w:style>
  <w:style w:type="paragraph" w:styleId="11">
    <w:name w:val="Body Text"/>
    <w:basedOn w:val="1"/>
    <w:link w:val="53"/>
    <w:semiHidden/>
    <w:unhideWhenUsed/>
    <w:qFormat/>
    <w:uiPriority w:val="99"/>
    <w:pPr>
      <w:spacing w:after="120"/>
    </w:pPr>
  </w:style>
  <w:style w:type="paragraph" w:styleId="12">
    <w:name w:val="Body Text Indent"/>
    <w:basedOn w:val="1"/>
    <w:link w:val="57"/>
    <w:qFormat/>
    <w:uiPriority w:val="0"/>
    <w:pPr>
      <w:adjustRightInd w:val="0"/>
      <w:spacing w:after="120" w:line="360" w:lineRule="atLeast"/>
      <w:ind w:left="420" w:leftChars="200"/>
      <w:jc w:val="left"/>
      <w:textAlignment w:val="baseline"/>
    </w:pPr>
    <w:rPr>
      <w:sz w:val="24"/>
    </w:rPr>
  </w:style>
  <w:style w:type="paragraph" w:styleId="13">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4">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5">
    <w:name w:val="Plain Text"/>
    <w:basedOn w:val="1"/>
    <w:link w:val="34"/>
    <w:qFormat/>
    <w:uiPriority w:val="0"/>
    <w:rPr>
      <w:rFonts w:eastAsia="宋体"/>
      <w:sz w:val="24"/>
    </w:rPr>
  </w:style>
  <w:style w:type="paragraph" w:styleId="16">
    <w:name w:val="Date"/>
    <w:basedOn w:val="1"/>
    <w:next w:val="1"/>
    <w:link w:val="35"/>
    <w:unhideWhenUsed/>
    <w:qFormat/>
    <w:uiPriority w:val="99"/>
    <w:pPr>
      <w:ind w:left="100" w:leftChars="2500"/>
    </w:pPr>
  </w:style>
  <w:style w:type="paragraph" w:styleId="17">
    <w:name w:val="Balloon Text"/>
    <w:basedOn w:val="1"/>
    <w:link w:val="59"/>
    <w:semiHidden/>
    <w:unhideWhenUsed/>
    <w:qFormat/>
    <w:uiPriority w:val="99"/>
    <w:rPr>
      <w:sz w:val="18"/>
      <w:szCs w:val="18"/>
    </w:rPr>
  </w:style>
  <w:style w:type="paragraph" w:styleId="18">
    <w:name w:val="footer"/>
    <w:basedOn w:val="1"/>
    <w:link w:val="36"/>
    <w:unhideWhenUsed/>
    <w:qFormat/>
    <w:uiPriority w:val="99"/>
    <w:pPr>
      <w:tabs>
        <w:tab w:val="center" w:pos="4153"/>
        <w:tab w:val="right" w:pos="8306"/>
      </w:tabs>
      <w:snapToGrid w:val="0"/>
      <w:jc w:val="left"/>
    </w:pPr>
    <w:rPr>
      <w:sz w:val="18"/>
      <w:szCs w:val="18"/>
    </w:rPr>
  </w:style>
  <w:style w:type="paragraph" w:styleId="19">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1">
    <w:name w:val="HTML Preformatted"/>
    <w:basedOn w:val="1"/>
    <w:link w:val="55"/>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2">
    <w:name w:val="Normal (Web)"/>
    <w:basedOn w:val="1"/>
    <w:qFormat/>
    <w:uiPriority w:val="99"/>
    <w:rPr>
      <w:rFonts w:ascii="Calibri" w:hAnsi="Calibri" w:eastAsia="宋体" w:cs="Times New Roman"/>
      <w:sz w:val="24"/>
      <w:szCs w:val="24"/>
    </w:rPr>
  </w:style>
  <w:style w:type="paragraph" w:styleId="23">
    <w:name w:val="Body Text First Indent"/>
    <w:basedOn w:val="11"/>
    <w:next w:val="1"/>
    <w:link w:val="54"/>
    <w:qFormat/>
    <w:uiPriority w:val="0"/>
    <w:pPr>
      <w:ind w:firstLine="420" w:firstLineChars="100"/>
    </w:pPr>
    <w:rPr>
      <w:rFonts w:ascii="宋体" w:hAnsi="Times New Roman" w:eastAsia="宋体" w:cs="Times New Roman"/>
      <w:kern w:val="0"/>
      <w:sz w:val="34"/>
      <w:szCs w:val="20"/>
    </w:rPr>
  </w:style>
  <w:style w:type="character" w:styleId="26">
    <w:name w:val="Strong"/>
    <w:basedOn w:val="25"/>
    <w:qFormat/>
    <w:uiPriority w:val="22"/>
    <w:rPr>
      <w:b/>
      <w:bCs/>
    </w:rPr>
  </w:style>
  <w:style w:type="character" w:styleId="27">
    <w:name w:val="FollowedHyperlink"/>
    <w:basedOn w:val="25"/>
    <w:semiHidden/>
    <w:unhideWhenUsed/>
    <w:qFormat/>
    <w:uiPriority w:val="99"/>
    <w:rPr>
      <w:color w:val="800080" w:themeColor="followedHyperlink"/>
      <w:u w:val="single"/>
      <w14:textFill>
        <w14:solidFill>
          <w14:schemeClr w14:val="folHlink"/>
        </w14:solidFill>
      </w14:textFill>
    </w:rPr>
  </w:style>
  <w:style w:type="character" w:styleId="28">
    <w:name w:val="Emphasis"/>
    <w:basedOn w:val="25"/>
    <w:qFormat/>
    <w:uiPriority w:val="20"/>
  </w:style>
  <w:style w:type="character" w:styleId="29">
    <w:name w:val="Hyperlink"/>
    <w:basedOn w:val="25"/>
    <w:unhideWhenUsed/>
    <w:qFormat/>
    <w:uiPriority w:val="99"/>
    <w:rPr>
      <w:color w:val="000000"/>
      <w:u w:val="none"/>
    </w:rPr>
  </w:style>
  <w:style w:type="character" w:customStyle="1" w:styleId="30">
    <w:name w:val="标题 1 Char"/>
    <w:basedOn w:val="25"/>
    <w:link w:val="3"/>
    <w:qFormat/>
    <w:uiPriority w:val="0"/>
    <w:rPr>
      <w:rFonts w:ascii="Calibri" w:hAnsi="Calibri" w:eastAsia="宋体" w:cs="Times New Roman"/>
      <w:b/>
      <w:bCs/>
      <w:kern w:val="44"/>
      <w:sz w:val="44"/>
      <w:szCs w:val="44"/>
    </w:rPr>
  </w:style>
  <w:style w:type="character" w:customStyle="1" w:styleId="31">
    <w:name w:val="标题 2 Char"/>
    <w:basedOn w:val="25"/>
    <w:link w:val="4"/>
    <w:qFormat/>
    <w:uiPriority w:val="0"/>
    <w:rPr>
      <w:rFonts w:ascii="Arial" w:hAnsi="Arial" w:eastAsia="黑体" w:cs="Times New Roman"/>
      <w:b/>
      <w:bCs/>
      <w:kern w:val="0"/>
      <w:sz w:val="32"/>
      <w:szCs w:val="32"/>
    </w:rPr>
  </w:style>
  <w:style w:type="character" w:customStyle="1" w:styleId="32">
    <w:name w:val="标题 3 Char"/>
    <w:basedOn w:val="25"/>
    <w:link w:val="5"/>
    <w:qFormat/>
    <w:uiPriority w:val="0"/>
    <w:rPr>
      <w:rFonts w:ascii="宋体" w:hAnsi="宋体" w:eastAsia="宋体" w:cs="Times New Roman"/>
      <w:b/>
      <w:color w:val="000000"/>
      <w:kern w:val="0"/>
      <w:sz w:val="24"/>
      <w:szCs w:val="20"/>
      <w:lang w:val="en-GB"/>
    </w:rPr>
  </w:style>
  <w:style w:type="character" w:customStyle="1" w:styleId="33">
    <w:name w:val="标题 4 Char"/>
    <w:basedOn w:val="25"/>
    <w:link w:val="6"/>
    <w:qFormat/>
    <w:uiPriority w:val="0"/>
    <w:rPr>
      <w:rFonts w:ascii="Arial" w:hAnsi="Arial" w:eastAsia="黑体" w:cs="Times New Roman"/>
      <w:b/>
      <w:bCs/>
      <w:kern w:val="0"/>
      <w:sz w:val="28"/>
      <w:szCs w:val="28"/>
    </w:rPr>
  </w:style>
  <w:style w:type="character" w:customStyle="1" w:styleId="34">
    <w:name w:val="纯文本 Char"/>
    <w:basedOn w:val="25"/>
    <w:link w:val="15"/>
    <w:qFormat/>
    <w:uiPriority w:val="0"/>
    <w:rPr>
      <w:rFonts w:eastAsia="宋体"/>
      <w:sz w:val="24"/>
    </w:rPr>
  </w:style>
  <w:style w:type="character" w:customStyle="1" w:styleId="35">
    <w:name w:val="日期 Char"/>
    <w:basedOn w:val="25"/>
    <w:link w:val="16"/>
    <w:qFormat/>
    <w:uiPriority w:val="99"/>
  </w:style>
  <w:style w:type="character" w:customStyle="1" w:styleId="36">
    <w:name w:val="页脚 Char"/>
    <w:basedOn w:val="25"/>
    <w:link w:val="18"/>
    <w:qFormat/>
    <w:uiPriority w:val="99"/>
    <w:rPr>
      <w:sz w:val="18"/>
      <w:szCs w:val="18"/>
    </w:rPr>
  </w:style>
  <w:style w:type="character" w:customStyle="1" w:styleId="37">
    <w:name w:val="页眉 Char"/>
    <w:basedOn w:val="25"/>
    <w:link w:val="19"/>
    <w:qFormat/>
    <w:uiPriority w:val="99"/>
    <w:rPr>
      <w:sz w:val="18"/>
      <w:szCs w:val="18"/>
    </w:rPr>
  </w:style>
  <w:style w:type="character" w:customStyle="1" w:styleId="38">
    <w:name w:val="纯文本 Char1"/>
    <w:qFormat/>
    <w:uiPriority w:val="0"/>
    <w:rPr>
      <w:rFonts w:eastAsia="宋体"/>
      <w:sz w:val="24"/>
    </w:rPr>
  </w:style>
  <w:style w:type="paragraph" w:customStyle="1" w:styleId="3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0">
    <w:name w:val="列出段落1"/>
    <w:basedOn w:val="1"/>
    <w:qFormat/>
    <w:uiPriority w:val="34"/>
    <w:pPr>
      <w:ind w:firstLine="420" w:firstLineChars="200"/>
    </w:pPr>
  </w:style>
  <w:style w:type="paragraph" w:styleId="41">
    <w:name w:val="List Paragraph"/>
    <w:basedOn w:val="1"/>
    <w:unhideWhenUsed/>
    <w:qFormat/>
    <w:uiPriority w:val="99"/>
    <w:pPr>
      <w:ind w:firstLine="420" w:firstLineChars="200"/>
    </w:pPr>
  </w:style>
  <w:style w:type="character" w:customStyle="1" w:styleId="42">
    <w:name w:val="正文文本缩进 Char Char"/>
    <w:link w:val="43"/>
    <w:qFormat/>
    <w:uiPriority w:val="0"/>
    <w:rPr>
      <w:rFonts w:ascii="宋体"/>
      <w:sz w:val="24"/>
    </w:rPr>
  </w:style>
  <w:style w:type="paragraph" w:customStyle="1" w:styleId="43">
    <w:name w:val="正文文本缩进1"/>
    <w:basedOn w:val="1"/>
    <w:link w:val="42"/>
    <w:qFormat/>
    <w:uiPriority w:val="0"/>
    <w:pPr>
      <w:spacing w:line="360" w:lineRule="auto"/>
      <w:ind w:firstLine="480" w:firstLineChars="200"/>
    </w:pPr>
    <w:rPr>
      <w:rFonts w:ascii="宋体"/>
      <w:sz w:val="24"/>
    </w:rPr>
  </w:style>
  <w:style w:type="character" w:customStyle="1" w:styleId="44">
    <w:name w:val="日期 Char Char"/>
    <w:link w:val="45"/>
    <w:qFormat/>
    <w:uiPriority w:val="0"/>
    <w:rPr>
      <w:sz w:val="24"/>
    </w:rPr>
  </w:style>
  <w:style w:type="paragraph" w:customStyle="1" w:styleId="45">
    <w:name w:val="日期1"/>
    <w:basedOn w:val="1"/>
    <w:next w:val="1"/>
    <w:link w:val="44"/>
    <w:qFormat/>
    <w:uiPriority w:val="0"/>
    <w:rPr>
      <w:sz w:val="24"/>
    </w:rPr>
  </w:style>
  <w:style w:type="paragraph" w:customStyle="1" w:styleId="46">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7">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48">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49">
    <w:name w:val="正文文本 3 Char"/>
    <w:basedOn w:val="25"/>
    <w:link w:val="10"/>
    <w:qFormat/>
    <w:uiPriority w:val="0"/>
    <w:rPr>
      <w:rFonts w:ascii="Times New Roman" w:hAnsi="Times New Roman" w:eastAsia="宋体" w:cs="Times New Roman"/>
      <w:color w:val="FF0000"/>
      <w:sz w:val="24"/>
      <w:szCs w:val="24"/>
    </w:rPr>
  </w:style>
  <w:style w:type="character" w:customStyle="1" w:styleId="50">
    <w:name w:val="edittexttarea"/>
    <w:basedOn w:val="25"/>
    <w:qFormat/>
    <w:uiPriority w:val="0"/>
  </w:style>
  <w:style w:type="paragraph" w:customStyle="1" w:styleId="51">
    <w:name w:val="样式 标题 1 + 四号 居中 段前: 12 磅 段后: 12 磅 行距: 单倍行距"/>
    <w:basedOn w:val="3"/>
    <w:qFormat/>
    <w:uiPriority w:val="0"/>
    <w:pPr>
      <w:spacing w:before="240" w:after="240" w:line="240" w:lineRule="auto"/>
      <w:ind w:left="-288"/>
      <w:jc w:val="center"/>
    </w:pPr>
    <w:rPr>
      <w:rFonts w:cs="宋体"/>
      <w:sz w:val="28"/>
      <w:szCs w:val="20"/>
    </w:rPr>
  </w:style>
  <w:style w:type="paragraph" w:customStyle="1" w:styleId="52">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3">
    <w:name w:val="正文文本 Char"/>
    <w:basedOn w:val="25"/>
    <w:link w:val="11"/>
    <w:semiHidden/>
    <w:qFormat/>
    <w:uiPriority w:val="99"/>
  </w:style>
  <w:style w:type="character" w:customStyle="1" w:styleId="54">
    <w:name w:val="正文首行缩进 Char"/>
    <w:basedOn w:val="53"/>
    <w:link w:val="23"/>
    <w:qFormat/>
    <w:uiPriority w:val="0"/>
    <w:rPr>
      <w:rFonts w:ascii="宋体" w:hAnsi="Times New Roman" w:eastAsia="宋体" w:cs="Times New Roman"/>
      <w:kern w:val="0"/>
      <w:sz w:val="34"/>
      <w:szCs w:val="20"/>
    </w:rPr>
  </w:style>
  <w:style w:type="character" w:customStyle="1" w:styleId="55">
    <w:name w:val="HTML 预设格式 Char"/>
    <w:basedOn w:val="25"/>
    <w:link w:val="21"/>
    <w:semiHidden/>
    <w:qFormat/>
    <w:uiPriority w:val="99"/>
    <w:rPr>
      <w:rFonts w:ascii="宋体" w:hAnsi="宋体" w:eastAsia="宋体" w:cs="宋体"/>
      <w:kern w:val="0"/>
      <w:sz w:val="24"/>
      <w:szCs w:val="24"/>
    </w:rPr>
  </w:style>
  <w:style w:type="character" w:customStyle="1" w:styleId="56">
    <w:name w:val="正文文本缩进 Char"/>
    <w:link w:val="12"/>
    <w:qFormat/>
    <w:uiPriority w:val="0"/>
    <w:rPr>
      <w:sz w:val="24"/>
    </w:rPr>
  </w:style>
  <w:style w:type="character" w:customStyle="1" w:styleId="57">
    <w:name w:val="正文文本缩进 Char1"/>
    <w:basedOn w:val="25"/>
    <w:link w:val="12"/>
    <w:semiHidden/>
    <w:qFormat/>
    <w:uiPriority w:val="99"/>
  </w:style>
  <w:style w:type="character" w:styleId="58">
    <w:name w:val="Placeholder Text"/>
    <w:basedOn w:val="25"/>
    <w:semiHidden/>
    <w:qFormat/>
    <w:uiPriority w:val="99"/>
    <w:rPr>
      <w:color w:val="808080"/>
    </w:rPr>
  </w:style>
  <w:style w:type="character" w:customStyle="1" w:styleId="59">
    <w:name w:val="批注框文本 Char"/>
    <w:basedOn w:val="25"/>
    <w:link w:val="17"/>
    <w:semiHidden/>
    <w:qFormat/>
    <w:uiPriority w:val="99"/>
    <w:rPr>
      <w:sz w:val="18"/>
      <w:szCs w:val="18"/>
    </w:rPr>
  </w:style>
  <w:style w:type="character" w:customStyle="1" w:styleId="60">
    <w:name w:val="blue"/>
    <w:basedOn w:val="25"/>
    <w:qFormat/>
    <w:uiPriority w:val="0"/>
    <w:rPr>
      <w:color w:val="0371C6"/>
      <w:sz w:val="21"/>
      <w:szCs w:val="21"/>
    </w:rPr>
  </w:style>
  <w:style w:type="character" w:customStyle="1" w:styleId="61">
    <w:name w:val="green"/>
    <w:basedOn w:val="25"/>
    <w:qFormat/>
    <w:uiPriority w:val="0"/>
    <w:rPr>
      <w:color w:val="66AE00"/>
      <w:sz w:val="18"/>
      <w:szCs w:val="18"/>
    </w:rPr>
  </w:style>
  <w:style w:type="character" w:customStyle="1" w:styleId="62">
    <w:name w:val="green1"/>
    <w:basedOn w:val="25"/>
    <w:qFormat/>
    <w:uiPriority w:val="0"/>
    <w:rPr>
      <w:color w:val="66AE00"/>
      <w:sz w:val="18"/>
      <w:szCs w:val="18"/>
    </w:rPr>
  </w:style>
  <w:style w:type="character" w:customStyle="1" w:styleId="63">
    <w:name w:val="red"/>
    <w:basedOn w:val="25"/>
    <w:qFormat/>
    <w:uiPriority w:val="0"/>
    <w:rPr>
      <w:color w:val="FF0000"/>
      <w:sz w:val="18"/>
      <w:szCs w:val="18"/>
    </w:rPr>
  </w:style>
  <w:style w:type="character" w:customStyle="1" w:styleId="64">
    <w:name w:val="red1"/>
    <w:basedOn w:val="25"/>
    <w:qFormat/>
    <w:uiPriority w:val="0"/>
    <w:rPr>
      <w:color w:val="FF0000"/>
      <w:sz w:val="18"/>
      <w:szCs w:val="18"/>
    </w:rPr>
  </w:style>
  <w:style w:type="character" w:customStyle="1" w:styleId="65">
    <w:name w:val="red2"/>
    <w:basedOn w:val="25"/>
    <w:qFormat/>
    <w:uiPriority w:val="0"/>
    <w:rPr>
      <w:color w:val="CC0000"/>
    </w:rPr>
  </w:style>
  <w:style w:type="character" w:customStyle="1" w:styleId="66">
    <w:name w:val="red3"/>
    <w:basedOn w:val="25"/>
    <w:qFormat/>
    <w:uiPriority w:val="0"/>
    <w:rPr>
      <w:color w:val="FF0000"/>
    </w:rPr>
  </w:style>
  <w:style w:type="character" w:customStyle="1" w:styleId="67">
    <w:name w:val="hover25"/>
    <w:basedOn w:val="25"/>
    <w:qFormat/>
    <w:uiPriority w:val="0"/>
  </w:style>
  <w:style w:type="character" w:customStyle="1" w:styleId="68">
    <w:name w:val="gb-jt"/>
    <w:basedOn w:val="25"/>
    <w:qFormat/>
    <w:uiPriority w:val="0"/>
  </w:style>
  <w:style w:type="character" w:customStyle="1" w:styleId="69">
    <w:name w:val="right"/>
    <w:basedOn w:val="25"/>
    <w:qFormat/>
    <w:uiPriority w:val="0"/>
    <w:rPr>
      <w:color w:val="999999"/>
      <w:sz w:val="18"/>
      <w:szCs w:val="18"/>
    </w:rPr>
  </w:style>
  <w:style w:type="paragraph" w:customStyle="1" w:styleId="70">
    <w:name w:val="Table Paragraph"/>
    <w:basedOn w:val="1"/>
    <w:qFormat/>
    <w:uiPriority w:val="1"/>
  </w:style>
  <w:style w:type="character" w:customStyle="1" w:styleId="71">
    <w:name w:val="font22"/>
    <w:basedOn w:val="25"/>
    <w:qFormat/>
    <w:uiPriority w:val="0"/>
    <w:rPr>
      <w:rFonts w:hint="eastAsia" w:ascii="宋体" w:hAnsi="宋体" w:eastAsia="宋体" w:cs="宋体"/>
      <w:color w:val="000000"/>
      <w:sz w:val="22"/>
      <w:szCs w:val="22"/>
      <w:u w:val="none"/>
    </w:rPr>
  </w:style>
  <w:style w:type="paragraph" w:customStyle="1" w:styleId="72">
    <w:name w:val="p0"/>
    <w:basedOn w:val="1"/>
    <w:qFormat/>
    <w:uiPriority w:val="0"/>
    <w:pPr>
      <w:widowControl/>
    </w:pPr>
    <w:rPr>
      <w:rFonts w:ascii="Times New Roman" w:hAnsi="Times New Roman" w:eastAsia="宋体" w:cs="Times New Roman"/>
      <w:kern w:val="0"/>
      <w:szCs w:val="21"/>
    </w:rPr>
  </w:style>
  <w:style w:type="character" w:customStyle="1" w:styleId="73">
    <w:name w:val="font71"/>
    <w:basedOn w:val="25"/>
    <w:qFormat/>
    <w:uiPriority w:val="0"/>
    <w:rPr>
      <w:rFonts w:hint="eastAsia" w:ascii="宋体" w:hAnsi="宋体" w:eastAsia="宋体" w:cs="宋体"/>
      <w:color w:val="FF0000"/>
      <w:sz w:val="24"/>
      <w:szCs w:val="24"/>
      <w:u w:val="none"/>
    </w:rPr>
  </w:style>
  <w:style w:type="character" w:customStyle="1" w:styleId="74">
    <w:name w:val="font01"/>
    <w:basedOn w:val="25"/>
    <w:qFormat/>
    <w:uiPriority w:val="0"/>
    <w:rPr>
      <w:rFonts w:hint="eastAsia" w:ascii="宋体" w:hAnsi="宋体" w:eastAsia="宋体" w:cs="宋体"/>
      <w:b/>
      <w:color w:val="000000"/>
      <w:sz w:val="24"/>
      <w:szCs w:val="24"/>
      <w:u w:val="none"/>
    </w:rPr>
  </w:style>
  <w:style w:type="character" w:customStyle="1" w:styleId="75">
    <w:name w:val="hover"/>
    <w:basedOn w:val="25"/>
    <w:qFormat/>
    <w:uiPriority w:val="0"/>
  </w:style>
  <w:style w:type="character" w:customStyle="1" w:styleId="76">
    <w:name w:val="hover24"/>
    <w:basedOn w:val="25"/>
    <w:qFormat/>
    <w:uiPriority w:val="0"/>
  </w:style>
  <w:style w:type="character" w:customStyle="1" w:styleId="77">
    <w:name w:val="font21"/>
    <w:qFormat/>
    <w:uiPriority w:val="0"/>
    <w:rPr>
      <w:rFonts w:hint="eastAsia" w:ascii="宋体" w:hAnsi="宋体" w:eastAsia="宋体" w:cs="宋体"/>
      <w:color w:val="000000"/>
      <w:sz w:val="18"/>
      <w:szCs w:val="18"/>
      <w:u w:val="none"/>
    </w:rPr>
  </w:style>
  <w:style w:type="character" w:customStyle="1" w:styleId="78">
    <w:name w:val="font11"/>
    <w:basedOn w:val="25"/>
    <w:qFormat/>
    <w:uiPriority w:val="0"/>
    <w:rPr>
      <w:rFonts w:hint="eastAsia" w:ascii="宋体" w:hAnsi="宋体" w:eastAsia="宋体" w:cs="宋体"/>
      <w:b/>
      <w:color w:val="000000"/>
      <w:sz w:val="18"/>
      <w:szCs w:val="18"/>
      <w:u w:val="none"/>
    </w:rPr>
  </w:style>
  <w:style w:type="character" w:customStyle="1" w:styleId="79">
    <w:name w:val="font51"/>
    <w:basedOn w:val="25"/>
    <w:qFormat/>
    <w:uiPriority w:val="0"/>
    <w:rPr>
      <w:rFonts w:hint="default" w:ascii="Times New Roman" w:hAnsi="Times New Roman" w:cs="Times New Roman"/>
      <w:color w:val="000000"/>
      <w:sz w:val="22"/>
      <w:szCs w:val="22"/>
      <w:u w:val="none"/>
    </w:rPr>
  </w:style>
  <w:style w:type="character" w:customStyle="1" w:styleId="80">
    <w:name w:val="font31"/>
    <w:basedOn w:val="25"/>
    <w:qFormat/>
    <w:uiPriority w:val="0"/>
    <w:rPr>
      <w:rFonts w:hint="eastAsia" w:ascii="宋体" w:hAnsi="宋体" w:eastAsia="宋体" w:cs="宋体"/>
      <w:b/>
      <w:color w:val="000000"/>
      <w:sz w:val="22"/>
      <w:szCs w:val="22"/>
      <w:u w:val="none"/>
    </w:rPr>
  </w:style>
  <w:style w:type="paragraph" w:customStyle="1" w:styleId="81">
    <w:name w:val="Char Char1"/>
    <w:basedOn w:val="1"/>
    <w:qFormat/>
    <w:uiPriority w:val="0"/>
    <w:pPr>
      <w:widowControl w:val="0"/>
    </w:pPr>
    <w:rPr>
      <w:rFonts w:eastAsia="宋体" w:cs="Times New Roman"/>
      <w:kern w:val="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1" Type="http://schemas.openxmlformats.org/officeDocument/2006/relationships/fontTable" Target="fontTable.xml"/><Relationship Id="rId300" Type="http://schemas.openxmlformats.org/officeDocument/2006/relationships/customXml" Target="../customXml/item2.xml"/><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numbering" Target="numbering.xml"/><Relationship Id="rId298" Type="http://schemas.openxmlformats.org/officeDocument/2006/relationships/customXml" Target="../customXml/item1.xml"/><Relationship Id="rId297" Type="http://schemas.openxmlformats.org/officeDocument/2006/relationships/image" Target="media/image290.png"/><Relationship Id="rId296" Type="http://schemas.openxmlformats.org/officeDocument/2006/relationships/image" Target="media/image289.png"/><Relationship Id="rId295" Type="http://schemas.openxmlformats.org/officeDocument/2006/relationships/image" Target="media/image288.png"/><Relationship Id="rId294" Type="http://schemas.openxmlformats.org/officeDocument/2006/relationships/image" Target="media/image287.png"/><Relationship Id="rId293" Type="http://schemas.openxmlformats.org/officeDocument/2006/relationships/image" Target="media/image286.png"/><Relationship Id="rId292" Type="http://schemas.openxmlformats.org/officeDocument/2006/relationships/image" Target="media/image285.png"/><Relationship Id="rId291" Type="http://schemas.openxmlformats.org/officeDocument/2006/relationships/image" Target="media/image284.png"/><Relationship Id="rId290" Type="http://schemas.openxmlformats.org/officeDocument/2006/relationships/image" Target="media/image283.png"/><Relationship Id="rId29" Type="http://schemas.openxmlformats.org/officeDocument/2006/relationships/image" Target="media/image22.jpeg"/><Relationship Id="rId289" Type="http://schemas.openxmlformats.org/officeDocument/2006/relationships/image" Target="media/image282.pn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png"/><Relationship Id="rId284" Type="http://schemas.openxmlformats.org/officeDocument/2006/relationships/image" Target="media/image277.png"/><Relationship Id="rId283" Type="http://schemas.openxmlformats.org/officeDocument/2006/relationships/image" Target="media/image276.png"/><Relationship Id="rId282" Type="http://schemas.openxmlformats.org/officeDocument/2006/relationships/image" Target="media/image275.png"/><Relationship Id="rId281" Type="http://schemas.openxmlformats.org/officeDocument/2006/relationships/image" Target="media/image274.png"/><Relationship Id="rId280" Type="http://schemas.openxmlformats.org/officeDocument/2006/relationships/image" Target="media/image273.png"/><Relationship Id="rId28" Type="http://schemas.openxmlformats.org/officeDocument/2006/relationships/image" Target="media/image21.png"/><Relationship Id="rId279" Type="http://schemas.openxmlformats.org/officeDocument/2006/relationships/image" Target="media/image272.png"/><Relationship Id="rId278" Type="http://schemas.openxmlformats.org/officeDocument/2006/relationships/image" Target="media/image271.png"/><Relationship Id="rId277" Type="http://schemas.openxmlformats.org/officeDocument/2006/relationships/image" Target="media/image270.png"/><Relationship Id="rId276" Type="http://schemas.openxmlformats.org/officeDocument/2006/relationships/image" Target="media/image269.png"/><Relationship Id="rId275" Type="http://schemas.openxmlformats.org/officeDocument/2006/relationships/image" Target="media/image268.png"/><Relationship Id="rId274" Type="http://schemas.openxmlformats.org/officeDocument/2006/relationships/image" Target="media/image267.png"/><Relationship Id="rId273" Type="http://schemas.openxmlformats.org/officeDocument/2006/relationships/image" Target="media/image266.pn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png"/><Relationship Id="rId27" Type="http://schemas.openxmlformats.org/officeDocument/2006/relationships/image" Target="media/image20.jpeg"/><Relationship Id="rId269" Type="http://schemas.openxmlformats.org/officeDocument/2006/relationships/image" Target="media/image262.pn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png"/><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jpe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jpe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jpe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CE1233-BF9C-49C7-BB80-2A68CE5197EF}">
  <ds:schemaRefs/>
</ds:datastoreItem>
</file>

<file path=docProps/app.xml><?xml version="1.0" encoding="utf-8"?>
<Properties xmlns="http://schemas.openxmlformats.org/officeDocument/2006/extended-properties" xmlns:vt="http://schemas.openxmlformats.org/officeDocument/2006/docPropsVTypes">
  <Template>Normal</Template>
  <Pages>68</Pages>
  <Words>5599</Words>
  <Characters>31916</Characters>
  <Lines>265</Lines>
  <Paragraphs>74</Paragraphs>
  <TotalTime>39</TotalTime>
  <ScaleCrop>false</ScaleCrop>
  <LinksUpToDate>false</LinksUpToDate>
  <CharactersWithSpaces>37441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2019-03-07T06:11:00Z</dcterms:created>
  <dc:creator>许昌市公共资源交易中心:孟莉</dc:creator>
  <cp:lastModifiedBy>长葛市公共资源交易中心:王丹丹</cp:lastModifiedBy>
  <cp:lastPrinted>2019-11-25T06:53:00Z</cp:lastPrinted>
  <dcterms:modified xsi:type="dcterms:W3CDTF">2019-12-05T03:37:03Z</dcterms:modified>
  <cp:revision>545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