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keepNext w:val="0"/>
        <w:keepLines w:val="0"/>
        <w:pageBreakBefore w:val="0"/>
        <w:widowControl w:val="0"/>
        <w:kinsoku/>
        <w:wordWrap/>
        <w:overflowPunct/>
        <w:topLinePunct w:val="0"/>
        <w:autoSpaceDE/>
        <w:autoSpaceDN/>
        <w:bidi w:val="0"/>
        <w:adjustRightInd/>
        <w:snapToGrid/>
        <w:spacing w:line="360" w:lineRule="auto"/>
        <w:ind w:firstLine="442" w:firstLineChars="100"/>
        <w:jc w:val="center"/>
        <w:textAlignment w:val="auto"/>
        <w:rPr>
          <w:rFonts w:hint="eastAsia" w:ascii="仿宋" w:hAnsi="仿宋" w:eastAsia="仿宋" w:cs="仿宋"/>
          <w:b/>
          <w:bCs/>
          <w:color w:val="000000"/>
          <w:sz w:val="44"/>
          <w:szCs w:val="44"/>
        </w:rPr>
      </w:pPr>
      <w:r>
        <w:rPr>
          <w:rFonts w:hint="eastAsia" w:ascii="仿宋" w:hAnsi="仿宋" w:eastAsia="仿宋" w:cs="仿宋"/>
          <w:b/>
          <w:bCs/>
          <w:color w:val="000000"/>
          <w:sz w:val="44"/>
          <w:szCs w:val="44"/>
        </w:rPr>
        <w:t>禹州市薯粉小镇发展战略规划项目</w:t>
      </w:r>
    </w:p>
    <w:p>
      <w:pPr>
        <w:pStyle w:val="29"/>
        <w:rPr>
          <w:rFonts w:hint="eastAsia" w:ascii="仿宋" w:hAnsi="仿宋" w:eastAsia="仿宋" w:cs="仿宋"/>
          <w:color w:val="000000"/>
          <w:sz w:val="44"/>
          <w:szCs w:val="44"/>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采购单位：禹州市古城镇人民政府</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331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w:t>
      </w:r>
      <w:r>
        <w:rPr>
          <w:rFonts w:hint="eastAsia" w:ascii="仿宋" w:hAnsi="仿宋" w:eastAsia="仿宋" w:cs="仿宋"/>
          <w:b/>
          <w:bCs/>
          <w:color w:val="000000"/>
          <w:sz w:val="36"/>
          <w:szCs w:val="36"/>
          <w:lang w:val="en-US" w:eastAsia="zh-CN"/>
        </w:rPr>
        <w:t>二</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禹州市薯粉小镇发展战略规划项目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numPr>
          <w:ilvl w:val="0"/>
          <w:numId w:val="0"/>
        </w:numPr>
        <w:ind w:left="288" w:leftChars="0"/>
        <w:rPr>
          <w:rFonts w:hint="eastAsia"/>
        </w:rPr>
      </w:pPr>
    </w:p>
    <w:p>
      <w:pPr>
        <w:keepNext w:val="0"/>
        <w:keepLines w:val="0"/>
        <w:pageBreakBefore w:val="0"/>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禹州市政府采购中心受禹州市古城镇人民政府的委托，就“禹州市薯粉小镇发展战略规划项目”进行公开招标，欢迎合格的投标人前来投标。</w:t>
      </w:r>
    </w:p>
    <w:p>
      <w:pPr>
        <w:pStyle w:val="60"/>
        <w:keepNext w:val="0"/>
        <w:keepLines w:val="0"/>
        <w:pageBreakBefore w:val="0"/>
        <w:widowControl/>
        <w:numPr>
          <w:ilvl w:val="0"/>
          <w:numId w:val="0"/>
        </w:numPr>
        <w:shd w:val="clear" w:color="auto" w:fill="FFFFFF"/>
        <w:kinsoku/>
        <w:overflowPunct/>
        <w:bidi w:val="0"/>
        <w:spacing w:line="400" w:lineRule="exact"/>
        <w:ind w:leftChars="0"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一、</w:t>
      </w: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采购人：禹州市古城镇人民政府</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color w:val="000000"/>
          <w:kern w:val="0"/>
          <w:sz w:val="24"/>
          <w:szCs w:val="24"/>
        </w:rPr>
        <w:t>项目名称：禹州市薯粉小镇发展战略规划项目</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331</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4、项目需求：薯粉小镇发展战略规划规划（详见招标文件）</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5、采购预算：</w:t>
      </w:r>
      <w:r>
        <w:rPr>
          <w:rFonts w:hint="eastAsia" w:ascii="新宋体" w:hAnsi="新宋体" w:eastAsia="新宋体" w:cs="新宋体"/>
          <w:color w:val="000000"/>
          <w:kern w:val="0"/>
          <w:sz w:val="24"/>
          <w:szCs w:val="24"/>
          <w:lang w:val="en-US" w:eastAsia="zh-CN"/>
        </w:rPr>
        <w:t>87.5</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6、采购限价：</w:t>
      </w:r>
      <w:r>
        <w:rPr>
          <w:rFonts w:hint="eastAsia" w:ascii="新宋体" w:hAnsi="新宋体" w:eastAsia="新宋体" w:cs="新宋体"/>
          <w:sz w:val="24"/>
          <w:szCs w:val="24"/>
          <w:lang w:val="en-US" w:eastAsia="zh-CN"/>
        </w:rPr>
        <w:t>87.5</w:t>
      </w:r>
      <w:r>
        <w:rPr>
          <w:rFonts w:hint="eastAsia" w:ascii="新宋体" w:hAnsi="新宋体" w:eastAsia="新宋体" w:cs="新宋体"/>
          <w:sz w:val="24"/>
          <w:szCs w:val="24"/>
        </w:rPr>
        <w:t>万元</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2、投标人须具有规划编制设计乙级及以上资质，拟派项目负责人具有相关专业技术职称；</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keepNext w:val="0"/>
        <w:keepLines w:val="0"/>
        <w:pageBreakBefore w:val="0"/>
        <w:kinsoku/>
        <w:wordWrap w:val="0"/>
        <w:overflowPunct/>
        <w:topLinePunct/>
        <w:bidi w:val="0"/>
        <w:snapToGrid w:val="0"/>
        <w:spacing w:line="40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0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http://ggzy.xuchang.gov.cn</w:t>
      </w:r>
      <w:r>
        <w:rPr>
          <w:rStyle w:val="28"/>
          <w:rFonts w:hint="eastAsia" w:ascii="新宋体" w:hAnsi="新宋体" w:eastAsia="新宋体" w:cs="新宋体"/>
          <w:sz w:val="24"/>
          <w:szCs w:val="24"/>
          <w:lang w:val="en-US" w:eastAsia="zh-CN"/>
        </w:rPr>
        <w:t>/</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40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40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五、投标截止时间、开标时间及地点：</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 xml:space="preserve"> 12</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25</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 xml:space="preserve">9：00 </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kinsoku/>
        <w:overflowPunct/>
        <w:bidi w:val="0"/>
        <w:spacing w:line="40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keepNext w:val="0"/>
        <w:keepLines w:val="0"/>
        <w:pageBreakBefore w:val="0"/>
        <w:kinsoku/>
        <w:overflowPunct/>
        <w:bidi w:val="0"/>
        <w:spacing w:line="40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0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地址：禹州市行政服务中心楼917房间</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联系人：</w:t>
      </w:r>
      <w:r>
        <w:rPr>
          <w:rFonts w:hint="eastAsia" w:ascii="新宋体" w:hAnsi="新宋体" w:eastAsia="新宋体" w:cs="新宋体"/>
          <w:sz w:val="24"/>
          <w:szCs w:val="24"/>
          <w:lang w:val="en-US" w:eastAsia="zh-CN"/>
        </w:rPr>
        <w:t>李女士</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联系电话：0374-2077111</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（二）采购单位：禹州市</w:t>
      </w:r>
      <w:r>
        <w:rPr>
          <w:rFonts w:hint="eastAsia" w:ascii="新宋体" w:hAnsi="新宋体" w:eastAsia="新宋体" w:cs="新宋体"/>
          <w:sz w:val="24"/>
          <w:szCs w:val="24"/>
          <w:lang w:eastAsia="zh-CN"/>
        </w:rPr>
        <w:t>古城镇人民政府</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地址：禹州市</w:t>
      </w:r>
      <w:r>
        <w:rPr>
          <w:rFonts w:hint="eastAsia" w:ascii="新宋体" w:hAnsi="新宋体" w:eastAsia="新宋体" w:cs="新宋体"/>
          <w:sz w:val="24"/>
          <w:szCs w:val="24"/>
          <w:lang w:eastAsia="zh-CN"/>
        </w:rPr>
        <w:t>古城镇人民政府</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联系人：</w:t>
      </w:r>
      <w:r>
        <w:rPr>
          <w:rFonts w:hint="eastAsia" w:ascii="新宋体" w:hAnsi="新宋体" w:eastAsia="新宋体" w:cs="新宋体"/>
          <w:sz w:val="24"/>
          <w:szCs w:val="24"/>
          <w:lang w:eastAsia="zh-CN"/>
        </w:rPr>
        <w:t>白</w:t>
      </w:r>
      <w:r>
        <w:rPr>
          <w:rFonts w:hint="eastAsia" w:ascii="新宋体" w:hAnsi="新宋体" w:eastAsia="新宋体" w:cs="新宋体"/>
          <w:sz w:val="24"/>
          <w:szCs w:val="24"/>
        </w:rPr>
        <w:t>先生   联系电话：</w:t>
      </w:r>
      <w:r>
        <w:rPr>
          <w:rFonts w:hint="eastAsia" w:ascii="新宋体" w:hAnsi="新宋体" w:eastAsia="新宋体" w:cs="新宋体"/>
          <w:sz w:val="24"/>
          <w:szCs w:val="24"/>
          <w:lang w:val="en-US" w:eastAsia="zh-CN"/>
        </w:rPr>
        <w:t>0374-9622736</w:t>
      </w:r>
    </w:p>
    <w:p>
      <w:pPr>
        <w:keepNext w:val="0"/>
        <w:keepLines w:val="0"/>
        <w:pageBreakBefore w:val="0"/>
        <w:kinsoku/>
        <w:overflowPunct/>
        <w:bidi w:val="0"/>
        <w:spacing w:line="400" w:lineRule="exact"/>
        <w:ind w:firstLine="2640" w:firstLineChars="11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p>
    <w:p>
      <w:pPr>
        <w:keepNext w:val="0"/>
        <w:keepLines w:val="0"/>
        <w:pageBreakBefore w:val="0"/>
        <w:kinsoku/>
        <w:overflowPunct/>
        <w:bidi w:val="0"/>
        <w:spacing w:line="400" w:lineRule="exact"/>
        <w:ind w:firstLine="5760" w:firstLineChars="2400"/>
        <w:textAlignment w:val="auto"/>
        <w:rPr>
          <w:rFonts w:hint="eastAsia" w:ascii="仿宋" w:hAnsi="仿宋" w:eastAsia="仿宋" w:cs="仿宋"/>
          <w:b/>
          <w:bCs/>
          <w:sz w:val="36"/>
          <w:szCs w:val="36"/>
        </w:rPr>
      </w:pPr>
      <w:r>
        <w:rPr>
          <w:rFonts w:hint="eastAsia" w:ascii="新宋体" w:hAnsi="新宋体" w:eastAsia="新宋体" w:cs="新宋体"/>
          <w:sz w:val="24"/>
          <w:szCs w:val="24"/>
        </w:rPr>
        <w:t xml:space="preserve"> 2019年</w:t>
      </w:r>
      <w:r>
        <w:rPr>
          <w:rFonts w:hint="eastAsia" w:ascii="新宋体" w:hAnsi="新宋体" w:eastAsia="新宋体" w:cs="新宋体"/>
          <w:sz w:val="24"/>
          <w:szCs w:val="24"/>
          <w:lang w:val="en-US" w:eastAsia="zh-CN"/>
        </w:rPr>
        <w:t xml:space="preserve"> 12</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2 </w:t>
      </w:r>
      <w:r>
        <w:rPr>
          <w:rFonts w:hint="eastAsia" w:ascii="新宋体" w:hAnsi="新宋体" w:eastAsia="新宋体" w:cs="新宋体"/>
          <w:sz w:val="24"/>
          <w:szCs w:val="24"/>
        </w:rPr>
        <w:t>日</w:t>
      </w: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
        <w:numPr>
          <w:ilvl w:val="0"/>
          <w:numId w:val="0"/>
        </w:numPr>
        <w:rPr>
          <w:rFonts w:hint="eastAsia"/>
          <w:lang w:eastAsia="zh-CN"/>
        </w:rPr>
      </w:pPr>
    </w:p>
    <w:p>
      <w:pPr>
        <w:rPr>
          <w:rFonts w:hint="eastAsia"/>
          <w:lang w:eastAsia="zh-CN"/>
        </w:rPr>
      </w:pPr>
    </w:p>
    <w:p>
      <w:pPr>
        <w:pStyle w:val="2"/>
        <w:numPr>
          <w:ilvl w:val="0"/>
          <w:numId w:val="0"/>
        </w:numPr>
        <w:rPr>
          <w:rFonts w:hint="eastAsia"/>
          <w:lang w:eastAsia="zh-CN"/>
        </w:rPr>
      </w:pPr>
    </w:p>
    <w:p>
      <w:pPr>
        <w:rPr>
          <w:rFonts w:hint="eastAsia"/>
          <w:lang w:eastAsia="zh-CN"/>
        </w:rPr>
      </w:pPr>
    </w:p>
    <w:p>
      <w:pPr>
        <w:pStyle w:val="2"/>
        <w:numPr>
          <w:ilvl w:val="0"/>
          <w:numId w:val="0"/>
        </w:numPr>
        <w:ind w:left="288" w:leftChars="0"/>
        <w:rPr>
          <w:rFonts w:hint="eastAsia"/>
          <w:lang w:eastAsia="zh-CN"/>
        </w:rPr>
      </w:pPr>
    </w:p>
    <w:p>
      <w:pPr>
        <w:numPr>
          <w:ilvl w:val="0"/>
          <w:numId w:val="5"/>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1"/>
        <w:rPr>
          <w:rFonts w:hint="eastAsia"/>
        </w:rPr>
      </w:pPr>
    </w:p>
    <w:p>
      <w:pPr>
        <w:widowControl/>
        <w:numPr>
          <w:ilvl w:val="0"/>
          <w:numId w:val="6"/>
        </w:numPr>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本项目需实现的功能或者目标</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 xml:space="preserve"> 为深入落实国家和河南省特色小镇创建工作的有关指示精神，加快推进禹州市小城镇发展战略转型，探索适用于薯粉产业集聚，环境宜居的禹州市古城镇绿色可持续发展道路，禹州市古城镇拟开展《河南禹州市薯粉小镇发展规划》编制工作。</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主要工作内容包括：</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1、全面调研和基础资料收集。包括工作方案编制、启动会相关材料准备、基础资料收集和整理、现场调研，形成规划基础数据和材料库。</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2、开展专题研究，剖析重大发展问题。以国家和河南省特色小镇创建工作为要求，开展古城镇薯粉企业运营情况、村镇环境整治、土地利用摸底等3项前期工作，夯实规划编制基础；针对影响特色小镇发展的宏观性、创新性、关键性问题，开展政策、产业、环境、土地利用、创建机制5项专题研究，形成专题研究报告和综合研究成果，提出问题解决方案和建议。</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需要完成的专题研究包括：</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（1）国家及河南省特色小镇培育与创建政策分析</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（2）古城镇相关企业调查分析</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（3）古城镇土地利用研究</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（4）古城镇三生空间融合发展研究</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（5）薯粉特色小镇创建培育机制分析</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3、开展规划方案编制。包括主要规划指标体系研究、主要规划调控指标预测、指标分解方案、产业集聚与产业平台建设，三生空间融合、土地利用优化布局等，形成以特色小镇为核心来辐射带动古城镇和禹州市薯类种植和“三粉”产业发展的规划方案；开展规划方案多方意见征询、专家咨询和汇报等工作。</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4、开展规划成果编制。基于前期专题研究和规划方案编制，完成规划文本、说明、图件编制工作，形成规划成果。</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560" w:lineRule="exact"/>
        <w:ind w:left="0" w:leftChars="0" w:firstLine="600" w:firstLineChars="0"/>
        <w:jc w:val="both"/>
        <w:textAlignment w:val="auto"/>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val="en-US" w:eastAsia="zh-CN"/>
        </w:rPr>
        <w:t>采购清单</w:t>
      </w:r>
      <w:r>
        <w:rPr>
          <w:rFonts w:hint="eastAsia" w:ascii="新宋体" w:hAnsi="新宋体" w:eastAsia="新宋体" w:cs="新宋体"/>
          <w:b/>
          <w:bCs/>
          <w:color w:val="000000"/>
          <w:kern w:val="0"/>
          <w:sz w:val="24"/>
          <w:szCs w:val="24"/>
          <w:lang w:eastAsia="zh-CN"/>
        </w:rPr>
        <w:t>：</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4183"/>
        <w:gridCol w:w="840"/>
        <w:gridCol w:w="839"/>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序号</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货物名称</w:t>
            </w:r>
          </w:p>
        </w:tc>
        <w:tc>
          <w:tcPr>
            <w:tcW w:w="41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技术规格及主要参数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单位</w:t>
            </w:r>
          </w:p>
        </w:tc>
        <w:tc>
          <w:tcPr>
            <w:tcW w:w="8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数量</w:t>
            </w:r>
          </w:p>
        </w:tc>
        <w:tc>
          <w:tcPr>
            <w:tcW w:w="1115" w:type="dxa"/>
            <w:tcBorders>
              <w:top w:val="single" w:color="auto" w:sz="4" w:space="0"/>
              <w:left w:val="single" w:color="auto" w:sz="4" w:space="0"/>
              <w:bottom w:val="single" w:color="auto" w:sz="4" w:space="0"/>
              <w:right w:val="single" w:color="auto" w:sz="4" w:space="0"/>
            </w:tcBorders>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禹州市薯粉小镇发展规划</w:t>
            </w:r>
          </w:p>
        </w:tc>
        <w:tc>
          <w:tcPr>
            <w:tcW w:w="41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提出并形成以薯粉特色小镇规划方案，辐射带动古城镇和禹州市薯类种植和“三粉”产业发展</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w:t>
            </w:r>
          </w:p>
        </w:tc>
        <w:tc>
          <w:tcPr>
            <w:tcW w:w="8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是</w:t>
            </w:r>
          </w:p>
        </w:tc>
      </w:tr>
    </w:tbl>
    <w:p>
      <w:pPr>
        <w:keepNext w:val="0"/>
        <w:keepLines w:val="0"/>
        <w:pageBreakBefore w:val="0"/>
        <w:widowControl/>
        <w:numPr>
          <w:ilvl w:val="0"/>
          <w:numId w:val="0"/>
        </w:numPr>
        <w:kinsoku/>
        <w:overflowPunct/>
        <w:bidi w:val="0"/>
        <w:snapToGrid/>
        <w:spacing w:line="360" w:lineRule="auto"/>
        <w:ind w:left="600" w:leftChars="0"/>
        <w:jc w:val="both"/>
        <w:textAlignment w:val="center"/>
        <w:rPr>
          <w:rFonts w:hint="eastAsia" w:ascii="新宋体" w:hAnsi="新宋体" w:eastAsia="新宋体" w:cs="新宋体"/>
          <w:b/>
          <w:bCs/>
          <w:color w:val="000000"/>
          <w:kern w:val="0"/>
          <w:sz w:val="24"/>
          <w:szCs w:val="24"/>
          <w:lang w:val="en-US" w:eastAsia="zh-CN" w:bidi="ar-SA"/>
        </w:rPr>
      </w:pPr>
    </w:p>
    <w:p>
      <w:pPr>
        <w:keepNext w:val="0"/>
        <w:keepLines w:val="0"/>
        <w:pageBreakBefore w:val="0"/>
        <w:widowControl/>
        <w:numPr>
          <w:ilvl w:val="0"/>
          <w:numId w:val="0"/>
        </w:numPr>
        <w:kinsoku/>
        <w:overflowPunct/>
        <w:bidi w:val="0"/>
        <w:snapToGrid/>
        <w:spacing w:line="360" w:lineRule="auto"/>
        <w:ind w:left="600" w:leftChars="0"/>
        <w:jc w:val="both"/>
        <w:textAlignment w:val="center"/>
        <w:rPr>
          <w:rFonts w:hint="eastAsia" w:ascii="新宋体" w:hAnsi="新宋体" w:eastAsia="新宋体" w:cs="新宋体"/>
          <w:b/>
          <w:bCs/>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（三）采购标的执行标准：</w:t>
      </w:r>
      <w:r>
        <w:rPr>
          <w:rFonts w:hint="eastAsia" w:cs="宋体" w:asciiTheme="minorEastAsia" w:hAnsiTheme="minorEastAsia" w:eastAsiaTheme="minorEastAsia"/>
          <w:kern w:val="0"/>
          <w:sz w:val="24"/>
          <w:szCs w:val="24"/>
          <w:lang w:val="en-US" w:eastAsia="zh-CN" w:bidi="ar-SA"/>
        </w:rPr>
        <w:t>达到国家、行业、地方政府有关法律法规及技术规范要求，并通过有关部门审查。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2" w:firstLineChars="200"/>
        <w:contextualSpacing/>
        <w:jc w:val="both"/>
        <w:textAlignment w:val="auto"/>
        <w:rPr>
          <w:rFonts w:hint="eastAsia" w:ascii="新宋体" w:hAnsi="新宋体" w:eastAsia="新宋体" w:cs="新宋体"/>
          <w:b/>
          <w:bCs/>
          <w:kern w:val="0"/>
          <w:sz w:val="24"/>
          <w:szCs w:val="24"/>
          <w:lang w:val="en-US" w:eastAsia="zh-CN" w:bidi="ar-SA"/>
        </w:rPr>
      </w:pPr>
      <w:r>
        <w:rPr>
          <w:rFonts w:hint="eastAsia" w:ascii="新宋体" w:hAnsi="新宋体" w:eastAsia="新宋体" w:cs="新宋体"/>
          <w:b/>
          <w:bCs/>
          <w:kern w:val="0"/>
          <w:sz w:val="24"/>
          <w:szCs w:val="24"/>
          <w:lang w:val="en-US" w:eastAsia="zh-CN" w:bidi="ar-SA"/>
        </w:rPr>
        <w:t>（四）服务标准、期限、效率等要求：</w:t>
      </w:r>
    </w:p>
    <w:p>
      <w:pPr>
        <w:pStyle w:val="60"/>
        <w:wordWrap w:val="0"/>
        <w:topLinePunct/>
        <w:autoSpaceDE w:val="0"/>
        <w:autoSpaceDN w:val="0"/>
        <w:adjustRightInd w:val="0"/>
        <w:spacing w:line="360" w:lineRule="auto"/>
        <w:ind w:left="420" w:firstLine="240" w:firstLineChars="100"/>
        <w:rPr>
          <w:rFonts w:hint="eastAsia" w:ascii="宋体" w:cs="宋体"/>
          <w:sz w:val="24"/>
          <w:lang w:val="en-US" w:eastAsia="zh-CN"/>
        </w:rPr>
      </w:pPr>
      <w:r>
        <w:rPr>
          <w:rFonts w:hint="eastAsia" w:ascii="宋体" w:cs="宋体"/>
          <w:sz w:val="24"/>
          <w:lang w:val="en-US" w:eastAsia="zh-CN"/>
        </w:rPr>
        <w:t>1、禹州市薯粉小镇发展战略规划项目的编制工作切合禹州行政主管部门要求，方案须通市发改委组织的技术审查，最终提交正式成果10套，电子版一套。</w:t>
      </w:r>
    </w:p>
    <w:p>
      <w:pPr>
        <w:pStyle w:val="60"/>
        <w:wordWrap w:val="0"/>
        <w:topLinePunct/>
        <w:autoSpaceDE w:val="0"/>
        <w:autoSpaceDN w:val="0"/>
        <w:adjustRightInd w:val="0"/>
        <w:spacing w:line="360" w:lineRule="auto"/>
        <w:ind w:left="420" w:firstLine="240" w:firstLineChars="100"/>
        <w:rPr>
          <w:rFonts w:hint="eastAsia"/>
          <w:lang w:val="en-US" w:eastAsia="zh-CN"/>
        </w:rPr>
      </w:pPr>
      <w:r>
        <w:rPr>
          <w:rFonts w:hint="eastAsia" w:ascii="宋体" w:cs="宋体"/>
          <w:sz w:val="24"/>
          <w:lang w:val="en-US" w:eastAsia="zh-CN"/>
        </w:rPr>
        <w:t>2、达到国家、行业及地方主管部门的规定，满足项目运作的需求。</w:t>
      </w:r>
    </w:p>
    <w:p>
      <w:pPr>
        <w:keepNext w:val="0"/>
        <w:keepLines w:val="0"/>
        <w:pageBreakBefore w:val="0"/>
        <w:kinsoku/>
        <w:wordWrap w:val="0"/>
        <w:overflowPunct/>
        <w:topLinePunct/>
        <w:bidi w:val="0"/>
        <w:snapToGrid/>
        <w:spacing w:line="360" w:lineRule="auto"/>
        <w:ind w:firstLine="723" w:firstLineChars="300"/>
        <w:rPr>
          <w:rFonts w:hint="eastAsia" w:ascii="新宋体" w:hAnsi="新宋体" w:eastAsia="新宋体" w:cs="新宋体"/>
          <w:b/>
          <w:bCs/>
          <w:sz w:val="24"/>
          <w:lang w:val="zh-CN"/>
        </w:rPr>
      </w:pPr>
      <w:r>
        <w:rPr>
          <w:rFonts w:hint="eastAsia" w:ascii="新宋体" w:hAnsi="新宋体" w:eastAsia="新宋体" w:cs="新宋体"/>
          <w:b/>
          <w:bCs/>
          <w:sz w:val="24"/>
          <w:lang w:val="zh-CN"/>
        </w:rPr>
        <w:t>（</w:t>
      </w:r>
      <w:r>
        <w:rPr>
          <w:rFonts w:hint="eastAsia" w:ascii="新宋体" w:hAnsi="新宋体" w:eastAsia="新宋体" w:cs="新宋体"/>
          <w:b/>
          <w:bCs/>
          <w:sz w:val="24"/>
          <w:lang w:val="zh-CN" w:eastAsia="zh-CN"/>
        </w:rPr>
        <w:t>五</w:t>
      </w:r>
      <w:r>
        <w:rPr>
          <w:rFonts w:hint="eastAsia" w:ascii="新宋体" w:hAnsi="新宋体" w:eastAsia="新宋体" w:cs="新宋体"/>
          <w:b/>
          <w:bCs/>
          <w:sz w:val="24"/>
          <w:lang w:val="zh-CN"/>
        </w:rPr>
        <w:t>）采购标的的其他技术、服务等要求</w:t>
      </w:r>
    </w:p>
    <w:p>
      <w:pPr>
        <w:pStyle w:val="60"/>
        <w:wordWrap w:val="0"/>
        <w:topLinePunct/>
        <w:autoSpaceDE w:val="0"/>
        <w:autoSpaceDN w:val="0"/>
        <w:adjustRightInd w:val="0"/>
        <w:spacing w:line="360" w:lineRule="auto"/>
        <w:ind w:left="420" w:firstLine="240" w:firstLineChars="100"/>
        <w:rPr>
          <w:rFonts w:hint="eastAsia" w:ascii="宋体" w:cs="宋体"/>
          <w:sz w:val="24"/>
          <w:lang w:val="en-US" w:eastAsia="zh-CN"/>
        </w:rPr>
      </w:pPr>
      <w:r>
        <w:rPr>
          <w:rFonts w:hint="eastAsia" w:ascii="宋体" w:cs="宋体"/>
          <w:sz w:val="24"/>
          <w:lang w:val="en-US" w:eastAsia="zh-CN"/>
        </w:rPr>
        <w:t>1、以上要求为最低要求，投标商不得低于以上要求，否则为无效响应文件。</w:t>
      </w:r>
    </w:p>
    <w:p>
      <w:pPr>
        <w:pStyle w:val="60"/>
        <w:wordWrap w:val="0"/>
        <w:topLinePunct/>
        <w:autoSpaceDE w:val="0"/>
        <w:autoSpaceDN w:val="0"/>
        <w:adjustRightInd w:val="0"/>
        <w:spacing w:line="360" w:lineRule="auto"/>
        <w:ind w:left="420" w:firstLine="240" w:firstLineChars="100"/>
        <w:rPr>
          <w:rFonts w:hint="eastAsia" w:ascii="宋体" w:cs="宋体"/>
          <w:sz w:val="24"/>
          <w:lang w:val="en-US" w:eastAsia="zh-CN"/>
        </w:rPr>
      </w:pPr>
      <w:r>
        <w:rPr>
          <w:rFonts w:hint="eastAsia" w:ascii="宋体" w:cs="宋体"/>
          <w:sz w:val="24"/>
          <w:lang w:val="en-US" w:eastAsia="zh-CN"/>
        </w:rPr>
        <w:t>2、投标商须有合理的工作方案，否则为无效响应文件 。</w:t>
      </w:r>
    </w:p>
    <w:p>
      <w:pPr>
        <w:pStyle w:val="60"/>
        <w:wordWrap w:val="0"/>
        <w:topLinePunct/>
        <w:autoSpaceDE w:val="0"/>
        <w:autoSpaceDN w:val="0"/>
        <w:adjustRightInd w:val="0"/>
        <w:spacing w:line="360" w:lineRule="auto"/>
        <w:ind w:left="420" w:firstLine="240" w:firstLineChars="100"/>
        <w:rPr>
          <w:rFonts w:hint="eastAsia" w:ascii="宋体" w:cs="宋体"/>
          <w:sz w:val="24"/>
          <w:lang w:val="zh-CN"/>
        </w:rPr>
      </w:pPr>
      <w:r>
        <w:rPr>
          <w:rFonts w:hint="eastAsia" w:ascii="宋体" w:cs="宋体"/>
          <w:sz w:val="24"/>
          <w:lang w:val="en-US" w:eastAsia="zh-CN"/>
        </w:rPr>
        <w:t>3、</w:t>
      </w:r>
      <w:r>
        <w:rPr>
          <w:rFonts w:hint="eastAsia" w:ascii="宋体" w:cs="宋体"/>
          <w:sz w:val="24"/>
          <w:lang w:val="zh-CN"/>
        </w:rPr>
        <w:t>投标人应就本项目完整投标，（报价含税费等综合费用），否则为无效投标。</w:t>
      </w:r>
    </w:p>
    <w:p>
      <w:pPr>
        <w:pStyle w:val="9"/>
        <w:keepNext w:val="0"/>
        <w:keepLines w:val="0"/>
        <w:pageBreakBefore w:val="0"/>
        <w:kinsoku/>
        <w:overflowPunct/>
        <w:bidi w:val="0"/>
        <w:snapToGrid/>
        <w:spacing w:line="360" w:lineRule="auto"/>
        <w:ind w:firstLine="720" w:firstLineChars="300"/>
        <w:rPr>
          <w:rFonts w:hint="eastAsia" w:ascii="宋体" w:cs="宋体"/>
          <w:sz w:val="24"/>
          <w:lang w:val="zh-CN"/>
        </w:rPr>
      </w:pPr>
      <w:r>
        <w:rPr>
          <w:rFonts w:hint="eastAsia" w:ascii="新宋体" w:hAnsi="新宋体" w:eastAsia="新宋体" w:cs="新宋体"/>
          <w:kern w:val="2"/>
          <w:sz w:val="24"/>
          <w:szCs w:val="22"/>
          <w:lang w:val="en-US" w:eastAsia="zh-CN" w:bidi="ar-SA"/>
        </w:rPr>
        <w:t>4.</w:t>
      </w:r>
      <w:r>
        <w:rPr>
          <w:rFonts w:hint="eastAsia" w:ascii="新宋体" w:hAnsi="新宋体" w:eastAsia="新宋体" w:cs="新宋体"/>
          <w:kern w:val="2"/>
          <w:sz w:val="24"/>
          <w:szCs w:val="22"/>
          <w:lang w:val="zh-CN" w:eastAsia="zh-CN" w:bidi="ar-SA"/>
        </w:rPr>
        <w:t>投标文件中须有详细的实施（技术）方案，否则为无效投标。</w:t>
      </w:r>
    </w:p>
    <w:p>
      <w:pPr>
        <w:keepNext w:val="0"/>
        <w:keepLines w:val="0"/>
        <w:pageBreakBefore w:val="0"/>
        <w:kinsoku/>
        <w:wordWrap w:val="0"/>
        <w:overflowPunct/>
        <w:topLinePunct/>
        <w:bidi w:val="0"/>
        <w:snapToGrid/>
        <w:spacing w:line="360" w:lineRule="auto"/>
        <w:ind w:firstLine="720" w:firstLineChars="300"/>
        <w:rPr>
          <w:rFonts w:hint="eastAsia"/>
          <w:lang w:val="zh-CN"/>
        </w:rPr>
      </w:pPr>
      <w:r>
        <w:rPr>
          <w:rFonts w:hint="eastAsia" w:ascii="新宋体" w:hAnsi="新宋体" w:eastAsia="新宋体" w:cs="新宋体"/>
          <w:sz w:val="24"/>
          <w:lang w:val="en-US" w:eastAsia="zh-CN"/>
        </w:rPr>
        <w:t>5、</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color w:val="000000"/>
          <w:kern w:val="0"/>
          <w:sz w:val="24"/>
          <w:szCs w:val="24"/>
          <w:lang w:val="zh-CN"/>
        </w:rPr>
        <w:t>（六）验收标准：</w:t>
      </w:r>
      <w:r>
        <w:rPr>
          <w:rFonts w:hint="eastAsia" w:ascii="新宋体" w:hAnsi="新宋体" w:eastAsia="新宋体" w:cs="新宋体"/>
          <w:b w:val="0"/>
          <w:bCs/>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1、按照国家相关标准、行业标准、地方标准或者其他标准、规范验收。</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2、按照招标文件要求、投标文件响应和承诺验收。</w:t>
      </w:r>
    </w:p>
    <w:p>
      <w:pPr>
        <w:pStyle w:val="9"/>
        <w:keepNext w:val="0"/>
        <w:keepLines w:val="0"/>
        <w:pageBreakBefore w:val="0"/>
        <w:kinsoku/>
        <w:overflowPunct/>
        <w:bidi w:val="0"/>
        <w:snapToGrid/>
        <w:spacing w:line="360" w:lineRule="auto"/>
        <w:ind w:firstLine="241" w:firstLineChars="100"/>
        <w:rPr>
          <w:rFonts w:hint="eastAsia" w:ascii="新宋体" w:hAnsi="新宋体" w:eastAsia="新宋体" w:cs="新宋体"/>
          <w:b/>
          <w:color w:val="000000"/>
          <w:kern w:val="0"/>
          <w:sz w:val="24"/>
          <w:szCs w:val="24"/>
          <w:lang w:val="zh-CN" w:eastAsia="zh-CN" w:bidi="ar-SA"/>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pStyle w:val="2"/>
        <w:numPr>
          <w:ilvl w:val="0"/>
          <w:numId w:val="0"/>
        </w:numPr>
        <w:ind w:left="288" w:leftChars="0"/>
        <w:rPr>
          <w:rFonts w:hint="eastAsia"/>
        </w:rPr>
      </w:pPr>
    </w:p>
    <w:p>
      <w:pPr>
        <w:rPr>
          <w:rFonts w:hint="eastAsia"/>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keepNext w:val="0"/>
              <w:keepLines w:val="0"/>
              <w:pageBreakBefore w:val="0"/>
              <w:widowControl/>
              <w:shd w:val="clear" w:color="auto" w:fill="FFFFFF"/>
              <w:kinsoku/>
              <w:overflowPunct/>
              <w:bidi w:val="0"/>
              <w:spacing w:line="40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项目名称：禹州市薯粉小镇发展战略规划项目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YZCG-G2019331</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交付时间：以签订合同为准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widowControl/>
              <w:shd w:val="clear" w:color="auto" w:fill="FFFFFF"/>
              <w:spacing w:line="400" w:lineRule="exact"/>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名称：禹州市古城镇人民政府</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地址：禹州市古城镇</w:t>
            </w:r>
          </w:p>
          <w:p>
            <w:pPr>
              <w:keepNext w:val="0"/>
              <w:keepLines w:val="0"/>
              <w:pageBreakBefore w:val="0"/>
              <w:widowControl/>
              <w:shd w:val="clear" w:color="auto" w:fill="FFFFFF"/>
              <w:kinsoku/>
              <w:overflowPunct/>
              <w:bidi w:val="0"/>
              <w:spacing w:line="400" w:lineRule="exact"/>
              <w:jc w:val="left"/>
              <w:textAlignment w:val="auto"/>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联系人：</w:t>
            </w:r>
            <w:r>
              <w:rPr>
                <w:rFonts w:hint="eastAsia" w:cs="仿宋_GB2312" w:asciiTheme="minorEastAsia" w:hAnsiTheme="minorEastAsia"/>
                <w:szCs w:val="21"/>
                <w:lang w:val="en-US" w:eastAsia="zh-CN"/>
              </w:rPr>
              <w:t>白</w:t>
            </w:r>
            <w:r>
              <w:rPr>
                <w:rFonts w:hint="eastAsia" w:cs="仿宋_GB2312" w:asciiTheme="minorEastAsia" w:hAnsiTheme="minorEastAsia"/>
                <w:szCs w:val="21"/>
                <w:lang w:eastAsia="zh-CN"/>
              </w:rPr>
              <w:t>先生                    电话：</w:t>
            </w:r>
            <w:r>
              <w:rPr>
                <w:rFonts w:hint="eastAsia" w:cs="仿宋_GB2312" w:asciiTheme="minorEastAsia" w:hAnsiTheme="minorEastAsia"/>
                <w:szCs w:val="21"/>
                <w:lang w:val="en-US" w:eastAsia="zh-CN"/>
              </w:rPr>
              <w:t>0374-9622736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val="en-US" w:eastAsia="zh-CN"/>
              </w:rPr>
              <w:t>李</w:t>
            </w:r>
            <w:r>
              <w:rPr>
                <w:rFonts w:hint="eastAsia" w:cs="仿宋_GB2312" w:asciiTheme="minorEastAsia" w:hAnsiTheme="minorEastAsia"/>
                <w:sz w:val="24"/>
                <w:szCs w:val="24"/>
                <w:lang w:eastAsia="zh-CN"/>
              </w:rPr>
              <w:t>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rPr>
                <w:rFonts w:hint="eastAsia"/>
              </w:rPr>
            </w:pPr>
            <w:r>
              <w:rPr>
                <w:rFonts w:hint="eastAsia"/>
                <w:lang w:val="zh-CN"/>
              </w:rPr>
              <w:t>七、</w:t>
            </w:r>
            <w:r>
              <w:rPr>
                <w:rFonts w:hint="eastAsia"/>
              </w:rPr>
              <w:t>未被列入“信用中国”网站(www.creditchina.gov.cn)失信被执行人、重大税收违法案件当事人名单、政府采购严重违法失信名单的供应商；“中国政府采购网” (www.ccgp.gov.cn)政府采购严重违法失信行为记录名单的供应商</w:t>
            </w:r>
            <w:r>
              <w:rPr>
                <w:rFonts w:hint="eastAsia"/>
                <w:lang w:val="zh-CN"/>
              </w:rPr>
              <w:t>；</w:t>
            </w:r>
            <w:r>
              <w:rPr>
                <w:rFonts w:hint="eastAsia"/>
              </w:rPr>
              <w:t xml:space="preserve"> “中国社会组织公共服务平台”网站（www.chinanpo.gov.cn）严重违法失信社会组织名单的供应商（联合体形式响应的，联合体成员存在不良信用记录，视同联合体存在不良信用记录）。</w:t>
            </w:r>
          </w:p>
          <w:p>
            <w:pPr>
              <w:autoSpaceDE w:val="0"/>
              <w:autoSpaceDN w:val="0"/>
              <w:spacing w:line="360" w:lineRule="auto"/>
              <w:contextualSpacing/>
              <w:rPr>
                <w:rFonts w:hint="eastAsia"/>
              </w:rPr>
            </w:pPr>
            <w:r>
              <w:rPr>
                <w:rFonts w:hint="eastAsia"/>
              </w:rPr>
              <w:t>1、查询渠道：</w:t>
            </w:r>
          </w:p>
          <w:p>
            <w:pPr>
              <w:autoSpaceDE w:val="0"/>
              <w:autoSpaceDN w:val="0"/>
              <w:spacing w:line="360" w:lineRule="auto"/>
              <w:contextualSpacing/>
              <w:rPr>
                <w:rFonts w:hint="eastAsia"/>
              </w:rPr>
            </w:pPr>
            <w:r>
              <w:rPr>
                <w:rFonts w:hint="eastAsia"/>
              </w:rPr>
              <w:t>①“信用中国”网站（</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w:t>
            </w:r>
          </w:p>
          <w:p>
            <w:pPr>
              <w:autoSpaceDE w:val="0"/>
              <w:autoSpaceDN w:val="0"/>
              <w:spacing w:line="360" w:lineRule="auto"/>
              <w:contextualSpacing/>
              <w:rPr>
                <w:rFonts w:hint="eastAsia"/>
              </w:rPr>
            </w:pPr>
            <w:r>
              <w:rPr>
                <w:rFonts w:hint="eastAsia"/>
              </w:rPr>
              <w:t>②“中国政府采购网”（www.ccgp.gov.cn）</w:t>
            </w:r>
          </w:p>
          <w:p>
            <w:pPr>
              <w:autoSpaceDE w:val="0"/>
              <w:autoSpaceDN w:val="0"/>
              <w:spacing w:line="360" w:lineRule="auto"/>
              <w:contextualSpacing/>
              <w:rPr>
                <w:rFonts w:hint="eastAsia"/>
              </w:rPr>
            </w:pPr>
            <w:r>
              <w:rPr>
                <w:rFonts w:hint="eastAsia"/>
              </w:rPr>
              <w:t>③“中国社会组织公共服务平台”网站（www.chinanpo.gov.cn）（仅查询社会组织）；</w:t>
            </w:r>
          </w:p>
          <w:p>
            <w:pPr>
              <w:autoSpaceDE w:val="0"/>
              <w:autoSpaceDN w:val="0"/>
              <w:spacing w:line="360" w:lineRule="auto"/>
              <w:contextualSpacing/>
              <w:rPr>
                <w:rFonts w:hint="eastAsia"/>
              </w:rPr>
            </w:pPr>
            <w:r>
              <w:rPr>
                <w:rFonts w:hint="eastAsia"/>
              </w:rPr>
              <w:t>2、截止时间：同询价响应截止时间；</w:t>
            </w:r>
          </w:p>
          <w:p>
            <w:pPr>
              <w:autoSpaceDE w:val="0"/>
              <w:autoSpaceDN w:val="0"/>
              <w:spacing w:line="360" w:lineRule="auto"/>
              <w:contextualSpacing/>
              <w:rPr>
                <w:rFonts w:hint="eastAsia"/>
              </w:rPr>
            </w:pPr>
            <w:r>
              <w:rPr>
                <w:rFonts w:hint="eastAsia"/>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hint="eastAsia"/>
              </w:rPr>
            </w:pPr>
            <w:r>
              <w:rPr>
                <w:rFonts w:hint="eastAsia"/>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pPr>
              <w:autoSpaceDE w:val="0"/>
              <w:autoSpaceDN w:val="0"/>
              <w:spacing w:line="360" w:lineRule="auto"/>
              <w:contextualSpacing/>
              <w:rPr>
                <w:rFonts w:hint="eastAsia"/>
              </w:rPr>
            </w:pPr>
            <w:r>
              <w:rPr>
                <w:rFonts w:hint="eastAsia"/>
              </w:rPr>
              <w:t>5、供应商不良信用记录以询价小组查询结果为准，询价小组查询之后，网站信息发生的任何变更不再作为评审依据，供应商自行提供的与网站信息不一致的其他证明材料亦不作为评审依据。</w:t>
            </w:r>
          </w:p>
          <w:p>
            <w:pPr>
              <w:keepNext w:val="0"/>
              <w:keepLines w:val="0"/>
              <w:pageBreakBefore w:val="0"/>
              <w:widowControl/>
              <w:shd w:val="clear" w:color="auto" w:fill="FFFFFF"/>
              <w:kinsoku/>
              <w:overflowPunct/>
              <w:bidi w:val="0"/>
              <w:spacing w:line="400" w:lineRule="exact"/>
              <w:jc w:val="left"/>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八、</w:t>
            </w:r>
            <w:r>
              <w:rPr>
                <w:rFonts w:hint="eastAsia"/>
                <w:lang w:val="en-US" w:eastAsia="zh-CN"/>
              </w:rPr>
              <w:t>1、投标人须具有规划编制设计乙级及以上资质，拟派项目负责人具有相关专业技术职称；</w:t>
            </w:r>
          </w:p>
          <w:p>
            <w:pPr>
              <w:pStyle w:val="21"/>
              <w:ind w:left="0" w:leftChars="0" w:firstLine="0" w:firstLineChars="0"/>
              <w:rPr>
                <w:rFonts w:hint="eastAsia" w:eastAsia="宋体"/>
                <w:lang w:val="en-US" w:eastAsia="zh-CN"/>
              </w:rPr>
            </w:pPr>
            <w:r>
              <w:rPr>
                <w:rFonts w:hint="eastAsia" w:asciiTheme="minorHAnsi" w:hAnsiTheme="minorHAnsi" w:eastAsiaTheme="minorEastAsia" w:cstheme="minorBidi"/>
                <w:kern w:val="2"/>
                <w:sz w:val="21"/>
                <w:szCs w:val="22"/>
                <w:lang w:val="en-US" w:eastAsia="zh-CN" w:bidi="ar-SA"/>
              </w:rPr>
              <w:t>2、被委托人是须是本单位职工，须提供公司为本人缴纳社会保险证明。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kern w:val="0"/>
                <w:sz w:val="24"/>
                <w:szCs w:val="24"/>
                <w:lang w:val="en-US" w:eastAsia="zh-CN"/>
              </w:rPr>
              <w:t>87.5万元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12</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25</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不收取投标保证金。</w:t>
            </w:r>
          </w:p>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2</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60"/>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spacing w:line="360" w:lineRule="auto"/>
        <w:contextualSpacing/>
        <w:rPr>
          <w:rFonts w:hint="eastAsia"/>
          <w:sz w:val="24"/>
          <w:szCs w:val="24"/>
        </w:rPr>
      </w:pPr>
      <w:r>
        <w:rPr>
          <w:rFonts w:hint="eastAsia"/>
          <w:sz w:val="24"/>
          <w:szCs w:val="24"/>
        </w:rPr>
        <w:t>3.3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numPr>
          <w:ilvl w:val="0"/>
          <w:numId w:val="10"/>
        </w:numPr>
        <w:spacing w:line="360" w:lineRule="auto"/>
        <w:contextualSpacing/>
        <w:rPr>
          <w:rFonts w:hint="eastAsia"/>
          <w:sz w:val="24"/>
          <w:szCs w:val="24"/>
        </w:rPr>
      </w:pPr>
      <w:r>
        <w:rPr>
          <w:rFonts w:hint="eastAsia"/>
          <w:sz w:val="24"/>
          <w:szCs w:val="24"/>
        </w:rPr>
        <w:t>查询渠道：“信用中国”网站（www.creditchina.gov.cn）、“中国政府采购网”（www.ccgp.gov.cn）、“中国社会组织公共服务平台”网站（www.chinanpo.gov.cn）。（2）截止时间：同响应截止时间。</w:t>
      </w:r>
    </w:p>
    <w:p>
      <w:pPr>
        <w:numPr>
          <w:numId w:val="0"/>
        </w:numPr>
        <w:spacing w:line="360" w:lineRule="auto"/>
        <w:ind w:leftChars="0"/>
        <w:contextualSpacing/>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信用信息查询记录和证据留存具体方式：经谈判小组确认的查询结果网页截图作为查询记录和证据，与其他采购文件一并保存。</w:t>
      </w:r>
    </w:p>
    <w:p>
      <w:pPr>
        <w:numPr>
          <w:numId w:val="0"/>
        </w:numPr>
        <w:spacing w:line="360" w:lineRule="auto"/>
        <w:ind w:leftChars="0"/>
        <w:contextualSpacing/>
        <w:rPr>
          <w:rFonts w:hint="eastAsia"/>
          <w:sz w:val="24"/>
          <w:szCs w:val="24"/>
        </w:rPr>
      </w:pPr>
      <w:r>
        <w:rPr>
          <w:rFonts w:hint="eastAsia"/>
          <w:sz w:val="24"/>
          <w:szCs w:val="24"/>
        </w:rPr>
        <w:t>（4）信用信息的使用原则：经谈判小组认定的被列入失信被执行人、重大税收违法案件当事人名单、政府采购严重违法失信行为记录名单、严重违法失信社会组织名单的响应人，将拒绝其参与本次政府采购活动。</w:t>
      </w:r>
      <w:bookmarkStart w:id="9" w:name="_GoBack"/>
      <w:bookmarkEnd w:id="9"/>
    </w:p>
    <w:p>
      <w:pPr>
        <w:pStyle w:val="3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60"/>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60"/>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60"/>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1"/>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未按照招标文件的规定提供投标保承诺函的；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cs="仿宋_GB2312" w:asciiTheme="minorEastAsia" w:hAnsiTheme="minorEastAsia"/>
                <w:color w:val="000000"/>
                <w:szCs w:val="21"/>
                <w:lang w:val="en-US" w:eastAsia="zh-CN"/>
              </w:rPr>
              <w:t>投标人须具有林业调查规划设计丙级及以上资质，拟派项目负责人具有林业工程类高级及以上技术职称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b/>
                <w:bCs/>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tbl>
      <w:tblPr>
        <w:tblStyle w:val="23"/>
        <w:tblW w:w="9340"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3"/>
        <w:gridCol w:w="1800"/>
        <w:gridCol w:w="5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713" w:type="dxa"/>
            <w:tcBorders>
              <w:top w:val="single" w:color="000000" w:sz="4" w:space="0"/>
              <w:left w:val="single" w:color="000000" w:sz="4" w:space="0"/>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评分因素</w:t>
            </w:r>
          </w:p>
        </w:tc>
        <w:tc>
          <w:tcPr>
            <w:tcW w:w="1800" w:type="dxa"/>
            <w:tcBorders>
              <w:top w:val="single" w:color="000000" w:sz="4" w:space="0"/>
              <w:left w:val="nil"/>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评分内容</w:t>
            </w:r>
          </w:p>
        </w:tc>
        <w:tc>
          <w:tcPr>
            <w:tcW w:w="5827" w:type="dxa"/>
            <w:tcBorders>
              <w:top w:val="single" w:color="000000" w:sz="4" w:space="0"/>
              <w:left w:val="nil"/>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trPr>
        <w:tc>
          <w:tcPr>
            <w:tcW w:w="1713" w:type="dxa"/>
            <w:tcBorders>
              <w:top w:val="single" w:color="000000" w:sz="4" w:space="0"/>
              <w:left w:val="single" w:color="000000" w:sz="4" w:space="0"/>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价格部分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（35分）</w:t>
            </w:r>
          </w:p>
        </w:tc>
        <w:tc>
          <w:tcPr>
            <w:tcW w:w="1800" w:type="dxa"/>
            <w:tcBorders>
              <w:top w:val="single" w:color="000000" w:sz="4" w:space="0"/>
              <w:left w:val="nil"/>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投标报价</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（35分）</w:t>
            </w:r>
          </w:p>
        </w:tc>
        <w:tc>
          <w:tcPr>
            <w:tcW w:w="5827" w:type="dxa"/>
            <w:tcBorders>
              <w:top w:val="single" w:color="000000" w:sz="4" w:space="0"/>
              <w:left w:val="nil"/>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价格分统一采用低价优先法计算，即满足招标文件要求且投标价格最低的投标报价为评标基准价，其价格分为满分。其他投标人的价格分统一按照下列公式计算：投标报价得分=（评标基准价/投标报价）×35</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最终得分计算保留小数点两位。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trPr>
        <w:tc>
          <w:tcPr>
            <w:tcW w:w="1713" w:type="dxa"/>
            <w:tcBorders>
              <w:top w:val="nil"/>
              <w:left w:val="single" w:color="000000" w:sz="4" w:space="0"/>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商务部分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（25分）</w:t>
            </w:r>
          </w:p>
        </w:tc>
        <w:tc>
          <w:tcPr>
            <w:tcW w:w="1800" w:type="dxa"/>
            <w:tcBorders>
              <w:top w:val="single" w:color="000000" w:sz="4" w:space="0"/>
              <w:left w:val="nil"/>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企业业绩</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(25分）</w:t>
            </w:r>
          </w:p>
        </w:tc>
        <w:tc>
          <w:tcPr>
            <w:tcW w:w="5827" w:type="dxa"/>
            <w:tcBorders>
              <w:top w:val="single" w:color="000000" w:sz="4" w:space="0"/>
              <w:left w:val="nil"/>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投标企业2016年1月1日以来完成过一个类似项目业绩，得5分，最多得25分。（评标时以上传投标文件中合同复印件或扫描件为准。）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1713" w:type="dxa"/>
            <w:tcBorders>
              <w:top w:val="single" w:color="000000" w:sz="4" w:space="0"/>
              <w:left w:val="single" w:color="000000" w:sz="4" w:space="0"/>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技术部分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（30分）</w:t>
            </w:r>
          </w:p>
        </w:tc>
        <w:tc>
          <w:tcPr>
            <w:tcW w:w="1800" w:type="dxa"/>
            <w:tcBorders>
              <w:top w:val="single" w:color="000000" w:sz="4" w:space="0"/>
              <w:left w:val="nil"/>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实施方案</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（技术措施）</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（30分）</w:t>
            </w:r>
          </w:p>
        </w:tc>
        <w:tc>
          <w:tcPr>
            <w:tcW w:w="5827" w:type="dxa"/>
            <w:tcBorders>
              <w:top w:val="single" w:color="000000" w:sz="4" w:space="0"/>
              <w:left w:val="nil"/>
              <w:bottom w:val="single" w:color="000000" w:sz="4" w:space="0"/>
              <w:right w:val="single" w:color="000000" w:sz="4" w:space="0"/>
            </w:tcBorders>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1、思路是否清晰、方案是否合理，项目主要内容的安排是否完整明晰。（0-10分）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2、对项目的特点、关键技术问题的认识及其对策措施是否合理。（0-10分）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3、项目进度安排及进度计划保障措施是否得当。（0-5分）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4、质量保证措施是否合理。（0-5分）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1713" w:type="dxa"/>
            <w:tcBorders>
              <w:top w:val="single" w:color="000000" w:sz="4" w:space="0"/>
              <w:left w:val="single" w:color="000000" w:sz="4" w:space="0"/>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服务承诺（10分）</w:t>
            </w:r>
          </w:p>
        </w:tc>
        <w:tc>
          <w:tcPr>
            <w:tcW w:w="1800" w:type="dxa"/>
            <w:tcBorders>
              <w:top w:val="single" w:color="000000" w:sz="4" w:space="0"/>
              <w:left w:val="nil"/>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服务承诺</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（10分）</w:t>
            </w:r>
          </w:p>
        </w:tc>
        <w:tc>
          <w:tcPr>
            <w:tcW w:w="5827" w:type="dxa"/>
            <w:tcBorders>
              <w:top w:val="single" w:color="000000" w:sz="4" w:space="0"/>
              <w:left w:val="nil"/>
              <w:bottom w:val="single" w:color="000000" w:sz="4" w:space="0"/>
              <w:right w:val="single" w:color="000000" w:sz="4" w:space="0"/>
            </w:tcBorders>
            <w:vAlign w:val="center"/>
          </w:tcPr>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1、投标人对方案实施期间的服务措施（0-3分）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2、投标人对方案实施期间的配合服务承诺（0-3分）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3、投标人其他优惠及服务承诺（0-2分）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4、投标人服务承诺细致、体系完善，根据投标人服务承诺的内容横向对比酌情打分（0-2分）</w:t>
            </w:r>
          </w:p>
        </w:tc>
      </w:tr>
    </w:tbl>
    <w:p>
      <w:pPr>
        <w:pStyle w:val="29"/>
        <w:rPr>
          <w:rFonts w:hint="eastAsia" w:cs="仿宋_GB2312" w:asciiTheme="minorEastAsia" w:hAnsiTheme="minorEastAsia"/>
          <w:szCs w:val="21"/>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29"/>
        <w:rPr>
          <w:rFonts w:hint="eastAsia" w:ascii="新宋体" w:hAnsi="新宋体" w:eastAsia="新宋体" w:cs="新宋体"/>
          <w:sz w:val="24"/>
          <w:szCs w:val="24"/>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评标基准价=评标价格的最低价</w:t>
            </w:r>
          </w:p>
          <w:p>
            <w:pPr>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其他投标报价得分=（评标基准价/评标价格）×评标标准中价格分值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30"/>
        <w:rPr>
          <w:rFonts w:cs="黑体" w:asciiTheme="minorEastAsia" w:hAnsiTheme="minorEastAsia"/>
          <w:b/>
          <w:bCs/>
          <w:sz w:val="44"/>
          <w:szCs w:val="44"/>
          <w:lang w:val="zh-CN"/>
        </w:rPr>
      </w:pPr>
    </w:p>
    <w:p>
      <w:pPr>
        <w:pStyle w:val="30"/>
        <w:rPr>
          <w:rFonts w:cs="黑体" w:asciiTheme="minorEastAsia" w:hAnsiTheme="minorEastAsia"/>
          <w:b/>
          <w:bCs/>
          <w:sz w:val="44"/>
          <w:szCs w:val="44"/>
          <w:lang w:val="zh-CN"/>
        </w:rPr>
      </w:pPr>
    </w:p>
    <w:p>
      <w:pPr>
        <w:pStyle w:val="30"/>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5460" w:firstLineChars="26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简隶书">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2F9EBF59"/>
    <w:multiLevelType w:val="singleLevel"/>
    <w:tmpl w:val="2F9EBF59"/>
    <w:lvl w:ilvl="0" w:tentative="0">
      <w:start w:val="1"/>
      <w:numFmt w:val="chineseCounting"/>
      <w:suff w:val="nothing"/>
      <w:lvlText w:val="（%1）"/>
      <w:lvlJc w:val="left"/>
      <w:rPr>
        <w:rFonts w:hint="eastAsia"/>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3A70195C"/>
    <w:multiLevelType w:val="singleLevel"/>
    <w:tmpl w:val="3A70195C"/>
    <w:lvl w:ilvl="0" w:tentative="0">
      <w:start w:val="1"/>
      <w:numFmt w:val="decimal"/>
      <w:suff w:val="nothing"/>
      <w:lvlText w:val="（%1）"/>
      <w:lvlJc w:val="left"/>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3"/>
      <w:suff w:val="nothing"/>
      <w:lvlText w:val="%1、"/>
      <w:lvlJc w:val="left"/>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9"/>
  </w:num>
  <w:num w:numId="4">
    <w:abstractNumId w:val="6"/>
  </w:num>
  <w:num w:numId="5">
    <w:abstractNumId w:val="8"/>
  </w:num>
  <w:num w:numId="6">
    <w:abstractNumId w:val="5"/>
  </w:num>
  <w:num w:numId="7">
    <w:abstractNumId w:val="0"/>
  </w:num>
  <w:num w:numId="8">
    <w:abstractNumId w:val="4"/>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5EA"/>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5B7C17"/>
    <w:rsid w:val="037217D3"/>
    <w:rsid w:val="03813929"/>
    <w:rsid w:val="03A87C38"/>
    <w:rsid w:val="03C54AE6"/>
    <w:rsid w:val="04AC3A15"/>
    <w:rsid w:val="067B2CDB"/>
    <w:rsid w:val="07732CDA"/>
    <w:rsid w:val="07DA78CD"/>
    <w:rsid w:val="080C2BBA"/>
    <w:rsid w:val="08C0181D"/>
    <w:rsid w:val="08FD5745"/>
    <w:rsid w:val="0A3A482D"/>
    <w:rsid w:val="0A5E16AE"/>
    <w:rsid w:val="0A7C3AAF"/>
    <w:rsid w:val="0A997A60"/>
    <w:rsid w:val="0AB50907"/>
    <w:rsid w:val="0B01317F"/>
    <w:rsid w:val="0BBD5765"/>
    <w:rsid w:val="0C1D2223"/>
    <w:rsid w:val="0C3D4298"/>
    <w:rsid w:val="0C9523A6"/>
    <w:rsid w:val="0CA67F00"/>
    <w:rsid w:val="0CAB7FE2"/>
    <w:rsid w:val="0CCD3572"/>
    <w:rsid w:val="0CF46B6D"/>
    <w:rsid w:val="0CF874BC"/>
    <w:rsid w:val="0D057A5F"/>
    <w:rsid w:val="0D403087"/>
    <w:rsid w:val="0DA22AE9"/>
    <w:rsid w:val="0E3648A2"/>
    <w:rsid w:val="0F485C64"/>
    <w:rsid w:val="0F7B5351"/>
    <w:rsid w:val="0F981000"/>
    <w:rsid w:val="0FD30C14"/>
    <w:rsid w:val="101B403B"/>
    <w:rsid w:val="110E6851"/>
    <w:rsid w:val="1139362B"/>
    <w:rsid w:val="116D26CD"/>
    <w:rsid w:val="11C23651"/>
    <w:rsid w:val="11E13F76"/>
    <w:rsid w:val="123143AC"/>
    <w:rsid w:val="129267D1"/>
    <w:rsid w:val="12C422CE"/>
    <w:rsid w:val="13903C42"/>
    <w:rsid w:val="13B159A7"/>
    <w:rsid w:val="13D62A9D"/>
    <w:rsid w:val="13EB69AF"/>
    <w:rsid w:val="13EF7D11"/>
    <w:rsid w:val="140778EB"/>
    <w:rsid w:val="15437E44"/>
    <w:rsid w:val="155C6126"/>
    <w:rsid w:val="155E38CF"/>
    <w:rsid w:val="158908A7"/>
    <w:rsid w:val="160E3E81"/>
    <w:rsid w:val="16EB2042"/>
    <w:rsid w:val="16EE4E99"/>
    <w:rsid w:val="17022AEF"/>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BAE49D7"/>
    <w:rsid w:val="1C2D1536"/>
    <w:rsid w:val="1CCF2F1D"/>
    <w:rsid w:val="1CF87F0B"/>
    <w:rsid w:val="1CFB73D3"/>
    <w:rsid w:val="1D3B1EEC"/>
    <w:rsid w:val="1D767D0D"/>
    <w:rsid w:val="1E8E722F"/>
    <w:rsid w:val="1F8E45BB"/>
    <w:rsid w:val="1FE15514"/>
    <w:rsid w:val="1FF158F3"/>
    <w:rsid w:val="208614E5"/>
    <w:rsid w:val="2157706F"/>
    <w:rsid w:val="21DC7D3C"/>
    <w:rsid w:val="21DD4A96"/>
    <w:rsid w:val="2298317C"/>
    <w:rsid w:val="22CE29EE"/>
    <w:rsid w:val="24D35795"/>
    <w:rsid w:val="255E48CD"/>
    <w:rsid w:val="26B87348"/>
    <w:rsid w:val="271F4B16"/>
    <w:rsid w:val="275038F3"/>
    <w:rsid w:val="27900DD5"/>
    <w:rsid w:val="27CD14F5"/>
    <w:rsid w:val="28E96646"/>
    <w:rsid w:val="28F2008A"/>
    <w:rsid w:val="293C5FB1"/>
    <w:rsid w:val="29A55E19"/>
    <w:rsid w:val="29EA34BC"/>
    <w:rsid w:val="29F94CB1"/>
    <w:rsid w:val="2A553543"/>
    <w:rsid w:val="2A745111"/>
    <w:rsid w:val="2AB1472A"/>
    <w:rsid w:val="2AE16287"/>
    <w:rsid w:val="2AF87034"/>
    <w:rsid w:val="2B022C78"/>
    <w:rsid w:val="2B9E6D70"/>
    <w:rsid w:val="2C014C3B"/>
    <w:rsid w:val="2D3257AD"/>
    <w:rsid w:val="2D4A693F"/>
    <w:rsid w:val="2D7511B5"/>
    <w:rsid w:val="2E252DC4"/>
    <w:rsid w:val="2E4436BA"/>
    <w:rsid w:val="2EE200E1"/>
    <w:rsid w:val="2F566BBD"/>
    <w:rsid w:val="2F650AED"/>
    <w:rsid w:val="2FFD3F6B"/>
    <w:rsid w:val="30EA79C7"/>
    <w:rsid w:val="30F7551B"/>
    <w:rsid w:val="30FD56B7"/>
    <w:rsid w:val="329E1B24"/>
    <w:rsid w:val="32BF12F4"/>
    <w:rsid w:val="33563CED"/>
    <w:rsid w:val="336E4903"/>
    <w:rsid w:val="338A4286"/>
    <w:rsid w:val="347F0816"/>
    <w:rsid w:val="34B644B7"/>
    <w:rsid w:val="35D905EB"/>
    <w:rsid w:val="36B46A4A"/>
    <w:rsid w:val="36E65B38"/>
    <w:rsid w:val="375656B9"/>
    <w:rsid w:val="375B6549"/>
    <w:rsid w:val="37627558"/>
    <w:rsid w:val="37AC24EF"/>
    <w:rsid w:val="37B91083"/>
    <w:rsid w:val="383731D3"/>
    <w:rsid w:val="38C076BF"/>
    <w:rsid w:val="38ED1382"/>
    <w:rsid w:val="39FD28B4"/>
    <w:rsid w:val="3A34267C"/>
    <w:rsid w:val="3A403E64"/>
    <w:rsid w:val="3AC47AB6"/>
    <w:rsid w:val="3ADD0A2E"/>
    <w:rsid w:val="3B4C7808"/>
    <w:rsid w:val="3B766492"/>
    <w:rsid w:val="3B7A3E82"/>
    <w:rsid w:val="3B8D0CE8"/>
    <w:rsid w:val="3BA71EF1"/>
    <w:rsid w:val="3BF14ECF"/>
    <w:rsid w:val="3C1651F0"/>
    <w:rsid w:val="3C2006E5"/>
    <w:rsid w:val="3C802D3E"/>
    <w:rsid w:val="3CBF1608"/>
    <w:rsid w:val="3CC749D9"/>
    <w:rsid w:val="3CFB31CE"/>
    <w:rsid w:val="3D3308D4"/>
    <w:rsid w:val="3DCA2531"/>
    <w:rsid w:val="3DDA3322"/>
    <w:rsid w:val="3E017946"/>
    <w:rsid w:val="3E3A26DB"/>
    <w:rsid w:val="3EA20E92"/>
    <w:rsid w:val="3F263B0E"/>
    <w:rsid w:val="3F3B4554"/>
    <w:rsid w:val="414D7438"/>
    <w:rsid w:val="41572B91"/>
    <w:rsid w:val="41A16B13"/>
    <w:rsid w:val="41EF3AE9"/>
    <w:rsid w:val="42065704"/>
    <w:rsid w:val="423A7A11"/>
    <w:rsid w:val="428968C5"/>
    <w:rsid w:val="430D37F8"/>
    <w:rsid w:val="433E5811"/>
    <w:rsid w:val="43420F67"/>
    <w:rsid w:val="43AF27C5"/>
    <w:rsid w:val="441A4676"/>
    <w:rsid w:val="443E3AC2"/>
    <w:rsid w:val="444772BC"/>
    <w:rsid w:val="444A0A6A"/>
    <w:rsid w:val="444D773E"/>
    <w:rsid w:val="44972791"/>
    <w:rsid w:val="458D2A4C"/>
    <w:rsid w:val="459D509E"/>
    <w:rsid w:val="45A926DC"/>
    <w:rsid w:val="45FC4042"/>
    <w:rsid w:val="46E81321"/>
    <w:rsid w:val="477C4489"/>
    <w:rsid w:val="477E79DB"/>
    <w:rsid w:val="47EC2F8F"/>
    <w:rsid w:val="48A74E72"/>
    <w:rsid w:val="48BB1E61"/>
    <w:rsid w:val="48E44347"/>
    <w:rsid w:val="4A0C70DA"/>
    <w:rsid w:val="4A4945CB"/>
    <w:rsid w:val="4A792D0E"/>
    <w:rsid w:val="4AB4093D"/>
    <w:rsid w:val="4AE22F4C"/>
    <w:rsid w:val="4B1F5184"/>
    <w:rsid w:val="4B536EA5"/>
    <w:rsid w:val="4CA91082"/>
    <w:rsid w:val="4D1C4C00"/>
    <w:rsid w:val="4E8F0D2C"/>
    <w:rsid w:val="4E9D24DB"/>
    <w:rsid w:val="4EAC4ADD"/>
    <w:rsid w:val="4EB72836"/>
    <w:rsid w:val="4ED23FD5"/>
    <w:rsid w:val="4EE945C2"/>
    <w:rsid w:val="4EF775A1"/>
    <w:rsid w:val="4EFB1FC3"/>
    <w:rsid w:val="4F2D1244"/>
    <w:rsid w:val="4F3C1178"/>
    <w:rsid w:val="4F661CEB"/>
    <w:rsid w:val="4FEB5C49"/>
    <w:rsid w:val="505C6771"/>
    <w:rsid w:val="527B1821"/>
    <w:rsid w:val="5310611D"/>
    <w:rsid w:val="53276344"/>
    <w:rsid w:val="53293BFC"/>
    <w:rsid w:val="533D55CA"/>
    <w:rsid w:val="535D3032"/>
    <w:rsid w:val="53C97953"/>
    <w:rsid w:val="53DA095B"/>
    <w:rsid w:val="53F5577A"/>
    <w:rsid w:val="54EC2987"/>
    <w:rsid w:val="55026173"/>
    <w:rsid w:val="5590515E"/>
    <w:rsid w:val="55EF2276"/>
    <w:rsid w:val="562D2F69"/>
    <w:rsid w:val="56563817"/>
    <w:rsid w:val="57024892"/>
    <w:rsid w:val="5703196B"/>
    <w:rsid w:val="57140DA8"/>
    <w:rsid w:val="574A43AC"/>
    <w:rsid w:val="58077CBD"/>
    <w:rsid w:val="5812110B"/>
    <w:rsid w:val="582E1358"/>
    <w:rsid w:val="58323449"/>
    <w:rsid w:val="58854954"/>
    <w:rsid w:val="58D254DE"/>
    <w:rsid w:val="58FD658D"/>
    <w:rsid w:val="59454145"/>
    <w:rsid w:val="5A836AC3"/>
    <w:rsid w:val="5B0C6CA4"/>
    <w:rsid w:val="5BCD4474"/>
    <w:rsid w:val="5BDD720D"/>
    <w:rsid w:val="5CFD3C28"/>
    <w:rsid w:val="5E2C7B65"/>
    <w:rsid w:val="5EB8046C"/>
    <w:rsid w:val="5EC23D91"/>
    <w:rsid w:val="5EEA6FD8"/>
    <w:rsid w:val="5F5D3B89"/>
    <w:rsid w:val="5F91300B"/>
    <w:rsid w:val="5FBD74DE"/>
    <w:rsid w:val="601812B8"/>
    <w:rsid w:val="603F2634"/>
    <w:rsid w:val="60BD0412"/>
    <w:rsid w:val="60C57DDF"/>
    <w:rsid w:val="616C5D6E"/>
    <w:rsid w:val="61775FA5"/>
    <w:rsid w:val="61943CA7"/>
    <w:rsid w:val="619B680C"/>
    <w:rsid w:val="62D364FA"/>
    <w:rsid w:val="62E53998"/>
    <w:rsid w:val="64124C78"/>
    <w:rsid w:val="648D2FFF"/>
    <w:rsid w:val="653348F4"/>
    <w:rsid w:val="656839C3"/>
    <w:rsid w:val="65725730"/>
    <w:rsid w:val="65B92974"/>
    <w:rsid w:val="65C80747"/>
    <w:rsid w:val="665D6AFD"/>
    <w:rsid w:val="66A00112"/>
    <w:rsid w:val="672B7704"/>
    <w:rsid w:val="673855F4"/>
    <w:rsid w:val="68594ADA"/>
    <w:rsid w:val="68741D48"/>
    <w:rsid w:val="693A6BDC"/>
    <w:rsid w:val="6AB31C19"/>
    <w:rsid w:val="6B357A50"/>
    <w:rsid w:val="6B5B7DCB"/>
    <w:rsid w:val="6B930197"/>
    <w:rsid w:val="6BB95672"/>
    <w:rsid w:val="6C1E4AF0"/>
    <w:rsid w:val="6C4712E8"/>
    <w:rsid w:val="6C9C46AE"/>
    <w:rsid w:val="6CE55F45"/>
    <w:rsid w:val="6D15465F"/>
    <w:rsid w:val="6D6121F0"/>
    <w:rsid w:val="6D8D5D8A"/>
    <w:rsid w:val="6DB31E54"/>
    <w:rsid w:val="6DE87E82"/>
    <w:rsid w:val="6DFC3DF2"/>
    <w:rsid w:val="6E673C05"/>
    <w:rsid w:val="6E6F4DC3"/>
    <w:rsid w:val="6E7511ED"/>
    <w:rsid w:val="6E76180E"/>
    <w:rsid w:val="6ED546F7"/>
    <w:rsid w:val="6F272507"/>
    <w:rsid w:val="6F992BAA"/>
    <w:rsid w:val="6FF11A89"/>
    <w:rsid w:val="70117814"/>
    <w:rsid w:val="70602224"/>
    <w:rsid w:val="70C1699F"/>
    <w:rsid w:val="711034C3"/>
    <w:rsid w:val="7151172F"/>
    <w:rsid w:val="71617265"/>
    <w:rsid w:val="719549A9"/>
    <w:rsid w:val="71C32A07"/>
    <w:rsid w:val="71E53350"/>
    <w:rsid w:val="720E5D3A"/>
    <w:rsid w:val="721D6D7A"/>
    <w:rsid w:val="72254E2A"/>
    <w:rsid w:val="72ED3426"/>
    <w:rsid w:val="73184127"/>
    <w:rsid w:val="73555ECB"/>
    <w:rsid w:val="73733509"/>
    <w:rsid w:val="73D40348"/>
    <w:rsid w:val="74304EB5"/>
    <w:rsid w:val="74AB41BE"/>
    <w:rsid w:val="75EA3934"/>
    <w:rsid w:val="76AF6448"/>
    <w:rsid w:val="774700AD"/>
    <w:rsid w:val="777E0158"/>
    <w:rsid w:val="77A5121A"/>
    <w:rsid w:val="788A0F31"/>
    <w:rsid w:val="78F56DD8"/>
    <w:rsid w:val="79373D17"/>
    <w:rsid w:val="7A77760E"/>
    <w:rsid w:val="7AC70899"/>
    <w:rsid w:val="7B3F7553"/>
    <w:rsid w:val="7B7986D1"/>
    <w:rsid w:val="7B877587"/>
    <w:rsid w:val="7D937E78"/>
    <w:rsid w:val="7E0F106D"/>
    <w:rsid w:val="7E747F79"/>
    <w:rsid w:val="7E813E2F"/>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50"/>
    <w:qFormat/>
    <w:uiPriority w:val="0"/>
    <w:rPr>
      <w:rFonts w:ascii="Times New Roman" w:hAnsi="Times New Roman" w:eastAsia="宋体" w:cs="Times New Roman"/>
      <w:color w:val="FF0000"/>
      <w:sz w:val="24"/>
      <w:szCs w:val="24"/>
    </w:rPr>
  </w:style>
  <w:style w:type="paragraph" w:styleId="9">
    <w:name w:val="Body Text"/>
    <w:basedOn w:val="1"/>
    <w:link w:val="54"/>
    <w:unhideWhenUsed/>
    <w:qFormat/>
    <w:uiPriority w:val="99"/>
    <w:pPr>
      <w:spacing w:after="120"/>
    </w:pPr>
  </w:style>
  <w:style w:type="paragraph" w:styleId="10">
    <w:name w:val="Body Text Indent"/>
    <w:basedOn w:val="1"/>
    <w:next w:val="11"/>
    <w:qFormat/>
    <w:uiPriority w:val="0"/>
    <w:pPr>
      <w:spacing w:line="400" w:lineRule="exact"/>
      <w:ind w:left="630"/>
    </w:pPr>
    <w:rPr>
      <w:rFonts w:ascii="楷体_GB2312" w:eastAsia="宋体"/>
      <w:sz w:val="21"/>
    </w:rPr>
  </w:style>
  <w:style w:type="paragraph" w:styleId="11">
    <w:name w:val="envelope return"/>
    <w:basedOn w:val="1"/>
    <w:semiHidden/>
    <w:unhideWhenUsed/>
    <w:qFormat/>
    <w:uiPriority w:val="99"/>
    <w:pPr>
      <w:snapToGrid w:val="0"/>
    </w:pPr>
    <w:rPr>
      <w:rFonts w:hint="eastAsia" w:ascii="Arial" w:hAnsi="Arial"/>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5"/>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paragraph" w:customStyle="1" w:styleId="31">
    <w:name w:val="列出段落1"/>
    <w:basedOn w:val="1"/>
    <w:unhideWhenUsed/>
    <w:qFormat/>
    <w:uiPriority w:val="99"/>
    <w:pPr>
      <w:ind w:firstLine="420" w:firstLineChars="200"/>
    </w:pPr>
  </w:style>
  <w:style w:type="character" w:customStyle="1" w:styleId="32">
    <w:name w:val="标题 1 Char"/>
    <w:basedOn w:val="24"/>
    <w:link w:val="2"/>
    <w:qFormat/>
    <w:uiPriority w:val="0"/>
    <w:rPr>
      <w:rFonts w:ascii="Calibri" w:hAnsi="Calibri" w:eastAsia="宋体" w:cs="Times New Roman"/>
      <w:b/>
      <w:bCs/>
      <w:kern w:val="44"/>
      <w:sz w:val="44"/>
      <w:szCs w:val="44"/>
    </w:rPr>
  </w:style>
  <w:style w:type="character" w:customStyle="1" w:styleId="33">
    <w:name w:val="标题 2 Char"/>
    <w:basedOn w:val="24"/>
    <w:link w:val="3"/>
    <w:qFormat/>
    <w:uiPriority w:val="0"/>
    <w:rPr>
      <w:rFonts w:ascii="Arial" w:hAnsi="Arial" w:eastAsia="黑体" w:cs="Times New Roman"/>
      <w:b/>
      <w:bCs/>
      <w:kern w:val="0"/>
      <w:sz w:val="32"/>
      <w:szCs w:val="32"/>
    </w:rPr>
  </w:style>
  <w:style w:type="character" w:customStyle="1" w:styleId="34">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5">
    <w:name w:val="标题 4 Char"/>
    <w:basedOn w:val="24"/>
    <w:link w:val="5"/>
    <w:qFormat/>
    <w:uiPriority w:val="0"/>
    <w:rPr>
      <w:rFonts w:ascii="Arial" w:hAnsi="Arial" w:eastAsia="黑体" w:cs="Times New Roman"/>
      <w:b/>
      <w:bCs/>
      <w:kern w:val="0"/>
      <w:sz w:val="28"/>
      <w:szCs w:val="28"/>
    </w:rPr>
  </w:style>
  <w:style w:type="character" w:customStyle="1" w:styleId="36">
    <w:name w:val="纯文本 Char"/>
    <w:basedOn w:val="24"/>
    <w:link w:val="14"/>
    <w:qFormat/>
    <w:uiPriority w:val="0"/>
    <w:rPr>
      <w:rFonts w:eastAsia="宋体"/>
      <w:sz w:val="24"/>
    </w:rPr>
  </w:style>
  <w:style w:type="character" w:customStyle="1" w:styleId="37">
    <w:name w:val="日期 Char"/>
    <w:basedOn w:val="24"/>
    <w:link w:val="15"/>
    <w:qFormat/>
    <w:uiPriority w:val="99"/>
  </w:style>
  <w:style w:type="character" w:customStyle="1" w:styleId="38">
    <w:name w:val="页脚 Char"/>
    <w:basedOn w:val="24"/>
    <w:link w:val="16"/>
    <w:qFormat/>
    <w:uiPriority w:val="99"/>
    <w:rPr>
      <w:sz w:val="18"/>
      <w:szCs w:val="18"/>
    </w:rPr>
  </w:style>
  <w:style w:type="character" w:customStyle="1" w:styleId="39">
    <w:name w:val="页眉 Char"/>
    <w:basedOn w:val="24"/>
    <w:link w:val="17"/>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Char"/>
    <w:basedOn w:val="24"/>
    <w:link w:val="8"/>
    <w:qFormat/>
    <w:uiPriority w:val="0"/>
    <w:rPr>
      <w:rFonts w:ascii="Times New Roman" w:hAnsi="Times New Roman" w:eastAsia="宋体" w:cs="Times New Roman"/>
      <w:color w:val="FF0000"/>
      <w:sz w:val="24"/>
      <w:szCs w:val="24"/>
    </w:rPr>
  </w:style>
  <w:style w:type="character" w:customStyle="1" w:styleId="51">
    <w:name w:val="edittexttarea"/>
    <w:basedOn w:val="24"/>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Char"/>
    <w:basedOn w:val="24"/>
    <w:link w:val="9"/>
    <w:semiHidden/>
    <w:qFormat/>
    <w:uiPriority w:val="99"/>
  </w:style>
  <w:style w:type="character" w:customStyle="1" w:styleId="55">
    <w:name w:val="正文首行缩进 Char"/>
    <w:basedOn w:val="54"/>
    <w:link w:val="21"/>
    <w:qFormat/>
    <w:uiPriority w:val="0"/>
    <w:rPr>
      <w:rFonts w:ascii="宋体" w:hAnsi="Times New Roman" w:eastAsia="宋体" w:cs="Times New Roman"/>
      <w:kern w:val="0"/>
      <w:sz w:val="34"/>
      <w:szCs w:val="20"/>
    </w:rPr>
  </w:style>
  <w:style w:type="character" w:customStyle="1" w:styleId="56">
    <w:name w:val="HTML 预设格式 Char"/>
    <w:basedOn w:val="24"/>
    <w:link w:val="19"/>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4"/>
    <w:qFormat/>
    <w:uiPriority w:val="0"/>
    <w:rPr>
      <w:rFonts w:hint="eastAsia" w:ascii="宋体" w:hAnsi="宋体" w:eastAsia="宋体" w:cs="宋体"/>
      <w:color w:val="000000"/>
      <w:sz w:val="22"/>
      <w:szCs w:val="22"/>
      <w:u w:val="none"/>
    </w:rPr>
  </w:style>
  <w:style w:type="character" w:customStyle="1" w:styleId="62">
    <w:name w:val="font21"/>
    <w:basedOn w:val="24"/>
    <w:qFormat/>
    <w:uiPriority w:val="0"/>
    <w:rPr>
      <w:rFonts w:hint="eastAsia" w:ascii="宋体" w:hAnsi="宋体" w:eastAsia="宋体" w:cs="宋体"/>
      <w:color w:val="000000"/>
      <w:sz w:val="28"/>
      <w:szCs w:val="28"/>
      <w:u w:val="none"/>
    </w:rPr>
  </w:style>
  <w:style w:type="character" w:customStyle="1" w:styleId="63">
    <w:name w:val="font11"/>
    <w:basedOn w:val="24"/>
    <w:qFormat/>
    <w:uiPriority w:val="0"/>
    <w:rPr>
      <w:rFonts w:ascii="Calibri" w:hAnsi="Calibri" w:cs="Calibri"/>
      <w:color w:val="000000"/>
      <w:sz w:val="28"/>
      <w:szCs w:val="28"/>
      <w:u w:val="none"/>
    </w:rPr>
  </w:style>
  <w:style w:type="paragraph" w:customStyle="1" w:styleId="64">
    <w:name w:val="p0"/>
    <w:basedOn w:val="1"/>
    <w:qFormat/>
    <w:uiPriority w:val="0"/>
    <w:pPr>
      <w:widowControl/>
    </w:pPr>
    <w:rPr>
      <w:kern w:val="0"/>
      <w:szCs w:val="21"/>
    </w:rPr>
  </w:style>
  <w:style w:type="paragraph" w:customStyle="1" w:styleId="65">
    <w:name w:val="USE 1"/>
    <w:basedOn w:val="1"/>
    <w:qFormat/>
    <w:uiPriority w:val="0"/>
    <w:pPr>
      <w:spacing w:line="200" w:lineRule="atLeast"/>
      <w:jc w:val="left"/>
    </w:pPr>
    <w:rPr>
      <w:rFonts w:ascii="宋体" w:hAnsi="宋体" w:eastAsia="宋体" w:cs="Times New Roman"/>
      <w:b/>
      <w:sz w:val="24"/>
      <w:szCs w:val="20"/>
    </w:rPr>
  </w:style>
  <w:style w:type="paragraph" w:customStyle="1" w:styleId="66">
    <w:name w:val="正文一"/>
    <w:basedOn w:val="60"/>
    <w:qFormat/>
    <w:uiPriority w:val="99"/>
    <w:pPr>
      <w:spacing w:line="600" w:lineRule="exact"/>
      <w:ind w:firstLine="200"/>
    </w:pPr>
    <w:rPr>
      <w:rFonts w:ascii="仿宋" w:hAnsi="仿宋" w:eastAsia="仿宋"/>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5</TotalTime>
  <ScaleCrop>false</ScaleCrop>
  <LinksUpToDate>false</LinksUpToDate>
  <CharactersWithSpaces>43544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2019-12-02T07:29:01Z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