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许昌市魏都区民政局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“魏都区政府购买养老服务项目”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项目编号：JZFCG-G2019121号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采购单位：许昌市魏都区民政局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代理机构：河南建标工程管理有限公司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二〇一九年十一月</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br w:type="page"/>
      </w:r>
    </w:p>
    <w:p>
      <w:pPr>
        <w:pStyle w:val="2"/>
        <w:ind w:firstLine="340"/>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pStyle w:val="61"/>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61"/>
        <w:widowControl/>
        <w:shd w:val="clear" w:color="auto" w:fill="FFFFFF"/>
        <w:spacing w:line="360" w:lineRule="auto"/>
        <w:contextualSpacing/>
        <w:jc w:val="left"/>
        <w:rPr>
          <w:rFonts w:ascii="宋体" w:hAnsi="宋体" w:cs="黑体"/>
          <w:b/>
          <w:bCs/>
        </w:rPr>
      </w:pPr>
      <w:r>
        <w:rPr>
          <w:rFonts w:hint="eastAsia" w:ascii="宋体" w:hAnsi="宋体" w:cs="黑体"/>
          <w:b/>
          <w:bCs/>
          <w:shd w:val="clear" w:color="auto" w:fill="FFFFFF"/>
        </w:rPr>
        <w:t>一、项目基本情况</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（一）项目名称：</w:t>
      </w:r>
      <w:r>
        <w:rPr>
          <w:rFonts w:hint="eastAsia" w:ascii="宋体" w:hAnsi="宋体" w:cs="仿宋_GB2312"/>
        </w:rPr>
        <w:t>许昌市魏都区民政局“</w:t>
      </w:r>
      <w:r>
        <w:rPr>
          <w:rFonts w:hint="eastAsia" w:ascii="宋体" w:hAnsi="宋体" w:cs="仿宋_GB2312"/>
          <w:shd w:val="clear" w:color="auto" w:fill="FFFFFF"/>
        </w:rPr>
        <w:t>魏都区政府购买养老服务项目</w:t>
      </w:r>
      <w:r>
        <w:rPr>
          <w:rFonts w:hint="eastAsia" w:ascii="宋体" w:hAnsi="宋体" w:cs="仿宋_GB2312"/>
        </w:rPr>
        <w:t>”</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 xml:space="preserve">（二）项目编号：JZFCG-G2019121号  </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（三）采购方式：公开招标</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（四）项目主要内容、数量及要求：主要包括助餐服务、助浴服务的采购，</w:t>
      </w:r>
      <w:r>
        <w:rPr>
          <w:rFonts w:hint="eastAsia" w:cs="仿宋_GB2312" w:asciiTheme="minorEastAsia" w:hAnsiTheme="minorEastAsia"/>
          <w:b/>
          <w:bCs/>
          <w:szCs w:val="21"/>
        </w:rPr>
        <w:t>A包选定2家、B包选择9家供应商中标</w:t>
      </w:r>
      <w:r>
        <w:rPr>
          <w:rFonts w:hint="eastAsia" w:ascii="宋体" w:hAnsi="宋体" w:cs="仿宋_GB2312"/>
          <w:shd w:val="clear" w:color="auto" w:fill="FFFFFF"/>
        </w:rPr>
        <w:t>（详见采购清单）。</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（五）包组划分：A包：助餐服务。B包：助浴服务。</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（六）预算金额：A包：单价：4.58元/次,最高限价：单价：4.58元/次。 B包：单价：26.73元/次,最高限价：单价：26.73元/次。</w:t>
      </w:r>
      <w:r>
        <w:rPr>
          <w:rFonts w:hint="eastAsia" w:cs="宋体" w:asciiTheme="minorEastAsia" w:hAnsiTheme="minorEastAsia" w:eastAsiaTheme="minorEastAsia"/>
          <w:b/>
          <w:kern w:val="0"/>
          <w:lang w:val="zh-CN"/>
        </w:rPr>
        <w:t>（本项目为固定报价）</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（七）服务时间：合同签订后一年。</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（八）服务地点：魏都区辖区内。</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节能环保</w:t>
      </w:r>
      <w:r>
        <w:rPr>
          <w:rFonts w:hint="eastAsia" w:ascii="宋体" w:hAnsi="宋体" w:cs="仿宋_GB2312"/>
          <w:shd w:val="clear" w:color="auto" w:fill="FFFFFF"/>
        </w:rPr>
        <w:t>、</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（一）符合《中华人民共和国政府采购法》第二十二条之规定；</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（二）A包须具有食品经营许可证；B包须具有医疗机构执业许可证或与医疗机构签订的合作协议；</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（三）未被列入</w:t>
      </w:r>
      <w:r>
        <w:rPr>
          <w:rFonts w:ascii="宋体" w:hAnsi="宋体" w:cs="仿宋_GB2312"/>
          <w:shd w:val="clear" w:color="auto" w:fill="FFFFFF"/>
        </w:rPr>
        <w:t>“信用中国”网站(www.creditchina.gov.cn)失信被执行人、重大税收违法案件当事人名单的投标人；“中国政府采购网”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（四）本次招标不接受联合体投标。</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（一）网上下载招标文件</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6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w:t>
      </w:r>
      <w:r>
        <w:rPr>
          <w:rFonts w:hint="eastAsia" w:ascii="宋体" w:hAnsi="宋体" w:cs="??_GB2312"/>
          <w:shd w:val="clear" w:color="auto" w:fill="FFFFFF"/>
        </w:rPr>
        <w:t>招标文件售价</w:t>
      </w:r>
      <w:r>
        <w:rPr>
          <w:rFonts w:ascii="宋体" w:hAnsi="宋体" w:cs="??_GB2312"/>
          <w:u w:val="single"/>
          <w:shd w:val="clear" w:color="auto" w:fill="FFFFFF"/>
        </w:rPr>
        <w:t>300</w:t>
      </w:r>
      <w:r>
        <w:rPr>
          <w:rFonts w:hint="eastAsia" w:ascii="宋体" w:hAnsi="宋体" w:cs="??_GB2312"/>
          <w:shd w:val="clear" w:color="auto" w:fill="FFFFFF"/>
        </w:rPr>
        <w:t>元</w:t>
      </w:r>
      <w:r>
        <w:rPr>
          <w:rFonts w:ascii="宋体" w:hAnsi="宋体" w:cs="??_GB2312"/>
          <w:shd w:val="clear" w:color="auto" w:fill="FFFFFF"/>
        </w:rPr>
        <w:t>/</w:t>
      </w:r>
      <w:r>
        <w:rPr>
          <w:rFonts w:hint="eastAsia" w:ascii="宋体" w:hAnsi="宋体" w:cs="??_GB2312"/>
          <w:shd w:val="clear" w:color="auto" w:fill="FFFFFF"/>
        </w:rPr>
        <w:t>套，投标人在递交投标文件时向采购代理机构交纳采购文件费用，售后不退</w:t>
      </w:r>
      <w:r>
        <w:rPr>
          <w:rFonts w:hint="eastAsia" w:ascii="宋体" w:hAnsi="宋体" w:cs="仿宋_GB2312"/>
          <w:shd w:val="clear" w:color="auto" w:fill="FFFFFF"/>
        </w:rPr>
        <w:t>。</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6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（一）投标截止及开标时间：2019年11月29日 09 时 30 分（北京时间），逾期提交或不符合规定的投标文件不予接受。</w:t>
      </w:r>
    </w:p>
    <w:p>
      <w:pPr>
        <w:pStyle w:val="6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（二）开标地点：许昌市公共资源交易中心（龙兴路与竹林路交汇处创业服务中心C座）三楼开标一室。</w:t>
      </w:r>
    </w:p>
    <w:p>
      <w:pPr>
        <w:pStyle w:val="6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（三） 本项目为全流程电子化交易项目，投标人须提交电子投标文件和纸质投标文件。</w:t>
      </w:r>
    </w:p>
    <w:p>
      <w:pPr>
        <w:pStyle w:val="6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在投标截止时间（开标时间）前通过《全国公共资源交易平台(河南省▪许昌市)》公共资源交易系统成功上传。</w:t>
      </w:r>
    </w:p>
    <w:p>
      <w:pPr>
        <w:pStyle w:val="61"/>
        <w:widowControl/>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2、纸质投标文件（正本1份、副本1份）和备份文件2份</w:t>
      </w:r>
      <w:r>
        <w:rPr>
          <w:rFonts w:hint="eastAsia" w:hAnsi="宋体"/>
        </w:rPr>
        <w:t>（使用电子介质存储）</w:t>
      </w:r>
      <w:r>
        <w:rPr>
          <w:rFonts w:hint="eastAsia" w:ascii="宋体" w:hAnsi="宋体" w:cs="仿宋_GB2312"/>
        </w:rPr>
        <w:t>在投标截止时间（开标时间）前递交至本项目开标地点。</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六、本次招标公告同时在《中国政府采购网》、《河南省政府采购网》、《许昌市政府采购网》、《全国公共资源交易平台（河南省·许昌市）》发布。</w:t>
      </w:r>
    </w:p>
    <w:p>
      <w:pPr>
        <w:pStyle w:val="61"/>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6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本招标公告自发布之日起公告期限为5个工作日。</w:t>
      </w:r>
    </w:p>
    <w:p>
      <w:pPr>
        <w:pStyle w:val="61"/>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2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采购人：许昌市魏都区民政局</w:t>
      </w:r>
    </w:p>
    <w:p>
      <w:pPr>
        <w:autoSpaceDE w:val="0"/>
        <w:autoSpaceDN w:val="0"/>
        <w:adjustRightInd w:val="0"/>
        <w:spacing w:line="360" w:lineRule="auto"/>
        <w:ind w:firstLine="420" w:firstLineChars="200"/>
        <w:jc w:val="left"/>
        <w:rPr>
          <w:rFonts w:hint="eastAsia" w:ascii="宋体" w:hAnsi="宋体" w:eastAsia="宋体" w:cs="仿宋_GB2312"/>
          <w:lang w:eastAsia="zh-CN"/>
        </w:rPr>
      </w:pPr>
      <w:bookmarkStart w:id="12" w:name="_GoBack"/>
      <w:bookmarkEnd w:id="12"/>
      <w:r>
        <w:rPr>
          <w:rFonts w:hint="eastAsia" w:ascii="宋体" w:hAnsi="宋体" w:cs="仿宋_GB2312"/>
        </w:rPr>
        <w:t>地址：</w:t>
      </w:r>
      <w:r>
        <w:rPr>
          <w:rFonts w:hint="eastAsia" w:cs="仿宋_GB2312" w:asciiTheme="minorEastAsia" w:hAnsiTheme="minorEastAsia"/>
          <w:sz w:val="24"/>
          <w:szCs w:val="24"/>
        </w:rPr>
        <w:t>许昌市魏都区天宝路魏都区政府4楼</w:t>
      </w:r>
    </w:p>
    <w:p>
      <w:pPr>
        <w:pStyle w:val="2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联系人：黑瑛洁、侯辉                   联系电话：0374-5056172</w:t>
      </w:r>
    </w:p>
    <w:p>
      <w:pPr>
        <w:pStyle w:val="61"/>
        <w:widowControl/>
        <w:shd w:val="clear" w:color="auto" w:fill="FFFFFF"/>
        <w:spacing w:line="360" w:lineRule="auto"/>
        <w:ind w:firstLine="420"/>
        <w:contextualSpacing/>
        <w:jc w:val="left"/>
        <w:rPr>
          <w:rFonts w:ascii="宋体" w:hAnsi="宋体" w:cs="仿宋_GB2312"/>
        </w:rPr>
      </w:pPr>
    </w:p>
    <w:p>
      <w:pPr>
        <w:pStyle w:val="2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 xml:space="preserve">代理机构：河南建标工程管理有限公司 </w:t>
      </w:r>
    </w:p>
    <w:p>
      <w:pPr>
        <w:pStyle w:val="2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地址：许昌市劳动路7号</w:t>
      </w:r>
    </w:p>
    <w:p>
      <w:pPr>
        <w:pStyle w:val="2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联系人：万丽娜                联系电话：13782222730</w:t>
      </w:r>
    </w:p>
    <w:p>
      <w:pPr>
        <w:pStyle w:val="61"/>
        <w:widowControl/>
        <w:shd w:val="clear" w:color="auto" w:fill="FFFFFF"/>
        <w:spacing w:line="360" w:lineRule="auto"/>
        <w:ind w:firstLine="420"/>
        <w:contextualSpacing/>
        <w:jc w:val="left"/>
        <w:rPr>
          <w:rFonts w:ascii="宋体" w:hAnsi="宋体" w:cs="仿宋_GB2312"/>
        </w:rPr>
      </w:pPr>
    </w:p>
    <w:p>
      <w:pPr>
        <w:pStyle w:val="61"/>
        <w:widowControl/>
        <w:shd w:val="clear" w:color="auto" w:fill="FFFFFF"/>
        <w:spacing w:line="360" w:lineRule="auto"/>
        <w:ind w:firstLine="420"/>
        <w:contextualSpacing/>
        <w:jc w:val="left"/>
        <w:rPr>
          <w:rFonts w:ascii="宋体" w:hAnsi="宋体" w:cs="仿宋_GB2312"/>
        </w:rPr>
      </w:pPr>
    </w:p>
    <w:p>
      <w:pPr>
        <w:pStyle w:val="23"/>
        <w:widowControl/>
        <w:shd w:val="clear" w:color="auto" w:fill="FFFFFF"/>
        <w:spacing w:line="360" w:lineRule="auto"/>
        <w:ind w:firstLine="420"/>
        <w:contextualSpacing/>
        <w:jc w:val="right"/>
        <w:rPr>
          <w:rFonts w:ascii="宋体" w:hAnsi="宋体" w:cs="仿宋_GB2312"/>
        </w:rPr>
      </w:pPr>
      <w:r>
        <w:rPr>
          <w:rFonts w:hint="eastAsia" w:ascii="宋体" w:hAnsi="宋体" w:cs="仿宋_GB2312"/>
        </w:rPr>
        <w:t>许昌市魏都区民政局</w:t>
      </w:r>
    </w:p>
    <w:p>
      <w:pPr>
        <w:wordWrap w:val="0"/>
        <w:spacing w:line="360" w:lineRule="auto"/>
        <w:jc w:val="right"/>
        <w:rPr>
          <w:rFonts w:hAnsi="宋体" w:eastAsia="宋体"/>
          <w:b/>
          <w:sz w:val="28"/>
          <w:szCs w:val="28"/>
        </w:rPr>
      </w:pPr>
      <w:r>
        <w:rPr>
          <w:rFonts w:hint="eastAsia" w:ascii="宋体" w:hAnsi="宋体" w:cs="仿宋_GB2312"/>
          <w:sz w:val="24"/>
          <w:szCs w:val="24"/>
        </w:rPr>
        <w:t xml:space="preserve">                                2019</w:t>
      </w:r>
      <w:r>
        <w:rPr>
          <w:rFonts w:hint="eastAsia" w:ascii="宋体" w:hAnsi="宋体" w:eastAsia="宋体" w:cs="仿宋_GB2312"/>
          <w:sz w:val="24"/>
          <w:szCs w:val="24"/>
          <w:lang w:val="zh-CN"/>
        </w:rPr>
        <w:t>年</w:t>
      </w:r>
      <w:r>
        <w:rPr>
          <w:rFonts w:hint="eastAsia" w:ascii="宋体" w:hAnsi="宋体" w:cs="仿宋_GB2312"/>
          <w:sz w:val="24"/>
          <w:szCs w:val="24"/>
        </w:rPr>
        <w:t>11</w:t>
      </w:r>
      <w:r>
        <w:rPr>
          <w:rFonts w:hint="eastAsia" w:ascii="宋体" w:hAnsi="宋体" w:eastAsia="宋体" w:cs="仿宋_GB2312"/>
          <w:sz w:val="24"/>
          <w:szCs w:val="24"/>
          <w:lang w:val="zh-CN"/>
        </w:rPr>
        <w:t>月</w:t>
      </w:r>
      <w:r>
        <w:rPr>
          <w:rFonts w:hint="eastAsia" w:ascii="宋体" w:hAnsi="宋体" w:cs="仿宋_GB2312"/>
          <w:sz w:val="24"/>
          <w:szCs w:val="24"/>
        </w:rPr>
        <w:t>7</w:t>
      </w:r>
      <w:r>
        <w:rPr>
          <w:rFonts w:hint="eastAsia" w:ascii="宋体" w:hAnsi="宋体" w:eastAsia="宋体" w:cs="仿宋_GB2312"/>
          <w:sz w:val="24"/>
          <w:szCs w:val="24"/>
          <w:lang w:val="zh-CN"/>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color w:val="auto"/>
          <w:sz w:val="24"/>
          <w:szCs w:val="24"/>
        </w:rPr>
        <w:t>http://221.14.6.70:8088/ggzy/</w:t>
      </w:r>
      <w:r>
        <w:rPr>
          <w:rStyle w:val="28"/>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color w:val="auto"/>
          <w:sz w:val="24"/>
          <w:szCs w:val="24"/>
        </w:rPr>
        <w:t>http://221.14.6.70:8088/ggzy/</w:t>
      </w:r>
      <w:r>
        <w:rPr>
          <w:rStyle w:val="28"/>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ascii="宋体" w:hAnsi="宋体" w:cs="仿宋_GB2312"/>
          <w:sz w:val="24"/>
          <w:szCs w:val="24"/>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第二章项目需求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spacing w:line="360" w:lineRule="auto"/>
        <w:ind w:firstLine="480" w:firstLineChars="200"/>
        <w:jc w:val="left"/>
        <w:rPr>
          <w:rFonts w:ascii="宋体" w:hAnsi="宋体"/>
          <w:kern w:val="0"/>
          <w:sz w:val="24"/>
        </w:rPr>
      </w:pPr>
      <w:r>
        <w:rPr>
          <w:rFonts w:hint="eastAsia" w:ascii="宋体" w:hAnsi="宋体"/>
          <w:kern w:val="0"/>
          <w:sz w:val="24"/>
        </w:rPr>
        <w:t>根据豫财综【2018】60号河南省财政厅、河南省民政厅、河南省人力资源和社会保障厅关于印发《河南省政府购买养老服务实施办法》（试行）的通知，政府购买养老服务的服务对象是目前居住在河南省内、年满60周岁以上（含60周岁）的城乡居民，截至2018年许昌市魏都区老人人数比例已达到12.04%，并有逐年增长的趋势。其次，根据前期调研，许昌市魏都区60岁及以上的老人对助餐需求量比较大，达到7.56%。许昌市魏都区在现有的资金供应量限制条件下，本着为更多有需求的老人提供服务的原则，进行政府购买养老服务。</w:t>
      </w:r>
    </w:p>
    <w:p>
      <w:pPr>
        <w:spacing w:line="360" w:lineRule="auto"/>
        <w:ind w:firstLine="480" w:firstLineChars="200"/>
        <w:jc w:val="left"/>
        <w:rPr>
          <w:rFonts w:ascii="宋体" w:hAnsi="宋体"/>
          <w:kern w:val="0"/>
          <w:sz w:val="24"/>
        </w:rPr>
      </w:pPr>
      <w:r>
        <w:rPr>
          <w:rFonts w:hint="eastAsia" w:ascii="宋体" w:hAnsi="宋体"/>
          <w:kern w:val="0"/>
          <w:sz w:val="24"/>
        </w:rPr>
        <w:t>通过相关政策精神的引领作用和政府购买养老服务，支持和培育养老服务企业、机构等社会力量深度参与居家和社区养老服务设施的建设、运营和管理，推动居家和社区养老服务社会化发展。到2020年，基本建成覆盖全区、规模适宜、功能完善的居家和社区养老服务体系。</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二、服务要求</w:t>
      </w:r>
    </w:p>
    <w:tbl>
      <w:tblPr>
        <w:tblStyle w:val="29"/>
        <w:tblW w:w="9155" w:type="dxa"/>
        <w:jc w:val="center"/>
        <w:tblInd w:w="-390" w:type="dxa"/>
        <w:tblLayout w:type="fixed"/>
        <w:tblCellMar>
          <w:top w:w="0" w:type="dxa"/>
          <w:left w:w="108" w:type="dxa"/>
          <w:bottom w:w="0" w:type="dxa"/>
          <w:right w:w="108" w:type="dxa"/>
        </w:tblCellMar>
      </w:tblPr>
      <w:tblGrid>
        <w:gridCol w:w="1205"/>
        <w:gridCol w:w="1178"/>
        <w:gridCol w:w="1985"/>
        <w:gridCol w:w="1417"/>
        <w:gridCol w:w="1560"/>
        <w:gridCol w:w="1810"/>
      </w:tblGrid>
      <w:tr>
        <w:tblPrEx>
          <w:tblLayout w:type="fixed"/>
          <w:tblCellMar>
            <w:top w:w="0" w:type="dxa"/>
            <w:left w:w="108" w:type="dxa"/>
            <w:bottom w:w="0" w:type="dxa"/>
            <w:right w:w="108" w:type="dxa"/>
          </w:tblCellMar>
        </w:tblPrEx>
        <w:trPr>
          <w:trHeight w:val="68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标段划分</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购买项目</w:t>
            </w:r>
          </w:p>
        </w:tc>
        <w:tc>
          <w:tcPr>
            <w:tcW w:w="198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购买内容</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购买频次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服务人群</w:t>
            </w:r>
          </w:p>
        </w:tc>
        <w:tc>
          <w:tcPr>
            <w:tcW w:w="1810" w:type="dxa"/>
            <w:tcBorders>
              <w:top w:val="single" w:color="auto" w:sz="4" w:space="0"/>
              <w:left w:val="nil"/>
              <w:bottom w:val="single" w:color="auto" w:sz="4" w:space="0"/>
              <w:right w:val="single" w:color="auto" w:sz="4" w:space="0"/>
            </w:tcBorders>
            <w:vAlign w:val="center"/>
          </w:tcPr>
          <w:p>
            <w:pPr>
              <w:ind w:firstLine="420"/>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trHeight w:val="680" w:hRule="atLeast"/>
          <w:jc w:val="center"/>
        </w:trPr>
        <w:tc>
          <w:tcPr>
            <w:tcW w:w="1205"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A包</w:t>
            </w:r>
          </w:p>
        </w:tc>
        <w:tc>
          <w:tcPr>
            <w:tcW w:w="1178"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助餐</w:t>
            </w:r>
          </w:p>
        </w:tc>
        <w:tc>
          <w:tcPr>
            <w:tcW w:w="1985"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助餐点就餐或送餐</w:t>
            </w:r>
          </w:p>
        </w:tc>
        <w:tc>
          <w:tcPr>
            <w:tcW w:w="1417"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每日餐食提供（不限早中晚）</w:t>
            </w:r>
          </w:p>
        </w:tc>
        <w:tc>
          <w:tcPr>
            <w:tcW w:w="1560"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辖区60岁以上有需求老人</w:t>
            </w:r>
          </w:p>
        </w:tc>
        <w:tc>
          <w:tcPr>
            <w:tcW w:w="1810"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饭菜定价由供应商根据具体情况而定。</w:t>
            </w:r>
          </w:p>
        </w:tc>
      </w:tr>
      <w:tr>
        <w:tblPrEx>
          <w:tblLayout w:type="fixed"/>
          <w:tblCellMar>
            <w:top w:w="0" w:type="dxa"/>
            <w:left w:w="108" w:type="dxa"/>
            <w:bottom w:w="0" w:type="dxa"/>
            <w:right w:w="108" w:type="dxa"/>
          </w:tblCellMar>
        </w:tblPrEx>
        <w:trPr>
          <w:trHeight w:val="680" w:hRule="atLeast"/>
          <w:jc w:val="center"/>
        </w:trPr>
        <w:tc>
          <w:tcPr>
            <w:tcW w:w="1205"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B包</w:t>
            </w:r>
          </w:p>
        </w:tc>
        <w:tc>
          <w:tcPr>
            <w:tcW w:w="1178"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助浴</w:t>
            </w:r>
          </w:p>
        </w:tc>
        <w:tc>
          <w:tcPr>
            <w:tcW w:w="1985"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助浴点洗浴、浴前体检、浴中护理和浴后观察</w:t>
            </w:r>
          </w:p>
        </w:tc>
        <w:tc>
          <w:tcPr>
            <w:tcW w:w="1417"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每年8次</w:t>
            </w:r>
          </w:p>
        </w:tc>
        <w:tc>
          <w:tcPr>
            <w:tcW w:w="1560"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辖区60岁以上有需求老人</w:t>
            </w:r>
          </w:p>
        </w:tc>
        <w:tc>
          <w:tcPr>
            <w:tcW w:w="1810" w:type="dxa"/>
            <w:tcBorders>
              <w:top w:val="nil"/>
              <w:left w:val="nil"/>
              <w:bottom w:val="single" w:color="auto" w:sz="4" w:space="0"/>
              <w:right w:val="single" w:color="auto" w:sz="4" w:space="0"/>
            </w:tcBorders>
            <w:vAlign w:val="center"/>
          </w:tcPr>
          <w:p>
            <w:pPr>
              <w:jc w:val="left"/>
              <w:rPr>
                <w:rFonts w:ascii="宋体" w:hAnsi="宋体" w:eastAsia="宋体" w:cs="宋体"/>
                <w:sz w:val="24"/>
                <w:szCs w:val="24"/>
              </w:rPr>
            </w:pPr>
            <w:r>
              <w:rPr>
                <w:rFonts w:hint="eastAsia" w:ascii="宋体" w:hAnsi="宋体" w:eastAsia="宋体" w:cs="宋体"/>
                <w:sz w:val="24"/>
                <w:szCs w:val="24"/>
              </w:rPr>
              <w:t>洗浴价格由供应商根据情况而定。</w:t>
            </w:r>
          </w:p>
        </w:tc>
      </w:tr>
    </w:tbl>
    <w:p>
      <w:pPr>
        <w:spacing w:line="360" w:lineRule="auto"/>
        <w:ind w:firstLine="482" w:firstLineChars="200"/>
        <w:contextualSpacing/>
        <w:rPr>
          <w:rFonts w:ascii="宋体" w:hAnsi="宋体" w:eastAsia="宋体" w:cs="宋体"/>
          <w:b/>
          <w:kern w:val="0"/>
          <w:sz w:val="24"/>
          <w:szCs w:val="24"/>
        </w:rPr>
      </w:pPr>
      <w:r>
        <w:rPr>
          <w:rFonts w:hint="eastAsia" w:ascii="宋体" w:hAnsi="宋体" w:eastAsia="宋体" w:cs="宋体"/>
          <w:b/>
          <w:kern w:val="0"/>
          <w:sz w:val="24"/>
          <w:szCs w:val="24"/>
        </w:rPr>
        <w:t>A包：</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1、助餐需要分7个承接单位包（每个单位包的服务次数需由社区老人数量划分）；</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2、合同期限为一年（其他项目同）；</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3、购买内容：每日餐食供应（不限早中晚）、提供送餐上门服务、提供符合标准的助餐点供老人自主就餐；</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4、服务对象：魏都区60岁以上有助餐需求的老人；</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5、收款方式应为POS机、食堂刷卡机、微信支付、支付宝支付、网银支付等可追溯的电子支付方式；银行收款账户应为乙方对公账户，微信、支付宝等第三方收款账户应保留账户收付款记录；</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6、饭菜价格应根据正常市场价格、政府购买价格、饭菜成本、合理利润等因素合理确定。每餐饭菜价格与每餐政府购买价格之和应与同品质饭菜的正常市场价格大体一致；</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7、承接主体有义务保存顾客消费记录、米面油、生鲜蔬菜、煤气费、水电费等购买凭据、会计账簿、合同、客户身份信息等资料，接受财政、监察、审计等部门的监督及社会监督；</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8、承接主体有义务将合同资金专账核算并专项用于养老服务项目支出；承接主体将合同资金暂时用于非养老服务项目支出的，有义务提前一周书面征求购买主体意见；</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9、节日期间，承接主体有义务提供与节日气氛相适应的菜品和甜点。</w:t>
      </w:r>
    </w:p>
    <w:p>
      <w:pPr>
        <w:spacing w:line="360" w:lineRule="auto"/>
        <w:ind w:firstLine="482" w:firstLineChars="200"/>
        <w:contextualSpacing/>
        <w:rPr>
          <w:rFonts w:ascii="宋体" w:hAnsi="宋体" w:eastAsia="宋体" w:cs="宋体"/>
          <w:b/>
          <w:kern w:val="0"/>
          <w:sz w:val="24"/>
          <w:szCs w:val="24"/>
        </w:rPr>
      </w:pPr>
      <w:r>
        <w:rPr>
          <w:rFonts w:hint="eastAsia" w:ascii="宋体" w:hAnsi="宋体" w:eastAsia="宋体" w:cs="宋体"/>
          <w:b/>
          <w:kern w:val="0"/>
          <w:sz w:val="24"/>
          <w:szCs w:val="24"/>
        </w:rPr>
        <w:t>B包：</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1. 助浴需要分9个承接单位包。</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2、单个基本服务包需完成：全年为老人提供4156人次助浴服务。</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3、合同期限为一年（其他项目同）；</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4、购买内容：洗浴、浴前体检、浴中护理和浴后观察。</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5、服务对象：魏都区60岁以上有助浴需求的老人。</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6、服务地点：各社区助浴点。</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7、收款方式应为POS机、刷卡机、微信支付、支付宝支付、网银支付等可追溯的电子支付方式；银行收款账户应为乙方对公账户；微信、支付宝等第三方收款账户应保留账户收付款记录。</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8、对老人收取的洗浴价格应根据正常市场价格、政府购买价格、洗浴成本、合理利润等因素合理确定。</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9、承接主体有义务保存沐浴护理记录表、洗浴物品购入凭证、设施维修更新支出单据、水电费单据、会计账簿、顾客刷卡消费记录、客户身份信息等资料，接受财政、监察、审计等部门的监督及社会监督。</w:t>
      </w:r>
    </w:p>
    <w:p>
      <w:pPr>
        <w:spacing w:line="360" w:lineRule="auto"/>
        <w:ind w:firstLine="482" w:firstLineChars="200"/>
        <w:contextualSpacing/>
        <w:rPr>
          <w:rFonts w:ascii="宋体" w:hAnsi="宋体" w:eastAsia="宋体" w:cs="宋体"/>
          <w:sz w:val="24"/>
          <w:szCs w:val="24"/>
        </w:rPr>
      </w:pPr>
      <w:r>
        <w:rPr>
          <w:rFonts w:hint="eastAsia" w:cs="微软雅黑" w:asciiTheme="minorEastAsia" w:hAnsiTheme="minorEastAsia"/>
          <w:b/>
          <w:sz w:val="24"/>
          <w:szCs w:val="24"/>
        </w:rPr>
        <w:t>本服务要求为最低要求，不允许负偏离，否则将承担其投标被视为非实质性响应投标的风险。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kern w:val="0"/>
          <w:szCs w:val="21"/>
          <w:lang w:val="zh-CN"/>
        </w:rPr>
      </w:pPr>
      <w:r>
        <w:rPr>
          <w:rFonts w:hint="eastAsia" w:cs="宋体" w:asciiTheme="minorEastAsia" w:hAnsiTheme="minorEastAsia"/>
          <w:b/>
          <w:kern w:val="0"/>
          <w:sz w:val="24"/>
          <w:szCs w:val="24"/>
          <w:lang w:val="zh-CN"/>
        </w:rPr>
        <w:t>三、服务标准、期限、效率等要求</w:t>
      </w:r>
    </w:p>
    <w:p>
      <w:pPr>
        <w:widowControl/>
        <w:shd w:val="clear" w:color="auto" w:fill="FFFFFF"/>
        <w:spacing w:line="520" w:lineRule="exact"/>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1、服务标准</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（1）供应商应严格遵守国家的有关法律法规、制度规定及有关执业规范要求。</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（2）供应商应保证服务对象的信息安全，不外泄。</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（3）应保证向服务对象提供集中和上门服务，确定有效联系人、联系电话、并提供电话预约服务。</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（4）应建立安全预案，对可能发生的紧急情况制定好应对措施。</w:t>
      </w:r>
    </w:p>
    <w:p>
      <w:pPr>
        <w:widowControl/>
        <w:shd w:val="clear" w:color="auto" w:fill="FFFFFF"/>
        <w:spacing w:line="520" w:lineRule="exact"/>
        <w:ind w:firstLine="600"/>
        <w:jc w:val="left"/>
        <w:rPr>
          <w:rFonts w:cs="宋体" w:asciiTheme="minorEastAsia" w:hAnsiTheme="minorEastAsia"/>
          <w:b/>
          <w:bCs/>
          <w:kern w:val="0"/>
          <w:sz w:val="24"/>
          <w:szCs w:val="24"/>
        </w:rPr>
      </w:pPr>
      <w:r>
        <w:rPr>
          <w:rFonts w:hint="eastAsia" w:cs="宋体" w:asciiTheme="minorEastAsia" w:hAnsiTheme="minorEastAsia"/>
          <w:kern w:val="0"/>
          <w:sz w:val="24"/>
          <w:szCs w:val="24"/>
        </w:rPr>
        <w:t>（5）未尽事宜参照中央、省、市相关文件执行。</w:t>
      </w:r>
    </w:p>
    <w:p>
      <w:pPr>
        <w:widowControl/>
        <w:shd w:val="clear" w:color="auto" w:fill="FFFFFF"/>
        <w:spacing w:line="520" w:lineRule="exact"/>
        <w:ind w:firstLine="6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2、监督管理</w:t>
      </w:r>
    </w:p>
    <w:p>
      <w:pPr>
        <w:widowControl/>
        <w:shd w:val="clear" w:color="auto" w:fill="FFFFFF"/>
        <w:spacing w:line="52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（一)魏都区民政局负责对养老服务承接主体的服务状况进行监管。</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(二)养老服务承接主体按月提供服务记录(台账)上报魏都区民政局。</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(三)魏都区民政局自行或委托第三方对承接主体的服务数量进行核查，并对服务质量进行满意度调查。承接主体的服务满意度低于90%(不含)，魏都区民政局有权责令其整改。</w:t>
      </w:r>
    </w:p>
    <w:p>
      <w:pPr>
        <w:widowControl/>
        <w:shd w:val="clear" w:color="auto" w:fill="FFFFFF"/>
        <w:spacing w:line="52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(四)承接主体收到服务对象投诉或媒体曝光批评，经查证属实的，魏都区民政局有权终止服务合同。</w:t>
      </w:r>
    </w:p>
    <w:p>
      <w:pPr>
        <w:widowControl/>
        <w:shd w:val="clear" w:color="auto" w:fill="FFFFFF"/>
        <w:spacing w:line="520" w:lineRule="exact"/>
        <w:ind w:firstLine="480" w:firstLineChars="200"/>
        <w:jc w:val="left"/>
        <w:rPr>
          <w:rFonts w:ascii="宋体" w:hAnsi="宋体" w:eastAsia="宋体" w:cs="宋体"/>
          <w:sz w:val="24"/>
          <w:szCs w:val="24"/>
        </w:rPr>
      </w:pPr>
      <w:r>
        <w:rPr>
          <w:rFonts w:hint="eastAsia" w:cs="宋体" w:asciiTheme="minorEastAsia" w:hAnsiTheme="minorEastAsia"/>
          <w:kern w:val="0"/>
          <w:sz w:val="24"/>
          <w:szCs w:val="24"/>
        </w:rPr>
        <w:t>(五)如发现承接政府购买服务的试点机构存在弄虚作法律追讨被骗资金的权力。</w:t>
      </w:r>
      <w:r>
        <w:rPr>
          <w:rFonts w:hint="eastAsia" w:cs="宋体" w:asciiTheme="minorEastAsia" w:hAnsiTheme="minorEastAsia"/>
          <w:kern w:val="0"/>
          <w:sz w:val="24"/>
          <w:szCs w:val="24"/>
        </w:rPr>
        <w:br w:type="textWrapping"/>
      </w:r>
      <w:r>
        <w:rPr>
          <w:rFonts w:hint="eastAsia" w:cs="宋体" w:asciiTheme="minorEastAsia" w:hAnsiTheme="minorEastAsia"/>
          <w:b/>
          <w:bCs/>
          <w:kern w:val="0"/>
          <w:sz w:val="24"/>
          <w:szCs w:val="24"/>
        </w:rPr>
        <w:t>3、其他要求</w:t>
      </w:r>
    </w:p>
    <w:p>
      <w:pPr>
        <w:pStyle w:val="42"/>
        <w:autoSpaceDE w:val="0"/>
        <w:autoSpaceDN w:val="0"/>
        <w:spacing w:line="360" w:lineRule="auto"/>
        <w:ind w:firstLine="482"/>
        <w:contextualSpacing/>
        <w:rPr>
          <w:rFonts w:ascii="宋体" w:hAnsi="宋体" w:cs="宋体"/>
          <w:b/>
          <w:bCs/>
          <w:kern w:val="0"/>
          <w:sz w:val="24"/>
          <w:szCs w:val="24"/>
        </w:rPr>
      </w:pPr>
      <w:r>
        <w:rPr>
          <w:rFonts w:hint="eastAsia" w:cs="宋体" w:asciiTheme="minorEastAsia" w:hAnsiTheme="minorEastAsia"/>
          <w:b/>
          <w:bCs/>
          <w:kern w:val="0"/>
          <w:sz w:val="24"/>
          <w:szCs w:val="24"/>
        </w:rPr>
        <w:t>（1）经评审合格的供应商不足采购家数时（A包选定2家、B包选择9家供应商中标），按综合评分法得分≥60分的实际通过家数推荐中标单位。</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（2）根据中标情况对中标的服务单位统一进项目分配管理，不得将认领的业务分包或转托于其他任何中介机构。</w:t>
      </w:r>
    </w:p>
    <w:p>
      <w:pPr>
        <w:widowControl/>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(3)分配原则：</w:t>
      </w:r>
      <w:r>
        <w:rPr>
          <w:rFonts w:hint="eastAsia" w:ascii="宋体" w:hAnsi="宋体" w:cs="宋体"/>
          <w:kern w:val="0"/>
          <w:sz w:val="24"/>
          <w:szCs w:val="24"/>
        </w:rPr>
        <w:t>招标人按照各包标统计的工作量按社区划分认领任务、发布认领公告。各包标的中标供应商按照认领公告要求进行报名，如无人认领则由招标人以随机抽取的方式确定供应商。如出现一个包标的社区有两家及以上供应商进行认领的，</w:t>
      </w:r>
      <w:r>
        <w:rPr>
          <w:rFonts w:hint="eastAsia" w:ascii="宋体" w:hAnsi="宋体" w:cs="宋体"/>
          <w:b/>
          <w:bCs/>
          <w:kern w:val="0"/>
          <w:sz w:val="24"/>
          <w:szCs w:val="24"/>
        </w:rPr>
        <w:t>则按照认领公告的评分办法择优选取第一名为中标供应商。</w:t>
      </w:r>
    </w:p>
    <w:p>
      <w:pPr>
        <w:widowControl/>
        <w:shd w:val="clear" w:color="auto" w:fill="FFFFFF"/>
        <w:spacing w:line="360" w:lineRule="auto"/>
        <w:ind w:firstLine="48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四、采购标的的其他技术、服务等要求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2、本项目为交钥匙工程。</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3、服务满意度要求：在服务期限内，要求服务满意度达到9</w:t>
      </w:r>
      <w:r>
        <w:rPr>
          <w:rFonts w:hint="eastAsia" w:ascii="宋体" w:cs="宋体"/>
          <w:sz w:val="24"/>
        </w:rPr>
        <w:t>0</w:t>
      </w:r>
      <w:r>
        <w:rPr>
          <w:rFonts w:hint="eastAsia" w:ascii="宋体" w:cs="宋体"/>
          <w:sz w:val="24"/>
          <w:lang w:val="zh-CN"/>
        </w:rPr>
        <w:t>%以上，且无安全事故发生。</w:t>
      </w:r>
    </w:p>
    <w:p>
      <w:pPr>
        <w:widowControl/>
        <w:shd w:val="clear" w:color="auto" w:fill="FFFFFF"/>
        <w:spacing w:line="360" w:lineRule="auto"/>
        <w:ind w:firstLine="482" w:firstLineChars="200"/>
        <w:contextualSpacing/>
        <w:jc w:val="left"/>
        <w:rPr>
          <w:rFonts w:ascii="楷体" w:hAnsi="楷体" w:eastAsia="楷体" w:cs="宋体"/>
          <w:kern w:val="0"/>
          <w:szCs w:val="21"/>
          <w:lang w:val="zh-CN"/>
        </w:rPr>
      </w:pP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w:t>
      </w:r>
      <w:r>
        <w:rPr>
          <w:rFonts w:cs="宋体" w:asciiTheme="minorEastAsia" w:hAnsiTheme="minorEastAsia"/>
          <w:kern w:val="0"/>
          <w:sz w:val="24"/>
          <w:szCs w:val="24"/>
          <w:lang w:val="zh-CN"/>
        </w:rPr>
        <w:t>采购人成立验收小组,按照采购合同的约定对</w:t>
      </w:r>
      <w:r>
        <w:rPr>
          <w:rFonts w:hint="eastAsia" w:cs="宋体" w:asciiTheme="minorEastAsia" w:hAnsiTheme="minorEastAsia"/>
          <w:kern w:val="0"/>
          <w:sz w:val="24"/>
          <w:szCs w:val="24"/>
          <w:lang w:val="zh-CN"/>
        </w:rPr>
        <w:t>中标人</w:t>
      </w:r>
      <w:r>
        <w:rPr>
          <w:rFonts w:cs="宋体" w:asciiTheme="minorEastAsia" w:hAnsiTheme="minorEastAsia"/>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6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六、本项目预算金额：</w:t>
      </w:r>
    </w:p>
    <w:p>
      <w:pPr>
        <w:pStyle w:val="6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ascii="宋体" w:hAnsi="宋体" w:cs="仿宋_GB2312"/>
          <w:shd w:val="clear" w:color="auto" w:fill="FFFFFF"/>
        </w:rPr>
        <w:t>A包：单价：4.58元/次,最高限价：单价：4.58元/次。 B包：单价：26.73元/次,最高限价：单价：26.73元/次。</w:t>
      </w:r>
      <w:r>
        <w:rPr>
          <w:rFonts w:hint="eastAsia" w:cs="宋体" w:asciiTheme="minorEastAsia" w:hAnsiTheme="minorEastAsia" w:eastAsiaTheme="minorEastAsia"/>
          <w:b/>
          <w:kern w:val="0"/>
          <w:lang w:val="zh-CN"/>
        </w:rPr>
        <w:t>（本项目为固定报价）</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kern w:val="0"/>
          <w:sz w:val="24"/>
          <w:szCs w:val="24"/>
          <w:lang w:val="zh-CN"/>
        </w:rPr>
        <w:t>1、支付方式：银行转账</w:t>
      </w:r>
    </w:p>
    <w:p>
      <w:pPr>
        <w:spacing w:line="360" w:lineRule="auto"/>
        <w:ind w:firstLine="560"/>
        <w:rPr>
          <w:b/>
        </w:rPr>
      </w:pPr>
      <w:r>
        <w:rPr>
          <w:rFonts w:hint="eastAsia" w:ascii="宋体" w:hAnsi="宋体" w:eastAsia="宋体" w:cs="宋体"/>
          <w:b/>
          <w:kern w:val="0"/>
          <w:sz w:val="24"/>
          <w:szCs w:val="24"/>
        </w:rPr>
        <w:t>2、</w:t>
      </w:r>
      <w:r>
        <w:rPr>
          <w:rFonts w:hint="eastAsia" w:cs="宋体" w:asciiTheme="minorEastAsia" w:hAnsiTheme="minorEastAsia"/>
          <w:b/>
          <w:kern w:val="0"/>
          <w:sz w:val="24"/>
          <w:szCs w:val="24"/>
          <w:lang w:val="zh-CN"/>
        </w:rPr>
        <w:t>服务支付标准</w:t>
      </w:r>
    </w:p>
    <w:p>
      <w:pPr>
        <w:spacing w:line="360" w:lineRule="auto"/>
        <w:ind w:firstLine="560"/>
        <w:rPr>
          <w:rFonts w:ascii="宋体" w:hAnsi="宋体" w:eastAsia="宋体" w:cs="宋体"/>
          <w:b/>
          <w:sz w:val="24"/>
          <w:szCs w:val="24"/>
        </w:rPr>
      </w:pPr>
      <w:r>
        <w:rPr>
          <w:rFonts w:hint="eastAsia" w:ascii="宋体" w:hAnsi="宋体" w:eastAsia="宋体" w:cs="宋体"/>
          <w:b/>
          <w:kern w:val="0"/>
          <w:sz w:val="24"/>
          <w:szCs w:val="24"/>
        </w:rPr>
        <w:t>A包：</w:t>
      </w:r>
      <w:bookmarkStart w:id="0" w:name="_Hlk7872032"/>
      <w:r>
        <w:rPr>
          <w:rFonts w:hint="eastAsia" w:ascii="宋体" w:hAnsi="宋体" w:eastAsia="宋体" w:cs="宋体"/>
          <w:b/>
          <w:sz w:val="24"/>
          <w:szCs w:val="24"/>
        </w:rPr>
        <w:t>助餐服务的支付标准分为数量和质量两个标准。</w:t>
      </w:r>
    </w:p>
    <w:bookmarkEnd w:id="0"/>
    <w:p>
      <w:pPr>
        <w:spacing w:line="360" w:lineRule="auto"/>
        <w:ind w:firstLine="560"/>
        <w:rPr>
          <w:rFonts w:ascii="宋体" w:hAnsi="宋体" w:eastAsia="宋体" w:cs="宋体"/>
          <w:sz w:val="24"/>
          <w:szCs w:val="24"/>
        </w:rPr>
      </w:pPr>
      <w:r>
        <w:rPr>
          <w:rFonts w:hint="eastAsia" w:ascii="宋体" w:hAnsi="宋体" w:eastAsia="宋体" w:cs="宋体"/>
          <w:sz w:val="24"/>
          <w:szCs w:val="24"/>
        </w:rPr>
        <w:t>助餐服务的支付标准分为数量和质量双重标准,首先,乙方建立助餐服年台账,甲方根据台账审计核实服务数量。同一人同一时间点多次消费或购买多份餐食的,以一次计入。</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 xml:space="preserve">乙方实际提供助餐数量达到合同要求的60%（包括60%）及以上,按实际完成合同数量比例计算数量金额;实际提供助餐数量在合同要求的60%以下,按实际完成合同数量比例并扣减5%后计算数量金额,直至扣除完毕为止。      </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其次,在上述数量标准的前提下,购买主体采取群众满意度调查的方式对本次购买服务进行质量调查,按照质量调查的结果进行第二次核算。群众满意度调查在90%-100% (含90%)的为“优”，按核定的数量金额付款;群众满意度在80%-90%（含80%）的为“良”，按核定数量金额付款；群众满意度在60%-80%（含60%）的为“中”，按核定数量金额付款；群众满意度调查在60%以下的为“差”,按核定的数量金额扣减合同金额的5%付款。</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为支持供应商积极参与政府购买养老服务行业，防止购买服务过程中发生不可预见的客观情况导致项目无法正常实施，我们设置最低数量核定支付价即购买合同金额的30%。</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下表为不同服务到位率的实际支付金额和每日实际助餐人次等，以便我们在实际工作中参考。</w:t>
      </w:r>
    </w:p>
    <w:tbl>
      <w:tblPr>
        <w:tblStyle w:val="29"/>
        <w:tblW w:w="9320" w:type="dxa"/>
        <w:jc w:val="center"/>
        <w:tblInd w:w="0" w:type="dxa"/>
        <w:tblLayout w:type="fixed"/>
        <w:tblCellMar>
          <w:top w:w="0" w:type="dxa"/>
          <w:left w:w="108" w:type="dxa"/>
          <w:bottom w:w="0" w:type="dxa"/>
          <w:right w:w="108" w:type="dxa"/>
        </w:tblCellMar>
      </w:tblPr>
      <w:tblGrid>
        <w:gridCol w:w="1087"/>
        <w:gridCol w:w="1087"/>
        <w:gridCol w:w="1087"/>
        <w:gridCol w:w="1087"/>
        <w:gridCol w:w="1562"/>
        <w:gridCol w:w="1087"/>
        <w:gridCol w:w="1087"/>
        <w:gridCol w:w="1236"/>
      </w:tblGrid>
      <w:tr>
        <w:tblPrEx>
          <w:tblLayout w:type="fixed"/>
          <w:tblCellMar>
            <w:top w:w="0" w:type="dxa"/>
            <w:left w:w="108" w:type="dxa"/>
            <w:bottom w:w="0" w:type="dxa"/>
            <w:right w:w="108" w:type="dxa"/>
          </w:tblCellMar>
        </w:tblPrEx>
        <w:trPr>
          <w:trHeight w:val="448" w:hRule="atLeast"/>
          <w:jc w:val="center"/>
        </w:trPr>
        <w:tc>
          <w:tcPr>
            <w:tcW w:w="9320"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助餐数量支付标准估算表</w:t>
            </w:r>
          </w:p>
        </w:tc>
      </w:tr>
      <w:tr>
        <w:tblPrEx>
          <w:tblLayout w:type="fixed"/>
          <w:tblCellMar>
            <w:top w:w="0" w:type="dxa"/>
            <w:left w:w="108" w:type="dxa"/>
            <w:bottom w:w="0" w:type="dxa"/>
            <w:right w:w="108" w:type="dxa"/>
          </w:tblCellMar>
        </w:tblPrEx>
        <w:trPr>
          <w:trHeight w:val="886" w:hRule="atLeast"/>
          <w:jc w:val="center"/>
        </w:trPr>
        <w:tc>
          <w:tcPr>
            <w:tcW w:w="10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服务到位率</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服务次数</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原支付金额</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实际支付金额</w:t>
            </w:r>
          </w:p>
        </w:tc>
        <w:tc>
          <w:tcPr>
            <w:tcW w:w="15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购买基本标准（元）</w:t>
            </w:r>
          </w:p>
        </w:tc>
        <w:tc>
          <w:tcPr>
            <w:tcW w:w="10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每日助餐人次</w:t>
            </w:r>
          </w:p>
        </w:tc>
        <w:tc>
          <w:tcPr>
            <w:tcW w:w="10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助餐点</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每个助餐点人次</w:t>
            </w:r>
          </w:p>
        </w:tc>
      </w:tr>
      <w:tr>
        <w:tblPrEx>
          <w:tblLayout w:type="fixed"/>
          <w:tblCellMar>
            <w:top w:w="0" w:type="dxa"/>
            <w:left w:w="108" w:type="dxa"/>
            <w:bottom w:w="0" w:type="dxa"/>
            <w:right w:w="108" w:type="dxa"/>
          </w:tblCellMar>
        </w:tblPrEx>
        <w:trPr>
          <w:trHeight w:val="886" w:hRule="atLeast"/>
          <w:jc w:val="center"/>
        </w:trPr>
        <w:tc>
          <w:tcPr>
            <w:tcW w:w="108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（万次）</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56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08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08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2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21.83</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598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85</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20.74</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568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81</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19.65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90</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538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77</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18.56</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508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73</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17.46</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80</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478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68</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16.37</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449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64</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15.28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70</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419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60</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14.19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389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56</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13.10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60</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4.58</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359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51</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12.01</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52.25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4.35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329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47</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8.73</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38</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4.35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239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34</w:t>
            </w:r>
          </w:p>
        </w:tc>
      </w:tr>
      <w:tr>
        <w:tblPrEx>
          <w:tblLayout w:type="fixed"/>
          <w:tblCellMar>
            <w:top w:w="0" w:type="dxa"/>
            <w:left w:w="108" w:type="dxa"/>
            <w:bottom w:w="0" w:type="dxa"/>
            <w:right w:w="108" w:type="dxa"/>
          </w:tblCellMar>
        </w:tblPrEx>
        <w:trPr>
          <w:trHeight w:val="448" w:hRule="atLeast"/>
          <w:jc w:val="center"/>
        </w:trPr>
        <w:tc>
          <w:tcPr>
            <w:tcW w:w="108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6.55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30</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28.5</w:t>
            </w:r>
          </w:p>
        </w:tc>
        <w:tc>
          <w:tcPr>
            <w:tcW w:w="1562"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4.35</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179</w:t>
            </w:r>
          </w:p>
        </w:tc>
        <w:tc>
          <w:tcPr>
            <w:tcW w:w="1087"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w:t>
            </w:r>
          </w:p>
        </w:tc>
      </w:tr>
      <w:tr>
        <w:tblPrEx>
          <w:tblLayout w:type="fixed"/>
          <w:tblCellMar>
            <w:top w:w="0" w:type="dxa"/>
            <w:left w:w="108" w:type="dxa"/>
            <w:bottom w:w="0" w:type="dxa"/>
            <w:right w:w="108" w:type="dxa"/>
          </w:tblCellMar>
        </w:tblPrEx>
        <w:trPr>
          <w:trHeight w:val="3084" w:hRule="atLeast"/>
          <w:jc w:val="center"/>
        </w:trPr>
        <w:tc>
          <w:tcPr>
            <w:tcW w:w="93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备注：                                                                                                            1、服务到位率：实际完成合同比例                                                                                    2、原支付金额=全额完成支付金额（100万元）*服务到位率                                                                                    3、实际支付金额                                                                                                   =原支付金额【服务到位率在60%以上，包含60%】；                                                                                                                                                   =原支付金额*（1-5%）【服务到位率在60%以下】；（最低不得低于合同额的30%。）；     =全额完成支付金额*30%【服务到位率在30%以下】。 </w:t>
            </w:r>
          </w:p>
        </w:tc>
      </w:tr>
    </w:tbl>
    <w:p>
      <w:pPr>
        <w:autoSpaceDE w:val="0"/>
        <w:autoSpaceDN w:val="0"/>
        <w:adjustRightInd w:val="0"/>
        <w:spacing w:line="360" w:lineRule="auto"/>
        <w:ind w:firstLine="482" w:firstLineChars="200"/>
        <w:jc w:val="left"/>
        <w:rPr>
          <w:rFonts w:ascii="宋体" w:hAnsi="宋体" w:eastAsia="宋体" w:cs="宋体"/>
          <w:sz w:val="24"/>
          <w:szCs w:val="24"/>
        </w:rPr>
      </w:pPr>
      <w:r>
        <w:rPr>
          <w:rFonts w:hint="eastAsia" w:ascii="宋体" w:hAnsi="宋体" w:eastAsia="宋体" w:cs="宋体"/>
          <w:b/>
          <w:kern w:val="0"/>
          <w:sz w:val="24"/>
          <w:szCs w:val="24"/>
        </w:rPr>
        <w:t>B包：</w:t>
      </w:r>
      <w:r>
        <w:rPr>
          <w:rFonts w:hint="eastAsia" w:ascii="宋体" w:hAnsi="宋体" w:eastAsia="宋体" w:cs="宋体"/>
          <w:b/>
          <w:sz w:val="24"/>
          <w:szCs w:val="24"/>
        </w:rPr>
        <w:t>助浴服务的支付标准分为数量和质量双重标准</w:t>
      </w:r>
      <w:r>
        <w:rPr>
          <w:rFonts w:hint="eastAsia" w:ascii="宋体" w:hAnsi="宋体" w:eastAsia="宋体" w:cs="宋体"/>
          <w:sz w:val="24"/>
          <w:szCs w:val="24"/>
        </w:rPr>
        <w:t>。首先,乙方建立助浴服务年台账,甲方根据台账审计核实服务数量。同一人一天内多次助浴消费的，以一次计入。以现金方式收款的消费不予计入。</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 xml:space="preserve">乙方实际提供助浴数量达到合同要求的60%（包括60%）及以上,按实际完成合同数量比例计算数量金额;实际提供助浴数量在合同要求的60%以下,按实际完成合同数量比例并扣减5%后计算数量金额,最低不低于合同金额的30%。      </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其次,在上述数量标准的前提下,购买主体采取群众满意度调查的方式对本次购买服务进行质量调查,按照质量调查的结果进行第二次核算。群众满意度调查在90%-100% (含90%)的为“优”，按核定的数量金额付款;群众满意度在80%-90%（含80%）的为“良”，按核定数量金额付款；群众满意度在60%-80%（含60%）的为“中”，按核定数量金额付款；群众满意度调查在60%以下的为“差”,按核定的数量金额扣减合同金额的5%付款。</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由于助浴服务有较强的季节性特征，且老年人洗浴场所与普通洗浴场所之间有较大差异导致转型困难，由此导致承接主体承担较大的经营风险。为支持供应商积极参与政府购买养老服务行业，防止购买服务过程中发生不可预见的客观情况导致项目无法正常实施，我们设置最低数量核定支付价即购买合同金额的30%。同时，承接单位最低应完成合同约定总额的30%。</w:t>
      </w:r>
    </w:p>
    <w:p>
      <w:pPr>
        <w:spacing w:line="360" w:lineRule="auto"/>
        <w:ind w:firstLine="560"/>
        <w:rPr>
          <w:rFonts w:ascii="宋体" w:hAnsi="宋体" w:eastAsia="宋体" w:cs="宋体"/>
          <w:sz w:val="24"/>
          <w:szCs w:val="24"/>
        </w:rPr>
      </w:pPr>
      <w:r>
        <w:rPr>
          <w:rFonts w:hint="eastAsia" w:ascii="宋体" w:hAnsi="宋体" w:eastAsia="宋体" w:cs="宋体"/>
          <w:sz w:val="24"/>
          <w:szCs w:val="24"/>
        </w:rPr>
        <w:t>下表为不同服务到位率的实际支付金额和每日实际助浴人次等，以便我们在实际工作中参考。</w:t>
      </w:r>
    </w:p>
    <w:tbl>
      <w:tblPr>
        <w:tblStyle w:val="29"/>
        <w:tblW w:w="8860" w:type="dxa"/>
        <w:jc w:val="center"/>
        <w:tblInd w:w="0" w:type="dxa"/>
        <w:tblLayout w:type="fixed"/>
        <w:tblCellMar>
          <w:top w:w="0" w:type="dxa"/>
          <w:left w:w="108" w:type="dxa"/>
          <w:bottom w:w="0" w:type="dxa"/>
          <w:right w:w="108" w:type="dxa"/>
        </w:tblCellMar>
      </w:tblPr>
      <w:tblGrid>
        <w:gridCol w:w="960"/>
        <w:gridCol w:w="1720"/>
        <w:gridCol w:w="1480"/>
        <w:gridCol w:w="1480"/>
        <w:gridCol w:w="900"/>
        <w:gridCol w:w="840"/>
        <w:gridCol w:w="720"/>
        <w:gridCol w:w="760"/>
      </w:tblGrid>
      <w:tr>
        <w:tblPrEx>
          <w:tblLayout w:type="fixed"/>
          <w:tblCellMar>
            <w:top w:w="0" w:type="dxa"/>
            <w:left w:w="108" w:type="dxa"/>
            <w:bottom w:w="0" w:type="dxa"/>
            <w:right w:w="108" w:type="dxa"/>
          </w:tblCellMar>
        </w:tblPrEx>
        <w:trPr>
          <w:trHeight w:val="312" w:hRule="atLeast"/>
          <w:jc w:val="center"/>
        </w:trPr>
        <w:tc>
          <w:tcPr>
            <w:tcW w:w="886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助浴数量支付标准估算表</w:t>
            </w:r>
          </w:p>
        </w:tc>
      </w:tr>
      <w:tr>
        <w:tblPrEx>
          <w:tblLayout w:type="fixed"/>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服务到位率</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服务次数</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原支付金额（元）</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实际支付金额</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每次购买标准（元）</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每日助浴人次</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助浴点</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各助浴点人次</w:t>
            </w:r>
          </w:p>
        </w:tc>
      </w:tr>
      <w:tr>
        <w:tblPrEx>
          <w:tblLayout w:type="fixed"/>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（次）</w:t>
            </w: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31,423.00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840,000.00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840,000.00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102</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11</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99%</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31,108.77</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831,600.00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831,600.00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101</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11</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28,280.70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756,000.00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756,000.00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92</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85%</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26,709.55</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714,000.00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714,000.00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87</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84%</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26,395.32</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705,600.00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705,600.00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86</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21,996.10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588,000.00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588,000.00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72</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18,853.80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504,000.00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504,000.00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61</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59%</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18,539.57</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495,600.00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470,820.00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25.40</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60</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7</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12,569.20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336,000.00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319,200.00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25.40</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41</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9,426.90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252,000.00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252,000.00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26.73</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31</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20%</w:t>
            </w:r>
          </w:p>
        </w:tc>
        <w:tc>
          <w:tcPr>
            <w:tcW w:w="1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6,284.60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168,000.00</w:t>
            </w:r>
          </w:p>
        </w:tc>
        <w:tc>
          <w:tcPr>
            <w:tcW w:w="148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300,000.00</w:t>
            </w:r>
          </w:p>
        </w:tc>
        <w:tc>
          <w:tcPr>
            <w:tcW w:w="90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47.74</w:t>
            </w:r>
          </w:p>
        </w:tc>
        <w:tc>
          <w:tcPr>
            <w:tcW w:w="84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20</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9</w:t>
            </w:r>
          </w:p>
        </w:tc>
        <w:tc>
          <w:tcPr>
            <w:tcW w:w="760" w:type="dxa"/>
            <w:tcBorders>
              <w:top w:val="nil"/>
              <w:left w:val="nil"/>
              <w:bottom w:val="single" w:color="auto" w:sz="4" w:space="0"/>
              <w:right w:val="single" w:color="auto" w:sz="4" w:space="0"/>
            </w:tcBorders>
            <w:shd w:val="clear" w:color="auto" w:fill="auto"/>
            <w:noWrap/>
            <w:vAlign w:val="bottom"/>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w:t>
            </w:r>
          </w:p>
        </w:tc>
      </w:tr>
      <w:tr>
        <w:tblPrEx>
          <w:tblLayout w:type="fixed"/>
          <w:tblCellMar>
            <w:top w:w="0" w:type="dxa"/>
            <w:left w:w="108" w:type="dxa"/>
            <w:bottom w:w="0" w:type="dxa"/>
            <w:right w:w="108" w:type="dxa"/>
          </w:tblCellMar>
        </w:tblPrEx>
        <w:trPr>
          <w:trHeight w:val="2880" w:hRule="atLeast"/>
          <w:jc w:val="center"/>
        </w:trPr>
        <w:tc>
          <w:tcPr>
            <w:tcW w:w="88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备注：                                                                                                                        1、服务到位率：实际完成合同比例                                                                                               2、原支付金额=全额完成支付金额（1000000元）*服务到位率                                                                        3、实际支付金额                                                                                                                                                                                                                                                             =原支付金额【服务到位率在60%以上，包含60%】；                                                                                 =原支付金额*（1-5%）【服务到位率在60%以下】（最低不得低于合同额的30%）；             =全额完成支付金额*30%【服务到位率在30%以下,最低不得低于20%】。                                                               </w:t>
            </w:r>
          </w:p>
        </w:tc>
      </w:tr>
    </w:tbl>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 魏都区政府购买养老服务项目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项目编号：JZFCG-G2019号</w:t>
            </w:r>
          </w:p>
          <w:p>
            <w:pPr>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ascii="宋体" w:hAnsi="宋体" w:eastAsia="宋体"/>
                <w:kern w:val="0"/>
                <w:sz w:val="24"/>
              </w:rPr>
              <w:t>为本区</w:t>
            </w:r>
            <w:r>
              <w:rPr>
                <w:rFonts w:hint="eastAsia" w:ascii="宋体" w:hAnsi="宋体"/>
                <w:kern w:val="0"/>
                <w:sz w:val="24"/>
              </w:rPr>
              <w:t>有养老需求</w:t>
            </w:r>
            <w:r>
              <w:rPr>
                <w:rFonts w:hint="eastAsia" w:ascii="宋体" w:hAnsi="宋体" w:eastAsia="宋体"/>
                <w:kern w:val="0"/>
                <w:sz w:val="24"/>
              </w:rPr>
              <w:t>的老年人提供助餐、助浴</w:t>
            </w:r>
            <w:r>
              <w:rPr>
                <w:rFonts w:hint="eastAsia" w:ascii="宋体" w:hAnsi="宋体"/>
                <w:kern w:val="0"/>
                <w:sz w:val="24"/>
              </w:rPr>
              <w:t>等</w:t>
            </w:r>
            <w:r>
              <w:rPr>
                <w:rFonts w:hint="eastAsia" w:ascii="宋体" w:hAnsi="宋体" w:eastAsia="宋体"/>
                <w:kern w:val="0"/>
                <w:sz w:val="24"/>
              </w:rPr>
              <w:t>服务。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cs="仿宋_GB2312"/>
                <w:sz w:val="24"/>
                <w:szCs w:val="24"/>
                <w:shd w:val="clear" w:color="auto" w:fill="FFFFFF"/>
              </w:rPr>
              <w:t>魏都区辖区内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名称：许昌市魏都区民政局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地址：许昌市魏都区天宝路魏都区政府4楼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联系人：黑瑛洁、侯辉              电话：0374-5056172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名称：河南建标工程管理有限公司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地址：许昌市劳动路7号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联系人：万丽娜               电话：13782222730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、企业法人营业执照或营业执照。（企业投标提供）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、事业单位法人证书。（事业单位投标提供）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hint="eastAsia" w:ascii="宋体" w:hAnsi="宋体" w:cs="宋体"/>
                <w:bCs/>
                <w:sz w:val="24"/>
                <w:szCs w:val="24"/>
                <w:lang w:val="zh-CN"/>
              </w:rPr>
              <w:t>、执业许可证。（非专业服务机构投标提供）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hint="eastAsia" w:ascii="宋体" w:hAnsi="宋体" w:cs="宋体"/>
                <w:bCs/>
                <w:sz w:val="24"/>
                <w:szCs w:val="24"/>
                <w:lang w:val="zh-CN"/>
              </w:rPr>
              <w:t>、个体工商户营业执照。（个体工商户投标提供）</w:t>
            </w:r>
          </w:p>
          <w:p>
            <w:pPr>
              <w:autoSpaceDE w:val="0"/>
              <w:autoSpaceDN w:val="0"/>
              <w:adjustRightInd w:val="0"/>
              <w:spacing w:line="360" w:lineRule="auto"/>
              <w:jc w:val="left"/>
              <w:rPr>
                <w:rFonts w:ascii="宋体" w:hAnsi="宋体" w:cs="宋体"/>
                <w:bCs/>
                <w:sz w:val="24"/>
                <w:szCs w:val="24"/>
                <w:lang w:val="zh-CN"/>
              </w:rPr>
            </w:pPr>
            <w:r>
              <w:rPr>
                <w:rFonts w:ascii="宋体" w:hAnsi="宋体" w:cs="宋体"/>
                <w:bCs/>
                <w:sz w:val="24"/>
                <w:szCs w:val="24"/>
                <w:lang w:val="zh-CN"/>
              </w:rPr>
              <w:t>5</w:t>
            </w:r>
            <w:r>
              <w:rPr>
                <w:rFonts w:hint="eastAsia" w:ascii="宋体" w:hAnsi="宋体" w:cs="宋体"/>
                <w:bCs/>
                <w:sz w:val="24"/>
                <w:szCs w:val="24"/>
                <w:lang w:val="zh-CN"/>
              </w:rPr>
              <w:t>、自然人身份证明。（自然人投标提供）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jc w:val="left"/>
              <w:rPr>
                <w:rFonts w:ascii="宋体" w:cs="??_GB2312"/>
                <w:b/>
                <w:sz w:val="24"/>
                <w:szCs w:val="24"/>
              </w:rPr>
            </w:pPr>
            <w:r>
              <w:rPr>
                <w:rFonts w:hint="eastAsia" w:ascii="宋体" w:hAnsi="宋体" w:cs="??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①2018年度经审计的财务报告，包括资产负债表、利润表、现金流量表及其附注；</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
                <w:sz w:val="24"/>
                <w:szCs w:val="24"/>
                <w:lang w:val="zh-CN"/>
              </w:rPr>
            </w:pPr>
            <w:r>
              <w:rPr>
                <w:rFonts w:hint="eastAsia" w:ascii="宋体" w:hAnsi="宋体" w:cs="宋体"/>
                <w:b/>
                <w:sz w:val="24"/>
                <w:szCs w:val="24"/>
                <w:lang w:val="zh-CN"/>
              </w:rPr>
              <w:t>注：仅需提供序号①～③其中之一即可。</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①2018年度经审计的财务报告，包括资产负债表、利润表、现金流量表及其附注；</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
                <w:sz w:val="24"/>
                <w:szCs w:val="24"/>
                <w:lang w:val="zh-CN"/>
              </w:rPr>
            </w:pPr>
            <w:r>
              <w:rPr>
                <w:rFonts w:hint="eastAsia" w:ascii="宋体" w:hAnsi="宋体" w:cs="宋体"/>
                <w:b/>
                <w:sz w:val="24"/>
                <w:szCs w:val="24"/>
                <w:lang w:val="zh-CN"/>
              </w:rPr>
              <w:t>注：仅需提供序号①～③其中之一即可。</w:t>
            </w:r>
          </w:p>
          <w:p>
            <w:pPr>
              <w:autoSpaceDE w:val="0"/>
              <w:autoSpaceDN w:val="0"/>
              <w:adjustRightInd w:val="0"/>
              <w:spacing w:line="360" w:lineRule="auto"/>
              <w:ind w:right="-11"/>
              <w:rPr>
                <w:rFonts w:ascii="宋体" w:cs="??_GB2312"/>
                <w:b/>
                <w:sz w:val="24"/>
                <w:szCs w:val="24"/>
              </w:rPr>
            </w:pPr>
            <w:r>
              <w:rPr>
                <w:rFonts w:hint="eastAsia" w:ascii="宋体" w:hAnsi="宋体" w:cs="??_GB2312"/>
                <w:b/>
                <w:sz w:val="24"/>
                <w:szCs w:val="24"/>
              </w:rPr>
              <w:t>三、依法缴纳税收相关材料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rPr>
              <w:t>2019年2月以来</w:t>
            </w:r>
            <w:r>
              <w:rPr>
                <w:rFonts w:hint="eastAsia" w:ascii="宋体" w:hAnsi="宋体" w:cs="宋体"/>
                <w:bCs/>
                <w:sz w:val="24"/>
                <w:szCs w:val="24"/>
                <w:lang w:val="zh-CN"/>
              </w:rPr>
              <w:t>任意一个月缴纳税收凭据。（依法免税的投标人，应提供相应文件证明依法免税）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rPr>
              <w:t>2019年2月以来</w:t>
            </w:r>
            <w:r>
              <w:rPr>
                <w:rFonts w:hint="eastAsia" w:ascii="宋体" w:hAnsi="宋体" w:cs="宋体"/>
                <w:bCs/>
                <w:sz w:val="24"/>
                <w:szCs w:val="24"/>
                <w:lang w:val="zh-CN"/>
              </w:rPr>
              <w:t>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1、相关设备的购置发票、专业技术人员职称证书、用工合同等；</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
                <w:sz w:val="24"/>
                <w:szCs w:val="24"/>
                <w:lang w:val="zh-CN"/>
              </w:rPr>
            </w:pPr>
            <w:r>
              <w:rPr>
                <w:rFonts w:hint="eastAsia" w:ascii="宋体" w:hAnsi="宋体" w:cs="宋体"/>
                <w:b/>
                <w:sz w:val="24"/>
                <w:szCs w:val="24"/>
                <w:lang w:val="zh-CN"/>
              </w:rPr>
              <w:t>注：仅需提供序号1～2其中之一即可。</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kern w:val="0"/>
                <w:sz w:val="24"/>
                <w:szCs w:val="24"/>
              </w:rPr>
              <w:t>六、</w:t>
            </w:r>
            <w:r>
              <w:rPr>
                <w:rFonts w:hint="eastAsia" w:ascii="宋体" w:hAnsi="宋体" w:cs="宋体"/>
                <w:b/>
                <w:bCs/>
                <w:sz w:val="24"/>
                <w:szCs w:val="24"/>
                <w:lang w:val="zh-CN"/>
              </w:rPr>
              <w:t>参加政府采购活动前</w:t>
            </w:r>
            <w:r>
              <w:rPr>
                <w:rFonts w:ascii="宋体" w:hAnsi="宋体" w:cs="宋体"/>
                <w:b/>
                <w:bCs/>
                <w:sz w:val="24"/>
                <w:szCs w:val="24"/>
                <w:lang w:val="zh-CN"/>
              </w:rPr>
              <w:t>3</w:t>
            </w:r>
            <w:r>
              <w:rPr>
                <w:rFonts w:hint="eastAsia" w:ascii="宋体" w:hAnsi="宋体" w:cs="宋体"/>
                <w:b/>
                <w:bCs/>
                <w:sz w:val="24"/>
                <w:szCs w:val="24"/>
                <w:lang w:val="zh-CN"/>
              </w:rPr>
              <w:t>年内在经营活动中没有重大违法记录的声明</w:t>
            </w:r>
          </w:p>
          <w:p>
            <w:pPr>
              <w:autoSpaceDE w:val="0"/>
              <w:autoSpaceDN w:val="0"/>
              <w:spacing w:line="360" w:lineRule="auto"/>
              <w:contextualSpacing/>
              <w:jc w:val="left"/>
              <w:rPr>
                <w:rFonts w:ascii="宋体" w:cs="宋体"/>
                <w:b/>
                <w:kern w:val="0"/>
                <w:sz w:val="24"/>
                <w:szCs w:val="24"/>
                <w:lang w:val="zh-CN"/>
              </w:rPr>
            </w:pPr>
            <w:r>
              <w:rPr>
                <w:rFonts w:hint="eastAsia" w:ascii="宋体" w:hAnsi="宋体" w:cs="宋体"/>
                <w:bCs/>
                <w:sz w:val="24"/>
                <w:szCs w:val="24"/>
                <w:lang w:val="zh-CN"/>
              </w:rPr>
              <w:t>投标人“参加政府采购活动前</w:t>
            </w:r>
            <w:r>
              <w:rPr>
                <w:rFonts w:ascii="宋体" w:hAnsi="宋体" w:cs="宋体"/>
                <w:bCs/>
                <w:sz w:val="24"/>
                <w:szCs w:val="24"/>
                <w:lang w:val="zh-CN"/>
              </w:rPr>
              <w:t>3</w:t>
            </w:r>
            <w:r>
              <w:rPr>
                <w:rFonts w:hint="eastAsia" w:ascii="宋体" w:hAnsi="宋体" w:cs="宋体"/>
                <w:bCs/>
                <w:sz w:val="24"/>
                <w:szCs w:val="24"/>
                <w:lang w:val="zh-CN"/>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仿宋_GB2312" w:asciiTheme="minorEastAsia" w:hAnsiTheme="minorEastAsia"/>
                <w:b/>
                <w:sz w:val="24"/>
                <w:szCs w:val="24"/>
                <w:shd w:val="clear" w:color="auto" w:fill="FFFFFF"/>
              </w:rPr>
              <w:t xml:space="preserve"> “中国社会组织公共服务平台”网站（</w:t>
            </w:r>
            <w:r>
              <w:rPr>
                <w:rFonts w:cs="仿宋_GB2312" w:asciiTheme="minorEastAsia" w:hAnsiTheme="minorEastAsia"/>
                <w:b/>
                <w:sz w:val="24"/>
                <w:szCs w:val="24"/>
                <w:shd w:val="clear" w:color="auto" w:fill="FFFFFF"/>
              </w:rPr>
              <w:t>www.chinanpo.gov.cn</w:t>
            </w:r>
            <w:r>
              <w:rPr>
                <w:rFonts w:hint="eastAsia" w:cs="仿宋_GB2312" w:asciiTheme="minorEastAsia" w:hAnsiTheme="minorEastAsia"/>
                <w:b/>
                <w:sz w:val="24"/>
                <w:szCs w:val="24"/>
                <w:shd w:val="clear" w:color="auto" w:fill="FFFFFF"/>
              </w:rPr>
              <w:t>）严重违法失信社会组织名单的投标人（</w:t>
            </w:r>
            <w:r>
              <w:rPr>
                <w:rFonts w:hint="eastAsia" w:cs="宋体" w:asciiTheme="minorEastAsia" w:hAnsiTheme="minorEastAsia"/>
                <w:kern w:val="0"/>
                <w:sz w:val="24"/>
                <w:szCs w:val="24"/>
              </w:rPr>
              <w:t>联合体形式投标的，</w:t>
            </w:r>
            <w:r>
              <w:rPr>
                <w:rFonts w:hint="eastAsia" w:cs="宋体" w:asciiTheme="minorEastAsia" w:hAnsiTheme="minorEastAsia"/>
                <w:kern w:val="0"/>
                <w:szCs w:val="21"/>
              </w:rPr>
              <w:t>联</w:t>
            </w:r>
            <w:r>
              <w:rPr>
                <w:rFonts w:hint="eastAsia" w:ascii="宋体" w:hAnsi="宋体" w:cs="宋体"/>
                <w:bCs/>
                <w:sz w:val="24"/>
                <w:szCs w:val="24"/>
                <w:lang w:val="zh-CN"/>
              </w:rPr>
              <w:t>合体成员存在不良信用记录，视同联合体存在不良信用记录）。</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1、查询渠道：</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①“信用中国”网站（</w:t>
            </w:r>
            <w:r>
              <w:fldChar w:fldCharType="begin"/>
            </w:r>
            <w:r>
              <w:instrText xml:space="preserve"> HYPERLINK "http://www.creditchina.gov.cn" </w:instrText>
            </w:r>
            <w:r>
              <w:fldChar w:fldCharType="separate"/>
            </w:r>
            <w:r>
              <w:rPr>
                <w:rFonts w:hint="eastAsia" w:ascii="宋体" w:hAnsi="宋体" w:cs="宋体"/>
                <w:bCs/>
                <w:sz w:val="24"/>
                <w:szCs w:val="24"/>
                <w:lang w:val="zh-CN"/>
              </w:rPr>
              <w:t>www.creditchina.gov.cn</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②“中国政府采购网”（www.ccgp.gov.cn）</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③“中国社会组织公共服务平台”网站（www.chinanpo.gov.cn）（仅查询社会组织）；</w:t>
            </w:r>
          </w:p>
          <w:p>
            <w:pPr>
              <w:pStyle w:val="2"/>
              <w:ind w:firstLine="241"/>
              <w:rPr>
                <w:lang w:val="zh-CN"/>
              </w:rPr>
            </w:pPr>
            <w:r>
              <w:rPr>
                <w:rFonts w:hint="eastAsia" w:hAnsi="宋体" w:cs="宋体"/>
                <w:b/>
                <w:sz w:val="24"/>
                <w:szCs w:val="24"/>
                <w:lang w:val="zh-CN"/>
              </w:rPr>
              <w:t>注：（民办非企业单位投标仅提供③项内容）</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2、截止时间：同投标截止时间；</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3、信用信息查询记录和证据留存具体方式：经采购人经采购人在资格审查现场查询，投标方不需要提供材料。查询确认的查询结果网页截图作为查询记录和证据，与其他采购文件一并保存；</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 w:val="24"/>
                <w:szCs w:val="24"/>
              </w:rPr>
            </w:pPr>
            <w:r>
              <w:rPr>
                <w:rFonts w:hint="eastAsia" w:ascii="宋体" w:hAnsi="宋体" w:cs="宋体"/>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r>
              <w:rPr>
                <w:rFonts w:hint="eastAsia" w:ascii="宋体" w:hAnsi="宋体" w:eastAsia="宋体" w:cs="宋体"/>
                <w:b/>
                <w:bCs/>
                <w:kern w:val="0"/>
                <w:sz w:val="24"/>
                <w:szCs w:val="24"/>
              </w:rPr>
              <w:t>八</w:t>
            </w:r>
            <w:r>
              <w:rPr>
                <w:rFonts w:hint="eastAsia" w:ascii="宋体" w:hAnsi="宋体" w:eastAsia="宋体" w:cs="宋体"/>
                <w:b/>
                <w:bCs/>
                <w:sz w:val="24"/>
                <w:szCs w:val="24"/>
              </w:rPr>
              <w:t>、A包</w:t>
            </w:r>
            <w:r>
              <w:rPr>
                <w:rFonts w:hint="eastAsia" w:ascii="宋体" w:hAnsi="宋体" w:eastAsia="宋体" w:cs="宋体"/>
                <w:b/>
                <w:bCs/>
                <w:sz w:val="24"/>
                <w:szCs w:val="24"/>
                <w:lang w:val="zh-CN"/>
              </w:rPr>
              <w:t>须具有食品经营许可证；</w:t>
            </w:r>
            <w:r>
              <w:rPr>
                <w:rFonts w:hint="eastAsia" w:ascii="宋体" w:hAnsi="宋体" w:eastAsia="宋体" w:cs="宋体"/>
                <w:b/>
                <w:bCs/>
                <w:sz w:val="24"/>
                <w:szCs w:val="24"/>
              </w:rPr>
              <w:t>B包须具有</w:t>
            </w:r>
            <w:r>
              <w:rPr>
                <w:rFonts w:hint="eastAsia" w:ascii="宋体" w:hAnsi="宋体" w:eastAsia="宋体" w:cs="宋体"/>
                <w:b/>
                <w:bCs/>
                <w:sz w:val="24"/>
                <w:szCs w:val="24"/>
                <w:lang w:val="zh-CN"/>
              </w:rPr>
              <w:t>医疗机构执业许可证</w:t>
            </w:r>
            <w:r>
              <w:rPr>
                <w:rFonts w:hint="eastAsia" w:ascii="宋体" w:hAnsi="宋体" w:eastAsia="宋体" w:cs="宋体"/>
                <w:b/>
                <w:bCs/>
                <w:sz w:val="24"/>
                <w:szCs w:val="24"/>
              </w:rPr>
              <w:t>或与医疗机构签订的合作协议；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pStyle w:val="61"/>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A包：单价：4.58元/次,最高限价：单价：4.58元/次。 B包：单价：26.73元/次,最高限价：单价：26.73元/次。</w:t>
            </w:r>
          </w:p>
          <w:p>
            <w:pPr>
              <w:pStyle w:val="61"/>
              <w:widowControl/>
              <w:shd w:val="clear" w:color="auto" w:fill="FFFFFF"/>
              <w:spacing w:line="360" w:lineRule="auto"/>
              <w:contextualSpacing/>
              <w:jc w:val="left"/>
              <w:rPr>
                <w:rFonts w:cs="宋体" w:asciiTheme="minorEastAsia" w:hAnsiTheme="minorEastAsia"/>
                <w:bCs/>
                <w:lang w:val="zh-CN"/>
              </w:rPr>
            </w:pPr>
            <w:r>
              <w:rPr>
                <w:rFonts w:hint="eastAsia" w:cs="宋体" w:asciiTheme="minorEastAsia" w:hAnsiTheme="minorEastAsia" w:eastAsiaTheme="minorEastAsia"/>
                <w:b/>
                <w:kern w:val="0"/>
                <w:lang w:val="zh-CN"/>
              </w:rPr>
              <w:t>（本项目为固定报价）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cs="宋体" w:asciiTheme="minorEastAsia" w:hAnsiTheme="minorEastAsia"/>
                <w:bCs/>
                <w:sz w:val="24"/>
                <w:szCs w:val="24"/>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29</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rPr>
              <w:t>1</w:t>
            </w:r>
            <w:r>
              <w:rPr>
                <w:rFonts w:hint="eastAsia" w:cs="宋体" w:asciiTheme="minorEastAsia" w:hAnsiTheme="minorEastAsia"/>
                <w:bCs/>
                <w:sz w:val="24"/>
                <w:szCs w:val="24"/>
                <w:lang w:val="zh-CN"/>
              </w:rPr>
              <w:t>室（龙兴路与竹林路交汇处创业服务中心C座）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中国·许昌许昌市政府网</w:t>
            </w:r>
            <w:r>
              <w:rPr>
                <w:rFonts w:cs="宋体" w:asciiTheme="minorEastAsia" w:hAnsiTheme="minorEastAsia"/>
                <w:sz w:val="24"/>
                <w:szCs w:val="24"/>
              </w:rPr>
              <w:fldChar w:fldCharType="end"/>
            </w:r>
            <w:r>
              <w:rPr>
                <w:rFonts w:hint="eastAsia" w:cs="宋体"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hint="eastAsia" w:ascii="新宋体" w:hAnsi="新宋体" w:eastAsia="新宋体"/>
                <w:b/>
                <w:position w:val="-4"/>
                <w:sz w:val="36"/>
                <w:szCs w:val="24"/>
              </w:rPr>
              <w:instrText xml:space="preserve">□</w:instrText>
            </w:r>
            <w:r>
              <w:rPr>
                <w:rFonts w:hint="eastAsia" w:ascii="新宋体" w:hAnsi="新宋体" w:eastAsia="新宋体"/>
                <w:b/>
                <w:sz w:val="24"/>
                <w:szCs w:val="24"/>
              </w:rPr>
              <w:instrText xml:space="preserve">,√)</w:instrText>
            </w:r>
            <w:r>
              <w:rPr>
                <w:rFonts w:ascii="新宋体" w:hAnsi="新宋体" w:eastAsia="新宋体"/>
                <w:b/>
                <w:sz w:val="24"/>
                <w:szCs w:val="24"/>
              </w:rPr>
              <w:fldChar w:fldCharType="end"/>
            </w:r>
            <w:r>
              <w:rPr>
                <w:rFonts w:hint="eastAsia" w:ascii="新宋体" w:hAnsi="新宋体" w:eastAsia="新宋体"/>
                <w:sz w:val="24"/>
                <w:szCs w:val="24"/>
              </w:rPr>
              <w:t>电子投标文件：成功上传至《全国公共资源交易平台（河南省·许昌市）》公共资源交易系统加密电子投标文件1份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使用电子介质存储的备份文件2份分别单独密封（文件格式为：名称为“备份”的文件夹）。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hint="eastAsia" w:ascii="新宋体" w:hAnsi="新宋体" w:eastAsia="新宋体"/>
                <w:b/>
                <w:position w:val="-4"/>
                <w:sz w:val="36"/>
                <w:szCs w:val="24"/>
              </w:rPr>
              <w:instrText xml:space="preserve">□,</w:instrText>
            </w:r>
            <w:r>
              <w:rPr>
                <w:rFonts w:hint="eastAsia" w:ascii="新宋体" w:hAnsi="新宋体" w:eastAsia="新宋体"/>
                <w:b/>
                <w:sz w:val="25"/>
                <w:szCs w:val="24"/>
              </w:rPr>
              <w:instrText xml:space="preserve">√</w:instrText>
            </w:r>
            <w:r>
              <w:rPr>
                <w:rFonts w:hint="eastAsia" w:ascii="新宋体" w:hAnsi="新宋体" w:eastAsia="新宋体"/>
                <w:b/>
                <w:sz w:val="24"/>
                <w:szCs w:val="24"/>
              </w:rPr>
              <w:instrText xml:space="preserve">)</w:instrText>
            </w:r>
            <w:r>
              <w:rPr>
                <w:rFonts w:ascii="新宋体" w:hAnsi="新宋体" w:eastAsia="新宋体"/>
                <w:b/>
                <w:sz w:val="24"/>
                <w:szCs w:val="24"/>
              </w:rPr>
              <w:fldChar w:fldCharType="end"/>
            </w:r>
            <w:r>
              <w:rPr>
                <w:rFonts w:hint="eastAsia" w:ascii="新宋体" w:hAnsi="新宋体" w:eastAsia="新宋体"/>
                <w:sz w:val="24"/>
                <w:szCs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hint="eastAsia" w:ascii="新宋体" w:hAnsi="新宋体" w:eastAsia="新宋体"/>
                <w:b/>
                <w:position w:val="-4"/>
                <w:sz w:val="36"/>
                <w:szCs w:val="24"/>
              </w:rPr>
              <w:instrText xml:space="preserve">□</w:instrText>
            </w:r>
            <w:r>
              <w:rPr>
                <w:rFonts w:hint="eastAsia" w:ascii="新宋体" w:hAnsi="新宋体" w:eastAsia="新宋体"/>
                <w:b/>
                <w:sz w:val="24"/>
                <w:szCs w:val="24"/>
              </w:rPr>
              <w:instrText xml:space="preserve">,√)</w:instrText>
            </w:r>
            <w:r>
              <w:rPr>
                <w:rFonts w:ascii="新宋体" w:hAnsi="新宋体" w:eastAsia="新宋体"/>
                <w:b/>
                <w:sz w:val="24"/>
                <w:szCs w:val="24"/>
              </w:rPr>
              <w:fldChar w:fldCharType="end"/>
            </w:r>
            <w:r>
              <w:rPr>
                <w:rFonts w:hint="eastAsia" w:ascii="新宋体" w:hAnsi="新宋体" w:eastAsia="新宋体"/>
                <w:sz w:val="24"/>
                <w:szCs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hint="eastAsia" w:ascii="新宋体" w:hAnsi="新宋体" w:eastAsia="新宋体"/>
                <w:b/>
                <w:position w:val="-4"/>
                <w:sz w:val="36"/>
                <w:szCs w:val="24"/>
              </w:rPr>
              <w:instrText xml:space="preserve">□</w:instrText>
            </w:r>
            <w:r>
              <w:rPr>
                <w:rFonts w:hint="eastAsia" w:ascii="新宋体" w:hAnsi="新宋体" w:eastAsia="新宋体"/>
                <w:b/>
                <w:sz w:val="24"/>
                <w:szCs w:val="24"/>
              </w:rPr>
              <w:instrText xml:space="preserve">,√)</w:instrText>
            </w:r>
            <w:r>
              <w:rPr>
                <w:rFonts w:ascii="新宋体" w:hAnsi="新宋体" w:eastAsia="新宋体"/>
                <w:b/>
                <w:sz w:val="24"/>
                <w:szCs w:val="24"/>
              </w:rPr>
              <w:fldChar w:fldCharType="end"/>
            </w:r>
            <w:r>
              <w:rPr>
                <w:rFonts w:hint="eastAsia" w:ascii="新宋体" w:hAnsi="新宋体" w:eastAsia="新宋体"/>
                <w:sz w:val="24"/>
                <w:szCs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szCs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hint="eastAsia" w:ascii="新宋体" w:hAnsi="新宋体" w:eastAsia="新宋体"/>
                <w:b/>
                <w:position w:val="-4"/>
                <w:sz w:val="36"/>
                <w:szCs w:val="24"/>
              </w:rPr>
              <w:instrText xml:space="preserve">□</w:instrText>
            </w:r>
            <w:r>
              <w:rPr>
                <w:rFonts w:hint="eastAsia" w:ascii="新宋体" w:hAnsi="新宋体" w:eastAsia="新宋体"/>
                <w:b/>
                <w:sz w:val="24"/>
                <w:szCs w:val="24"/>
              </w:rPr>
              <w:instrText xml:space="preserve">,√)</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w:t>
            </w:r>
            <w:r>
              <w:rPr>
                <w:rFonts w:hint="eastAsia" w:ascii="新宋体" w:hAnsi="新宋体" w:eastAsia="新宋体"/>
                <w:sz w:val="24"/>
                <w:szCs w:val="24"/>
              </w:rPr>
              <w:t>查、</w:t>
            </w:r>
            <w:r>
              <w:rPr>
                <w:rFonts w:hint="eastAsia" w:cs="仿宋_GB2312" w:asciiTheme="minorEastAsia" w:hAnsiTheme="minorEastAsia"/>
                <w:sz w:val="24"/>
                <w:szCs w:val="24"/>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sz w:val="24"/>
                <w:szCs w:val="24"/>
              </w:rPr>
              <w:t>收取标准:A包每家4000元；B包每家2000元。一次性以银行划账、电汇、汇票或支票的形式支付。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w:t>
            </w:r>
            <w:r>
              <w:rPr>
                <w:rFonts w:hint="eastAsia" w:ascii="新宋体" w:hAnsi="新宋体" w:eastAsia="新宋体"/>
                <w:sz w:val="24"/>
                <w:szCs w:val="24"/>
              </w:rPr>
              <w:t>向代理机构发</w:t>
            </w:r>
            <w:r>
              <w:rPr>
                <w:rFonts w:hint="eastAsia" w:cs="宋体" w:asciiTheme="minorEastAsia" w:hAnsiTheme="minorEastAsia"/>
                <w:bCs/>
                <w:sz w:val="24"/>
                <w:szCs w:val="24"/>
                <w:lang w:val="zh-CN"/>
              </w:rPr>
              <w:t>送投标报价及分项报价一览表（包含主要中标标的的名称、规格型号、数量、单价、服务要求等）电子文档，并同时通知交易见证部。联系电话：0374-</w:t>
            </w:r>
            <w:r>
              <w:rPr>
                <w:rFonts w:hint="eastAsia" w:cs="宋体" w:asciiTheme="minorEastAsia" w:hAnsiTheme="minorEastAsia"/>
                <w:bCs/>
                <w:sz w:val="24"/>
                <w:szCs w:val="24"/>
              </w:rPr>
              <w:t>2771160</w:t>
            </w: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334078598</w:t>
            </w:r>
            <w:r>
              <w:rPr>
                <w:rFonts w:hint="eastAsia" w:cs="宋体" w:asciiTheme="minorEastAsia" w:hAnsiTheme="minorEastAsia"/>
                <w:bCs/>
                <w:sz w:val="24"/>
                <w:szCs w:val="24"/>
                <w:lang w:val="zh-CN"/>
              </w:rPr>
              <w:t>@</w:t>
            </w:r>
            <w:r>
              <w:rPr>
                <w:rFonts w:hint="eastAsia" w:cs="宋体" w:asciiTheme="minorEastAsia" w:hAnsiTheme="minorEastAsia"/>
                <w:bCs/>
                <w:sz w:val="24"/>
                <w:szCs w:val="24"/>
              </w:rPr>
              <w:t>qq</w:t>
            </w:r>
            <w:r>
              <w:rPr>
                <w:rFonts w:hint="eastAsia" w:cs="宋体" w:asciiTheme="minorEastAsia" w:hAnsiTheme="minorEastAsia"/>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4"/>
                <w:sz w:val="3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宋体" w:asciiTheme="minorEastAsia" w:hAnsiTheme="minorEastAsia"/>
                <w:b/>
                <w:kern w:val="0"/>
                <w:sz w:val="24"/>
                <w:szCs w:val="24"/>
                <w:lang w:val="zh-CN"/>
              </w:rPr>
            </w:pPr>
            <w:r>
              <w:rPr>
                <w:rFonts w:hint="eastAsia" w:hAnsi="宋体" w:cs="宋体"/>
                <w:sz w:val="24"/>
                <w:szCs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asci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本招标文件仅适用于本次“投标邀请”中所述采购项目。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本招标文件解释权属于“投标邀请”所述的采购人。</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cs="宋体"/>
          <w:kern w:val="0"/>
          <w:sz w:val="24"/>
          <w:szCs w:val="24"/>
        </w:rPr>
      </w:pPr>
      <w:r>
        <w:rPr>
          <w:rFonts w:ascii="宋体" w:hAnsi="宋体" w:cs="宋体"/>
          <w:kern w:val="0"/>
          <w:sz w:val="24"/>
          <w:szCs w:val="24"/>
        </w:rPr>
        <w:t>2.1</w:t>
      </w:r>
      <w:r>
        <w:rPr>
          <w:rFonts w:hint="eastAsia" w:ascii="宋体" w:hAnsi="宋体" w:cs="宋体"/>
          <w:kern w:val="0"/>
          <w:sz w:val="24"/>
          <w:szCs w:val="24"/>
        </w:rPr>
        <w:t>“采购项目”：“投标人须知前附表”中所述的采购项目。</w:t>
      </w:r>
    </w:p>
    <w:p>
      <w:pPr>
        <w:spacing w:line="360" w:lineRule="auto"/>
        <w:contextualSpacing/>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“招标人”：“投标人须知前附表”中所述的组织本次招标的代理机构和采购人。</w:t>
      </w:r>
    </w:p>
    <w:p>
      <w:pPr>
        <w:spacing w:line="360" w:lineRule="auto"/>
        <w:contextualSpacing/>
        <w:rPr>
          <w:rFonts w:ascii="宋体" w:cs="宋体"/>
          <w:kern w:val="0"/>
          <w:sz w:val="24"/>
          <w:szCs w:val="24"/>
        </w:rPr>
      </w:pPr>
      <w:r>
        <w:rPr>
          <w:rFonts w:ascii="宋体" w:hAnsi="宋体" w:cs="宋体"/>
          <w:kern w:val="0"/>
          <w:sz w:val="24"/>
          <w:szCs w:val="24"/>
        </w:rPr>
        <w:t>2.3</w:t>
      </w:r>
      <w:r>
        <w:rPr>
          <w:rFonts w:hint="eastAsia" w:ascii="宋体" w:hAnsi="宋体" w:cs="宋体"/>
          <w:kern w:val="0"/>
          <w:sz w:val="24"/>
          <w:szCs w:val="24"/>
        </w:rPr>
        <w:t>“采购人”：是指依法进行政府采购的国家机关、事业单位、团体组织。采购人名称、地址、电话、联系人见“投标人须知前附表”。</w:t>
      </w:r>
    </w:p>
    <w:p>
      <w:pPr>
        <w:spacing w:line="360" w:lineRule="auto"/>
        <w:contextualSpacing/>
        <w:rPr>
          <w:rFonts w:ascii="宋体" w:cs="宋体"/>
          <w:kern w:val="0"/>
          <w:sz w:val="24"/>
          <w:szCs w:val="24"/>
        </w:rPr>
      </w:pPr>
      <w:r>
        <w:rPr>
          <w:rFonts w:ascii="宋体" w:hAnsi="宋体" w:cs="宋体"/>
          <w:kern w:val="0"/>
          <w:sz w:val="24"/>
          <w:szCs w:val="24"/>
        </w:rPr>
        <w:t>2.4</w:t>
      </w:r>
      <w:r>
        <w:rPr>
          <w:rFonts w:hint="eastAsia" w:ascii="宋体" w:hAnsi="宋体" w:cs="宋体"/>
          <w:kern w:val="0"/>
          <w:sz w:val="24"/>
          <w:szCs w:val="24"/>
        </w:rPr>
        <w:t>“代理机构”：接受采购人委托，代理采购项目的采购代理机构。代理机构名称、地址、电话、联系人见“投标人须知前附表”。</w:t>
      </w:r>
    </w:p>
    <w:p>
      <w:pPr>
        <w:spacing w:line="360" w:lineRule="auto"/>
        <w:contextualSpacing/>
        <w:rPr>
          <w:rFonts w:asci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2.6</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pPr>
        <w:spacing w:line="360" w:lineRule="auto"/>
        <w:contextualSpacing/>
        <w:rPr>
          <w:rFonts w:asci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招标文件中凡标有“★”的条款均系实质性要求条款。</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合格的投标人</w:t>
      </w:r>
    </w:p>
    <w:p>
      <w:pPr>
        <w:pStyle w:val="48"/>
        <w:numPr>
          <w:ilvl w:val="0"/>
          <w:numId w:val="0"/>
        </w:numPr>
        <w:tabs>
          <w:tab w:val="left" w:pos="0"/>
        </w:tabs>
        <w:adjustRightInd/>
        <w:spacing w:line="360" w:lineRule="auto"/>
        <w:contextualSpacing/>
        <w:rPr>
          <w:rFonts w:cs="宋体"/>
          <w:sz w:val="24"/>
          <w:szCs w:val="24"/>
        </w:rPr>
      </w:pPr>
      <w:r>
        <w:rPr>
          <w:rFonts w:cs="宋体"/>
          <w:sz w:val="24"/>
          <w:szCs w:val="24"/>
        </w:rPr>
        <w:t>3.1</w:t>
      </w:r>
      <w:r>
        <w:rPr>
          <w:rFonts w:hint="eastAsia" w:cs="宋体"/>
          <w:sz w:val="24"/>
          <w:szCs w:val="24"/>
        </w:rPr>
        <w:t>在中华人民共和国境内注册，具有本项目生产、制造、供应或实施能力，符合、承认并承诺履行本招标文件各项规定的法人、其他组织或者自然人。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3.2</w:t>
      </w:r>
      <w:r>
        <w:rPr>
          <w:rFonts w:hint="eastAsia" w:ascii="宋体" w:hAnsi="宋体" w:cs="宋体"/>
          <w:kern w:val="0"/>
          <w:sz w:val="24"/>
          <w:szCs w:val="24"/>
        </w:rPr>
        <w:t>符合本项目“投标邀请”和“投标人须知前附表”中规定的合格投标人所必须具备的条件。</w:t>
      </w:r>
    </w:p>
    <w:p>
      <w:pPr>
        <w:pStyle w:val="42"/>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42"/>
        <w:numPr>
          <w:ilvl w:val="0"/>
          <w:numId w:val="5"/>
        </w:numPr>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查询渠道：“信用中国”网站（www.creditchina.gov.cn）、“中国政府采购网”（www.ccgp.gov.cn）、“中国社会组织公共服务平台”网站（www.chinanpo.gov.cn）；</w:t>
      </w:r>
    </w:p>
    <w:p>
      <w:pPr>
        <w:pStyle w:val="42"/>
        <w:numPr>
          <w:ilvl w:val="0"/>
          <w:numId w:val="5"/>
        </w:numPr>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截止时间：同投标截止时间；</w:t>
      </w:r>
    </w:p>
    <w:p>
      <w:pPr>
        <w:pStyle w:val="42"/>
        <w:numPr>
          <w:ilvl w:val="0"/>
          <w:numId w:val="5"/>
        </w:numPr>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信用信息查询记录和证据留存具体方式：</w:t>
      </w:r>
      <w:r>
        <w:rPr>
          <w:rFonts w:hint="eastAsia" w:ascii="宋体" w:hAnsi="宋体" w:cs="宋体"/>
          <w:bCs/>
          <w:sz w:val="24"/>
          <w:szCs w:val="24"/>
          <w:lang w:val="zh-CN"/>
        </w:rPr>
        <w:t>经采购人经采购人在资格审查现场查询，投标方不需要提供材料。查询确认的查询结果网页截图作为查询记录和证据，与其他采购文件一并保存</w:t>
      </w:r>
      <w:r>
        <w:rPr>
          <w:rFonts w:hint="eastAsia" w:ascii="宋体" w:hAnsi="宋体" w:eastAsia="宋体" w:cs="宋体"/>
          <w:kern w:val="0"/>
          <w:sz w:val="24"/>
          <w:szCs w:val="24"/>
        </w:rPr>
        <w:t>；</w:t>
      </w:r>
    </w:p>
    <w:p>
      <w:pPr>
        <w:pStyle w:val="42"/>
        <w:numPr>
          <w:ilvl w:val="0"/>
          <w:numId w:val="5"/>
        </w:numPr>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42"/>
        <w:numPr>
          <w:ilvl w:val="0"/>
          <w:numId w:val="5"/>
        </w:numPr>
        <w:autoSpaceDE w:val="0"/>
        <w:autoSpaceDN w:val="0"/>
        <w:spacing w:line="360" w:lineRule="auto"/>
        <w:ind w:firstLine="0" w:firstLineChars="0"/>
        <w:contextualSpacing/>
        <w:jc w:val="left"/>
        <w:rPr>
          <w:rFonts w:ascii="宋体" w:hAnsi="宋体" w:eastAsia="宋体" w:cs="宋体"/>
          <w:kern w:val="0"/>
          <w:sz w:val="24"/>
          <w:szCs w:val="24"/>
        </w:rPr>
      </w:pPr>
      <w:r>
        <w:rPr>
          <w:rFonts w:hint="eastAsia" w:ascii="宋体" w:hAnsi="宋体" w:eastAsia="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w:t>
      </w:r>
      <w:r>
        <w:rPr>
          <w:rFonts w:ascii="宋体" w:hAnsi="宋体" w:cs="宋体"/>
          <w:kern w:val="0"/>
          <w:sz w:val="24"/>
          <w:szCs w:val="24"/>
        </w:rPr>
        <w:t>3.2</w:t>
      </w:r>
      <w:r>
        <w:rPr>
          <w:rFonts w:hint="eastAsia" w:ascii="宋体" w:hAnsi="宋体" w:cs="宋体"/>
          <w:kern w:val="0"/>
          <w:sz w:val="24"/>
          <w:szCs w:val="24"/>
        </w:rPr>
        <w:t>项要求外，还应遵守以下规定：</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）在投标文件中向采购人提交联合体协议书，明确联合体各方承担的工作和义务；</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）联合体中有同类资质的供应商按联合体分工承担相同工作的，应当按照资质等级较低的供应商确定资质等级；</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）招标人根据采购项目的特殊要求规定投标人特定条件的，联合体各方中至少应当有一方符合采购规定的特定条件。</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）联合体各方不得再单独参加或者与其他供应商另外组成联合体参加同一合同项下的政府采购活动。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hint="eastAsia" w:ascii="宋体" w:hAnsi="宋体" w:cs="宋体"/>
          <w:kern w:val="0"/>
          <w:sz w:val="24"/>
          <w:szCs w:val="24"/>
        </w:rPr>
        <w:t>法律、行政法规规定的其他条件。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1" w:name="baidusnap0"/>
      <w:bookmarkEnd w:id="1"/>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．投标费用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7. </w:t>
      </w:r>
      <w:r>
        <w:rPr>
          <w:rFonts w:hint="eastAsia" w:ascii="宋体" w:hAnsi="宋体" w:cs="宋体"/>
          <w:b/>
          <w:kern w:val="0"/>
          <w:sz w:val="24"/>
          <w:szCs w:val="24"/>
        </w:rPr>
        <w:t>其他</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cs="宋体"/>
          <w:kern w:val="0"/>
          <w:sz w:val="24"/>
          <w:szCs w:val="24"/>
        </w:rPr>
      </w:pP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招标文件由以下部分组成：</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）本项目招标文件的澄清、答复、修改、补充内容（如有的话）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现场考察、开标前答疑会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hint="eastAsia" w:ascii="宋体" w:hAns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hint="eastAsia" w:ascii="宋体" w:hAns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hint="eastAsia" w:ascii="宋体" w:hAnsi="宋体" w:cs="宋体"/>
          <w:kern w:val="0"/>
          <w:sz w:val="24"/>
          <w:szCs w:val="24"/>
        </w:rPr>
        <w:t>现场考察及参加开标前答疑会所发生的费用及一切责任由投标人自行承担。</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招标文件的澄清或修改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hint="eastAsia" w:ascii="宋体" w:hAnsi="宋体" w:cs="宋体"/>
          <w:kern w:val="0"/>
          <w:sz w:val="24"/>
          <w:szCs w:val="24"/>
        </w:rPr>
        <w:t>在投标截止期前，无论出于何种原因，招标人可主动地或在解答潜在投标人提出的澄清问题时对招标文件进行修改。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hint="eastAsia" w:ascii="宋体" w:hAnsi="宋体" w:cs="宋体"/>
          <w:kern w:val="0"/>
          <w:sz w:val="24"/>
          <w:szCs w:val="24"/>
        </w:rPr>
        <w:t>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．投标的语言及计量单位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 xml:space="preserve">1 </w:t>
      </w: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hint="eastAsia" w:ascii="宋体" w:hAnsi="宋体" w:cs="宋体"/>
          <w:b/>
          <w:kern w:val="0"/>
          <w:sz w:val="24"/>
          <w:szCs w:val="24"/>
        </w:rPr>
        <w:t>投标报价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hint="eastAsia" w:ascii="宋体" w:hAnsi="宋体" w:cs="宋体"/>
          <w:kern w:val="0"/>
          <w:sz w:val="24"/>
          <w:szCs w:val="24"/>
        </w:rPr>
        <w:t>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hint="eastAsia" w:ascii="宋体" w:hAnsi="宋体" w:cs="宋体"/>
          <w:kern w:val="0"/>
          <w:sz w:val="24"/>
          <w:szCs w:val="24"/>
        </w:rPr>
        <w:t>采购人不得向投标人索要或者接受其给予的赠品、回扣或者与采购无关的其他商品、服务。</w:t>
      </w:r>
    </w:p>
    <w:p>
      <w:pPr>
        <w:pStyle w:val="42"/>
        <w:spacing w:line="374" w:lineRule="auto"/>
        <w:ind w:firstLine="0" w:firstLineChars="0"/>
        <w:rPr>
          <w:rFonts w:ascii="宋体" w:cs="宋体"/>
          <w:kern w:val="0"/>
          <w:sz w:val="24"/>
          <w:szCs w:val="24"/>
        </w:rPr>
      </w:pPr>
      <w:r>
        <w:rPr>
          <w:rFonts w:ascii="宋体" w:hAnsi="宋体" w:cs="宋体"/>
          <w:kern w:val="0"/>
          <w:sz w:val="24"/>
          <w:szCs w:val="24"/>
        </w:rPr>
        <w:t xml:space="preserve">13.3 </w:t>
      </w:r>
      <w:r>
        <w:rPr>
          <w:rFonts w:hint="eastAsia" w:ascii="宋体" w:hAnsi="宋体" w:cs="宋体"/>
          <w:kern w:val="0"/>
          <w:sz w:val="24"/>
          <w:szCs w:val="24"/>
        </w:rPr>
        <w:t>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cs="宋体"/>
          <w:kern w:val="0"/>
          <w:sz w:val="24"/>
          <w:szCs w:val="24"/>
        </w:rPr>
      </w:pPr>
      <w:r>
        <w:rPr>
          <w:rFonts w:ascii="宋体" w:hAnsi="宋体" w:cs="宋体"/>
          <w:kern w:val="0"/>
          <w:sz w:val="24"/>
          <w:szCs w:val="24"/>
        </w:rPr>
        <w:t xml:space="preserve">13.4 </w:t>
      </w:r>
      <w:r>
        <w:rPr>
          <w:rFonts w:hint="eastAsia" w:ascii="宋体" w:hAns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hint="eastAsia" w:ascii="宋体" w:hAnsi="宋体" w:cs="宋体"/>
          <w:kern w:val="0"/>
          <w:sz w:val="24"/>
          <w:szCs w:val="24"/>
        </w:rPr>
        <w:t>本项目所涉及的运输、施工、安装、集成、调试、验收、备品和工具等费用均包含在投标报价中。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hint="eastAsia" w:ascii="宋体" w:hAnsi="宋体" w:cs="宋体"/>
          <w:kern w:val="0"/>
          <w:sz w:val="24"/>
          <w:szCs w:val="24"/>
        </w:rPr>
        <w:t>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 xml:space="preserve">13.8 </w:t>
      </w:r>
      <w:r>
        <w:rPr>
          <w:rFonts w:hint="eastAsia" w:ascii="宋体" w:hAnsi="宋体" w:cs="宋体"/>
          <w:kern w:val="0"/>
          <w:sz w:val="24"/>
          <w:szCs w:val="24"/>
        </w:rPr>
        <w:t>最低报价不能作为中标的保证。</w:t>
      </w:r>
    </w:p>
    <w:p>
      <w:pPr>
        <w:pStyle w:val="2"/>
        <w:ind w:firstLine="0" w:firstLineChars="0"/>
        <w:rPr>
          <w:b/>
          <w:bCs/>
        </w:rPr>
      </w:pPr>
      <w:r>
        <w:rPr>
          <w:rFonts w:hint="eastAsia" w:hAnsi="宋体" w:cs="宋体"/>
          <w:b/>
          <w:bCs/>
          <w:sz w:val="24"/>
          <w:szCs w:val="24"/>
        </w:rPr>
        <w:t>13.9本项目投标报价为固定报价。</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．投标有效期</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hint="eastAsia" w:ascii="宋体" w:hAnsi="宋体" w:cs="宋体"/>
          <w:kern w:val="0"/>
          <w:sz w:val="24"/>
          <w:szCs w:val="24"/>
        </w:rPr>
        <w:t>投标有效期从提交投标文件的截止之日起算。本项目投标有效期详</w:t>
      </w:r>
      <w:r>
        <w:rPr>
          <w:rFonts w:hint="eastAsia" w:ascii="宋体" w:hAnsi="宋体" w:cs="??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2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3中标人的投标文件作为项目合同的附件，其有效期至中标人全部合同义务履行完毕为止。</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．投标文件构成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投标文件的构成应符合法律法规及招标文件的要求。</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hint="eastAsia" w:ascii="宋体" w:hAnsi="宋体" w:cs="宋体"/>
          <w:kern w:val="0"/>
          <w:sz w:val="24"/>
          <w:szCs w:val="24"/>
        </w:rPr>
        <w:t>投标人应当按照招标文件的要求编制投标文件。投标文件应当对招标文件提出的要求和条件作出明确响应。</w:t>
      </w:r>
    </w:p>
    <w:p>
      <w:pPr>
        <w:spacing w:line="360" w:lineRule="auto"/>
        <w:contextualSpacing/>
        <w:rPr>
          <w:rFonts w:ascii="宋体" w:cs="宋体"/>
          <w:kern w:val="0"/>
          <w:sz w:val="24"/>
          <w:szCs w:val="24"/>
        </w:rPr>
      </w:pPr>
      <w:r>
        <w:rPr>
          <w:rFonts w:ascii="宋体" w:hAnsi="宋体" w:cs="宋体"/>
          <w:kern w:val="0"/>
          <w:sz w:val="24"/>
          <w:szCs w:val="24"/>
        </w:rPr>
        <w:t xml:space="preserve">15.3 </w:t>
      </w:r>
      <w:r>
        <w:rPr>
          <w:rFonts w:hint="eastAsia" w:ascii="宋体" w:hAnsi="宋体" w:cs="宋体"/>
          <w:kern w:val="0"/>
          <w:sz w:val="24"/>
          <w:szCs w:val="24"/>
        </w:rPr>
        <w:t>投标文件由资格证明材料、符合性证明材料、其它材料等组成。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ascii="宋体" w:hAnsi="宋体" w:cs="宋体"/>
          <w:kern w:val="0"/>
          <w:sz w:val="24"/>
          <w:szCs w:val="24"/>
        </w:rPr>
        <w:t xml:space="preserve">15.5 </w:t>
      </w:r>
      <w:r>
        <w:rPr>
          <w:rFonts w:hint="eastAsia" w:hAnsi="宋体"/>
          <w:sz w:val="24"/>
          <w:szCs w:val="24"/>
        </w:rPr>
        <w:t>投标人登录许昌公共资源交易系统下载“许昌投标文件制作系统</w:t>
      </w:r>
      <w:r>
        <w:rPr>
          <w:rFonts w:hAnsi="宋体"/>
          <w:sz w:val="24"/>
          <w:szCs w:val="24"/>
        </w:rPr>
        <w:t>SEARUN V1.</w:t>
      </w:r>
      <w:r>
        <w:rPr>
          <w:rFonts w:hint="eastAsia" w:hAnsi="宋体"/>
          <w:sz w:val="24"/>
          <w:szCs w:val="24"/>
        </w:rPr>
        <w:t>1”，按招标文件要求根据所投标段制作电子投标文件。</w:t>
      </w:r>
    </w:p>
    <w:p>
      <w:pPr>
        <w:tabs>
          <w:tab w:val="left" w:pos="7095"/>
        </w:tabs>
        <w:spacing w:line="360" w:lineRule="auto"/>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”的文件用于打印纸质投标文件，名称为“备份”的文件夹使用电子介质存储，供开标现场备用。</w:t>
      </w:r>
    </w:p>
    <w:p>
      <w:pPr>
        <w:autoSpaceDE w:val="0"/>
        <w:autoSpaceDN w:val="0"/>
        <w:spacing w:line="360" w:lineRule="auto"/>
        <w:contextualSpacing/>
        <w:rPr>
          <w:rFonts w:ascii="宋体" w:cs="宋体"/>
          <w:b/>
          <w:kern w:val="0"/>
          <w:sz w:val="24"/>
          <w:szCs w:val="24"/>
        </w:rPr>
      </w:pPr>
      <w:r>
        <w:rPr>
          <w:rFonts w:hint="eastAsia" w:hAnsi="宋体" w:cs="宋体"/>
          <w:sz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投标文件格式</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hint="eastAsia" w:ascii="宋体" w:hAnsi="宋体" w:cs="宋体"/>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hint="eastAsia" w:ascii="宋体" w:hAnsi="宋体" w:cs="宋体"/>
          <w:kern w:val="0"/>
          <w:sz w:val="24"/>
          <w:szCs w:val="24"/>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hint="eastAsia"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投标文件的数量和签署盖章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投标人应提交投标文件份数见“投标人须知前附表”。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纸质投标文件</w:t>
      </w:r>
      <w:r>
        <w:rPr>
          <w:rFonts w:hint="eastAsia" w:ascii="新宋体" w:hAnsi="新宋体" w:eastAsia="新宋体"/>
          <w:sz w:val="24"/>
        </w:rPr>
        <w:t>是指投标人电子投标文件制作完成后生成的后缀名为</w:t>
      </w:r>
      <w:r>
        <w:rPr>
          <w:rFonts w:hint="eastAsia" w:hAnsi="宋体"/>
          <w:sz w:val="24"/>
          <w:szCs w:val="24"/>
        </w:rPr>
        <w:t>“</w:t>
      </w:r>
      <w:r>
        <w:rPr>
          <w:rFonts w:hAnsi="宋体"/>
          <w:sz w:val="24"/>
          <w:szCs w:val="24"/>
        </w:rPr>
        <w:t>.PDF</w:t>
      </w:r>
      <w:r>
        <w:rPr>
          <w:rFonts w:hint="eastAsia" w:hAnsi="宋体"/>
          <w:sz w:val="24"/>
          <w:szCs w:val="24"/>
        </w:rPr>
        <w:t>”的文件打印的投标文件。</w:t>
      </w:r>
      <w:r>
        <w:rPr>
          <w:rFonts w:hint="eastAsia" w:ascii="宋体" w:hAnsi="宋体" w:cs="??_GB2312"/>
          <w:sz w:val="24"/>
          <w:szCs w:val="24"/>
          <w:lang w:val="zh-CN"/>
        </w:rPr>
        <w:t>纸质投标文件正本和副本封面上应清楚标明</w:t>
      </w:r>
      <w:r>
        <w:rPr>
          <w:rFonts w:hint="eastAsia" w:ascii="宋体" w:cs="??_GB2312"/>
          <w:sz w:val="24"/>
          <w:szCs w:val="24"/>
          <w:lang w:val="zh-CN"/>
        </w:rPr>
        <w:t>“</w:t>
      </w:r>
      <w:r>
        <w:rPr>
          <w:rFonts w:hint="eastAsia" w:ascii="宋体" w:hAnsi="宋体" w:cs="??_GB2312"/>
          <w:sz w:val="24"/>
          <w:szCs w:val="24"/>
          <w:lang w:val="zh-CN"/>
        </w:rPr>
        <w:t>正本</w:t>
      </w:r>
      <w:r>
        <w:rPr>
          <w:rFonts w:hint="eastAsia" w:ascii="宋体" w:cs="??_GB2312"/>
          <w:sz w:val="24"/>
          <w:szCs w:val="24"/>
          <w:lang w:val="zh-CN"/>
        </w:rPr>
        <w:t>”</w:t>
      </w:r>
      <w:r>
        <w:rPr>
          <w:rFonts w:hint="eastAsia" w:ascii="宋体" w:hAnsi="宋体" w:cs="??_GB2312"/>
          <w:sz w:val="24"/>
          <w:szCs w:val="24"/>
          <w:lang w:val="zh-CN"/>
        </w:rPr>
        <w:t>或</w:t>
      </w:r>
      <w:r>
        <w:rPr>
          <w:rFonts w:hint="eastAsia" w:ascii="宋体" w:cs="??_GB2312"/>
          <w:sz w:val="24"/>
          <w:szCs w:val="24"/>
          <w:lang w:val="zh-CN"/>
        </w:rPr>
        <w:t>“</w:t>
      </w:r>
      <w:r>
        <w:rPr>
          <w:rFonts w:hint="eastAsia" w:ascii="宋体" w:hAnsi="宋体" w:cs="??_GB2312"/>
          <w:sz w:val="24"/>
          <w:szCs w:val="24"/>
          <w:lang w:val="zh-CN"/>
        </w:rPr>
        <w:t>副本</w:t>
      </w:r>
      <w:r>
        <w:rPr>
          <w:rFonts w:hint="eastAsia" w:ascii="宋体" w:cs="??_GB2312"/>
          <w:sz w:val="24"/>
          <w:szCs w:val="24"/>
          <w:lang w:val="zh-CN"/>
        </w:rPr>
        <w:t>”</w:t>
      </w:r>
      <w:r>
        <w:rPr>
          <w:rFonts w:hint="eastAsia" w:ascii="宋体" w:hAnsi="宋体" w:cs="??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.4 </w:t>
      </w:r>
      <w:r>
        <w:rPr>
          <w:rFonts w:hint="eastAsia" w:ascii="宋体" w:hAnsi="宋体" w:cs="??_GB2312"/>
          <w:sz w:val="24"/>
          <w:szCs w:val="24"/>
          <w:lang w:val="zh-CN"/>
        </w:rPr>
        <w:t>纸质投标文件副本可以是纸质投标文件的正本复印而成。</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hint="eastAsia" w:ascii="宋体" w:hAnsi="宋体" w:cs="??_GB2312"/>
          <w:b/>
          <w:sz w:val="24"/>
          <w:szCs w:val="24"/>
          <w:lang w:val="zh-CN"/>
        </w:rPr>
        <w:t>投标文件的密封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hint="eastAsia" w:ascii="宋体" w:hAnsi="宋体" w:cs="??_GB2312"/>
          <w:sz w:val="24"/>
          <w:szCs w:val="24"/>
          <w:lang w:val="zh-CN"/>
        </w:rPr>
        <w:t>投标人应将纸质投标文件“正本”、“副本”密封包装。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hint="eastAsia" w:ascii="宋体" w:hAnsi="宋体" w:cs="??_GB2312"/>
          <w:sz w:val="24"/>
          <w:szCs w:val="24"/>
          <w:lang w:val="zh-CN"/>
        </w:rPr>
        <w:t>投标文件如果未按规定密封，招标人将拒绝接收。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hint="eastAsia" w:ascii="宋体" w:hAnsi="宋体" w:cs="??_GB2312"/>
          <w:b/>
          <w:sz w:val="24"/>
          <w:szCs w:val="24"/>
          <w:lang w:val="zh-CN"/>
        </w:rPr>
        <w:t>．投标截止时间</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lang w:val="zh-CN"/>
        </w:rPr>
        <w:t>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hint="eastAsia" w:ascii="宋体" w:hAnsi="宋体"/>
          <w:bCs/>
          <w:sz w:val="24"/>
          <w:szCs w:val="24"/>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hint="eastAsia" w:ascii="宋体" w:hAnsi="宋体"/>
          <w:bCs/>
          <w:sz w:val="24"/>
          <w:szCs w:val="24"/>
        </w:rPr>
        <w:t>招标人可以按本须知第</w:t>
      </w:r>
      <w:r>
        <w:rPr>
          <w:rFonts w:ascii="宋体" w:hAnsi="宋体"/>
          <w:bCs/>
          <w:sz w:val="24"/>
          <w:szCs w:val="24"/>
        </w:rPr>
        <w:t>10</w:t>
      </w:r>
      <w:r>
        <w:rPr>
          <w:rFonts w:hint="eastAsia" w:ascii="宋体" w:hAnsi="宋体"/>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hint="eastAsia" w:ascii="宋体" w:hAnsi="宋体" w:cs="??_GB2312"/>
          <w:b/>
          <w:sz w:val="24"/>
          <w:szCs w:val="24"/>
          <w:lang w:val="zh-CN"/>
        </w:rPr>
        <w:t>迟交的投标文件</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投标截止时间之后送达</w:t>
      </w:r>
      <w:r>
        <w:rPr>
          <w:rFonts w:ascii="宋体" w:hAnsi="宋体" w:cs="??_GB2312"/>
          <w:sz w:val="24"/>
          <w:szCs w:val="24"/>
          <w:lang w:val="zh-CN"/>
        </w:rPr>
        <w:t>/</w:t>
      </w:r>
      <w:r>
        <w:rPr>
          <w:rFonts w:hint="eastAsia" w:ascii="宋体" w:hAnsi="宋体" w:cs="??_GB2312"/>
          <w:sz w:val="24"/>
          <w:szCs w:val="24"/>
          <w:lang w:val="zh-CN"/>
        </w:rPr>
        <w:t>上传的投标文件，招标人将拒绝接收。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hint="eastAsia" w:ascii="宋体" w:hAnsi="宋体" w:cs="??_GB2312"/>
          <w:b/>
          <w:sz w:val="24"/>
          <w:szCs w:val="24"/>
          <w:lang w:val="zh-CN"/>
        </w:rPr>
        <w:t>投标文件的修改和撤回</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hint="eastAsia" w:ascii="宋体" w:hAnsi="宋体" w:cs="??_GB2312"/>
          <w:sz w:val="24"/>
          <w:szCs w:val="24"/>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hint="eastAsia" w:ascii="宋体" w:hAnsi="宋体"/>
          <w:bCs/>
          <w:sz w:val="24"/>
          <w:szCs w:val="24"/>
        </w:rPr>
        <w:t>投标人</w:t>
      </w:r>
      <w:r>
        <w:rPr>
          <w:rFonts w:hint="eastAsia" w:ascii="宋体" w:hAnsi="宋体" w:cs="??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_GB2312"/>
          <w:sz w:val="24"/>
          <w:szCs w:val="24"/>
          <w:lang w:val="zh-CN"/>
        </w:rPr>
        <w:t>应当按招标文件要求签署、盖章、</w:t>
      </w:r>
      <w:r>
        <w:rPr>
          <w:rFonts w:hint="eastAsia" w:ascii="宋体" w:hAnsi="宋体"/>
          <w:bCs/>
          <w:sz w:val="24"/>
          <w:szCs w:val="24"/>
        </w:rPr>
        <w:t>密封</w:t>
      </w:r>
      <w:r>
        <w:rPr>
          <w:rFonts w:hint="eastAsia" w:ascii="宋体" w:hAnsi="宋体" w:cs="??_GB2312"/>
          <w:sz w:val="24"/>
          <w:szCs w:val="24"/>
          <w:lang w:val="zh-CN"/>
        </w:rPr>
        <w:t>、递交，</w:t>
      </w:r>
      <w:r>
        <w:rPr>
          <w:rFonts w:hint="eastAsia" w:ascii="宋体" w:hAnsi="宋体"/>
          <w:bCs/>
          <w:sz w:val="24"/>
          <w:szCs w:val="24"/>
        </w:rPr>
        <w:t>并应注明“修改</w:t>
      </w:r>
      <w:r>
        <w:rPr>
          <w:rFonts w:hint="eastAsia" w:ascii="宋体"/>
          <w:bCs/>
          <w:sz w:val="24"/>
          <w:szCs w:val="24"/>
        </w:rPr>
        <w:t>”</w:t>
      </w:r>
      <w:r>
        <w:rPr>
          <w:rFonts w:hint="eastAsia" w:ascii="宋体" w:hAnsi="宋体"/>
          <w:bCs/>
          <w:sz w:val="24"/>
          <w:szCs w:val="24"/>
        </w:rPr>
        <w:t>或“补充</w:t>
      </w:r>
      <w:r>
        <w:rPr>
          <w:rFonts w:hint="eastAsia" w:asci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hint="eastAsia" w:ascii="宋体" w:hAnsi="宋体" w:cs="??_GB2312"/>
          <w:sz w:val="24"/>
          <w:szCs w:val="24"/>
          <w:lang w:val="zh-CN"/>
        </w:rPr>
        <w:t>投标人在递交投标文件后，可以撤回其投标，但投标人必须在规定的投标截止时间前以书面形式告知招标人。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hint="eastAsia" w:ascii="宋体" w:hAnsi="宋体" w:cs="??_GB2312"/>
          <w:b/>
          <w:sz w:val="24"/>
          <w:szCs w:val="24"/>
          <w:lang w:val="zh-CN"/>
        </w:rPr>
        <w:t>开标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hint="eastAsia" w:ascii="宋体" w:hAnsi="宋体" w:cs="??_GB2312"/>
          <w:sz w:val="24"/>
          <w:szCs w:val="24"/>
          <w:lang w:val="zh-CN"/>
        </w:rPr>
        <w:t>开标时，由投标人或者其推选的代表检查纸质投标文件和</w:t>
      </w:r>
      <w:r>
        <w:rPr>
          <w:rFonts w:hint="eastAsia" w:hAnsi="宋体" w:cs="宋体"/>
          <w:sz w:val="24"/>
        </w:rPr>
        <w:t>备份文件</w:t>
      </w:r>
      <w:r>
        <w:rPr>
          <w:rFonts w:hint="eastAsia" w:ascii="宋体" w:hAnsi="宋体" w:cs="??_GB2312"/>
          <w:sz w:val="24"/>
          <w:szCs w:val="24"/>
          <w:lang w:val="zh-CN"/>
        </w:rPr>
        <w:t>（</w:t>
      </w:r>
      <w:r>
        <w:rPr>
          <w:rFonts w:hint="eastAsia" w:hAnsi="宋体" w:cs="宋体"/>
          <w:sz w:val="24"/>
        </w:rPr>
        <w:t>使用电子介质存储</w:t>
      </w:r>
      <w:r>
        <w:rPr>
          <w:rFonts w:hint="eastAsia" w:ascii="宋体" w:hAnsi="宋体" w:cs="??_GB2312"/>
          <w:sz w:val="24"/>
          <w:szCs w:val="24"/>
          <w:lang w:val="zh-CN"/>
        </w:rPr>
        <w:t>）</w:t>
      </w:r>
      <w:r>
        <w:rPr>
          <w:rFonts w:hint="eastAsia" w:hAnsi="宋体" w:cs="宋体"/>
          <w:sz w:val="24"/>
        </w:rPr>
        <w:t>的</w:t>
      </w:r>
      <w:r>
        <w:rPr>
          <w:rFonts w:hint="eastAsia" w:ascii="宋体" w:hAnsi="宋体" w:cs="??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hint="eastAsia" w:ascii="宋体" w:hAnsi="宋体" w:cs="??_GB2312"/>
          <w:sz w:val="24"/>
          <w:szCs w:val="24"/>
          <w:lang w:val="zh-CN"/>
        </w:rPr>
        <w:t>电子投标文件的解密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）投标人解密：投标人使用本单位</w:t>
      </w:r>
      <w:r>
        <w:rPr>
          <w:rFonts w:ascii="宋体" w:hAnsi="宋体" w:cs="??_GB2312"/>
          <w:sz w:val="24"/>
          <w:szCs w:val="24"/>
          <w:lang w:val="zh-CN"/>
        </w:rPr>
        <w:t>CA</w:t>
      </w:r>
      <w:r>
        <w:rPr>
          <w:rFonts w:hint="eastAsia" w:ascii="宋体" w:hAnsi="宋体" w:cs="??_GB2312"/>
          <w:sz w:val="24"/>
          <w:szCs w:val="24"/>
          <w:lang w:val="zh-CN"/>
        </w:rPr>
        <w:t>数字证书远程或现场进行解密。需开标现场使用一体机进行解密的，请在代理机构引导下进行。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）代理机构解密：代理机构按电子投标文件到达交易系统的先后顺序，使用本单位</w:t>
      </w:r>
      <w:r>
        <w:rPr>
          <w:rFonts w:ascii="宋体" w:hAnsi="宋体" w:cs="??_GB2312"/>
          <w:sz w:val="24"/>
          <w:szCs w:val="24"/>
          <w:lang w:val="zh-CN"/>
        </w:rPr>
        <w:t>CA</w:t>
      </w:r>
      <w:r>
        <w:rPr>
          <w:rFonts w:hint="eastAsia" w:ascii="宋体" w:hAnsi="宋体" w:cs="??_GB2312"/>
          <w:sz w:val="24"/>
          <w:szCs w:val="24"/>
          <w:lang w:val="zh-CN"/>
        </w:rPr>
        <w:t>数字证书进行再次解密。</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hint="eastAsia" w:ascii="宋体" w:hAnsi="宋体" w:cs="??_GB2312"/>
          <w:sz w:val="24"/>
          <w:szCs w:val="24"/>
          <w:lang w:val="zh-CN"/>
        </w:rPr>
        <w:t>电子投标文件解密异常情况处理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hint="eastAsia" w:ascii="宋体" w:hAnsi="宋体" w:cs="??_GB2312"/>
          <w:sz w:val="24"/>
          <w:szCs w:val="24"/>
          <w:lang w:val="zh-CN"/>
        </w:rPr>
        <w:t>投标人不足</w:t>
      </w:r>
      <w:r>
        <w:rPr>
          <w:rFonts w:ascii="宋体" w:hAnsi="宋体" w:cs="??_GB2312"/>
          <w:sz w:val="24"/>
          <w:szCs w:val="24"/>
          <w:lang w:val="zh-CN"/>
        </w:rPr>
        <w:t>3</w:t>
      </w:r>
      <w:r>
        <w:rPr>
          <w:rFonts w:hint="eastAsia" w:ascii="宋体" w:hAnsi="宋体" w:cs="??_GB2312"/>
          <w:sz w:val="24"/>
          <w:szCs w:val="24"/>
          <w:lang w:val="zh-CN"/>
        </w:rPr>
        <w:t>家的，不得开标。</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hint="eastAsia" w:ascii="宋体" w:hAnsi="宋体"/>
          <w:bCs/>
          <w:sz w:val="24"/>
          <w:szCs w:val="24"/>
        </w:rPr>
        <w:t>开标过程</w:t>
      </w:r>
      <w:r>
        <w:rPr>
          <w:rFonts w:hint="eastAsia" w:ascii="宋体" w:hAnsi="宋体" w:cs="??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hint="eastAsia" w:ascii="宋体" w:hAnsi="宋体" w:cs="??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hint="eastAsia" w:ascii="宋体" w:hAnsi="宋体" w:cs="??_GB2312"/>
          <w:sz w:val="24"/>
          <w:szCs w:val="24"/>
          <w:lang w:val="zh-CN"/>
        </w:rPr>
        <w:t>投标人未参加开标的，视同认可开标结果。</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hint="eastAsia" w:ascii="宋体" w:hAnsi="宋体" w:cs="??_GB2312"/>
          <w:b/>
          <w:sz w:val="24"/>
          <w:szCs w:val="24"/>
          <w:lang w:val="zh-CN"/>
        </w:rPr>
        <w:t>资格审查</w:t>
      </w:r>
    </w:p>
    <w:p>
      <w:pPr>
        <w:pStyle w:val="42"/>
        <w:autoSpaceDE w:val="0"/>
        <w:autoSpaceDN w:val="0"/>
        <w:spacing w:line="360" w:lineRule="auto"/>
        <w:ind w:firstLine="482"/>
        <w:contextualSpacing/>
        <w:rPr>
          <w:lang w:val="zh-CN"/>
        </w:rPr>
      </w:pPr>
      <w:r>
        <w:rPr>
          <w:rFonts w:hint="eastAsia" w:cs="宋体" w:asciiTheme="minorEastAsia" w:hAnsiTheme="minorEastAsia"/>
          <w:b/>
          <w:bCs/>
          <w:kern w:val="0"/>
          <w:sz w:val="24"/>
          <w:szCs w:val="24"/>
        </w:rPr>
        <w:t>开标结束后，采购人依法对投标人的资格进行审查。经评审合格的供应商不足采购家数时（A包选定2家、B包选择9家供应商中标），按综合评分法得分≥60分的实际通过家数推荐中标单位。</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hint="eastAsia" w:ascii="宋体" w:hAnsi="宋体" w:cs="??_GB2312"/>
          <w:b/>
          <w:sz w:val="24"/>
          <w:szCs w:val="24"/>
          <w:lang w:val="zh-CN"/>
        </w:rPr>
        <w:t>评标委员会的组成</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rPr>
        <w:t xml:space="preserve"> 招标人将依法组建评标委员会，成员人数应当为5人以上单数，由采购人代表和评审专家组成, 评审专家依法从政府采购评审专家库中随机抽取。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hint="eastAsia" w:ascii="宋体" w:hAnsi="宋体" w:cs="??_GB2312"/>
          <w:sz w:val="24"/>
          <w:szCs w:val="24"/>
          <w:lang w:val="zh-CN"/>
        </w:rPr>
        <w:t>采购项目符合下列情形之一的，评标委员会成员人数应当为</w:t>
      </w:r>
      <w:r>
        <w:rPr>
          <w:rFonts w:ascii="宋体" w:hAnsi="宋体" w:cs="??_GB2312"/>
          <w:sz w:val="24"/>
          <w:szCs w:val="24"/>
          <w:lang w:val="zh-CN"/>
        </w:rPr>
        <w:t>7</w:t>
      </w:r>
      <w:r>
        <w:rPr>
          <w:rFonts w:hint="eastAsia" w:ascii="宋体" w:hAnsi="宋体" w:cs="??_GB2312"/>
          <w:sz w:val="24"/>
          <w:szCs w:val="24"/>
          <w:lang w:val="zh-CN"/>
        </w:rPr>
        <w:t>人以上单数：</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（一）采购预算金额在</w:t>
      </w:r>
      <w:r>
        <w:rPr>
          <w:rFonts w:ascii="宋体" w:hAnsi="宋体" w:cs="??_GB2312"/>
          <w:sz w:val="24"/>
          <w:szCs w:val="24"/>
          <w:lang w:val="zh-CN"/>
        </w:rPr>
        <w:t>1000</w:t>
      </w:r>
      <w:r>
        <w:rPr>
          <w:rFonts w:hint="eastAsia" w:ascii="宋体" w:hAnsi="宋体" w:cs="??_GB2312"/>
          <w:sz w:val="24"/>
          <w:szCs w:val="24"/>
          <w:lang w:val="zh-CN"/>
        </w:rPr>
        <w:t>万元以上；</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（二）技术复杂；</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（三）社会影响较大。</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hint="eastAsia" w:ascii="宋体" w:hAnsi="宋体" w:cs="??_GB2312"/>
          <w:sz w:val="24"/>
          <w:szCs w:val="24"/>
          <w:lang w:val="zh-CN"/>
        </w:rPr>
        <w:t>评审专家与投标人存在下列利害关系之一的</w:t>
      </w:r>
      <w:r>
        <w:rPr>
          <w:rFonts w:ascii="宋体" w:cs="??_GB2312"/>
          <w:sz w:val="24"/>
          <w:szCs w:val="24"/>
          <w:lang w:val="zh-CN"/>
        </w:rPr>
        <w:t>,</w:t>
      </w:r>
      <w:r>
        <w:rPr>
          <w:rFonts w:hint="eastAsia" w:ascii="宋体" w:hAnsi="宋体" w:cs="??_GB2312"/>
          <w:sz w:val="24"/>
          <w:szCs w:val="24"/>
          <w:lang w:val="zh-CN"/>
        </w:rPr>
        <w:t>应当回避</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一</w:t>
      </w:r>
      <w:r>
        <w:rPr>
          <w:rFonts w:ascii="宋体" w:hAnsi="宋体" w:cs="??_GB2312"/>
          <w:sz w:val="24"/>
          <w:szCs w:val="24"/>
          <w:lang w:val="zh-CN"/>
        </w:rPr>
        <w:t>)</w:t>
      </w:r>
      <w:r>
        <w:rPr>
          <w:rFonts w:hint="eastAsia" w:ascii="宋体" w:hAnsi="宋体" w:cs="??_GB2312"/>
          <w:sz w:val="24"/>
          <w:szCs w:val="24"/>
          <w:lang w:val="zh-CN"/>
        </w:rPr>
        <w:t>参加采购活动前三年内</w:t>
      </w:r>
      <w:r>
        <w:rPr>
          <w:rFonts w:ascii="宋体" w:cs="??_GB2312"/>
          <w:sz w:val="24"/>
          <w:szCs w:val="24"/>
          <w:lang w:val="zh-CN"/>
        </w:rPr>
        <w:t>,</w:t>
      </w:r>
      <w:r>
        <w:rPr>
          <w:rFonts w:hint="eastAsia" w:ascii="宋体" w:hAnsi="宋体" w:cs="??_GB2312"/>
          <w:sz w:val="24"/>
          <w:szCs w:val="24"/>
          <w:lang w:val="zh-CN"/>
        </w:rPr>
        <w:t>与供应商存在劳动关系</w:t>
      </w:r>
      <w:r>
        <w:rPr>
          <w:rFonts w:ascii="宋体" w:cs="??_GB2312"/>
          <w:sz w:val="24"/>
          <w:szCs w:val="24"/>
          <w:lang w:val="zh-CN"/>
        </w:rPr>
        <w:t>,</w:t>
      </w:r>
      <w:r>
        <w:rPr>
          <w:rFonts w:hint="eastAsia" w:ascii="宋体" w:hAnsi="宋体" w:cs="??_GB2312"/>
          <w:sz w:val="24"/>
          <w:szCs w:val="24"/>
          <w:lang w:val="zh-CN"/>
        </w:rPr>
        <w:t>或者担任过供应商的董事、监事</w:t>
      </w:r>
      <w:r>
        <w:rPr>
          <w:rFonts w:ascii="宋体" w:cs="??_GB2312"/>
          <w:sz w:val="24"/>
          <w:szCs w:val="24"/>
          <w:lang w:val="zh-CN"/>
        </w:rPr>
        <w:t>,</w:t>
      </w:r>
      <w:r>
        <w:rPr>
          <w:rFonts w:hint="eastAsia" w:ascii="宋体" w:hAnsi="宋体" w:cs="??_GB2312"/>
          <w:sz w:val="24"/>
          <w:szCs w:val="24"/>
          <w:lang w:val="zh-CN"/>
        </w:rPr>
        <w:t>或者是供应商的控股股东或实际控制人；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二</w:t>
      </w:r>
      <w:r>
        <w:rPr>
          <w:rFonts w:ascii="宋体" w:hAnsi="宋体" w:cs="??_GB2312"/>
          <w:sz w:val="24"/>
          <w:szCs w:val="24"/>
          <w:lang w:val="zh-CN"/>
        </w:rPr>
        <w:t>)</w:t>
      </w:r>
      <w:r>
        <w:rPr>
          <w:rFonts w:hint="eastAsia" w:ascii="宋体" w:hAnsi="宋体" w:cs="??_GB2312"/>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三</w:t>
      </w:r>
      <w:r>
        <w:rPr>
          <w:rFonts w:ascii="宋体" w:hAnsi="宋体" w:cs="??_GB2312"/>
          <w:sz w:val="24"/>
          <w:szCs w:val="24"/>
          <w:lang w:val="zh-CN"/>
        </w:rPr>
        <w:t>)</w:t>
      </w:r>
      <w:r>
        <w:rPr>
          <w:rFonts w:hint="eastAsia" w:ascii="宋体" w:hAnsi="宋体" w:cs="??_GB2312"/>
          <w:sz w:val="24"/>
          <w:szCs w:val="24"/>
          <w:lang w:val="zh-CN"/>
        </w:rPr>
        <w:t>与供应商有其他可能影响政府采购活动公平、公正进行的关系。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hint="eastAsia" w:ascii="宋体" w:hAnsi="宋体" w:cs="??_GB2312"/>
          <w:sz w:val="24"/>
          <w:szCs w:val="24"/>
          <w:lang w:val="zh-CN"/>
        </w:rPr>
        <w:t>评审专家发现本人与参加采购活动的供应商有利害关系的</w:t>
      </w:r>
      <w:r>
        <w:rPr>
          <w:rFonts w:ascii="宋体" w:cs="??_GB2312"/>
          <w:sz w:val="24"/>
          <w:szCs w:val="24"/>
          <w:lang w:val="zh-CN"/>
        </w:rPr>
        <w:t>,</w:t>
      </w:r>
      <w:r>
        <w:rPr>
          <w:rFonts w:hint="eastAsia" w:ascii="宋体" w:hAnsi="宋体" w:cs="??_GB2312"/>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hint="eastAsia" w:ascii="宋体" w:hAnsi="宋体" w:cs="??_GB2312"/>
          <w:sz w:val="24"/>
          <w:szCs w:val="24"/>
          <w:lang w:val="zh-CN"/>
        </w:rPr>
        <w:t>应当要求其回避。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hint="eastAsia" w:ascii="宋体" w:hAnsi="宋体" w:cs="??_GB2312"/>
          <w:sz w:val="24"/>
          <w:szCs w:val="24"/>
          <w:lang w:val="zh-CN"/>
        </w:rPr>
        <w:t>采购人不得担任评标小组长。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hint="eastAsia" w:ascii="宋体" w:hAnsi="宋体" w:cs="??_GB2312"/>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hint="eastAsia" w:ascii="宋体" w:hAnsi="宋体" w:cs="??_GB2312"/>
          <w:sz w:val="24"/>
          <w:szCs w:val="24"/>
          <w:lang w:val="zh-CN"/>
        </w:rPr>
        <w:t>评标委员会成员名单在评标结果公告前应当保密。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符合性审查</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审查、评价投标文件是否符合招标文件的商务、技术等实质性要求。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可要求投标人对投标文件有关事项作出澄清或者说明。</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投标文件的澄清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hint="eastAsia" w:ascii="宋体" w:hAnsi="宋体" w:cs="??_GB2312"/>
          <w:sz w:val="24"/>
          <w:szCs w:val="24"/>
          <w:lang w:val="zh-CN"/>
        </w:rPr>
        <w:t>投标人的澄清文件是其投标文件的组成部分。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hint="eastAsia" w:ascii="宋体" w:hAnsi="宋体" w:cs="??_GB2312"/>
          <w:b/>
          <w:sz w:val="24"/>
          <w:szCs w:val="24"/>
          <w:lang w:val="zh-CN"/>
        </w:rPr>
        <w:t>投标文件报价出现前后不一致的修正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hint="eastAsia" w:ascii="宋体" w:hAnsi="宋体" w:cs="??_GB2312"/>
          <w:sz w:val="24"/>
          <w:szCs w:val="24"/>
          <w:lang w:val="zh-CN"/>
        </w:rPr>
        <w:t>投标文件中开标一览表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内容与投标文件中相应内容不一致的，以开标一览表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hint="eastAsia" w:ascii="宋体" w:hAnsi="宋体" w:cs="??_GB2312"/>
          <w:sz w:val="24"/>
          <w:szCs w:val="24"/>
          <w:lang w:val="zh-CN"/>
        </w:rPr>
        <w:t>大写金额和小写金额不一致的，以大写金额为准；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hint="eastAsia" w:ascii="宋体" w:hAnsi="宋体" w:cs="??_GB2312"/>
          <w:sz w:val="24"/>
          <w:szCs w:val="24"/>
          <w:lang w:val="zh-CN"/>
        </w:rPr>
        <w:t>单价金额小数点或者百分比有明显错位的，以开标一览表的总价为准，并修改单价；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hint="eastAsia" w:ascii="宋体" w:hAnsi="宋体" w:cs="??_GB2312"/>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hint="eastAsia" w:ascii="宋体" w:hAnsi="宋体" w:cs="??_GB2312"/>
          <w:sz w:val="24"/>
          <w:szCs w:val="24"/>
          <w:lang w:val="zh-CN"/>
        </w:rPr>
        <w:t>规定经投标人确认后产生约束力，投标人不确认的，其投标无效。</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hint="eastAsia" w:ascii="宋体" w:hAnsi="宋体" w:cs="??_GB2312"/>
          <w:b/>
          <w:sz w:val="24"/>
          <w:szCs w:val="24"/>
          <w:lang w:val="zh-CN"/>
        </w:rPr>
        <w:t>投标无效情形</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hint="eastAsia" w:ascii="宋体" w:hAnsi="宋体" w:cs="??_GB2312"/>
          <w:sz w:val="24"/>
          <w:szCs w:val="24"/>
          <w:lang w:val="zh-CN"/>
        </w:rPr>
        <w:t>投标文件属下列情况之一的，按照无效投标处理：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1</w:t>
      </w:r>
      <w:r>
        <w:rPr>
          <w:rFonts w:hint="eastAsia" w:ascii="宋体" w:hAnsi="宋体" w:cs="??_GB2312"/>
          <w:sz w:val="24"/>
          <w:szCs w:val="24"/>
          <w:lang w:val="zh-CN"/>
        </w:rPr>
        <w:t>投标文件未按招标文件要求签署、盖章的；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2</w:t>
      </w:r>
      <w:r>
        <w:rPr>
          <w:rFonts w:hint="eastAsia" w:ascii="宋体" w:hAnsi="宋体" w:cs="??_GB2312"/>
          <w:sz w:val="24"/>
          <w:szCs w:val="24"/>
          <w:lang w:val="zh-CN"/>
        </w:rPr>
        <w:t>不具备招标文件中规定的资格要求的；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3</w:t>
      </w:r>
      <w:r>
        <w:rPr>
          <w:rFonts w:hint="eastAsia" w:ascii="宋体" w:hAnsi="宋体" w:cs="??_GB2312"/>
          <w:sz w:val="24"/>
          <w:szCs w:val="24"/>
          <w:lang w:val="zh-CN"/>
        </w:rPr>
        <w:t>报价超过招标文件中规定的预算金额或者最高限价的；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4</w:t>
      </w:r>
      <w:r>
        <w:rPr>
          <w:rFonts w:hint="eastAsia" w:ascii="宋体" w:hAnsi="宋体" w:cs="??_GB2312"/>
          <w:sz w:val="24"/>
          <w:szCs w:val="24"/>
          <w:lang w:val="zh-CN"/>
        </w:rPr>
        <w:t>投标文件含有采购人不能接受的附加条件的。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hint="eastAsia" w:ascii="宋体" w:hAnsi="宋体" w:cs="??_GB2312"/>
          <w:sz w:val="24"/>
          <w:szCs w:val="24"/>
          <w:lang w:val="zh-CN"/>
        </w:rPr>
        <w:t>不同投标人的投标文件相互混装；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hint="eastAsia" w:ascii="宋体" w:hAnsi="宋体" w:cs="??_GB2312"/>
          <w:sz w:val="24"/>
          <w:szCs w:val="24"/>
          <w:lang w:val="zh-CN"/>
        </w:rPr>
        <w:t>法律、法规和招标文件规定的其他无效情形。</w:t>
      </w:r>
    </w:p>
    <w:p>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hint="eastAsia" w:ascii="宋体" w:hAnsi="宋体"/>
          <w:b/>
          <w:bCs/>
          <w:sz w:val="24"/>
          <w:szCs w:val="24"/>
          <w:lang w:val="zh-CN"/>
        </w:rPr>
        <w:t>相同品牌投标人的认定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hint="eastAsia" w:ascii="宋体" w:hAnsi="宋体" w:cs="??_GB2312"/>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hint="eastAsia" w:ascii="宋体" w:hAnsi="宋体" w:cs="??_GB2312"/>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hint="eastAsia" w:ascii="宋体" w:hAnsi="宋体" w:cs="??_GB2312"/>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hint="eastAsia" w:ascii="宋体" w:hAnsi="宋体" w:cs="??_GB2312"/>
          <w:b/>
          <w:sz w:val="24"/>
          <w:szCs w:val="24"/>
          <w:lang w:val="zh-CN"/>
        </w:rPr>
        <w:t>投标文件的比较与评价</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hint="eastAsia" w:ascii="宋体" w:hAnsi="宋体" w:cs="??_GB2312"/>
          <w:b/>
          <w:sz w:val="24"/>
          <w:szCs w:val="24"/>
          <w:lang w:val="zh-CN"/>
        </w:rPr>
        <w:t>评标方法、评标标准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hint="eastAsia" w:ascii="宋体" w:hAnsi="宋体" w:cs="??_GB2312"/>
          <w:sz w:val="24"/>
          <w:szCs w:val="24"/>
          <w:lang w:val="zh-CN"/>
        </w:rPr>
        <w:t>评标方法分为最低评标价法和综合评分法。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hint="eastAsia" w:ascii="宋体" w:hAnsi="宋体" w:cs="??_GB2312"/>
          <w:sz w:val="24"/>
          <w:szCs w:val="24"/>
          <w:lang w:val="zh-CN"/>
        </w:rPr>
        <w:t>最低评标价法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hint="eastAsia" w:ascii="宋体" w:hAnsi="宋体" w:cs="??_GB2312"/>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hint="eastAsia" w:ascii="宋体" w:hAnsi="宋体" w:cs="??_GB2312"/>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hint="eastAsia" w:ascii="宋体" w:hAnsi="宋体" w:cs="??_GB2312"/>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hint="eastAsia" w:ascii="宋体" w:hAnsi="宋体" w:cs="??_GB2312"/>
          <w:sz w:val="24"/>
          <w:szCs w:val="24"/>
          <w:lang w:val="zh-CN"/>
        </w:rPr>
        <w:t>价格分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hint="eastAsia" w:ascii="宋体" w:hAnsi="宋体" w:cs="??_GB2312"/>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投标报价</w:t>
      </w:r>
      <w:r>
        <w:rPr>
          <w:rFonts w:ascii="宋体" w:hAnsi="宋体" w:cs="??_GB2312"/>
          <w:sz w:val="24"/>
          <w:szCs w:val="24"/>
          <w:lang w:val="zh-CN"/>
        </w:rPr>
        <w:t>)</w:t>
      </w:r>
      <w:r>
        <w:rPr>
          <w:rFonts w:hint="eastAsia" w:ascii="宋体" w:hAnsi="宋体" w:cs="??_GB2312"/>
          <w:sz w:val="24"/>
          <w:szCs w:val="24"/>
          <w:lang w:val="zh-CN"/>
        </w:rPr>
        <w:t>×</w:t>
      </w:r>
      <w:r>
        <w:rPr>
          <w:rFonts w:ascii="宋体" w:hAnsi="宋体" w:cs="??_GB2312"/>
          <w:sz w:val="24"/>
          <w:szCs w:val="24"/>
          <w:lang w:val="zh-CN"/>
        </w:rPr>
        <w:t>100</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评标总得分</w:t>
      </w: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A1+F2</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w:t>
      </w:r>
      <w:r>
        <w:rPr>
          <w:rFonts w:ascii="宋体" w:hAnsi="宋体" w:cs="??_GB2312"/>
          <w:sz w:val="24"/>
          <w:szCs w:val="24"/>
          <w:lang w:val="zh-CN"/>
        </w:rPr>
        <w:t>An</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F2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分别为各项评审因素的得分</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 xml:space="preserve">An </w:t>
      </w:r>
      <w:r>
        <w:rPr>
          <w:rFonts w:hint="eastAsia" w:ascii="宋体" w:hAnsi="宋体" w:cs="??_GB2312"/>
          <w:sz w:val="24"/>
          <w:szCs w:val="24"/>
          <w:lang w:val="zh-CN"/>
        </w:rPr>
        <w:t>分别为各项评审因素所占的权重</w:t>
      </w:r>
      <w:r>
        <w:rPr>
          <w:rFonts w:ascii="宋体" w:hAnsi="宋体" w:cs="??_GB2312"/>
          <w:sz w:val="24"/>
          <w:szCs w:val="24"/>
          <w:lang w:val="zh-CN"/>
        </w:rPr>
        <w:t>(A1+A2+</w:t>
      </w:r>
      <w:r>
        <w:rPr>
          <w:rFonts w:hint="eastAsia" w:ascii="宋体" w:hAnsi="宋体" w:cs="??_GB2312"/>
          <w:sz w:val="24"/>
          <w:szCs w:val="24"/>
          <w:lang w:val="zh-CN"/>
        </w:rPr>
        <w:t>……</w:t>
      </w:r>
      <w:r>
        <w:rPr>
          <w:rFonts w:ascii="宋体" w:hAnsi="宋体" w:cs="??_GB2312"/>
          <w:sz w:val="24"/>
          <w:szCs w:val="24"/>
          <w:lang w:val="zh-CN"/>
        </w:rPr>
        <w:t>+An=1)</w:t>
      </w:r>
      <w:r>
        <w:rPr>
          <w:rFonts w:hint="eastAsia"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hint="eastAsia" w:ascii="宋体" w:hAnsi="宋体" w:cs="??_GB2312"/>
          <w:sz w:val="24"/>
          <w:szCs w:val="24"/>
          <w:lang w:val="zh-CN"/>
        </w:rPr>
        <w:t>评标过程中，不得去掉报价中的最高报价和最低报价。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hint="eastAsia" w:ascii="宋体" w:hAnsi="宋体" w:cs="??_GB2312"/>
          <w:sz w:val="24"/>
          <w:szCs w:val="24"/>
          <w:lang w:val="zh-CN"/>
        </w:rPr>
        <w:t>因落实政府采购政策进行价格调整的，以调整后的价格计算评标基准价和投标报价。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hint="eastAsia" w:ascii="宋体" w:hAnsi="宋体" w:cs="??_GB2312"/>
          <w:b/>
          <w:sz w:val="24"/>
          <w:szCs w:val="24"/>
          <w:lang w:val="zh-CN"/>
        </w:rPr>
        <w:t>本次评标具体评标方法、评标标准见（第六章资格审查与</w:t>
      </w:r>
      <w:r>
        <w:rPr>
          <w:rFonts w:hint="eastAsia" w:ascii="宋体" w:hAnsi="宋体" w:cs="宋体"/>
          <w:b/>
          <w:kern w:val="0"/>
          <w:sz w:val="24"/>
          <w:szCs w:val="24"/>
        </w:rPr>
        <w:t>评标</w:t>
      </w:r>
      <w:r>
        <w:rPr>
          <w:rFonts w:hint="eastAsia" w:ascii="宋体" w:hAnsi="宋体" w:cs="??_GB2312"/>
          <w:b/>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hint="eastAsia" w:ascii="宋体" w:hAnsi="宋体"/>
          <w:b/>
          <w:bCs/>
          <w:sz w:val="24"/>
          <w:szCs w:val="24"/>
          <w:lang w:val="zh-CN"/>
        </w:rPr>
        <w:t>推荐中标候选人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hint="eastAsia" w:ascii="宋体" w:hAnsi="宋体" w:cs="??_GB2312"/>
          <w:b/>
          <w:sz w:val="24"/>
          <w:szCs w:val="24"/>
          <w:lang w:val="zh-CN"/>
        </w:rPr>
        <w:t>评审意见无效情形</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hint="eastAsia" w:ascii="宋体" w:hAnsi="宋体" w:cs="??_GB2312"/>
          <w:sz w:val="24"/>
          <w:szCs w:val="24"/>
          <w:lang w:val="zh-CN"/>
        </w:rPr>
        <w:t>确定参与评标至评标结束前私自接触投标人；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hint="eastAsia" w:ascii="宋体" w:hAnsi="宋体" w:cs="??_GB2312"/>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条规定的情形除外；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hint="eastAsia" w:ascii="宋体" w:hAnsi="宋体" w:cs="??_GB2312"/>
          <w:sz w:val="24"/>
          <w:szCs w:val="24"/>
          <w:lang w:val="zh-CN"/>
        </w:rPr>
        <w:t>违反评标纪律发表倾向性意见或者征询采购人的倾向性意见；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hint="eastAsia" w:ascii="宋体" w:hAnsi="宋体" w:cs="??_GB2312"/>
          <w:sz w:val="24"/>
          <w:szCs w:val="24"/>
          <w:lang w:val="zh-CN"/>
        </w:rPr>
        <w:t>对需要专业判断的主观评审因素协商评分；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hint="eastAsia" w:ascii="宋体" w:hAnsi="宋体" w:cs="??_GB2312"/>
          <w:sz w:val="24"/>
          <w:szCs w:val="24"/>
          <w:lang w:val="zh-CN"/>
        </w:rPr>
        <w:t>在评标过程中擅离职守，影响评标程序正常进行的；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hint="eastAsia" w:ascii="宋体" w:hAnsi="宋体" w:cs="??_GB2312"/>
          <w:sz w:val="24"/>
          <w:szCs w:val="24"/>
          <w:lang w:val="zh-CN"/>
        </w:rPr>
        <w:t>记录、复制或者带走任何评标资料；</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hint="eastAsia" w:ascii="宋体" w:hAnsi="宋体" w:cs="??_GB2312"/>
          <w:sz w:val="24"/>
          <w:szCs w:val="24"/>
          <w:lang w:val="zh-CN"/>
        </w:rPr>
        <w:t>其他不遵守评标纪律的行为。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hint="eastAsia" w:ascii="宋体" w:hAnsi="宋体" w:cs="??_GB2312"/>
          <w:b/>
          <w:sz w:val="24"/>
          <w:szCs w:val="24"/>
          <w:lang w:val="zh-CN"/>
        </w:rPr>
        <w:t>保密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hint="eastAsia" w:ascii="宋体" w:hAnsi="宋体" w:cs="??_GB2312"/>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确定中标人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采购人应当自收到评标报告之日起</w:t>
      </w:r>
      <w:r>
        <w:rPr>
          <w:rFonts w:ascii="宋体" w:hAnsi="宋体" w:cs="??_GB2312"/>
          <w:sz w:val="24"/>
          <w:szCs w:val="24"/>
        </w:rPr>
        <w:t>5</w:t>
      </w:r>
      <w:r>
        <w:rPr>
          <w:rFonts w:hint="eastAsia" w:ascii="宋体" w:hAnsi="宋体" w:cs="??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采购人在收到评标报告</w:t>
      </w:r>
      <w:r>
        <w:rPr>
          <w:rFonts w:ascii="宋体" w:hAnsi="宋体" w:cs="??_GB2312"/>
          <w:sz w:val="24"/>
          <w:szCs w:val="24"/>
          <w:lang w:val="zh-CN"/>
        </w:rPr>
        <w:t>5</w:t>
      </w:r>
      <w:r>
        <w:rPr>
          <w:rFonts w:hint="eastAsia" w:ascii="宋体" w:hAnsi="宋体" w:cs="??_GB2312"/>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中标公告、发出中标通知书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采购人确认中标人后，招标人在公告中标结果的同时，向中标人发出中标通知书。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中标通知书发出后，采购人不得违法改变中标结果，中标人无正当理由不得放弃中标。</w:t>
      </w:r>
    </w:p>
    <w:p>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hint="eastAsia" w:ascii="宋体" w:hAnsi="宋体" w:cs="??_GB2312"/>
          <w:b/>
          <w:sz w:val="24"/>
          <w:szCs w:val="24"/>
          <w:lang w:val="zh-CN"/>
        </w:rPr>
        <w:t>质疑提出与答复</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hint="eastAsia" w:ascii="宋体" w:hAnsi="宋体" w:cs="??_GB2312"/>
          <w:sz w:val="24"/>
          <w:szCs w:val="24"/>
        </w:rPr>
        <w:t>供应商认为采购文件、采购过程和中标结果使自己的权益受到损害的，可以依法向采购人</w:t>
      </w:r>
      <w:r>
        <w:rPr>
          <w:rFonts w:hint="eastAsia" w:ascii="宋体" w:hAnsi="宋体" w:cs="宋体"/>
          <w:bCs/>
          <w:sz w:val="24"/>
          <w:szCs w:val="24"/>
          <w:lang w:val="zh-CN"/>
        </w:rPr>
        <w:t>、采购代理机构提出质</w:t>
      </w:r>
      <w:r>
        <w:rPr>
          <w:rFonts w:hint="eastAsia" w:ascii="宋体" w:hAnsi="宋体" w:cs="??_GB2312"/>
          <w:sz w:val="24"/>
          <w:szCs w:val="24"/>
        </w:rPr>
        <w:t>疑。提出质疑的供应商应当是参与本项目采购活动的供应商。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hint="eastAsia" w:ascii="宋体" w:hAnsi="宋体" w:cs="??_GB2312"/>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hint="eastAsia" w:ascii="宋体" w:hAnsi="宋体" w:cs="??_GB2312"/>
          <w:sz w:val="24"/>
          <w:szCs w:val="24"/>
        </w:rPr>
        <w:t>个工作日内通过《全国公共资源交易平台（河南省·许昌市）》一次性提出，如未提出视为全面接受；</w:t>
      </w:r>
      <w:r>
        <w:rPr>
          <w:rFonts w:ascii="宋体" w:cs="??_GB2312"/>
          <w:sz w:val="24"/>
          <w:szCs w:val="24"/>
        </w:rPr>
        <w:br w:type="textWrapping"/>
      </w:r>
      <w:r>
        <w:rPr>
          <w:rFonts w:ascii="宋体" w:hAnsi="宋体" w:cs="??_GB2312"/>
          <w:sz w:val="24"/>
          <w:szCs w:val="24"/>
        </w:rPr>
        <w:t xml:space="preserve">39.1.2 </w:t>
      </w:r>
      <w:r>
        <w:rPr>
          <w:rFonts w:hint="eastAsia" w:ascii="宋体" w:hAnsi="宋体" w:cs="??_GB2312"/>
          <w:sz w:val="24"/>
          <w:szCs w:val="24"/>
        </w:rPr>
        <w:t>对采购过程提出质疑的，为各采购程序环节结束之日起七个工作日内，以书面形式向采购人和采购代理机构一次性提出；</w:t>
      </w:r>
      <w:r>
        <w:rPr>
          <w:rFonts w:ascii="宋体" w:cs="??_GB2312"/>
          <w:sz w:val="24"/>
          <w:szCs w:val="24"/>
        </w:rPr>
        <w:br w:type="textWrapping"/>
      </w:r>
      <w:r>
        <w:rPr>
          <w:rFonts w:ascii="宋体" w:hAnsi="宋体" w:cs="??_GB2312"/>
          <w:sz w:val="24"/>
          <w:szCs w:val="24"/>
        </w:rPr>
        <w:t xml:space="preserve">39.1.3 </w:t>
      </w:r>
      <w:r>
        <w:rPr>
          <w:rFonts w:hint="eastAsia" w:ascii="宋体" w:hAnsi="宋体" w:cs="??_GB2312"/>
          <w:sz w:val="24"/>
          <w:szCs w:val="24"/>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hint="eastAsia" w:ascii="宋体" w:hAnsi="宋体" w:cs="??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hint="eastAsia" w:ascii="宋体" w:hAnsi="宋体" w:cs="??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hint="eastAsia" w:ascii="宋体" w:hAnsi="宋体" w:cs="??_GB2312"/>
          <w:sz w:val="24"/>
          <w:szCs w:val="24"/>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hint="eastAsia" w:ascii="宋体" w:hAnsi="宋体" w:cs="??_GB2312"/>
          <w:b/>
          <w:sz w:val="24"/>
          <w:szCs w:val="24"/>
          <w:lang w:val="zh-CN"/>
        </w:rPr>
        <w:t>签订合同</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采购人应当自中标通知书发出之日起</w:t>
      </w:r>
      <w:r>
        <w:rPr>
          <w:rFonts w:ascii="宋体" w:hAnsi="宋体" w:cs="??_GB2312"/>
          <w:sz w:val="24"/>
          <w:szCs w:val="24"/>
          <w:lang w:val="zh-CN"/>
        </w:rPr>
        <w:t>30</w:t>
      </w:r>
      <w:r>
        <w:rPr>
          <w:rFonts w:hint="eastAsia" w:ascii="宋体" w:hAnsi="宋体" w:cs="??_GB2312"/>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hint="eastAsia" w:ascii="宋体" w:hAnsi="宋体" w:cs="??_GB2312"/>
          <w:b/>
          <w:sz w:val="24"/>
          <w:szCs w:val="24"/>
        </w:rPr>
        <w:t>履约保证金</w:t>
      </w:r>
    </w:p>
    <w:p>
      <w:pPr>
        <w:topLinePunct/>
        <w:snapToGrid w:val="0"/>
        <w:spacing w:line="360" w:lineRule="auto"/>
        <w:ind w:firstLine="480" w:firstLineChars="200"/>
        <w:rPr>
          <w:rFonts w:ascii="宋体" w:cs="宋体"/>
          <w:sz w:val="24"/>
          <w:szCs w:val="24"/>
        </w:rPr>
      </w:pPr>
      <w:r>
        <w:rPr>
          <w:rFonts w:hint="eastAsia" w:ascii="宋体" w:hAnsi="宋体" w:cs="宋体"/>
          <w:kern w:val="0"/>
          <w:sz w:val="24"/>
          <w:szCs w:val="24"/>
        </w:rPr>
        <w:t>“投标人须知前附表”中规定</w:t>
      </w:r>
      <w:r>
        <w:rPr>
          <w:rFonts w:hint="eastAsia" w:ascii="宋体" w:hAnsi="宋体" w:cs="宋体"/>
          <w:sz w:val="24"/>
          <w:szCs w:val="24"/>
        </w:rPr>
        <w:t>中标人提交履约保证金的，中标人应当以转帐形式向采购人提交。履约保证金的数额不得超过政府采购合同金额的</w:t>
      </w:r>
      <w:r>
        <w:rPr>
          <w:rFonts w:ascii="宋体" w:hAnsi="宋体" w:cs="宋体"/>
          <w:sz w:val="24"/>
          <w:szCs w:val="24"/>
        </w:rPr>
        <w:t>10%</w:t>
      </w:r>
      <w:r>
        <w:rPr>
          <w:rFonts w:hint="eastAsia" w:ascii="宋体" w:hAnsi="宋体" w:cs="宋体"/>
          <w:sz w:val="24"/>
          <w:szCs w:val="24"/>
        </w:rPr>
        <w:t>。</w:t>
      </w:r>
      <w:r>
        <w:rPr>
          <w:rFonts w:ascii="宋体" w:cs="宋体"/>
          <w:sz w:val="24"/>
          <w:szCs w:val="24"/>
        </w:rPr>
        <w:br w:type="textWrapping"/>
      </w:r>
      <w:r>
        <w:rPr>
          <w:rFonts w:hint="eastAsia" w:ascii="宋体" w:hAnsi="宋体" w:cs="宋体"/>
          <w:sz w:val="24"/>
          <w:szCs w:val="24"/>
        </w:rPr>
        <w:t>注：中标后，供应商在售后服务过程中若不能满足投标时报的报修响应上门时间，将罚款并在履约保证金中扣除。</w:t>
      </w:r>
    </w:p>
    <w:p>
      <w:pPr>
        <w:tabs>
          <w:tab w:val="left" w:pos="1260"/>
        </w:tabs>
        <w:autoSpaceDE w:val="0"/>
        <w:autoSpaceDN w:val="0"/>
        <w:adjustRightInd w:val="0"/>
        <w:spacing w:line="360" w:lineRule="auto"/>
        <w:contextualSpacing/>
        <w:jc w:val="center"/>
        <w:rPr>
          <w:rFonts w:asci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jc w:val="center"/>
        <w:rPr>
          <w:rFonts w:ascii="宋体" w:cs="宋体"/>
          <w:b/>
          <w:kern w:val="0"/>
          <w:sz w:val="36"/>
          <w:szCs w:val="36"/>
        </w:rPr>
      </w:pP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五、支持脱贫攻坚（物业服务采购）</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pacing w:line="360" w:lineRule="auto"/>
        <w:ind w:left="282" w:hanging="282" w:hangingChars="78"/>
        <w:contextualSpacing/>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firstLine="480" w:firstLineChars="200"/>
        <w:contextualSpacing/>
        <w:rPr>
          <w:rFonts w:asciiTheme="minorEastAsia" w:hAnsiTheme="minorEastAsia"/>
          <w:bCs/>
          <w:sz w:val="24"/>
          <w:szCs w:val="24"/>
        </w:rPr>
      </w:pPr>
      <w:r>
        <w:rPr>
          <w:rFonts w:hint="eastAsia" w:asciiTheme="minorEastAsia" w:hAnsiTheme="minorEastAsia"/>
          <w:bCs/>
          <w:sz w:val="24"/>
          <w:szCs w:val="24"/>
        </w:rPr>
        <w:t>（一）</w:t>
      </w:r>
      <w:r>
        <w:rPr>
          <w:rFonts w:asciiTheme="minorEastAsia" w:hAnsiTheme="minorEastAsia"/>
          <w:bCs/>
          <w:sz w:val="24"/>
          <w:szCs w:val="24"/>
        </w:rPr>
        <w:t>开标结束后，</w:t>
      </w:r>
      <w:r>
        <w:rPr>
          <w:rFonts w:hint="eastAsia" w:asciiTheme="minorEastAsia" w:hAnsiTheme="minorEastAsia"/>
          <w:bCs/>
          <w:sz w:val="24"/>
          <w:szCs w:val="24"/>
        </w:rPr>
        <w:t>采购人依法对投标人资格进行审查</w:t>
      </w:r>
      <w:r>
        <w:rPr>
          <w:rFonts w:asciiTheme="minorEastAsia" w:hAnsiTheme="minorEastAsia"/>
          <w:bCs/>
          <w:sz w:val="24"/>
          <w:szCs w:val="24"/>
        </w:rPr>
        <w:t>。</w:t>
      </w:r>
      <w:r>
        <w:rPr>
          <w:rFonts w:hint="eastAsia" w:asciiTheme="minorEastAsia" w:hAnsiTheme="minorEastAsia"/>
          <w:bCs/>
          <w:sz w:val="24"/>
          <w:szCs w:val="24"/>
        </w:rPr>
        <w:t>确定符合资格的投标人不少于3家的，将组织评标委员会进行评标。</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 w:val="24"/>
                <w:szCs w:val="24"/>
              </w:rPr>
            </w:pPr>
            <w:r>
              <w:rPr>
                <w:rFonts w:hint="eastAsia" w:ascii="宋体" w:hAnsi="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numPr>
                <w:ilvl w:val="0"/>
                <w:numId w:val="6"/>
              </w:numPr>
              <w:spacing w:line="360" w:lineRule="auto"/>
              <w:jc w:val="left"/>
              <w:rPr>
                <w:b/>
                <w:bCs/>
              </w:rPr>
            </w:pPr>
            <w:r>
              <w:rPr>
                <w:rFonts w:hint="eastAsia"/>
                <w:b/>
                <w:bCs/>
              </w:rPr>
              <w:t>投标函</w:t>
            </w:r>
          </w:p>
          <w:p>
            <w:pPr>
              <w:pStyle w:val="2"/>
              <w:ind w:firstLine="0" w:firstLineChars="0"/>
            </w:pPr>
            <w:r>
              <w:rPr>
                <w:rFonts w:hint="eastAsia" w:hAnsi="宋体"/>
                <w:bCs/>
                <w:kern w:val="2"/>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b/>
                <w:bCs/>
              </w:rPr>
            </w:pPr>
            <w:r>
              <w:rPr>
                <w:b/>
                <w:bCs/>
              </w:rPr>
              <w:t>2</w:t>
            </w:r>
            <w:r>
              <w:rPr>
                <w:rFonts w:hint="eastAsia"/>
                <w:b/>
                <w:bCs/>
              </w:rPr>
              <w:t>、法人或者其他组织的营业执照等证明文件，自然人的身份证明</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（1）企业法人营业执照或营业执照。（企业投标提供）</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（2）事业单位法人证书。（事业单位投标提供）</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（3）执业许可证。（非专业服务机构投标提供）</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（4）个体工商户营业执照。（个体工商户投标提供）</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（5）自然人身份证明。（自然人投标提供）</w:t>
            </w:r>
          </w:p>
          <w:p>
            <w:pPr>
              <w:pStyle w:val="2"/>
              <w:ind w:firstLine="0" w:firstLineChars="0"/>
            </w:pPr>
            <w:r>
              <w:rPr>
                <w:rFonts w:hint="eastAsia" w:hAnsi="宋体"/>
                <w:bCs/>
                <w:kern w:val="2"/>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6"/>
              </w:numPr>
              <w:spacing w:line="360" w:lineRule="auto"/>
              <w:rPr>
                <w:rFonts w:ascii="宋体" w:hAnsi="宋体"/>
                <w:b/>
                <w:bCs/>
                <w:sz w:val="24"/>
                <w:szCs w:val="24"/>
              </w:rPr>
            </w:pPr>
            <w:r>
              <w:rPr>
                <w:rFonts w:hint="eastAsia" w:ascii="宋体" w:hAnsi="宋体"/>
                <w:b/>
                <w:bCs/>
                <w:sz w:val="24"/>
                <w:szCs w:val="24"/>
              </w:rPr>
              <w:t>财务状况报告相关材料</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（1）投标人是法人（法人包括企业法人、机关法人、事业单位法人和社会团体法人），提供本单位：</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①2018年度经审计的财务报告，包括资产负债表、利润表、现金流量表及其附注；</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②基本开户银行出具的资信证明；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③财政部门认可的政府采购专业担保机构的证明文件和担保机构出具的投标担保函。</w:t>
            </w:r>
          </w:p>
          <w:p>
            <w:pPr>
              <w:spacing w:line="360" w:lineRule="auto"/>
              <w:rPr>
                <w:rFonts w:ascii="宋体" w:hAnsi="宋体" w:eastAsia="宋体" w:cs="Times New Roman"/>
                <w:b/>
                <w:sz w:val="24"/>
                <w:szCs w:val="24"/>
              </w:rPr>
            </w:pPr>
            <w:r>
              <w:rPr>
                <w:rFonts w:hint="eastAsia" w:ascii="宋体" w:hAnsi="宋体" w:eastAsia="宋体" w:cs="Times New Roman"/>
                <w:b/>
                <w:sz w:val="24"/>
                <w:szCs w:val="24"/>
                <w:lang w:val="zh-CN"/>
              </w:rPr>
              <w:t>注：仅需提供序号</w:t>
            </w:r>
            <w:r>
              <w:rPr>
                <w:rFonts w:hint="eastAsia" w:ascii="宋体" w:hAnsi="宋体" w:eastAsia="宋体" w:cs="Times New Roman"/>
                <w:b/>
                <w:sz w:val="24"/>
                <w:szCs w:val="24"/>
              </w:rPr>
              <w:t>①～③其中之一即可。</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（2）投标人（其他组织和自然人）提供本单位：</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①2018年度经审计的财务报告，包括资产负债表、利润表、现金流量表及其附注；</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②银行出具的资信证明；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③财政部门认可的政府采购专业担保机构的证明文件和担保机构出具的投标担保函。</w:t>
            </w:r>
          </w:p>
          <w:p>
            <w:pPr>
              <w:spacing w:line="360" w:lineRule="auto"/>
              <w:rPr>
                <w:rFonts w:ascii="宋体"/>
                <w:b/>
                <w:sz w:val="24"/>
                <w:szCs w:val="24"/>
              </w:rPr>
            </w:pPr>
            <w:r>
              <w:rPr>
                <w:rFonts w:hint="eastAsia" w:ascii="宋体" w:hAnsi="宋体" w:eastAsia="宋体" w:cs="Times New Roman"/>
                <w:b/>
                <w:sz w:val="24"/>
                <w:szCs w:val="24"/>
                <w:lang w:val="zh-CN"/>
              </w:rPr>
              <w:t>注：仅需提供序号</w:t>
            </w:r>
            <w:r>
              <w:rPr>
                <w:rFonts w:hint="eastAsia" w:ascii="宋体" w:hAnsi="宋体" w:eastAsia="宋体" w:cs="Times New Roman"/>
                <w:b/>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4</w:t>
            </w:r>
            <w:r>
              <w:rPr>
                <w:rFonts w:hint="eastAsia" w:ascii="宋体" w:hAnsi="宋体"/>
                <w:b/>
                <w:bCs/>
                <w:sz w:val="24"/>
                <w:szCs w:val="24"/>
              </w:rPr>
              <w:t>、依法缴纳税收相关材料</w:t>
            </w:r>
          </w:p>
          <w:p>
            <w:pPr>
              <w:spacing w:line="360" w:lineRule="auto"/>
              <w:rPr>
                <w:rFonts w:ascii="宋体"/>
                <w:b/>
                <w:sz w:val="24"/>
                <w:szCs w:val="24"/>
              </w:rPr>
            </w:pPr>
            <w:r>
              <w:rPr>
                <w:rFonts w:hint="eastAsia" w:ascii="宋体" w:hAnsi="宋体" w:cs="宋体"/>
                <w:bCs/>
                <w:sz w:val="24"/>
                <w:szCs w:val="24"/>
              </w:rPr>
              <w:t>2019年2月以来</w:t>
            </w:r>
            <w:r>
              <w:rPr>
                <w:rFonts w:hint="eastAsia" w:ascii="宋体" w:hAnsi="宋体"/>
                <w:bCs/>
                <w:sz w:val="24"/>
                <w:szCs w:val="24"/>
              </w:rPr>
              <w:t>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5</w:t>
            </w:r>
            <w:r>
              <w:rPr>
                <w:rFonts w:hint="eastAsia" w:ascii="宋体" w:hAnsi="宋体"/>
                <w:b/>
                <w:bCs/>
                <w:sz w:val="24"/>
                <w:szCs w:val="24"/>
              </w:rPr>
              <w:t>、依法缴纳社会保障资金的证明材料</w:t>
            </w:r>
          </w:p>
          <w:p>
            <w:pPr>
              <w:spacing w:line="360" w:lineRule="auto"/>
              <w:rPr>
                <w:rFonts w:ascii="宋体"/>
                <w:bCs/>
                <w:sz w:val="24"/>
                <w:szCs w:val="24"/>
              </w:rPr>
            </w:pPr>
            <w:r>
              <w:rPr>
                <w:rFonts w:hint="eastAsia" w:ascii="宋体" w:hAnsi="宋体" w:cs="宋体"/>
                <w:bCs/>
                <w:sz w:val="24"/>
                <w:szCs w:val="24"/>
              </w:rPr>
              <w:t>2019年2月以来</w:t>
            </w:r>
            <w:r>
              <w:rPr>
                <w:rFonts w:hint="eastAsia" w:ascii="宋体" w:hAnsi="宋体"/>
                <w:bCs/>
                <w:sz w:val="24"/>
                <w:szCs w:val="24"/>
              </w:rPr>
              <w:t>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6</w:t>
            </w:r>
            <w:r>
              <w:rPr>
                <w:rFonts w:hint="eastAsia" w:ascii="宋体" w:hAnsi="宋体"/>
                <w:b/>
                <w:bCs/>
                <w:sz w:val="24"/>
                <w:szCs w:val="24"/>
              </w:rPr>
              <w:t>、履行合同所必须的设备和专业技术能力的证明材料</w:t>
            </w:r>
          </w:p>
          <w:p>
            <w:pPr>
              <w:spacing w:line="360"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②投标人具备履行合同所必须的设备和专业技术能力承诺函或声明（承诺函或声明格式自拟）。</w:t>
            </w:r>
          </w:p>
          <w:p>
            <w:pPr>
              <w:spacing w:line="360" w:lineRule="auto"/>
              <w:rPr>
                <w:rFonts w:ascii="宋体"/>
                <w:b/>
                <w:sz w:val="24"/>
                <w:szCs w:val="24"/>
              </w:rPr>
            </w:pPr>
            <w:r>
              <w:rPr>
                <w:rFonts w:hint="eastAsia" w:ascii="宋体" w:hAnsi="宋体"/>
                <w:b/>
                <w:sz w:val="24"/>
                <w:szCs w:val="24"/>
                <w:lang w:val="zh-CN"/>
              </w:rPr>
              <w:t>注：仅需提供序号</w:t>
            </w:r>
            <w:r>
              <w:rPr>
                <w:rFonts w:hint="eastAsia" w:ascii="宋体" w:hAnsi="宋体"/>
                <w:b/>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7</w:t>
            </w:r>
            <w:r>
              <w:rPr>
                <w:rFonts w:hint="eastAsia" w:ascii="宋体" w:hAnsi="宋体"/>
                <w:b/>
                <w:bCs/>
                <w:sz w:val="24"/>
                <w:szCs w:val="24"/>
              </w:rPr>
              <w:t>、参加政府采购活动前</w:t>
            </w:r>
            <w:r>
              <w:rPr>
                <w:rFonts w:ascii="宋体" w:hAnsi="宋体"/>
                <w:b/>
                <w:bCs/>
                <w:sz w:val="24"/>
                <w:szCs w:val="24"/>
              </w:rPr>
              <w:t>3</w:t>
            </w:r>
            <w:r>
              <w:rPr>
                <w:rFonts w:hint="eastAsia" w:ascii="宋体" w:hAnsi="宋体"/>
                <w:b/>
                <w:bCs/>
                <w:sz w:val="24"/>
                <w:szCs w:val="24"/>
              </w:rPr>
              <w:t>年内在经营活动中没有重大违法记录的声明</w:t>
            </w:r>
          </w:p>
          <w:p>
            <w:pPr>
              <w:spacing w:line="360" w:lineRule="auto"/>
              <w:rPr>
                <w:rFonts w:ascii="宋体"/>
                <w:bCs/>
                <w:sz w:val="24"/>
                <w:szCs w:val="24"/>
              </w:rPr>
            </w:pPr>
            <w:r>
              <w:rPr>
                <w:rFonts w:hint="eastAsia" w:ascii="宋体" w:hAnsi="宋体"/>
                <w:bCs/>
                <w:sz w:val="24"/>
                <w:szCs w:val="24"/>
              </w:rPr>
              <w:t>投标人“参加政府采购活动前</w:t>
            </w:r>
            <w:r>
              <w:rPr>
                <w:rFonts w:ascii="宋体" w:hAnsi="宋体"/>
                <w:bCs/>
                <w:sz w:val="24"/>
                <w:szCs w:val="24"/>
              </w:rPr>
              <w:t>3</w:t>
            </w:r>
            <w:r>
              <w:rPr>
                <w:rFonts w:hint="eastAsia" w:ascii="宋体" w:hAnsi="宋体"/>
                <w:bCs/>
                <w:sz w:val="24"/>
                <w:szCs w:val="24"/>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7"/>
              </w:numPr>
              <w:spacing w:line="360" w:lineRule="auto"/>
              <w:rPr>
                <w:rFonts w:ascii="宋体" w:hAnsi="宋体"/>
                <w:b/>
                <w:bCs/>
                <w:sz w:val="24"/>
                <w:szCs w:val="24"/>
              </w:rPr>
            </w:pPr>
            <w:r>
              <w:rPr>
                <w:rFonts w:hint="eastAsia" w:ascii="宋体" w:hAnsi="宋体"/>
                <w:b/>
                <w:bCs/>
                <w:sz w:val="24"/>
                <w:szCs w:val="24"/>
              </w:rPr>
              <w:t>信用记录查询及使用</w:t>
            </w:r>
          </w:p>
          <w:p>
            <w:pPr>
              <w:autoSpaceDE w:val="0"/>
              <w:autoSpaceDN w:val="0"/>
              <w:adjustRightInd w:val="0"/>
              <w:spacing w:line="360" w:lineRule="auto"/>
              <w:ind w:right="-11"/>
              <w:rPr>
                <w:rFonts w:ascii="宋体" w:hAnsi="宋体" w:cs="宋体"/>
                <w:bCs/>
                <w:sz w:val="24"/>
                <w:szCs w:val="24"/>
              </w:rPr>
            </w:pPr>
            <w:r>
              <w:rPr>
                <w:rFonts w:cs="仿宋_GB2312" w:asciiTheme="minorEastAsia" w:hAnsiTheme="minorEastAsia"/>
                <w:b/>
                <w:sz w:val="24"/>
                <w:szCs w:val="24"/>
                <w:shd w:val="clear" w:color="auto" w:fill="FFFFFF"/>
              </w:rPr>
              <w:t>未被列入“信用中国”网站(www.creditchina.gov.cn)失信被执行人、重大税收违法案件当事人名单的投标人；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rPr>
              <w:t>；</w:t>
            </w:r>
            <w:r>
              <w:rPr>
                <w:rFonts w:hint="eastAsia" w:cs="仿宋_GB2312" w:asciiTheme="minorEastAsia" w:hAnsiTheme="minorEastAsia"/>
                <w:b/>
                <w:sz w:val="24"/>
                <w:szCs w:val="24"/>
                <w:shd w:val="clear" w:color="auto" w:fill="FFFFFF"/>
              </w:rPr>
              <w:t xml:space="preserve"> “中国社会组织公共服务平台”网站（</w:t>
            </w:r>
            <w:r>
              <w:rPr>
                <w:rFonts w:cs="仿宋_GB2312" w:asciiTheme="minorEastAsia" w:hAnsiTheme="minorEastAsia"/>
                <w:b/>
                <w:sz w:val="24"/>
                <w:szCs w:val="24"/>
                <w:shd w:val="clear" w:color="auto" w:fill="FFFFFF"/>
              </w:rPr>
              <w:t>www.chinanpo.gov.cn</w:t>
            </w:r>
            <w:r>
              <w:rPr>
                <w:rFonts w:hint="eastAsia" w:cs="仿宋_GB2312" w:asciiTheme="minorEastAsia" w:hAnsiTheme="minorEastAsia"/>
                <w:b/>
                <w:sz w:val="24"/>
                <w:szCs w:val="24"/>
                <w:shd w:val="clear" w:color="auto" w:fill="FFFFFF"/>
              </w:rPr>
              <w:t>）严重违法失信社会组织名单的投标人（</w:t>
            </w:r>
            <w:r>
              <w:rPr>
                <w:rFonts w:hint="eastAsia" w:cs="宋体" w:asciiTheme="minorEastAsia" w:hAnsiTheme="minorEastAsia"/>
                <w:kern w:val="0"/>
                <w:sz w:val="24"/>
                <w:szCs w:val="24"/>
              </w:rPr>
              <w:t>联合体形式投标的，</w:t>
            </w:r>
            <w:r>
              <w:rPr>
                <w:rFonts w:hint="eastAsia" w:cs="宋体" w:asciiTheme="minorEastAsia" w:hAnsiTheme="minorEastAsia"/>
                <w:kern w:val="0"/>
                <w:szCs w:val="21"/>
              </w:rPr>
              <w:t>联</w:t>
            </w:r>
            <w:r>
              <w:rPr>
                <w:rFonts w:hint="eastAsia" w:ascii="宋体" w:hAnsi="宋体" w:cs="宋体"/>
                <w:bCs/>
                <w:sz w:val="24"/>
                <w:szCs w:val="24"/>
                <w:lang w:val="zh-CN"/>
              </w:rPr>
              <w:t>合体成员存在不良信用记录</w:t>
            </w:r>
            <w:r>
              <w:rPr>
                <w:rFonts w:hint="eastAsia" w:ascii="宋体" w:hAnsi="宋体" w:cs="宋体"/>
                <w:bCs/>
                <w:sz w:val="24"/>
                <w:szCs w:val="24"/>
              </w:rPr>
              <w:t>，</w:t>
            </w:r>
            <w:r>
              <w:rPr>
                <w:rFonts w:hint="eastAsia" w:ascii="宋体" w:hAnsi="宋体" w:cs="宋体"/>
                <w:bCs/>
                <w:sz w:val="24"/>
                <w:szCs w:val="24"/>
                <w:lang w:val="zh-CN"/>
              </w:rPr>
              <w:t>视同联合体存在不良信用记录</w:t>
            </w:r>
            <w:r>
              <w:rPr>
                <w:rFonts w:hint="eastAsia" w:ascii="宋体" w:hAnsi="宋体" w:cs="宋体"/>
                <w:bCs/>
                <w:sz w:val="24"/>
                <w:szCs w:val="24"/>
              </w:rPr>
              <w:t>）</w:t>
            </w:r>
            <w:r>
              <w:rPr>
                <w:rFonts w:hint="eastAsia" w:ascii="宋体" w:hAnsi="宋体" w:cs="宋体"/>
                <w:bCs/>
                <w:sz w:val="24"/>
                <w:szCs w:val="24"/>
                <w:lang w:val="zh-CN"/>
              </w:rPr>
              <w:t>。</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zh-CN"/>
              </w:rPr>
              <w:t>、查询渠道</w:t>
            </w:r>
            <w:r>
              <w:rPr>
                <w:rFonts w:hint="eastAsia" w:ascii="宋体" w:hAnsi="宋体" w:cs="宋体"/>
                <w:bCs/>
                <w:sz w:val="24"/>
                <w:szCs w:val="24"/>
              </w:rPr>
              <w:t>：</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①“</w:t>
            </w:r>
            <w:r>
              <w:rPr>
                <w:rFonts w:hint="eastAsia" w:ascii="宋体" w:hAnsi="宋体" w:cs="宋体"/>
                <w:bCs/>
                <w:sz w:val="24"/>
                <w:szCs w:val="24"/>
                <w:lang w:val="zh-CN"/>
              </w:rPr>
              <w:t>信用中国</w:t>
            </w:r>
            <w:r>
              <w:rPr>
                <w:rFonts w:hint="eastAsia" w:ascii="宋体" w:hAnsi="宋体" w:cs="宋体"/>
                <w:bCs/>
                <w:sz w:val="24"/>
                <w:szCs w:val="24"/>
              </w:rPr>
              <w:t>”</w:t>
            </w:r>
            <w:r>
              <w:rPr>
                <w:rFonts w:hint="eastAsia" w:ascii="宋体" w:hAnsi="宋体" w:cs="宋体"/>
                <w:bCs/>
                <w:sz w:val="24"/>
                <w:szCs w:val="24"/>
                <w:lang w:val="zh-CN"/>
              </w:rPr>
              <w:t>网站</w:t>
            </w:r>
            <w:r>
              <w:rPr>
                <w:rFonts w:hint="eastAsia" w:ascii="宋体" w:hAnsi="宋体" w:cs="宋体"/>
                <w:bCs/>
                <w:sz w:val="24"/>
                <w:szCs w:val="24"/>
              </w:rPr>
              <w:t>（</w:t>
            </w:r>
            <w:r>
              <w:fldChar w:fldCharType="begin"/>
            </w:r>
            <w:r>
              <w:instrText xml:space="preserve"> HYPERLINK "http://www.creditchina.gov.cn" </w:instrText>
            </w:r>
            <w:r>
              <w:fldChar w:fldCharType="separate"/>
            </w:r>
            <w:r>
              <w:rPr>
                <w:rFonts w:hint="eastAsia" w:ascii="宋体" w:hAnsi="宋体" w:cs="宋体"/>
                <w:bCs/>
                <w:sz w:val="24"/>
                <w:szCs w:val="24"/>
              </w:rPr>
              <w:t>www.creditchina.gov.cn</w:t>
            </w:r>
            <w:r>
              <w:rPr>
                <w:rFonts w:hint="eastAsia" w:ascii="宋体" w:hAnsi="宋体" w:cs="宋体"/>
                <w:bCs/>
                <w:sz w:val="24"/>
                <w:szCs w:val="24"/>
              </w:rPr>
              <w:fldChar w:fldCharType="end"/>
            </w:r>
            <w:r>
              <w:rPr>
                <w:rFonts w:hint="eastAsia" w:ascii="宋体" w:hAnsi="宋体" w:cs="宋体"/>
                <w:bCs/>
                <w:sz w:val="24"/>
                <w:szCs w:val="24"/>
              </w:rPr>
              <w:t>）</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②“</w:t>
            </w:r>
            <w:r>
              <w:rPr>
                <w:rFonts w:hint="eastAsia" w:ascii="宋体" w:hAnsi="宋体" w:cs="宋体"/>
                <w:bCs/>
                <w:sz w:val="24"/>
                <w:szCs w:val="24"/>
                <w:lang w:val="zh-CN"/>
              </w:rPr>
              <w:t>中国政府采购网</w:t>
            </w:r>
            <w:r>
              <w:rPr>
                <w:rFonts w:hint="eastAsia" w:ascii="宋体" w:hAnsi="宋体" w:cs="宋体"/>
                <w:bCs/>
                <w:sz w:val="24"/>
                <w:szCs w:val="24"/>
              </w:rPr>
              <w:t>”（www.ccgp.gov.cn）</w:t>
            </w:r>
          </w:p>
          <w:p>
            <w:pPr>
              <w:autoSpaceDE w:val="0"/>
              <w:autoSpaceDN w:val="0"/>
              <w:adjustRightInd w:val="0"/>
              <w:spacing w:line="360" w:lineRule="auto"/>
              <w:ind w:right="-11"/>
              <w:rPr>
                <w:rFonts w:ascii="宋体" w:hAnsi="宋体" w:cs="宋体"/>
                <w:b/>
                <w:sz w:val="24"/>
                <w:szCs w:val="24"/>
              </w:rPr>
            </w:pPr>
            <w:r>
              <w:rPr>
                <w:rFonts w:hint="eastAsia" w:ascii="宋体" w:hAnsi="宋体" w:cs="宋体"/>
                <w:b/>
                <w:sz w:val="24"/>
                <w:szCs w:val="24"/>
              </w:rPr>
              <w:t>③“</w:t>
            </w:r>
            <w:r>
              <w:rPr>
                <w:rFonts w:hint="eastAsia" w:ascii="宋体" w:hAnsi="宋体" w:cs="宋体"/>
                <w:b/>
                <w:sz w:val="24"/>
                <w:szCs w:val="24"/>
                <w:lang w:val="zh-CN"/>
              </w:rPr>
              <w:t>中国社会组织公共服务平台</w:t>
            </w:r>
            <w:r>
              <w:rPr>
                <w:rFonts w:hint="eastAsia" w:ascii="宋体" w:hAnsi="宋体" w:cs="宋体"/>
                <w:b/>
                <w:sz w:val="24"/>
                <w:szCs w:val="24"/>
              </w:rPr>
              <w:t>”</w:t>
            </w:r>
            <w:r>
              <w:rPr>
                <w:rFonts w:hint="eastAsia" w:ascii="宋体" w:hAnsi="宋体" w:cs="宋体"/>
                <w:b/>
                <w:sz w:val="24"/>
                <w:szCs w:val="24"/>
                <w:lang w:val="zh-CN"/>
              </w:rPr>
              <w:t>网站</w:t>
            </w:r>
            <w:r>
              <w:rPr>
                <w:rFonts w:hint="eastAsia" w:ascii="宋体" w:hAnsi="宋体" w:cs="宋体"/>
                <w:b/>
                <w:sz w:val="24"/>
                <w:szCs w:val="24"/>
              </w:rPr>
              <w:t>（www.chinanpo.gov.cn）（</w:t>
            </w:r>
            <w:r>
              <w:rPr>
                <w:rFonts w:hint="eastAsia" w:ascii="宋体" w:hAnsi="宋体" w:cs="宋体"/>
                <w:b/>
                <w:sz w:val="24"/>
                <w:szCs w:val="24"/>
                <w:lang w:val="zh-CN"/>
              </w:rPr>
              <w:t>仅查询社会组织</w:t>
            </w:r>
            <w:r>
              <w:rPr>
                <w:rFonts w:hint="eastAsia" w:ascii="宋体" w:hAnsi="宋体" w:cs="宋体"/>
                <w:b/>
                <w:sz w:val="24"/>
                <w:szCs w:val="24"/>
              </w:rPr>
              <w:t>）；</w:t>
            </w:r>
            <w:r>
              <w:rPr>
                <w:rFonts w:hint="eastAsia" w:ascii="宋体" w:hAnsi="宋体" w:cs="宋体"/>
                <w:b/>
                <w:sz w:val="24"/>
                <w:szCs w:val="24"/>
                <w:lang w:val="zh-CN"/>
              </w:rPr>
              <w:t>注</w:t>
            </w:r>
            <w:r>
              <w:rPr>
                <w:rFonts w:hint="eastAsia" w:ascii="宋体" w:hAnsi="宋体" w:cs="宋体"/>
                <w:b/>
                <w:sz w:val="24"/>
                <w:szCs w:val="24"/>
              </w:rPr>
              <w:t>：（</w:t>
            </w:r>
            <w:r>
              <w:rPr>
                <w:rFonts w:hint="eastAsia" w:ascii="宋体" w:hAnsi="宋体" w:cs="宋体"/>
                <w:b/>
                <w:sz w:val="24"/>
                <w:szCs w:val="24"/>
                <w:lang w:val="zh-CN"/>
              </w:rPr>
              <w:t>民办非企业单位投标仅提供</w:t>
            </w:r>
            <w:r>
              <w:rPr>
                <w:rFonts w:hint="eastAsia" w:ascii="宋体" w:hAnsi="宋体" w:cs="宋体"/>
                <w:b/>
                <w:sz w:val="24"/>
                <w:szCs w:val="24"/>
              </w:rPr>
              <w:t>③</w:t>
            </w:r>
            <w:r>
              <w:rPr>
                <w:rFonts w:hint="eastAsia" w:ascii="宋体" w:hAnsi="宋体" w:cs="宋体"/>
                <w:b/>
                <w:sz w:val="24"/>
                <w:szCs w:val="24"/>
                <w:lang w:val="zh-CN"/>
              </w:rPr>
              <w:t>项内容</w:t>
            </w:r>
            <w:r>
              <w:rPr>
                <w:rFonts w:hint="eastAsia" w:ascii="宋体" w:hAnsi="宋体" w:cs="宋体"/>
                <w:b/>
                <w:sz w:val="24"/>
                <w:szCs w:val="24"/>
              </w:rPr>
              <w:t>）</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2、截止时间：同投标截止时间；</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3、信用信息查询记录和证据留存具体方式：经采购人经采购人在资格审查现场查询，投标方不需要提供材料。查询确认的查询结果网页截图作为查询记录和证据，与其他采购文件一并保存；</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4、信用信息的使用原则：经采购人认定的被列入失信被执行人、重大税收违法案件当事人名单、政府采购严重违法失信行为记录名单、严重违法失信社会组织名单的投标人，将拒绝其参与本次政府采购活动。</w:t>
            </w:r>
          </w:p>
          <w:p>
            <w:pPr>
              <w:spacing w:line="360" w:lineRule="auto"/>
              <w:rPr>
                <w:rFonts w:ascii="宋体"/>
                <w:bCs/>
                <w:sz w:val="24"/>
                <w:szCs w:val="24"/>
              </w:rPr>
            </w:pPr>
            <w:r>
              <w:rPr>
                <w:rFonts w:hint="eastAsia" w:ascii="宋体" w:hAnsi="宋体" w:cs="宋体"/>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eastAsia="宋体"/>
              </w:rPr>
            </w:pPr>
            <w:r>
              <w:rPr>
                <w:rFonts w:hint="eastAsia" w:ascii="宋体" w:hAnsi="宋体" w:cs="??_GB2312"/>
                <w:b/>
                <w:sz w:val="24"/>
                <w:szCs w:val="24"/>
              </w:rPr>
              <w:t>9、</w:t>
            </w:r>
            <w:r>
              <w:rPr>
                <w:rFonts w:hint="eastAsia" w:ascii="宋体" w:hAnsi="宋体" w:cs="??_GB2312"/>
                <w:b/>
                <w:sz w:val="24"/>
                <w:szCs w:val="24"/>
                <w:lang w:val="zh-CN"/>
              </w:rPr>
              <w:t>投标人须具备的特殊资质证书：</w:t>
            </w:r>
            <w:r>
              <w:rPr>
                <w:rFonts w:hint="eastAsia" w:ascii="宋体" w:hAnsi="宋体" w:eastAsia="宋体" w:cs="宋体"/>
                <w:b/>
                <w:bCs/>
                <w:sz w:val="24"/>
                <w:szCs w:val="24"/>
              </w:rPr>
              <w:t>A包</w:t>
            </w:r>
            <w:r>
              <w:rPr>
                <w:rFonts w:hint="eastAsia" w:ascii="宋体" w:hAnsi="宋体" w:eastAsia="宋体" w:cs="宋体"/>
                <w:b/>
                <w:bCs/>
                <w:sz w:val="24"/>
                <w:szCs w:val="24"/>
                <w:lang w:val="zh-CN"/>
              </w:rPr>
              <w:t>须具有食品经营许可证；</w:t>
            </w:r>
            <w:r>
              <w:rPr>
                <w:rFonts w:hint="eastAsia" w:ascii="宋体" w:hAnsi="宋体" w:eastAsia="宋体" w:cs="宋体"/>
                <w:b/>
                <w:bCs/>
                <w:sz w:val="24"/>
                <w:szCs w:val="24"/>
              </w:rPr>
              <w:t>B包须具有</w:t>
            </w:r>
            <w:r>
              <w:rPr>
                <w:rFonts w:hint="eastAsia" w:ascii="宋体" w:hAnsi="宋体" w:eastAsia="宋体" w:cs="宋体"/>
                <w:b/>
                <w:bCs/>
                <w:sz w:val="24"/>
                <w:szCs w:val="24"/>
                <w:lang w:val="zh-CN"/>
              </w:rPr>
              <w:t>医疗机构执业许可证</w:t>
            </w:r>
            <w:r>
              <w:rPr>
                <w:rFonts w:hint="eastAsia" w:ascii="宋体" w:hAnsi="宋体" w:eastAsia="宋体" w:cs="宋体"/>
                <w:b/>
                <w:bCs/>
                <w:sz w:val="24"/>
                <w:szCs w:val="24"/>
              </w:rPr>
              <w:t>或与医疗机构签订的合作协议；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_GB2312"/>
                <w:b/>
                <w:sz w:val="24"/>
                <w:szCs w:val="24"/>
                <w:lang w:val="zh-CN"/>
              </w:rPr>
            </w:pPr>
            <w:r>
              <w:rPr>
                <w:rFonts w:hint="eastAsia" w:ascii="宋体" w:hAnsi="宋体"/>
                <w:b/>
                <w:bCs/>
                <w:sz w:val="24"/>
                <w:szCs w:val="24"/>
              </w:rPr>
              <w:t>10、</w:t>
            </w:r>
            <w:r>
              <w:rPr>
                <w:rFonts w:hint="eastAsia" w:ascii="宋体" w:hAnsi="宋体" w:cs="??_GB2312"/>
                <w:b/>
                <w:sz w:val="24"/>
                <w:szCs w:val="24"/>
                <w:lang w:val="zh-CN"/>
              </w:rPr>
              <w:t>报价</w:t>
            </w:r>
          </w:p>
          <w:p>
            <w:pPr>
              <w:spacing w:line="360" w:lineRule="auto"/>
              <w:rPr>
                <w:rFonts w:ascii="宋体"/>
                <w:b/>
                <w:bCs/>
                <w:sz w:val="24"/>
                <w:szCs w:val="24"/>
              </w:rPr>
            </w:pPr>
            <w:r>
              <w:rPr>
                <w:rFonts w:hint="eastAsia" w:ascii="宋体" w:hAnsi="宋体" w:cs="??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11、投标承诺函</w:t>
            </w:r>
          </w:p>
          <w:p>
            <w:pPr>
              <w:spacing w:line="360" w:lineRule="auto"/>
              <w:rPr>
                <w:rFonts w:ascii="宋体"/>
                <w:b/>
                <w:bCs/>
                <w:sz w:val="24"/>
                <w:szCs w:val="24"/>
              </w:rPr>
            </w:pPr>
            <w:r>
              <w:rPr>
                <w:rFonts w:hint="eastAsia" w:ascii="宋体" w:hAnsi="宋体"/>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sz w:val="24"/>
                <w:szCs w:val="24"/>
              </w:rPr>
            </w:pPr>
            <w:r>
              <w:rPr>
                <w:rFonts w:ascii="宋体" w:hAnsi="宋体"/>
                <w:b/>
                <w:bCs/>
                <w:sz w:val="24"/>
                <w:szCs w:val="24"/>
              </w:rPr>
              <w:t>1</w:t>
            </w:r>
            <w:r>
              <w:rPr>
                <w:rFonts w:hint="eastAsia" w:ascii="宋体" w:hAnsi="宋体"/>
                <w:b/>
                <w:bCs/>
                <w:sz w:val="24"/>
                <w:szCs w:val="24"/>
              </w:rPr>
              <w:t>2、联合体协议</w:t>
            </w:r>
          </w:p>
          <w:p>
            <w:pPr>
              <w:spacing w:line="360" w:lineRule="auto"/>
              <w:rPr>
                <w:rFonts w:ascii="宋体" w:hAnsi="宋体"/>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 w:val="24"/>
                <w:szCs w:val="24"/>
              </w:rPr>
            </w:pPr>
            <w:r>
              <w:rPr>
                <w:rFonts w:ascii="宋体" w:hAnsi="宋体"/>
                <w:b/>
                <w:sz w:val="24"/>
                <w:szCs w:val="24"/>
              </w:rPr>
              <w:t>1</w:t>
            </w:r>
            <w:r>
              <w:rPr>
                <w:rFonts w:hint="eastAsia" w:ascii="宋体" w:hAnsi="宋体"/>
                <w:b/>
                <w:sz w:val="24"/>
                <w:szCs w:val="24"/>
              </w:rPr>
              <w:t>3、法定代表人身份证明或提供法定代表人授权委托书及被授权人身份证明。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14、单位负责人为同一人或者存在直接控股、管理关系的不同供应商，不得参加同一合同项下的政府采购活动</w:t>
            </w:r>
          </w:p>
          <w:p>
            <w:pPr>
              <w:spacing w:line="360" w:lineRule="auto"/>
            </w:pPr>
            <w:r>
              <w:rPr>
                <w:rFonts w:hint="eastAsia" w:ascii="宋体" w:hAnsi="宋体"/>
                <w:bCs/>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15、为本项目提供整体设计、规范编制或者项目管理、监理、检测等服务的供应商不得参加本项目投标</w:t>
            </w:r>
          </w:p>
          <w:p>
            <w:pPr>
              <w:spacing w:line="360" w:lineRule="auto"/>
            </w:pPr>
            <w:r>
              <w:rPr>
                <w:rFonts w:hint="eastAsia" w:ascii="宋体" w:hAnsi="宋体"/>
                <w:bCs/>
                <w:sz w:val="24"/>
                <w:szCs w:val="24"/>
                <w:lang w:val="zh-CN"/>
              </w:rPr>
              <w:t>投标人</w:t>
            </w:r>
            <w:bookmarkStart w:id="2" w:name="baidusnap2"/>
            <w:bookmarkEnd w:id="2"/>
            <w:r>
              <w:rPr>
                <w:rFonts w:hint="eastAsia" w:ascii="宋体" w:hAnsi="宋体"/>
                <w:bCs/>
                <w:sz w:val="24"/>
                <w:szCs w:val="24"/>
                <w:lang w:val="zh-CN"/>
              </w:rPr>
              <w:t>提供未为本项目提供整体设计、</w:t>
            </w:r>
            <w:bookmarkStart w:id="3" w:name="baidusnap9"/>
            <w:bookmarkEnd w:id="3"/>
            <w:r>
              <w:rPr>
                <w:rFonts w:hint="eastAsia" w:ascii="宋体" w:hAnsi="宋体"/>
                <w:bCs/>
                <w:sz w:val="24"/>
                <w:szCs w:val="24"/>
                <w:lang w:val="zh-CN"/>
              </w:rPr>
              <w:t>规范编制或者项目管理、监理、检测等服务承诺函（承诺函格式自拟）。</w:t>
            </w:r>
          </w:p>
        </w:tc>
      </w:tr>
    </w:tbl>
    <w:p>
      <w:pPr>
        <w:pStyle w:val="42"/>
        <w:autoSpaceDE w:val="0"/>
        <w:autoSpaceDN w:val="0"/>
        <w:spacing w:line="360" w:lineRule="auto"/>
        <w:ind w:firstLine="482"/>
        <w:contextualSpacing/>
        <w:rPr>
          <w:rFonts w:cs="宋体" w:asciiTheme="minorEastAsia" w:hAnsiTheme="minorEastAsia"/>
          <w:b/>
          <w:bCs/>
          <w:kern w:val="0"/>
          <w:sz w:val="24"/>
          <w:szCs w:val="24"/>
        </w:rPr>
      </w:pPr>
      <w:r>
        <w:rPr>
          <w:rFonts w:hint="eastAsia" w:cs="宋体" w:asciiTheme="minorEastAsia" w:hAnsiTheme="minorEastAsia"/>
          <w:b/>
          <w:bCs/>
          <w:kern w:val="0"/>
          <w:sz w:val="24"/>
          <w:szCs w:val="24"/>
        </w:rPr>
        <w:t>开标结束后，采购人依法对投标人的资格进行审查。经评审合格的供应商不足采购家数时（A包选定2家、B包选择9家供应商中标），按综合评分法得分≥60分的实际通过家数推荐中标单位。</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（1）价格分计算（本项目不进行报价）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小型和微型企业不包含民办非企业单位。</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cs="仿宋_GB2312" w:asciiTheme="minorEastAsia" w:hAnsiTheme="minorEastAsia" w:eastAsiaTheme="minorEastAsia"/>
          <w:b/>
          <w:szCs w:val="24"/>
          <w:lang w:val="zh-CN"/>
        </w:rPr>
        <w:t>关于相同品牌产品</w:t>
      </w:r>
      <w:r>
        <w:rPr>
          <w:rFonts w:cs="仿宋_GB2312" w:asciiTheme="minorEastAsia" w:hAnsiTheme="minorEastAsia" w:eastAsiaTheme="minorEastAsia"/>
          <w:b/>
          <w:bCs/>
          <w:szCs w:val="24"/>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②中国信息安全认证中心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5"/>
        <w:spacing w:line="360" w:lineRule="auto"/>
        <w:ind w:firstLine="482" w:firstLineChars="200"/>
        <w:contextualSpacing/>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A包：</w:t>
      </w:r>
    </w:p>
    <w:tbl>
      <w:tblPr>
        <w:tblStyle w:val="29"/>
        <w:tblW w:w="9040" w:type="dxa"/>
        <w:jc w:val="center"/>
        <w:tblInd w:w="0" w:type="dxa"/>
        <w:tblLayout w:type="fixed"/>
        <w:tblCellMar>
          <w:top w:w="0" w:type="dxa"/>
          <w:left w:w="108" w:type="dxa"/>
          <w:bottom w:w="0" w:type="dxa"/>
          <w:right w:w="108" w:type="dxa"/>
        </w:tblCellMar>
      </w:tblPr>
      <w:tblGrid>
        <w:gridCol w:w="1384"/>
        <w:gridCol w:w="1560"/>
        <w:gridCol w:w="6096"/>
      </w:tblGrid>
      <w:tr>
        <w:tblPrEx>
          <w:tblLayout w:type="fixed"/>
          <w:tblCellMar>
            <w:top w:w="0" w:type="dxa"/>
            <w:left w:w="108" w:type="dxa"/>
            <w:bottom w:w="0" w:type="dxa"/>
            <w:right w:w="108" w:type="dxa"/>
          </w:tblCellMar>
        </w:tblPrEx>
        <w:trPr>
          <w:trHeight w:val="1006" w:hRule="atLeast"/>
          <w:jc w:val="center"/>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宋体" w:hAnsi="宋体" w:eastAsia="宋体" w:cs="宋体"/>
                <w:kern w:val="0"/>
                <w:sz w:val="24"/>
                <w:szCs w:val="24"/>
              </w:rPr>
            </w:pPr>
            <w:r>
              <w:rPr>
                <w:rFonts w:hint="eastAsia" w:ascii="宋体" w:hAnsi="宋体" w:eastAsia="宋体" w:cs="宋体"/>
                <w:sz w:val="24"/>
                <w:szCs w:val="24"/>
              </w:rPr>
              <w:t>分值构成</w:t>
            </w:r>
          </w:p>
        </w:tc>
        <w:tc>
          <w:tcPr>
            <w:tcW w:w="6096" w:type="dxa"/>
            <w:tcBorders>
              <w:top w:val="single" w:color="auto" w:sz="4" w:space="0"/>
              <w:left w:val="nil"/>
              <w:bottom w:val="single" w:color="auto" w:sz="4" w:space="0"/>
              <w:right w:val="single" w:color="auto" w:sz="4" w:space="0"/>
            </w:tcBorders>
            <w:vAlign w:val="center"/>
          </w:tcPr>
          <w:p>
            <w:pPr>
              <w:widowControl/>
              <w:spacing w:line="520" w:lineRule="exact"/>
              <w:contextualSpacing/>
              <w:jc w:val="center"/>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kern w:val="0"/>
                <w:sz w:val="24"/>
                <w:szCs w:val="24"/>
              </w:rPr>
              <w:t>20</w:t>
            </w:r>
            <w:r>
              <w:rPr>
                <w:rFonts w:hint="eastAsia" w:ascii="宋体" w:hAnsi="宋体" w:eastAsia="宋体" w:cs="宋体"/>
                <w:sz w:val="24"/>
                <w:szCs w:val="24"/>
              </w:rPr>
              <w:t>分</w:t>
            </w:r>
          </w:p>
          <w:p>
            <w:pPr>
              <w:widowControl/>
              <w:spacing w:line="520" w:lineRule="exact"/>
              <w:contextualSpacing/>
              <w:jc w:val="center"/>
              <w:rPr>
                <w:rFonts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kern w:val="0"/>
                <w:sz w:val="24"/>
                <w:szCs w:val="24"/>
              </w:rPr>
              <w:t>45</w:t>
            </w:r>
            <w:r>
              <w:rPr>
                <w:rFonts w:hint="eastAsia" w:ascii="宋体" w:hAnsi="宋体" w:eastAsia="宋体" w:cs="宋体"/>
                <w:sz w:val="24"/>
                <w:szCs w:val="24"/>
              </w:rPr>
              <w:t>分</w:t>
            </w:r>
          </w:p>
          <w:p>
            <w:pPr>
              <w:widowControl/>
              <w:spacing w:line="520" w:lineRule="exact"/>
              <w:contextualSpacing/>
              <w:jc w:val="center"/>
              <w:rPr>
                <w:rFonts w:ascii="宋体" w:hAnsi="宋体" w:eastAsia="宋体" w:cs="宋体"/>
                <w:kern w:val="0"/>
                <w:sz w:val="24"/>
                <w:szCs w:val="24"/>
              </w:rPr>
            </w:pPr>
            <w:r>
              <w:rPr>
                <w:rFonts w:hint="eastAsia" w:ascii="宋体" w:hAnsi="宋体" w:eastAsia="宋体" w:cs="宋体"/>
                <w:sz w:val="24"/>
                <w:szCs w:val="24"/>
              </w:rPr>
              <w:t>服务部分：</w:t>
            </w:r>
            <w:r>
              <w:rPr>
                <w:rFonts w:hint="eastAsia" w:ascii="宋体" w:hAnsi="宋体" w:eastAsia="宋体" w:cs="宋体"/>
                <w:kern w:val="0"/>
                <w:sz w:val="24"/>
                <w:szCs w:val="24"/>
              </w:rPr>
              <w:t>35</w:t>
            </w:r>
            <w:r>
              <w:rPr>
                <w:rFonts w:hint="eastAsia" w:ascii="宋体" w:hAnsi="宋体" w:eastAsia="宋体" w:cs="宋体"/>
                <w:sz w:val="24"/>
                <w:szCs w:val="24"/>
              </w:rPr>
              <w:t>分</w:t>
            </w:r>
          </w:p>
        </w:tc>
      </w:tr>
      <w:tr>
        <w:tblPrEx>
          <w:tblLayout w:type="fixed"/>
          <w:tblCellMar>
            <w:top w:w="0" w:type="dxa"/>
            <w:left w:w="108" w:type="dxa"/>
            <w:bottom w:w="0" w:type="dxa"/>
            <w:right w:w="108" w:type="dxa"/>
          </w:tblCellMar>
        </w:tblPrEx>
        <w:trPr>
          <w:trHeight w:val="45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评审项</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评分因素</w:t>
            </w:r>
          </w:p>
        </w:tc>
        <w:tc>
          <w:tcPr>
            <w:tcW w:w="6096" w:type="dxa"/>
            <w:tcBorders>
              <w:top w:val="single" w:color="auto" w:sz="4" w:space="0"/>
              <w:left w:val="nil"/>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评标标准</w:t>
            </w:r>
          </w:p>
        </w:tc>
      </w:tr>
      <w:tr>
        <w:tblPrEx>
          <w:tblLayout w:type="fixed"/>
          <w:tblCellMar>
            <w:top w:w="0" w:type="dxa"/>
            <w:left w:w="108" w:type="dxa"/>
            <w:bottom w:w="0" w:type="dxa"/>
            <w:right w:w="108" w:type="dxa"/>
          </w:tblCellMar>
        </w:tblPrEx>
        <w:trPr>
          <w:trHeight w:val="1237"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0" w:leftChars="-2" w:hanging="4" w:hangingChars="2"/>
              <w:jc w:val="center"/>
              <w:rPr>
                <w:rFonts w:ascii="宋体" w:hAnsi="宋体" w:eastAsia="宋体" w:cs="宋体"/>
                <w:kern w:val="0"/>
                <w:sz w:val="24"/>
                <w:szCs w:val="24"/>
              </w:rPr>
            </w:pPr>
            <w:r>
              <w:rPr>
                <w:rFonts w:hint="eastAsia" w:ascii="宋体" w:hAnsi="宋体" w:eastAsia="宋体" w:cs="宋体"/>
                <w:sz w:val="24"/>
                <w:szCs w:val="24"/>
              </w:rPr>
              <w:t>商务部分</w:t>
            </w:r>
          </w:p>
          <w:p>
            <w:pPr>
              <w:widowControl/>
              <w:snapToGrid w:val="0"/>
              <w:spacing w:beforeLines="50" w:line="500" w:lineRule="exact"/>
              <w:ind w:left="0" w:leftChars="-2" w:hanging="4" w:hangingChars="2"/>
              <w:jc w:val="center"/>
              <w:rPr>
                <w:rFonts w:ascii="宋体" w:hAnsi="宋体" w:eastAsia="宋体" w:cs="宋体"/>
                <w:sz w:val="24"/>
                <w:szCs w:val="24"/>
              </w:rPr>
            </w:pPr>
            <w:r>
              <w:rPr>
                <w:rFonts w:hint="eastAsia" w:ascii="宋体" w:hAnsi="宋体" w:eastAsia="宋体" w:cs="宋体"/>
                <w:sz w:val="24"/>
                <w:szCs w:val="24"/>
              </w:rPr>
              <w:t>（20分）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kern w:val="0"/>
                <w:sz w:val="24"/>
                <w:szCs w:val="24"/>
              </w:rPr>
              <w:t>业绩</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kern w:val="0"/>
                <w:sz w:val="24"/>
                <w:szCs w:val="24"/>
              </w:rPr>
              <w:t>（4分）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left"/>
              <w:rPr>
                <w:rFonts w:ascii="宋体" w:hAnsi="宋体" w:eastAsia="宋体" w:cs="宋体"/>
                <w:kern w:val="0"/>
                <w:sz w:val="24"/>
                <w:szCs w:val="24"/>
              </w:rPr>
            </w:pPr>
            <w:r>
              <w:rPr>
                <w:rFonts w:hint="eastAsia" w:ascii="宋体" w:hAnsi="宋体" w:eastAsia="宋体" w:cs="宋体"/>
                <w:sz w:val="24"/>
                <w:szCs w:val="24"/>
              </w:rPr>
              <w:t>投标人自2015年1月以来具有</w:t>
            </w:r>
            <w:r>
              <w:rPr>
                <w:rFonts w:hint="eastAsia" w:ascii="宋体" w:hAnsi="宋体" w:eastAsia="宋体" w:cs="宋体"/>
                <w:b/>
                <w:bCs/>
                <w:sz w:val="24"/>
                <w:szCs w:val="24"/>
              </w:rPr>
              <w:t>类似社区居家养老服务类项目业绩</w:t>
            </w:r>
            <w:r>
              <w:rPr>
                <w:rFonts w:hint="eastAsia" w:ascii="宋体" w:hAnsi="宋体" w:eastAsia="宋体" w:cs="宋体"/>
                <w:sz w:val="24"/>
                <w:szCs w:val="24"/>
              </w:rPr>
              <w:t>的，提供一份得2分，满分4分（以合同或中标通知书为准）。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信誉</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投标人提供2016年1月以来信用评估机构颁发的信用等级证书，等级为AAA级的得2分；AA级的得1分；未提供的得0分（以证书为准）。</w:t>
            </w:r>
          </w:p>
        </w:tc>
      </w:tr>
      <w:tr>
        <w:tblPrEx>
          <w:tblLayout w:type="fixed"/>
          <w:tblCellMar>
            <w:top w:w="0" w:type="dxa"/>
            <w:left w:w="108" w:type="dxa"/>
            <w:bottom w:w="0" w:type="dxa"/>
            <w:right w:w="108" w:type="dxa"/>
          </w:tblCellMar>
        </w:tblPrEx>
        <w:trPr>
          <w:trHeight w:val="9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所获荣誉</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分）</w:t>
            </w:r>
          </w:p>
        </w:tc>
        <w:tc>
          <w:tcPr>
            <w:tcW w:w="6096" w:type="dxa"/>
            <w:tcBorders>
              <w:top w:val="single" w:color="auto" w:sz="4" w:space="0"/>
              <w:left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获得市级及以上“敬老文明号”称号的得4分。需提供政府相关红头文件或证书，否则不得分。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机构情况</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（10分）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有机构养老服务运营二年以上的得10分，运营一年的得5分，运营一年以下的得1分；（以主管部门开具证明为准）满分10分。</w:t>
            </w:r>
          </w:p>
        </w:tc>
      </w:tr>
      <w:tr>
        <w:tblPrEx>
          <w:tblLayout w:type="fixed"/>
          <w:tblCellMar>
            <w:top w:w="0" w:type="dxa"/>
            <w:left w:w="108" w:type="dxa"/>
            <w:bottom w:w="0" w:type="dxa"/>
            <w:right w:w="108" w:type="dxa"/>
          </w:tblCellMar>
        </w:tblPrEx>
        <w:trPr>
          <w:trHeight w:val="1607"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技术部分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45</w:t>
            </w:r>
            <w:r>
              <w:rPr>
                <w:rFonts w:hint="eastAsia" w:ascii="宋体" w:hAnsi="宋体" w:eastAsia="宋体" w:cs="宋体"/>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管理制度</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运营管理制度要求适用、规范、严谨，有按照招标文件要求制订有各项服务活动管理工作制度的得1分，制定有各项服务活动工作人员管理、考核奖惩制度、职工培训制度得1分，制订有配套设施权属清册管理制度的得1分，未提供或提供不全的不得分。满分3分。</w:t>
            </w:r>
          </w:p>
        </w:tc>
      </w:tr>
      <w:tr>
        <w:tblPrEx>
          <w:tblLayout w:type="fixed"/>
          <w:tblCellMar>
            <w:top w:w="0" w:type="dxa"/>
            <w:left w:w="108" w:type="dxa"/>
            <w:bottom w:w="0" w:type="dxa"/>
            <w:right w:w="108" w:type="dxa"/>
          </w:tblCellMar>
        </w:tblPrEx>
        <w:trPr>
          <w:trHeight w:val="9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服务质量监管（</w:t>
            </w:r>
            <w:r>
              <w:rPr>
                <w:rFonts w:hint="eastAsia" w:ascii="宋体" w:hAnsi="宋体" w:eastAsia="宋体" w:cs="宋体"/>
                <w:kern w:val="0"/>
                <w:sz w:val="24"/>
                <w:szCs w:val="24"/>
              </w:rPr>
              <w:t>3</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制定专门的服务质量监管制度，各项工作责任到人，严把质量关，组建有服务质量监管小组并制定详细的工作制度得1分，制定有服务质量考核机制的得1分，制定有服务质量具体考核指标的得1分。满分3分。</w:t>
            </w:r>
          </w:p>
        </w:tc>
      </w:tr>
      <w:tr>
        <w:tblPrEx>
          <w:tblLayout w:type="fixed"/>
          <w:tblCellMar>
            <w:top w:w="0" w:type="dxa"/>
            <w:left w:w="108" w:type="dxa"/>
            <w:bottom w:w="0" w:type="dxa"/>
            <w:right w:w="108" w:type="dxa"/>
          </w:tblCellMar>
        </w:tblPrEx>
        <w:trPr>
          <w:trHeight w:val="691"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档案管理方案（8分）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对档案管理方案的描述情况进行综合比较。优得8分，良得5分，一般得2分，不提供的不得分；</w:t>
            </w:r>
          </w:p>
        </w:tc>
      </w:tr>
      <w:tr>
        <w:tblPrEx>
          <w:tblLayout w:type="fixed"/>
          <w:tblCellMar>
            <w:top w:w="0" w:type="dxa"/>
            <w:left w:w="108" w:type="dxa"/>
            <w:bottom w:w="0" w:type="dxa"/>
            <w:right w:w="108" w:type="dxa"/>
          </w:tblCellMar>
        </w:tblPrEx>
        <w:trPr>
          <w:trHeight w:val="50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突发事件的处理预案</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成立有突发事件应急领导小组的得2分；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有完善的突发事件应急预防措施与处理措施的得2分；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有明确的突发事件处理流程与信息反馈渠道的得2分。满分6分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服务能力</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（10分）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在许昌市魏都区内运营有社区老年人日间照料中心的，每运营1个站点得2分，最高得10分。（以合同为准）。承诺在许昌市魏都区内建设或运营社区老年人日间照料中心的得1分。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拟投入专业技术人员（5分）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围绕着各项服务活动，安排有专项技术性服务人员，包括养老护理员、社工、护士、医生、营养师等，每提供1类服务人员资质证明的得1分，最高得5分。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在项目实施过程中，与采购人配合、沟通方案并接受采购人指导监督评价（6分）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1、有专人定期与采购人沟通，并接受采购人现场指导监督，配合、沟通方案详细、可行性强，对比最优，得6分；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2、有专人定期与采购人沟通，并接受配合采购人现场指导监督，配合、沟通方案较详细、可行性一般，对比次之，得4分；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3、提供了配合、沟通方案，但与采购人沟通方案不详细，对比一般，得2分；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4、未提供配合、沟通方案，也未指定专人与采购人沟通：0分。</w:t>
            </w:r>
          </w:p>
        </w:tc>
      </w:tr>
      <w:tr>
        <w:tblPrEx>
          <w:tblLayout w:type="fixed"/>
          <w:tblCellMar>
            <w:top w:w="0" w:type="dxa"/>
            <w:left w:w="108" w:type="dxa"/>
            <w:bottom w:w="0" w:type="dxa"/>
            <w:right w:w="108" w:type="dxa"/>
          </w:tblCellMar>
        </w:tblPrEx>
        <w:trPr>
          <w:trHeight w:val="944"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rPr>
                <w:rFonts w:ascii="宋体" w:hAnsi="宋体" w:eastAsia="宋体" w:cs="宋体"/>
                <w:sz w:val="24"/>
                <w:szCs w:val="24"/>
              </w:rPr>
            </w:pPr>
            <w:r>
              <w:rPr>
                <w:rFonts w:hint="eastAsia" w:ascii="宋体" w:hAnsi="宋体" w:eastAsia="宋体" w:cs="宋体"/>
                <w:sz w:val="24"/>
                <w:szCs w:val="24"/>
              </w:rPr>
              <w:t>保密承诺</w:t>
            </w:r>
          </w:p>
          <w:p>
            <w:pPr>
              <w:widowControl/>
              <w:spacing w:line="500" w:lineRule="exact"/>
              <w:ind w:left="-2"/>
              <w:contextualSpacing/>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针对项目服务保密性，提供保密承诺书的得4分，没有不得分；</w:t>
            </w:r>
          </w:p>
        </w:tc>
      </w:tr>
      <w:tr>
        <w:tblPrEx>
          <w:tblLayout w:type="fixed"/>
          <w:tblCellMar>
            <w:top w:w="0" w:type="dxa"/>
            <w:left w:w="108" w:type="dxa"/>
            <w:bottom w:w="0" w:type="dxa"/>
            <w:right w:w="108" w:type="dxa"/>
          </w:tblCellMar>
        </w:tblPrEx>
        <w:trPr>
          <w:trHeight w:val="438"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服务部分</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35</w:t>
            </w:r>
            <w:r>
              <w:rPr>
                <w:rFonts w:hint="eastAsia" w:ascii="宋体" w:hAnsi="宋体" w:eastAsia="宋体" w:cs="宋体"/>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服务计划书</w:t>
            </w:r>
          </w:p>
          <w:p>
            <w:pPr>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spacing w:line="500" w:lineRule="exact"/>
              <w:ind w:left="-2"/>
              <w:jc w:val="left"/>
              <w:rPr>
                <w:rFonts w:ascii="宋体" w:hAnsi="宋体" w:eastAsia="宋体" w:cs="宋体"/>
                <w:sz w:val="24"/>
                <w:szCs w:val="24"/>
              </w:rPr>
            </w:pPr>
            <w:r>
              <w:rPr>
                <w:rFonts w:hint="eastAsia" w:ascii="宋体" w:hAnsi="宋体" w:eastAsia="宋体" w:cs="宋体"/>
                <w:sz w:val="24"/>
                <w:szCs w:val="24"/>
              </w:rPr>
              <w:t>围绕本项目要求，提供详细的服务开展计划书，包括项目开展的整体思路、阶段性工作任务、具体服务活动开展方案。1、服务计划书中包含项目开展整体思路的得2分，2、包含项目阶段性工作任务的的2分，3、包含具体服务活动开展方案的得2分。满分6分。</w:t>
            </w:r>
          </w:p>
        </w:tc>
      </w:tr>
      <w:tr>
        <w:tblPrEx>
          <w:tblLayout w:type="fixed"/>
          <w:tblCellMar>
            <w:top w:w="0" w:type="dxa"/>
            <w:left w:w="108" w:type="dxa"/>
            <w:bottom w:w="0" w:type="dxa"/>
            <w:right w:w="108" w:type="dxa"/>
          </w:tblCellMar>
        </w:tblPrEx>
        <w:trPr>
          <w:trHeight w:val="160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服务流程</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根据项目服务内容，制订服务项目的服务流程方案，使社区老年人可以清楚的了解如何享受到各项养老服务。项目服务流程方案科学合理的得4分，较好3分，一般1分。</w:t>
            </w:r>
          </w:p>
        </w:tc>
      </w:tr>
      <w:tr>
        <w:tblPrEx>
          <w:tblLayout w:type="fixed"/>
          <w:tblCellMar>
            <w:top w:w="0" w:type="dxa"/>
            <w:left w:w="108" w:type="dxa"/>
            <w:bottom w:w="0" w:type="dxa"/>
            <w:right w:w="108" w:type="dxa"/>
          </w:tblCellMar>
        </w:tblPrEx>
        <w:trPr>
          <w:trHeight w:val="1287"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岗位人员架构（</w:t>
            </w:r>
            <w:r>
              <w:rPr>
                <w:rFonts w:hint="eastAsia" w:ascii="宋体" w:hAnsi="宋体" w:eastAsia="宋体" w:cs="宋体"/>
                <w:kern w:val="0"/>
                <w:sz w:val="24"/>
                <w:szCs w:val="24"/>
              </w:rPr>
              <w:t>5</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服务活动的开展需要组建专业的管理队伍和服务队伍，设定清晰明了的岗位架构安排，提供项目完整的人员组织机构的得1分，提供各岗位工作职责的得2分，提供各岗位工作要求的得2分。未提供不得分，满分5分。</w:t>
            </w:r>
          </w:p>
        </w:tc>
      </w:tr>
      <w:tr>
        <w:tblPrEx>
          <w:tblLayout w:type="fixed"/>
          <w:tblCellMar>
            <w:top w:w="0" w:type="dxa"/>
            <w:left w:w="108" w:type="dxa"/>
            <w:bottom w:w="0" w:type="dxa"/>
            <w:right w:w="108" w:type="dxa"/>
          </w:tblCellMar>
        </w:tblPrEx>
        <w:trPr>
          <w:trHeight w:val="1934"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服务承诺</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20</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1、投标人在接到工作任务后，能够积极配合委托工作，投入充分的人员、设备，保证完成服务要求，做出服务承诺优得10分，较好7分，一般5分。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2、投标人能够帮助委托人做好各项协调工作，减轻委托人工作负担，保证工作顺利进行，给出保障措施的优得10分，较好7分，一般5分。</w:t>
            </w:r>
          </w:p>
        </w:tc>
      </w:tr>
    </w:tbl>
    <w:p>
      <w:pPr>
        <w:pStyle w:val="15"/>
        <w:spacing w:line="360" w:lineRule="auto"/>
        <w:ind w:firstLine="482" w:firstLineChars="200"/>
        <w:contextualSpacing/>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B包：</w:t>
      </w:r>
    </w:p>
    <w:tbl>
      <w:tblPr>
        <w:tblStyle w:val="29"/>
        <w:tblW w:w="9040" w:type="dxa"/>
        <w:jc w:val="center"/>
        <w:tblInd w:w="0" w:type="dxa"/>
        <w:tblLayout w:type="fixed"/>
        <w:tblCellMar>
          <w:top w:w="0" w:type="dxa"/>
          <w:left w:w="108" w:type="dxa"/>
          <w:bottom w:w="0" w:type="dxa"/>
          <w:right w:w="108" w:type="dxa"/>
        </w:tblCellMar>
      </w:tblPr>
      <w:tblGrid>
        <w:gridCol w:w="1384"/>
        <w:gridCol w:w="1560"/>
        <w:gridCol w:w="6096"/>
      </w:tblGrid>
      <w:tr>
        <w:tblPrEx>
          <w:tblLayout w:type="fixed"/>
          <w:tblCellMar>
            <w:top w:w="0" w:type="dxa"/>
            <w:left w:w="108" w:type="dxa"/>
            <w:bottom w:w="0" w:type="dxa"/>
            <w:right w:w="108" w:type="dxa"/>
          </w:tblCellMar>
        </w:tblPrEx>
        <w:trPr>
          <w:trHeight w:val="1006" w:hRule="atLeast"/>
          <w:jc w:val="center"/>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宋体" w:hAnsi="宋体" w:eastAsia="宋体" w:cs="宋体"/>
                <w:kern w:val="0"/>
                <w:sz w:val="24"/>
                <w:szCs w:val="24"/>
              </w:rPr>
            </w:pPr>
            <w:r>
              <w:rPr>
                <w:rFonts w:hint="eastAsia" w:ascii="宋体" w:hAnsi="宋体" w:eastAsia="宋体" w:cs="宋体"/>
                <w:sz w:val="24"/>
                <w:szCs w:val="24"/>
              </w:rPr>
              <w:t>分值构成</w:t>
            </w:r>
          </w:p>
        </w:tc>
        <w:tc>
          <w:tcPr>
            <w:tcW w:w="6096" w:type="dxa"/>
            <w:tcBorders>
              <w:top w:val="single" w:color="auto" w:sz="4" w:space="0"/>
              <w:left w:val="nil"/>
              <w:bottom w:val="single" w:color="auto" w:sz="4" w:space="0"/>
              <w:right w:val="single" w:color="auto" w:sz="4" w:space="0"/>
            </w:tcBorders>
            <w:vAlign w:val="center"/>
          </w:tcPr>
          <w:p>
            <w:pPr>
              <w:widowControl/>
              <w:spacing w:line="520" w:lineRule="exact"/>
              <w:contextualSpacing/>
              <w:jc w:val="center"/>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kern w:val="0"/>
                <w:sz w:val="24"/>
                <w:szCs w:val="24"/>
              </w:rPr>
              <w:t>20</w:t>
            </w:r>
            <w:r>
              <w:rPr>
                <w:rFonts w:hint="eastAsia" w:ascii="宋体" w:hAnsi="宋体" w:eastAsia="宋体" w:cs="宋体"/>
                <w:sz w:val="24"/>
                <w:szCs w:val="24"/>
              </w:rPr>
              <w:t>分</w:t>
            </w:r>
          </w:p>
          <w:p>
            <w:pPr>
              <w:widowControl/>
              <w:spacing w:line="520" w:lineRule="exact"/>
              <w:contextualSpacing/>
              <w:jc w:val="center"/>
              <w:rPr>
                <w:rFonts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kern w:val="0"/>
                <w:sz w:val="24"/>
                <w:szCs w:val="24"/>
              </w:rPr>
              <w:t>45</w:t>
            </w:r>
            <w:r>
              <w:rPr>
                <w:rFonts w:hint="eastAsia" w:ascii="宋体" w:hAnsi="宋体" w:eastAsia="宋体" w:cs="宋体"/>
                <w:sz w:val="24"/>
                <w:szCs w:val="24"/>
              </w:rPr>
              <w:t>分</w:t>
            </w:r>
          </w:p>
          <w:p>
            <w:pPr>
              <w:widowControl/>
              <w:spacing w:line="520" w:lineRule="exact"/>
              <w:contextualSpacing/>
              <w:jc w:val="center"/>
              <w:rPr>
                <w:rFonts w:ascii="宋体" w:hAnsi="宋体" w:eastAsia="宋体" w:cs="宋体"/>
                <w:kern w:val="0"/>
                <w:sz w:val="24"/>
                <w:szCs w:val="24"/>
              </w:rPr>
            </w:pPr>
            <w:r>
              <w:rPr>
                <w:rFonts w:hint="eastAsia" w:ascii="宋体" w:hAnsi="宋体" w:eastAsia="宋体" w:cs="宋体"/>
                <w:sz w:val="24"/>
                <w:szCs w:val="24"/>
              </w:rPr>
              <w:t>服务部分：</w:t>
            </w:r>
            <w:r>
              <w:rPr>
                <w:rFonts w:hint="eastAsia" w:ascii="宋体" w:hAnsi="宋体" w:eastAsia="宋体" w:cs="宋体"/>
                <w:kern w:val="0"/>
                <w:sz w:val="24"/>
                <w:szCs w:val="24"/>
              </w:rPr>
              <w:t>35</w:t>
            </w:r>
            <w:r>
              <w:rPr>
                <w:rFonts w:hint="eastAsia" w:ascii="宋体" w:hAnsi="宋体" w:eastAsia="宋体" w:cs="宋体"/>
                <w:sz w:val="24"/>
                <w:szCs w:val="24"/>
              </w:rPr>
              <w:t>分</w:t>
            </w:r>
          </w:p>
        </w:tc>
      </w:tr>
      <w:tr>
        <w:tblPrEx>
          <w:tblLayout w:type="fixed"/>
          <w:tblCellMar>
            <w:top w:w="0" w:type="dxa"/>
            <w:left w:w="108" w:type="dxa"/>
            <w:bottom w:w="0" w:type="dxa"/>
            <w:right w:w="108" w:type="dxa"/>
          </w:tblCellMar>
        </w:tblPrEx>
        <w:trPr>
          <w:trHeight w:val="45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评审项</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评分因素</w:t>
            </w:r>
          </w:p>
        </w:tc>
        <w:tc>
          <w:tcPr>
            <w:tcW w:w="6096" w:type="dxa"/>
            <w:tcBorders>
              <w:top w:val="single" w:color="auto" w:sz="4" w:space="0"/>
              <w:left w:val="nil"/>
              <w:bottom w:val="single" w:color="auto" w:sz="4" w:space="0"/>
              <w:right w:val="single" w:color="auto" w:sz="4" w:space="0"/>
            </w:tcBorders>
            <w:vAlign w:val="center"/>
          </w:tcPr>
          <w:p>
            <w:pPr>
              <w:widowControl/>
              <w:snapToGrid w:val="0"/>
              <w:spacing w:beforeLines="50" w:line="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评标标准</w:t>
            </w:r>
          </w:p>
        </w:tc>
      </w:tr>
      <w:tr>
        <w:tblPrEx>
          <w:tblLayout w:type="fixed"/>
          <w:tblCellMar>
            <w:top w:w="0" w:type="dxa"/>
            <w:left w:w="108" w:type="dxa"/>
            <w:bottom w:w="0" w:type="dxa"/>
            <w:right w:w="108" w:type="dxa"/>
          </w:tblCellMar>
        </w:tblPrEx>
        <w:trPr>
          <w:trHeight w:val="1237"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0" w:leftChars="-2" w:hanging="4" w:hangingChars="2"/>
              <w:jc w:val="center"/>
              <w:rPr>
                <w:rFonts w:ascii="宋体" w:hAnsi="宋体" w:eastAsia="宋体" w:cs="宋体"/>
                <w:kern w:val="0"/>
                <w:sz w:val="24"/>
                <w:szCs w:val="24"/>
              </w:rPr>
            </w:pPr>
            <w:r>
              <w:rPr>
                <w:rFonts w:hint="eastAsia" w:ascii="宋体" w:hAnsi="宋体" w:eastAsia="宋体" w:cs="宋体"/>
                <w:sz w:val="24"/>
                <w:szCs w:val="24"/>
              </w:rPr>
              <w:t>商务部分</w:t>
            </w:r>
          </w:p>
          <w:p>
            <w:pPr>
              <w:widowControl/>
              <w:snapToGrid w:val="0"/>
              <w:spacing w:beforeLines="50" w:line="500" w:lineRule="exact"/>
              <w:ind w:left="0" w:leftChars="-2" w:hanging="4" w:hangingChars="2"/>
              <w:jc w:val="center"/>
              <w:rPr>
                <w:rFonts w:ascii="宋体" w:hAnsi="宋体" w:eastAsia="宋体" w:cs="宋体"/>
                <w:sz w:val="24"/>
                <w:szCs w:val="24"/>
              </w:rPr>
            </w:pPr>
            <w:r>
              <w:rPr>
                <w:rFonts w:hint="eastAsia" w:ascii="宋体" w:hAnsi="宋体" w:eastAsia="宋体" w:cs="宋体"/>
                <w:sz w:val="24"/>
                <w:szCs w:val="24"/>
              </w:rPr>
              <w:t>（20分）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kern w:val="0"/>
                <w:sz w:val="24"/>
                <w:szCs w:val="24"/>
              </w:rPr>
              <w:t>业绩</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kern w:val="0"/>
                <w:sz w:val="24"/>
                <w:szCs w:val="24"/>
              </w:rPr>
              <w:t>（4分）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left"/>
              <w:rPr>
                <w:rFonts w:ascii="宋体" w:hAnsi="宋体" w:eastAsia="宋体" w:cs="宋体"/>
                <w:kern w:val="0"/>
                <w:sz w:val="24"/>
                <w:szCs w:val="24"/>
              </w:rPr>
            </w:pPr>
            <w:r>
              <w:rPr>
                <w:rFonts w:hint="eastAsia" w:ascii="宋体" w:hAnsi="宋体" w:eastAsia="宋体" w:cs="宋体"/>
                <w:sz w:val="24"/>
                <w:szCs w:val="24"/>
              </w:rPr>
              <w:t>投标人自2015年1月以来具有</w:t>
            </w:r>
            <w:r>
              <w:rPr>
                <w:rFonts w:hint="eastAsia" w:ascii="宋体" w:hAnsi="宋体" w:eastAsia="宋体" w:cs="宋体"/>
                <w:b/>
                <w:bCs/>
                <w:sz w:val="24"/>
                <w:szCs w:val="24"/>
              </w:rPr>
              <w:t>类似社区居家养老服务类项目业绩</w:t>
            </w:r>
            <w:r>
              <w:rPr>
                <w:rFonts w:hint="eastAsia" w:ascii="宋体" w:hAnsi="宋体" w:eastAsia="宋体" w:cs="宋体"/>
                <w:sz w:val="24"/>
                <w:szCs w:val="24"/>
              </w:rPr>
              <w:t>的，提供一份得2分，满分4分（以合同或中标通知书为准）。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信誉</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投标人提供2016年1月以来信用评估机构颁发的信用等级证书，等级为AAA级的得2分；AA级的得1分；未提供的得0分（以证书为准）。</w:t>
            </w:r>
          </w:p>
        </w:tc>
      </w:tr>
      <w:tr>
        <w:tblPrEx>
          <w:tblLayout w:type="fixed"/>
          <w:tblCellMar>
            <w:top w:w="0" w:type="dxa"/>
            <w:left w:w="108" w:type="dxa"/>
            <w:bottom w:w="0" w:type="dxa"/>
            <w:right w:w="108" w:type="dxa"/>
          </w:tblCellMar>
        </w:tblPrEx>
        <w:trPr>
          <w:trHeight w:val="9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所获荣誉</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分）</w:t>
            </w:r>
          </w:p>
        </w:tc>
        <w:tc>
          <w:tcPr>
            <w:tcW w:w="6096" w:type="dxa"/>
            <w:tcBorders>
              <w:top w:val="single" w:color="auto" w:sz="4" w:space="0"/>
              <w:left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获得市级及以上“敬老文明号”称号的得4分。需提供政府相关红头文件，否则不得分。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机构情况</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（10分）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在许昌市魏都区内运营有办事处综合养老服务中心且运营一年以上的得10分，运营一年以下的得5分，承诺建设或改建运营办事处综合养老服务中心的得1分；（以主管部门开具证明为准）满分10分。</w:t>
            </w:r>
          </w:p>
        </w:tc>
      </w:tr>
      <w:tr>
        <w:tblPrEx>
          <w:tblLayout w:type="fixed"/>
          <w:tblCellMar>
            <w:top w:w="0" w:type="dxa"/>
            <w:left w:w="108" w:type="dxa"/>
            <w:bottom w:w="0" w:type="dxa"/>
            <w:right w:w="108" w:type="dxa"/>
          </w:tblCellMar>
        </w:tblPrEx>
        <w:trPr>
          <w:trHeight w:val="1607"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技术部分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45</w:t>
            </w:r>
            <w:r>
              <w:rPr>
                <w:rFonts w:hint="eastAsia" w:ascii="宋体" w:hAnsi="宋体" w:eastAsia="宋体" w:cs="宋体"/>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管理制度</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运营管理制度要求适用、规范、严谨，有按照招标文件要求制订有各项服务活动管理工作制度的得1分，制定有各项服务活动工作人员管理、考核奖惩制度、职工培训制度得2分，制订有配套设施权属清册管理制度的得2分，未提供或提供不全的不得分。满分5分。</w:t>
            </w:r>
          </w:p>
        </w:tc>
      </w:tr>
      <w:tr>
        <w:tblPrEx>
          <w:tblLayout w:type="fixed"/>
          <w:tblCellMar>
            <w:top w:w="0" w:type="dxa"/>
            <w:left w:w="108" w:type="dxa"/>
            <w:bottom w:w="0" w:type="dxa"/>
            <w:right w:w="108" w:type="dxa"/>
          </w:tblCellMar>
        </w:tblPrEx>
        <w:trPr>
          <w:trHeight w:val="9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服务质量监管（</w:t>
            </w:r>
            <w:r>
              <w:rPr>
                <w:rFonts w:hint="eastAsia" w:ascii="宋体" w:hAnsi="宋体" w:eastAsia="宋体" w:cs="宋体"/>
                <w:kern w:val="0"/>
                <w:sz w:val="24"/>
                <w:szCs w:val="24"/>
              </w:rPr>
              <w:t>5</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制定专门的服务质量监管制度，各项工作责任到人，严把质量关，组建有服务质量监管小组并制定详细的工作制度得2分，制定有服务质量考核机制的得1分，制定有服务质量具体考核指标的得2分。满分5分。</w:t>
            </w:r>
          </w:p>
        </w:tc>
      </w:tr>
      <w:tr>
        <w:tblPrEx>
          <w:tblLayout w:type="fixed"/>
          <w:tblCellMar>
            <w:top w:w="0" w:type="dxa"/>
            <w:left w:w="108" w:type="dxa"/>
            <w:bottom w:w="0" w:type="dxa"/>
            <w:right w:w="108" w:type="dxa"/>
          </w:tblCellMar>
        </w:tblPrEx>
        <w:trPr>
          <w:trHeight w:val="691"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档案管理方案（8分）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对档案管理方案的描述情况进行综合比较。优得8分，良得5分，一般得2分，不提供的不得分；</w:t>
            </w:r>
          </w:p>
        </w:tc>
      </w:tr>
      <w:tr>
        <w:tblPrEx>
          <w:tblLayout w:type="fixed"/>
          <w:tblCellMar>
            <w:top w:w="0" w:type="dxa"/>
            <w:left w:w="108" w:type="dxa"/>
            <w:bottom w:w="0" w:type="dxa"/>
            <w:right w:w="108" w:type="dxa"/>
          </w:tblCellMar>
        </w:tblPrEx>
        <w:trPr>
          <w:trHeight w:val="500"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突发事件的处理预案</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成立有突发事件应急领导小组的得2分；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有完善的突发事件应急预防措施与处理措施的得3分；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有明确的突发事件处理流程与信息反馈渠道的得3分。满分8分</w:t>
            </w:r>
          </w:p>
        </w:tc>
      </w:tr>
      <w:tr>
        <w:tblPrEx>
          <w:tblLayout w:type="fixed"/>
          <w:tblCellMar>
            <w:top w:w="0" w:type="dxa"/>
            <w:left w:w="108" w:type="dxa"/>
            <w:bottom w:w="0" w:type="dxa"/>
            <w:right w:w="108" w:type="dxa"/>
          </w:tblCellMar>
        </w:tblPrEx>
        <w:trPr>
          <w:trHeight w:val="96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拟投入专业技术人员（5分）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围绕着各项服务活动，安排有专项技术性服务人员，包括养老护理员、社工、护士、医生、营养师等，每提供1类服务人员资质证明的得1分，最高得5分。</w:t>
            </w:r>
          </w:p>
        </w:tc>
      </w:tr>
      <w:tr>
        <w:tblPrEx>
          <w:tblLayout w:type="fixed"/>
          <w:tblCellMar>
            <w:top w:w="0" w:type="dxa"/>
            <w:left w:w="108" w:type="dxa"/>
            <w:bottom w:w="0" w:type="dxa"/>
            <w:right w:w="108" w:type="dxa"/>
          </w:tblCellMar>
        </w:tblPrEx>
        <w:trPr>
          <w:trHeight w:val="488"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在项目实施过程中，与采购人配合、沟通方案并接受采购人指导监督评价（9分）</w:t>
            </w:r>
          </w:p>
        </w:tc>
        <w:tc>
          <w:tcPr>
            <w:tcW w:w="6096" w:type="dxa"/>
            <w:tcBorders>
              <w:top w:val="single" w:color="auto" w:sz="4" w:space="0"/>
              <w:left w:val="single" w:color="auto" w:sz="4" w:space="0"/>
              <w:bottom w:val="single" w:color="auto" w:sz="4" w:space="0"/>
              <w:right w:val="single" w:color="auto" w:sz="4" w:space="0"/>
            </w:tcBorders>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1、有专人定期与采购人沟通，并接受采购人现场指导监督，配合、沟通方案详细、可行性强，对比最优，得9分；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2、有专人定期与采购人沟通，并接受配合采购人现场指导监督，配合、沟通方案较详细、可行性一般，对比次之，得6分；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3、提供了配合、沟通方案，但与采购人沟通方案不详细，对比一般，得3分；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4、未提供配合、沟通方案，也未指定专人与采购人沟通：0分。</w:t>
            </w:r>
          </w:p>
        </w:tc>
      </w:tr>
      <w:tr>
        <w:tblPrEx>
          <w:tblLayout w:type="fixed"/>
          <w:tblCellMar>
            <w:top w:w="0" w:type="dxa"/>
            <w:left w:w="108" w:type="dxa"/>
            <w:bottom w:w="0" w:type="dxa"/>
            <w:right w:w="108" w:type="dxa"/>
          </w:tblCellMar>
        </w:tblPrEx>
        <w:trPr>
          <w:trHeight w:val="944"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contextualSpacing/>
              <w:rPr>
                <w:rFonts w:ascii="宋体" w:hAnsi="宋体" w:eastAsia="宋体" w:cs="宋体"/>
                <w:sz w:val="24"/>
                <w:szCs w:val="24"/>
              </w:rPr>
            </w:pPr>
            <w:r>
              <w:rPr>
                <w:rFonts w:hint="eastAsia" w:ascii="宋体" w:hAnsi="宋体" w:eastAsia="宋体" w:cs="宋体"/>
                <w:sz w:val="24"/>
                <w:szCs w:val="24"/>
              </w:rPr>
              <w:t>保密承诺</w:t>
            </w:r>
          </w:p>
          <w:p>
            <w:pPr>
              <w:widowControl/>
              <w:spacing w:line="500" w:lineRule="exact"/>
              <w:ind w:left="-2"/>
              <w:contextualSpacing/>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针对项目服务保密性，提供保密承诺书的得5分，没有不得分；</w:t>
            </w:r>
          </w:p>
        </w:tc>
      </w:tr>
      <w:tr>
        <w:tblPrEx>
          <w:tblLayout w:type="fixed"/>
          <w:tblCellMar>
            <w:top w:w="0" w:type="dxa"/>
            <w:left w:w="108" w:type="dxa"/>
            <w:bottom w:w="0" w:type="dxa"/>
            <w:right w:w="108" w:type="dxa"/>
          </w:tblCellMar>
        </w:tblPrEx>
        <w:trPr>
          <w:trHeight w:val="438"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服务部分</w:t>
            </w:r>
          </w:p>
          <w:p>
            <w:pPr>
              <w:widowControl/>
              <w:snapToGrid w:val="0"/>
              <w:spacing w:beforeLines="50" w:line="500" w:lineRule="exact"/>
              <w:ind w:left="-2"/>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35</w:t>
            </w:r>
            <w:r>
              <w:rPr>
                <w:rFonts w:hint="eastAsia" w:ascii="宋体" w:hAnsi="宋体" w:eastAsia="宋体" w:cs="宋体"/>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服务计划书</w:t>
            </w:r>
          </w:p>
          <w:p>
            <w:pPr>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分）</w:t>
            </w:r>
          </w:p>
        </w:tc>
        <w:tc>
          <w:tcPr>
            <w:tcW w:w="6096" w:type="dxa"/>
            <w:tcBorders>
              <w:top w:val="single" w:color="auto" w:sz="4" w:space="0"/>
              <w:left w:val="single" w:color="auto" w:sz="4" w:space="0"/>
              <w:bottom w:val="single" w:color="auto" w:sz="4" w:space="0"/>
              <w:right w:val="single" w:color="auto" w:sz="4" w:space="0"/>
            </w:tcBorders>
            <w:vAlign w:val="center"/>
          </w:tcPr>
          <w:p>
            <w:pPr>
              <w:spacing w:line="500" w:lineRule="exact"/>
              <w:ind w:left="-2"/>
              <w:jc w:val="left"/>
              <w:rPr>
                <w:rFonts w:ascii="宋体" w:hAnsi="宋体" w:eastAsia="宋体" w:cs="宋体"/>
                <w:sz w:val="24"/>
                <w:szCs w:val="24"/>
              </w:rPr>
            </w:pPr>
            <w:r>
              <w:rPr>
                <w:rFonts w:hint="eastAsia" w:ascii="宋体" w:hAnsi="宋体" w:eastAsia="宋体" w:cs="宋体"/>
                <w:sz w:val="24"/>
                <w:szCs w:val="24"/>
              </w:rPr>
              <w:t>围绕本项目要求，提供详细的服务开展计划书，包括项目开展的整体思路、阶段性工作任务、具体服务活动开展方案。1、服务计划书中包含项目开展整体思路的得2分，2、包含项目阶段性工作任务的的2分，3、包含具体服务活动开展方案的得2分。满分6分。</w:t>
            </w:r>
          </w:p>
        </w:tc>
      </w:tr>
      <w:tr>
        <w:tblPrEx>
          <w:tblLayout w:type="fixed"/>
          <w:tblCellMar>
            <w:top w:w="0" w:type="dxa"/>
            <w:left w:w="108" w:type="dxa"/>
            <w:bottom w:w="0" w:type="dxa"/>
            <w:right w:w="108" w:type="dxa"/>
          </w:tblCellMar>
        </w:tblPrEx>
        <w:trPr>
          <w:trHeight w:val="1607"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服务流程</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根据项目服务内容，制订服务项目的服务流程方案，使社区老年人可以清楚的了解如何享受到各项养老服务。项目服务流程方案科学合理的得4分，较好3分，一般1分。</w:t>
            </w:r>
          </w:p>
        </w:tc>
      </w:tr>
      <w:tr>
        <w:tblPrEx>
          <w:tblLayout w:type="fixed"/>
          <w:tblCellMar>
            <w:top w:w="0" w:type="dxa"/>
            <w:left w:w="108" w:type="dxa"/>
            <w:bottom w:w="0" w:type="dxa"/>
            <w:right w:w="108" w:type="dxa"/>
          </w:tblCellMar>
        </w:tblPrEx>
        <w:trPr>
          <w:trHeight w:val="1287"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岗位人员架构（</w:t>
            </w:r>
            <w:r>
              <w:rPr>
                <w:rFonts w:hint="eastAsia" w:ascii="宋体" w:hAnsi="宋体" w:eastAsia="宋体" w:cs="宋体"/>
                <w:kern w:val="0"/>
                <w:sz w:val="24"/>
                <w:szCs w:val="24"/>
              </w:rPr>
              <w:t>5</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服务活动的开展需要组建专业的管理队伍和服务队伍，设定清晰明了的岗位架构安排，提供项目完整的人员组织机构的得1分，提供各岗位工作职责的得2分，提供各岗位工作要求的得2分。未提供不得分，满分5分。</w:t>
            </w:r>
          </w:p>
        </w:tc>
      </w:tr>
      <w:tr>
        <w:tblPrEx>
          <w:tblLayout w:type="fixed"/>
          <w:tblCellMar>
            <w:top w:w="0" w:type="dxa"/>
            <w:left w:w="108" w:type="dxa"/>
            <w:bottom w:w="0" w:type="dxa"/>
            <w:right w:w="108" w:type="dxa"/>
          </w:tblCellMar>
        </w:tblPrEx>
        <w:trPr>
          <w:trHeight w:val="1934"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widowControl/>
              <w:spacing w:line="500" w:lineRule="exact"/>
              <w:ind w:left="-2"/>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ind w:left="-2"/>
              <w:contextualSpacing/>
              <w:jc w:val="center"/>
              <w:rPr>
                <w:rFonts w:ascii="宋体" w:hAnsi="宋体" w:eastAsia="宋体" w:cs="宋体"/>
                <w:sz w:val="24"/>
                <w:szCs w:val="24"/>
              </w:rPr>
            </w:pPr>
            <w:r>
              <w:rPr>
                <w:rFonts w:hint="eastAsia" w:ascii="宋体" w:hAnsi="宋体" w:eastAsia="宋体" w:cs="宋体"/>
                <w:sz w:val="24"/>
                <w:szCs w:val="24"/>
              </w:rPr>
              <w:t>服务承诺</w:t>
            </w:r>
          </w:p>
          <w:p>
            <w:pPr>
              <w:widowControl/>
              <w:spacing w:line="500" w:lineRule="exact"/>
              <w:ind w:left="-2"/>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20</w:t>
            </w:r>
            <w:r>
              <w:rPr>
                <w:rFonts w:hint="eastAsia" w:ascii="宋体" w:hAnsi="宋体" w:eastAsia="宋体" w:cs="宋体"/>
                <w:sz w:val="24"/>
                <w:szCs w:val="24"/>
              </w:rPr>
              <w:t>分）</w:t>
            </w:r>
          </w:p>
        </w:tc>
        <w:tc>
          <w:tcPr>
            <w:tcW w:w="6096" w:type="dxa"/>
            <w:tcBorders>
              <w:top w:val="single" w:color="auto" w:sz="4" w:space="0"/>
              <w:left w:val="nil"/>
              <w:bottom w:val="single" w:color="auto" w:sz="4" w:space="0"/>
              <w:right w:val="single" w:color="auto" w:sz="4" w:space="0"/>
            </w:tcBorders>
            <w:vAlign w:val="center"/>
          </w:tcPr>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1、投标人在接到工作任务后，能够积极配合委托工作，投入充分的人员、设备，保证完成服务要求，做出服务承诺优得10分，较好7分，一般5分。</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2、投标人能够帮助委托人做好各项协调工作，减轻委托人工作负担，保证工作顺利进行，给出保障措施的优得10分，较好7分，一般5分。</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投标人综合得分≥</w:t>
      </w:r>
      <w:r>
        <w:rPr>
          <w:rFonts w:hint="eastAsia" w:cs="仿宋_GB2312" w:asciiTheme="minorEastAsia" w:hAnsiTheme="minorEastAsia" w:eastAsiaTheme="minorEastAsia"/>
          <w:b/>
          <w:szCs w:val="24"/>
        </w:rPr>
        <w:t>60分为合格的投标人，得分由高到低</w:t>
      </w:r>
      <w:r>
        <w:rPr>
          <w:rFonts w:hint="eastAsia" w:cs="仿宋_GB2312" w:asciiTheme="minorEastAsia" w:hAnsiTheme="minorEastAsia" w:eastAsiaTheme="minorEastAsia"/>
          <w:b/>
          <w:szCs w:val="24"/>
          <w:lang w:val="zh-CN"/>
        </w:rPr>
        <w:t>进行中标候选人排序。</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 xml:space="preserve">    （9）</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80" w:firstLineChars="200"/>
        <w:rPr>
          <w:rFonts w:ascii="宋体" w:hAnsi="宋体" w:cs="Courier New"/>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u w:val="single"/>
        </w:rPr>
      </w:pPr>
      <w:r>
        <w:rPr>
          <w:rFonts w:hint="eastAsia" w:ascii="宋体" w:hAnsi="宋体" w:cs="微软雅黑"/>
          <w:b/>
          <w:bCs/>
          <w:szCs w:val="21"/>
        </w:rPr>
        <w:t>最终签定合同的主要条款不能与招标文件有冲突）</w:t>
      </w:r>
    </w:p>
    <w:p>
      <w:pPr>
        <w:widowControl/>
        <w:spacing w:after="240"/>
        <w:jc w:val="center"/>
        <w:rPr>
          <w:rFonts w:ascii="宋体" w:hAnsi="宋体" w:eastAsia="宋体" w:cs="宋体"/>
          <w:kern w:val="0"/>
          <w:sz w:val="24"/>
          <w:szCs w:val="24"/>
        </w:rPr>
      </w:pPr>
      <w:r>
        <w:rPr>
          <w:rFonts w:ascii="宋体" w:hAnsi="宋体" w:eastAsia="宋体" w:cs="宋体"/>
          <w:b/>
          <w:bCs/>
          <w:kern w:val="0"/>
          <w:sz w:val="32"/>
          <w:szCs w:val="32"/>
        </w:rPr>
        <w:t>政府购买养老服务合同示范文本</w:t>
      </w:r>
    </w:p>
    <w:p>
      <w:pPr>
        <w:widowControl/>
        <w:spacing w:line="360" w:lineRule="auto"/>
        <w:jc w:val="left"/>
        <w:rPr>
          <w:rFonts w:ascii="宋体" w:hAnsi="宋体" w:eastAsia="宋体" w:cs="宋体"/>
          <w:kern w:val="0"/>
          <w:sz w:val="24"/>
          <w:szCs w:val="24"/>
          <w:u w:val="single"/>
        </w:rPr>
      </w:pPr>
      <w:r>
        <w:rPr>
          <w:rFonts w:ascii="宋体" w:hAnsi="宋体" w:eastAsia="宋体" w:cs="宋体"/>
          <w:kern w:val="0"/>
          <w:sz w:val="24"/>
          <w:szCs w:val="24"/>
        </w:rPr>
        <w:t>甲方:</w:t>
      </w:r>
      <w:r>
        <w:rPr>
          <w:rFonts w:ascii="宋体" w:hAnsi="宋体" w:eastAsia="宋体" w:cs="宋体"/>
          <w:kern w:val="0"/>
          <w:sz w:val="24"/>
          <w:szCs w:val="24"/>
        </w:rPr>
        <w:br w:type="textWrapping"/>
      </w:r>
      <w:r>
        <w:rPr>
          <w:rFonts w:ascii="宋体" w:hAnsi="宋体" w:eastAsia="宋体" w:cs="宋体"/>
          <w:kern w:val="0"/>
          <w:sz w:val="24"/>
          <w:szCs w:val="24"/>
        </w:rPr>
        <w:t>乙方:</w:t>
      </w:r>
      <w:r>
        <w:rPr>
          <w:rFonts w:ascii="宋体" w:hAnsi="宋体" w:eastAsia="宋体" w:cs="宋体"/>
          <w:kern w:val="0"/>
          <w:sz w:val="24"/>
          <w:szCs w:val="24"/>
        </w:rPr>
        <w:br w:type="textWrapping"/>
      </w:r>
      <w:r>
        <w:rPr>
          <w:rFonts w:ascii="宋体" w:hAnsi="宋体" w:eastAsia="宋体" w:cs="宋体"/>
          <w:kern w:val="0"/>
          <w:sz w:val="24"/>
          <w:szCs w:val="24"/>
        </w:rPr>
        <w:t>为确保完成政府向社会力量购买养老服务目标任务，提高我省养老服务质量和水平，根据《财政部 国家发展改革委民政部全国老龄工作委员会办公室关于做好政府购买养老服务工作的通知》(财社 【2014] 105号)、《河南省财政厅关于印发(河南省政府购买服务操作指南&gt;(试行)的通知》(豫财综[2016) 11</w:t>
      </w:r>
      <w:r>
        <w:rPr>
          <w:rFonts w:ascii="宋体" w:hAnsi="宋体" w:eastAsia="宋体" w:cs="宋体"/>
          <w:kern w:val="0"/>
          <w:sz w:val="24"/>
          <w:szCs w:val="24"/>
        </w:rPr>
        <w:br w:type="textWrapping"/>
      </w:r>
      <w:r>
        <w:rPr>
          <w:rFonts w:ascii="宋体" w:hAnsi="宋体" w:eastAsia="宋体" w:cs="宋体"/>
          <w:kern w:val="0"/>
          <w:sz w:val="24"/>
          <w:szCs w:val="24"/>
        </w:rPr>
        <w:t>号)等有关规定，本着平等、自愿的原则，经甲乙双方协商一致，现就政府购买养老服务有关事宜达成如下协议:</w:t>
      </w:r>
      <w:r>
        <w:rPr>
          <w:rFonts w:ascii="宋体" w:hAnsi="宋体" w:eastAsia="宋体" w:cs="宋体"/>
          <w:kern w:val="0"/>
          <w:sz w:val="24"/>
          <w:szCs w:val="24"/>
        </w:rPr>
        <w:br w:type="textWrapping"/>
      </w:r>
      <w:r>
        <w:rPr>
          <w:rFonts w:ascii="宋体" w:hAnsi="宋体" w:eastAsia="宋体" w:cs="宋体"/>
          <w:b/>
          <w:bCs/>
          <w:kern w:val="0"/>
          <w:sz w:val="24"/>
          <w:szCs w:val="24"/>
        </w:rPr>
        <w:t>第一条:乙方基本情况</w:t>
      </w:r>
      <w:r>
        <w:rPr>
          <w:rFonts w:ascii="宋体" w:hAnsi="宋体" w:eastAsia="宋体" w:cs="宋体"/>
          <w:kern w:val="0"/>
          <w:sz w:val="24"/>
          <w:szCs w:val="24"/>
        </w:rPr>
        <w:br w:type="textWrapping"/>
      </w:r>
      <w:r>
        <w:rPr>
          <w:rFonts w:ascii="宋体" w:hAnsi="宋体" w:eastAsia="宋体" w:cs="宋体"/>
          <w:kern w:val="0"/>
          <w:sz w:val="24"/>
          <w:szCs w:val="24"/>
        </w:rPr>
        <w:t>机构全称:</w:t>
      </w:r>
      <w:r>
        <w:rPr>
          <w:rFonts w:ascii="宋体" w:hAnsi="宋体" w:eastAsia="宋体" w:cs="宋体"/>
          <w:kern w:val="0"/>
          <w:sz w:val="24"/>
          <w:szCs w:val="24"/>
        </w:rPr>
        <w:br w:type="textWrapping"/>
      </w:r>
      <w:r>
        <w:rPr>
          <w:rFonts w:ascii="宋体" w:hAnsi="宋体" w:eastAsia="宋体" w:cs="宋体"/>
          <w:kern w:val="0"/>
          <w:sz w:val="24"/>
          <w:szCs w:val="24"/>
        </w:rPr>
        <w:t>法人代表:</w:t>
      </w:r>
      <w:r>
        <w:rPr>
          <w:rFonts w:ascii="宋体" w:hAnsi="宋体" w:eastAsia="宋体" w:cs="宋体"/>
          <w:kern w:val="0"/>
          <w:sz w:val="24"/>
          <w:szCs w:val="24"/>
        </w:rPr>
        <w:br w:type="textWrapping"/>
      </w:r>
      <w:r>
        <w:rPr>
          <w:rFonts w:ascii="宋体" w:hAnsi="宋体" w:eastAsia="宋体" w:cs="宋体"/>
          <w:kern w:val="0"/>
          <w:sz w:val="24"/>
          <w:szCs w:val="24"/>
        </w:rPr>
        <w:t>组织机构代码:</w:t>
      </w:r>
      <w:r>
        <w:rPr>
          <w:rFonts w:ascii="宋体" w:hAnsi="宋体" w:eastAsia="宋体" w:cs="宋体"/>
          <w:kern w:val="0"/>
          <w:sz w:val="24"/>
          <w:szCs w:val="24"/>
        </w:rPr>
        <w:br w:type="textWrapping"/>
      </w:r>
      <w:r>
        <w:rPr>
          <w:rFonts w:ascii="宋体" w:hAnsi="宋体" w:eastAsia="宋体" w:cs="宋体"/>
          <w:kern w:val="0"/>
          <w:sz w:val="24"/>
          <w:szCs w:val="24"/>
        </w:rPr>
        <w:t>注册机关:</w:t>
      </w:r>
      <w:r>
        <w:rPr>
          <w:rFonts w:ascii="宋体" w:hAnsi="宋体" w:eastAsia="宋体" w:cs="宋体"/>
          <w:kern w:val="0"/>
          <w:sz w:val="24"/>
          <w:szCs w:val="24"/>
        </w:rPr>
        <w:br w:type="textWrapping"/>
      </w:r>
      <w:r>
        <w:rPr>
          <w:rFonts w:ascii="宋体" w:hAnsi="宋体" w:eastAsia="宋体" w:cs="宋体"/>
          <w:kern w:val="0"/>
          <w:sz w:val="24"/>
          <w:szCs w:val="24"/>
        </w:rPr>
        <w:t>联系电话:</w:t>
      </w:r>
      <w:r>
        <w:rPr>
          <w:rFonts w:ascii="宋体" w:hAnsi="宋体" w:eastAsia="宋体" w:cs="宋体"/>
          <w:kern w:val="0"/>
          <w:sz w:val="24"/>
          <w:szCs w:val="24"/>
        </w:rPr>
        <w:br w:type="textWrapping"/>
      </w:r>
      <w:r>
        <w:rPr>
          <w:rFonts w:ascii="宋体" w:hAnsi="宋体" w:eastAsia="宋体" w:cs="宋体"/>
          <w:kern w:val="0"/>
          <w:sz w:val="24"/>
          <w:szCs w:val="24"/>
        </w:rPr>
        <w:t>常驻地址:</w:t>
      </w:r>
      <w:r>
        <w:rPr>
          <w:rFonts w:ascii="宋体" w:hAnsi="宋体" w:eastAsia="宋体" w:cs="宋体"/>
          <w:kern w:val="0"/>
          <w:sz w:val="24"/>
          <w:szCs w:val="24"/>
        </w:rPr>
        <w:br w:type="textWrapping"/>
      </w:r>
      <w:r>
        <w:rPr>
          <w:rFonts w:ascii="宋体" w:hAnsi="宋体" w:eastAsia="宋体" w:cs="宋体"/>
          <w:b/>
          <w:bCs/>
          <w:kern w:val="0"/>
          <w:sz w:val="24"/>
          <w:szCs w:val="24"/>
        </w:rPr>
        <w:t>第二条:服务项目内容、期限、地点</w:t>
      </w:r>
      <w:r>
        <w:rPr>
          <w:rFonts w:ascii="宋体" w:hAnsi="宋体" w:eastAsia="宋体" w:cs="宋体"/>
          <w:kern w:val="0"/>
          <w:sz w:val="24"/>
          <w:szCs w:val="24"/>
        </w:rPr>
        <w:br w:type="textWrapping"/>
      </w:r>
      <w:r>
        <w:rPr>
          <w:rFonts w:ascii="宋体" w:hAnsi="宋体" w:eastAsia="宋体" w:cs="宋体"/>
          <w:kern w:val="0"/>
          <w:sz w:val="24"/>
          <w:szCs w:val="24"/>
        </w:rPr>
        <w:t>1.乙方必须按照甲方的要求，提供具体服务内这包活:。</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2、服务期限为:。</w:t>
      </w:r>
      <w:r>
        <w:rPr>
          <w:rFonts w:ascii="宋体" w:hAnsi="宋体" w:eastAsia="宋体" w:cs="宋体"/>
          <w:kern w:val="0"/>
          <w:sz w:val="24"/>
          <w:szCs w:val="24"/>
        </w:rPr>
        <w:br w:type="textWrapping"/>
      </w:r>
      <w:r>
        <w:rPr>
          <w:rFonts w:ascii="宋体" w:hAnsi="宋体" w:eastAsia="宋体" w:cs="宋体"/>
          <w:kern w:val="0"/>
          <w:sz w:val="24"/>
          <w:szCs w:val="24"/>
        </w:rPr>
        <w:t>3、</w:t>
      </w:r>
      <w:r>
        <w:rPr>
          <w:rFonts w:hint="eastAsia" w:ascii="宋体" w:hAnsi="宋体" w:eastAsia="宋体" w:cs="宋体"/>
          <w:kern w:val="0"/>
          <w:sz w:val="24"/>
          <w:szCs w:val="24"/>
        </w:rPr>
        <w:t>服务</w:t>
      </w:r>
      <w:r>
        <w:rPr>
          <w:rFonts w:ascii="宋体" w:hAnsi="宋体" w:eastAsia="宋体" w:cs="宋体"/>
          <w:kern w:val="0"/>
          <w:sz w:val="24"/>
          <w:szCs w:val="24"/>
        </w:rPr>
        <w:t>地点:。</w:t>
      </w:r>
      <w:r>
        <w:rPr>
          <w:rFonts w:ascii="宋体" w:hAnsi="宋体" w:eastAsia="宋体" w:cs="宋体"/>
          <w:kern w:val="0"/>
          <w:sz w:val="24"/>
          <w:szCs w:val="24"/>
        </w:rPr>
        <w:br w:type="textWrapping"/>
      </w:r>
      <w:r>
        <w:rPr>
          <w:rFonts w:ascii="宋体" w:hAnsi="宋体" w:eastAsia="宋体" w:cs="宋体"/>
          <w:b/>
          <w:bCs/>
          <w:kern w:val="0"/>
          <w:sz w:val="24"/>
          <w:szCs w:val="24"/>
        </w:rPr>
        <w:t>第三条:提供的服务项目必须符合养老服务标准(规范)或者有关要</w:t>
      </w:r>
      <w:r>
        <w:rPr>
          <w:rFonts w:ascii="宋体" w:hAnsi="宋体" w:eastAsia="宋体" w:cs="宋体"/>
          <w:kern w:val="0"/>
          <w:sz w:val="24"/>
          <w:szCs w:val="24"/>
        </w:rPr>
        <w:t>求:。</w:t>
      </w:r>
      <w:r>
        <w:rPr>
          <w:rFonts w:ascii="宋体" w:hAnsi="宋体" w:eastAsia="宋体" w:cs="宋体"/>
          <w:kern w:val="0"/>
          <w:sz w:val="24"/>
          <w:szCs w:val="24"/>
        </w:rPr>
        <w:br w:type="textWrapping"/>
      </w:r>
      <w:r>
        <w:rPr>
          <w:rFonts w:ascii="宋体" w:hAnsi="宋体" w:eastAsia="宋体" w:cs="宋体"/>
          <w:kern w:val="0"/>
          <w:sz w:val="24"/>
          <w:szCs w:val="24"/>
        </w:rPr>
        <w:t>(项目内容、项目标准、数量要求、质量标准)</w:t>
      </w:r>
      <w:r>
        <w:rPr>
          <w:rFonts w:ascii="宋体" w:hAnsi="宋体" w:eastAsia="宋体" w:cs="宋体"/>
          <w:kern w:val="0"/>
          <w:sz w:val="24"/>
          <w:szCs w:val="24"/>
        </w:rPr>
        <w:br w:type="textWrapping"/>
      </w:r>
      <w:r>
        <w:rPr>
          <w:rFonts w:ascii="宋体" w:hAnsi="宋体" w:eastAsia="宋体" w:cs="宋体"/>
          <w:b/>
          <w:bCs/>
          <w:kern w:val="0"/>
          <w:sz w:val="24"/>
          <w:szCs w:val="24"/>
        </w:rPr>
        <w:t>第四条:支付标准</w:t>
      </w:r>
      <w:r>
        <w:rPr>
          <w:rFonts w:ascii="宋体" w:hAnsi="宋体" w:eastAsia="宋体" w:cs="宋体"/>
          <w:kern w:val="0"/>
          <w:sz w:val="24"/>
          <w:szCs w:val="24"/>
        </w:rPr>
        <w:br w:type="textWrapping"/>
      </w:r>
      <w:r>
        <w:rPr>
          <w:rFonts w:ascii="宋体" w:hAnsi="宋体" w:eastAsia="宋体" w:cs="宋体"/>
          <w:kern w:val="0"/>
          <w:sz w:val="24"/>
          <w:szCs w:val="24"/>
        </w:rPr>
        <w:t>(尽务数量或质量对应的服务价款的标准)</w:t>
      </w:r>
      <w:r>
        <w:rPr>
          <w:rFonts w:ascii="宋体" w:hAnsi="宋体" w:eastAsia="宋体" w:cs="宋体"/>
          <w:kern w:val="0"/>
          <w:sz w:val="24"/>
          <w:szCs w:val="24"/>
        </w:rPr>
        <w:br w:type="textWrapping"/>
      </w:r>
      <w:r>
        <w:rPr>
          <w:rFonts w:ascii="宋体" w:hAnsi="宋体" w:eastAsia="宋体" w:cs="宋体"/>
          <w:b/>
          <w:bCs/>
          <w:kern w:val="0"/>
          <w:sz w:val="24"/>
          <w:szCs w:val="24"/>
        </w:rPr>
        <w:t>第五条:合同金额及支付方式</w:t>
      </w:r>
      <w:r>
        <w:rPr>
          <w:rFonts w:ascii="宋体" w:hAnsi="宋体" w:eastAsia="宋体" w:cs="宋体"/>
          <w:kern w:val="0"/>
          <w:sz w:val="24"/>
          <w:szCs w:val="24"/>
        </w:rPr>
        <w:br w:type="textWrapping"/>
      </w:r>
      <w:r>
        <w:rPr>
          <w:rFonts w:ascii="宋体" w:hAnsi="宋体" w:eastAsia="宋体" w:cs="宋体"/>
          <w:kern w:val="0"/>
          <w:sz w:val="24"/>
          <w:szCs w:val="24"/>
        </w:rPr>
        <w:t>1.乙方按合同要求完成服务，经甲方考核确认后向乙方支</w:t>
      </w:r>
      <w:r>
        <w:rPr>
          <w:rFonts w:ascii="宋体" w:hAnsi="宋体" w:eastAsia="宋体" w:cs="宋体"/>
          <w:kern w:val="0"/>
          <w:sz w:val="24"/>
          <w:szCs w:val="24"/>
        </w:rPr>
        <w:br w:type="textWrapping"/>
      </w:r>
      <w:r>
        <w:rPr>
          <w:rFonts w:ascii="宋体" w:hAnsi="宋体" w:eastAsia="宋体" w:cs="宋体"/>
          <w:kern w:val="0"/>
          <w:sz w:val="24"/>
          <w:szCs w:val="24"/>
        </w:rPr>
        <w:t>付服务总价款：(大写)。</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2.支付方式</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甲方根招服务项目</w:t>
      </w:r>
      <w:r>
        <w:rPr>
          <w:rFonts w:hint="eastAsia" w:ascii="宋体" w:hAnsi="宋体" w:eastAsia="宋体" w:cs="宋体"/>
          <w:kern w:val="0"/>
          <w:sz w:val="24"/>
          <w:szCs w:val="24"/>
        </w:rPr>
        <w:t>实施</w:t>
      </w:r>
      <w:r>
        <w:rPr>
          <w:rFonts w:ascii="宋体" w:hAnsi="宋体" w:eastAsia="宋体" w:cs="宋体"/>
          <w:kern w:val="0"/>
          <w:sz w:val="24"/>
          <w:szCs w:val="24"/>
        </w:rPr>
        <w:t>进展情况，可采用以下支付方式向乙方支付服务价款:。</w:t>
      </w:r>
      <w:r>
        <w:rPr>
          <w:rFonts w:ascii="宋体" w:hAnsi="宋体" w:eastAsia="宋体" w:cs="宋体"/>
          <w:kern w:val="0"/>
          <w:sz w:val="24"/>
          <w:szCs w:val="24"/>
        </w:rPr>
        <w:br w:type="textWrapping"/>
      </w:r>
      <w:r>
        <w:rPr>
          <w:rFonts w:ascii="宋体" w:hAnsi="宋体" w:eastAsia="宋体" w:cs="宋体"/>
          <w:kern w:val="0"/>
          <w:sz w:val="24"/>
          <w:szCs w:val="24"/>
        </w:rPr>
        <w:t>3.支付时间</w:t>
      </w:r>
      <w:r>
        <w:rPr>
          <w:rFonts w:ascii="宋体" w:hAnsi="宋体" w:eastAsia="宋体" w:cs="宋体"/>
          <w:kern w:val="0"/>
          <w:sz w:val="24"/>
          <w:szCs w:val="24"/>
        </w:rPr>
        <w:br w:type="textWrapping"/>
      </w:r>
      <w:r>
        <w:rPr>
          <w:rFonts w:ascii="宋体" w:hAnsi="宋体" w:eastAsia="宋体" w:cs="宋体"/>
          <w:kern w:val="0"/>
          <w:sz w:val="24"/>
          <w:szCs w:val="24"/>
        </w:rPr>
        <w:t>第一次支付时间:。金额</w:t>
      </w:r>
      <w:r>
        <w:rPr>
          <w:rFonts w:hint="eastAsia" w:ascii="宋体" w:hAnsi="宋体" w:eastAsia="宋体" w:cs="宋体"/>
          <w:kern w:val="0"/>
          <w:sz w:val="24"/>
          <w:szCs w:val="24"/>
        </w:rPr>
        <w:t>：</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第二支付拨时间:。金额</w:t>
      </w:r>
      <w:r>
        <w:rPr>
          <w:rFonts w:hint="eastAsia" w:ascii="宋体" w:hAnsi="宋体" w:eastAsia="宋体" w:cs="宋体"/>
          <w:kern w:val="0"/>
          <w:sz w:val="24"/>
          <w:szCs w:val="24"/>
        </w:rPr>
        <w:t>：</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第三次支付时间:。金额</w:t>
      </w:r>
      <w:r>
        <w:rPr>
          <w:rFonts w:hint="eastAsia" w:ascii="宋体" w:hAnsi="宋体" w:eastAsia="宋体" w:cs="宋体"/>
          <w:kern w:val="0"/>
          <w:sz w:val="24"/>
          <w:szCs w:val="24"/>
        </w:rPr>
        <w:t>：</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第四次支付时间:。金额</w:t>
      </w:r>
      <w:r>
        <w:rPr>
          <w:rFonts w:hint="eastAsia" w:ascii="宋体" w:hAnsi="宋体" w:eastAsia="宋体" w:cs="宋体"/>
          <w:kern w:val="0"/>
          <w:sz w:val="24"/>
          <w:szCs w:val="24"/>
        </w:rPr>
        <w:t>：</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本合同保证金金额:。</w:t>
      </w:r>
      <w:r>
        <w:rPr>
          <w:rFonts w:ascii="宋体" w:hAnsi="宋体" w:eastAsia="宋体" w:cs="宋体"/>
          <w:kern w:val="0"/>
          <w:sz w:val="24"/>
          <w:szCs w:val="24"/>
        </w:rPr>
        <w:br w:type="textWrapping"/>
      </w:r>
      <w:r>
        <w:rPr>
          <w:rFonts w:ascii="宋体" w:hAnsi="宋体" w:eastAsia="宋体" w:cs="宋体"/>
          <w:kern w:val="0"/>
          <w:sz w:val="24"/>
          <w:szCs w:val="24"/>
        </w:rPr>
        <w:t>金额合同期满验收合格后支付合同保证金。</w:t>
      </w:r>
      <w:r>
        <w:rPr>
          <w:rFonts w:ascii="宋体" w:hAnsi="宋体" w:eastAsia="宋体" w:cs="宋体"/>
          <w:kern w:val="0"/>
          <w:sz w:val="24"/>
          <w:szCs w:val="24"/>
        </w:rPr>
        <w:br w:type="textWrapping"/>
      </w:r>
      <w:r>
        <w:rPr>
          <w:rFonts w:ascii="宋体" w:hAnsi="宋体" w:eastAsia="宋体" w:cs="宋体"/>
          <w:b/>
          <w:bCs/>
          <w:kern w:val="0"/>
          <w:sz w:val="24"/>
          <w:szCs w:val="24"/>
        </w:rPr>
        <w:t>第六条:合同的终止</w:t>
      </w:r>
      <w:r>
        <w:rPr>
          <w:rFonts w:ascii="宋体" w:hAnsi="宋体" w:eastAsia="宋体" w:cs="宋体"/>
          <w:kern w:val="0"/>
          <w:sz w:val="24"/>
          <w:szCs w:val="24"/>
        </w:rPr>
        <w:br w:type="textWrapping"/>
      </w:r>
      <w:r>
        <w:rPr>
          <w:rFonts w:ascii="宋体" w:hAnsi="宋体" w:eastAsia="宋体" w:cs="宋体"/>
          <w:kern w:val="0"/>
          <w:sz w:val="24"/>
          <w:szCs w:val="24"/>
        </w:rPr>
        <w:t>1.合同期满，双方未续签的;</w:t>
      </w:r>
      <w:r>
        <w:rPr>
          <w:rFonts w:ascii="宋体" w:hAnsi="宋体" w:eastAsia="宋体" w:cs="宋体"/>
          <w:kern w:val="0"/>
          <w:sz w:val="24"/>
          <w:szCs w:val="24"/>
        </w:rPr>
        <w:br w:type="textWrapping"/>
      </w:r>
      <w:r>
        <w:rPr>
          <w:rFonts w:ascii="宋体" w:hAnsi="宋体" w:eastAsia="宋体" w:cs="宋体"/>
          <w:kern w:val="0"/>
          <w:sz w:val="24"/>
          <w:szCs w:val="24"/>
        </w:rPr>
        <w:t>2.签订1年以上期限合同，上年度绩效评价结果不合格的;</w:t>
      </w:r>
      <w:r>
        <w:rPr>
          <w:rFonts w:ascii="宋体" w:hAnsi="宋体" w:eastAsia="宋体" w:cs="宋体"/>
          <w:kern w:val="0"/>
          <w:sz w:val="24"/>
          <w:szCs w:val="24"/>
        </w:rPr>
        <w:br w:type="textWrapping"/>
      </w:r>
      <w:r>
        <w:rPr>
          <w:rFonts w:ascii="宋体" w:hAnsi="宋体" w:eastAsia="宋体" w:cs="宋体"/>
          <w:kern w:val="0"/>
          <w:sz w:val="24"/>
          <w:szCs w:val="24"/>
        </w:rPr>
        <w:t>3.乙方服务能力丧失，致使服务无法正常进行的;</w:t>
      </w:r>
      <w:r>
        <w:rPr>
          <w:rFonts w:ascii="宋体" w:hAnsi="宋体" w:eastAsia="宋体" w:cs="宋体"/>
          <w:kern w:val="0"/>
          <w:sz w:val="24"/>
          <w:szCs w:val="24"/>
        </w:rPr>
        <w:br w:type="textWrapping"/>
      </w:r>
      <w:r>
        <w:rPr>
          <w:rFonts w:ascii="宋体" w:hAnsi="宋体" w:eastAsia="宋体" w:cs="宋体"/>
          <w:kern w:val="0"/>
          <w:sz w:val="24"/>
          <w:szCs w:val="24"/>
        </w:rPr>
        <w:t>4.发生政策或服务对象变化等不可抗力因素导致合同无法正常履行的:</w:t>
      </w:r>
      <w:r>
        <w:rPr>
          <w:rFonts w:ascii="宋体" w:hAnsi="宋体" w:eastAsia="宋体" w:cs="宋体"/>
          <w:kern w:val="0"/>
          <w:sz w:val="24"/>
          <w:szCs w:val="24"/>
        </w:rPr>
        <w:br w:type="textWrapping"/>
      </w:r>
      <w:r>
        <w:rPr>
          <w:rFonts w:ascii="宋体" w:hAnsi="宋体" w:eastAsia="宋体" w:cs="宋体"/>
          <w:kern w:val="0"/>
          <w:sz w:val="24"/>
          <w:szCs w:val="24"/>
        </w:rPr>
        <w:t>5.发现乙方已不符合《河南省财政厅关于印发(河南省政府购买服务操作指南》(试行)的通知》(豫财综【2016)11号)规定的承接主体应具备的条件，造成合同无法履行的。</w:t>
      </w:r>
      <w:r>
        <w:rPr>
          <w:rFonts w:ascii="宋体" w:hAnsi="宋体" w:eastAsia="宋体" w:cs="宋体"/>
          <w:kern w:val="0"/>
          <w:sz w:val="24"/>
          <w:szCs w:val="24"/>
        </w:rPr>
        <w:br w:type="textWrapping"/>
      </w:r>
      <w:r>
        <w:rPr>
          <w:rFonts w:hint="eastAsia" w:ascii="宋体" w:hAnsi="宋体" w:eastAsia="宋体" w:cs="宋体"/>
          <w:kern w:val="0"/>
          <w:sz w:val="24"/>
          <w:szCs w:val="24"/>
        </w:rPr>
        <w:t>6.招标文件规定的其他内容。</w:t>
      </w:r>
    </w:p>
    <w:p>
      <w:pPr>
        <w:widowControl/>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第七条:项目绩效评估</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乙方承接服务项目后，由甲方对项目实施情况进行过程跟踪和必要监督。项目完成后，甲方会同相关部门和社会中介机构等第三方对项目的工作绩效、服务对象受益情况、公众满意度等进行绩效评估，并对资金使用情况进行审计。</w:t>
      </w:r>
      <w:r>
        <w:rPr>
          <w:rFonts w:ascii="宋体" w:hAnsi="宋体" w:eastAsia="宋体" w:cs="宋体"/>
          <w:kern w:val="0"/>
          <w:sz w:val="24"/>
          <w:szCs w:val="24"/>
        </w:rPr>
        <w:br w:type="textWrapping"/>
      </w:r>
      <w:r>
        <w:rPr>
          <w:rFonts w:ascii="宋体" w:hAnsi="宋体" w:eastAsia="宋体" w:cs="宋体"/>
          <w:b/>
          <w:bCs/>
          <w:kern w:val="0"/>
          <w:sz w:val="24"/>
          <w:szCs w:val="24"/>
        </w:rPr>
        <w:t>第八条:双方权利义务</w:t>
      </w:r>
      <w:r>
        <w:rPr>
          <w:rFonts w:ascii="宋体" w:hAnsi="宋体" w:eastAsia="宋体" w:cs="宋体"/>
          <w:kern w:val="0"/>
          <w:sz w:val="24"/>
          <w:szCs w:val="24"/>
        </w:rPr>
        <w:br w:type="textWrapping"/>
      </w:r>
      <w:r>
        <w:rPr>
          <w:rFonts w:ascii="宋体" w:hAnsi="宋体" w:eastAsia="宋体" w:cs="宋体"/>
          <w:kern w:val="0"/>
          <w:sz w:val="24"/>
          <w:szCs w:val="24"/>
        </w:rPr>
        <w:t>（一)甲方权利义务</w:t>
      </w:r>
      <w:r>
        <w:rPr>
          <w:rFonts w:ascii="宋体" w:hAnsi="宋体" w:eastAsia="宋体" w:cs="宋体"/>
          <w:kern w:val="0"/>
          <w:sz w:val="24"/>
          <w:szCs w:val="24"/>
        </w:rPr>
        <w:br w:type="textWrapping"/>
      </w:r>
      <w:r>
        <w:rPr>
          <w:rFonts w:ascii="宋体" w:hAnsi="宋体" w:eastAsia="宋体" w:cs="宋体"/>
          <w:kern w:val="0"/>
          <w:sz w:val="24"/>
          <w:szCs w:val="24"/>
        </w:rPr>
        <w:t>1.甲方负责在协议签订前确定购买项目的实施标准或规范。</w:t>
      </w:r>
      <w:r>
        <w:rPr>
          <w:rFonts w:ascii="宋体" w:hAnsi="宋体" w:eastAsia="宋体" w:cs="宋体"/>
          <w:kern w:val="0"/>
          <w:sz w:val="24"/>
          <w:szCs w:val="24"/>
        </w:rPr>
        <w:br w:type="textWrapping"/>
      </w:r>
      <w:r>
        <w:rPr>
          <w:rFonts w:ascii="宋体" w:hAnsi="宋体" w:eastAsia="宋体" w:cs="宋体"/>
          <w:kern w:val="0"/>
          <w:sz w:val="24"/>
          <w:szCs w:val="24"/>
        </w:rPr>
        <w:t>2.按期了解掌握项目进度及资金使用情况，进行必要的监督检查。</w:t>
      </w:r>
      <w:r>
        <w:rPr>
          <w:rFonts w:ascii="宋体" w:hAnsi="宋体" w:eastAsia="宋体" w:cs="宋体"/>
          <w:kern w:val="0"/>
          <w:sz w:val="24"/>
          <w:szCs w:val="24"/>
        </w:rPr>
        <w:br w:type="textWrapping"/>
      </w:r>
      <w:r>
        <w:rPr>
          <w:rFonts w:ascii="宋体" w:hAnsi="宋体" w:eastAsia="宋体" w:cs="宋体"/>
          <w:kern w:val="0"/>
          <w:sz w:val="24"/>
          <w:szCs w:val="24"/>
        </w:rPr>
        <w:t>3.组织第三方对乙方实施项目情况进行评估。</w:t>
      </w:r>
      <w:r>
        <w:rPr>
          <w:rFonts w:ascii="宋体" w:hAnsi="宋体" w:eastAsia="宋体" w:cs="宋体"/>
          <w:kern w:val="0"/>
          <w:sz w:val="24"/>
          <w:szCs w:val="24"/>
        </w:rPr>
        <w:br w:type="textWrapping"/>
      </w:r>
      <w:r>
        <w:rPr>
          <w:rFonts w:ascii="宋体" w:hAnsi="宋体" w:eastAsia="宋体" w:cs="宋体"/>
          <w:kern w:val="0"/>
          <w:sz w:val="24"/>
          <w:szCs w:val="24"/>
        </w:rPr>
        <w:t>1.按约定支付资金。</w:t>
      </w:r>
      <w:r>
        <w:rPr>
          <w:rFonts w:ascii="宋体" w:hAnsi="宋体" w:eastAsia="宋体" w:cs="宋体"/>
          <w:kern w:val="0"/>
          <w:sz w:val="24"/>
          <w:szCs w:val="24"/>
        </w:rPr>
        <w:br w:type="textWrapping"/>
      </w:r>
      <w:r>
        <w:rPr>
          <w:rFonts w:hint="eastAsia" w:ascii="宋体" w:hAnsi="宋体" w:eastAsia="宋体" w:cs="宋体"/>
          <w:kern w:val="0"/>
          <w:sz w:val="24"/>
          <w:szCs w:val="24"/>
        </w:rPr>
        <w:t>（二）</w:t>
      </w:r>
      <w:r>
        <w:rPr>
          <w:rFonts w:ascii="宋体" w:hAnsi="宋体" w:eastAsia="宋体" w:cs="宋体"/>
          <w:kern w:val="0"/>
          <w:sz w:val="24"/>
          <w:szCs w:val="24"/>
        </w:rPr>
        <w:t>乙方权利义务</w:t>
      </w:r>
      <w:r>
        <w:rPr>
          <w:rFonts w:ascii="宋体" w:hAnsi="宋体" w:eastAsia="宋体" w:cs="宋体"/>
          <w:kern w:val="0"/>
          <w:sz w:val="24"/>
          <w:szCs w:val="24"/>
        </w:rPr>
        <w:br w:type="textWrapping"/>
      </w:r>
      <w:r>
        <w:rPr>
          <w:rFonts w:ascii="宋体" w:hAnsi="宋体" w:eastAsia="宋体" w:cs="宋体"/>
          <w:kern w:val="0"/>
          <w:sz w:val="24"/>
          <w:szCs w:val="24"/>
        </w:rPr>
        <w:t>1.乙方可要求甲方按本合同的规定按时足额支付项目经费。</w:t>
      </w:r>
      <w:r>
        <w:rPr>
          <w:rFonts w:ascii="宋体" w:hAnsi="宋体" w:eastAsia="宋体" w:cs="宋体"/>
          <w:kern w:val="0"/>
          <w:sz w:val="24"/>
          <w:szCs w:val="24"/>
        </w:rPr>
        <w:br w:type="textWrapping"/>
      </w:r>
      <w:r>
        <w:rPr>
          <w:rFonts w:ascii="宋体" w:hAnsi="宋体" w:eastAsia="宋体" w:cs="宋体"/>
          <w:kern w:val="0"/>
          <w:sz w:val="24"/>
          <w:szCs w:val="24"/>
        </w:rPr>
        <w:t>2.乙方应按时、按标准完成项目任务。</w:t>
      </w:r>
      <w:r>
        <w:rPr>
          <w:rFonts w:ascii="宋体" w:hAnsi="宋体" w:eastAsia="宋体" w:cs="宋体"/>
          <w:kern w:val="0"/>
          <w:sz w:val="24"/>
          <w:szCs w:val="24"/>
        </w:rPr>
        <w:br w:type="textWrapping"/>
      </w:r>
      <w:r>
        <w:rPr>
          <w:rFonts w:ascii="宋体" w:hAnsi="宋体" w:eastAsia="宋体" w:cs="宋体"/>
          <w:kern w:val="0"/>
          <w:sz w:val="24"/>
          <w:szCs w:val="24"/>
        </w:rPr>
        <w:t>3.不得再委托或转包服务项目。</w:t>
      </w:r>
      <w:r>
        <w:rPr>
          <w:rFonts w:ascii="宋体" w:hAnsi="宋体" w:eastAsia="宋体" w:cs="宋体"/>
          <w:kern w:val="0"/>
          <w:sz w:val="24"/>
          <w:szCs w:val="24"/>
        </w:rPr>
        <w:br w:type="textWrapping"/>
      </w:r>
      <w:r>
        <w:rPr>
          <w:rFonts w:ascii="宋体" w:hAnsi="宋体" w:eastAsia="宋体" w:cs="宋体"/>
          <w:kern w:val="0"/>
          <w:sz w:val="24"/>
          <w:szCs w:val="24"/>
        </w:rPr>
        <w:t>4.应按要求按期如实报告项目进展情况。</w:t>
      </w:r>
      <w:r>
        <w:rPr>
          <w:rFonts w:ascii="宋体" w:hAnsi="宋体" w:eastAsia="宋体" w:cs="宋体"/>
          <w:kern w:val="0"/>
          <w:sz w:val="24"/>
          <w:szCs w:val="24"/>
        </w:rPr>
        <w:br w:type="textWrapping"/>
      </w:r>
      <w:r>
        <w:rPr>
          <w:rFonts w:ascii="宋体" w:hAnsi="宋体" w:eastAsia="宋体" w:cs="宋体"/>
          <w:kern w:val="0"/>
          <w:sz w:val="24"/>
          <w:szCs w:val="24"/>
        </w:rPr>
        <w:t>5.乙方未能按期完成约定服务内容，应将相应款项返还甲方。</w:t>
      </w:r>
      <w:r>
        <w:rPr>
          <w:rFonts w:ascii="宋体" w:hAnsi="宋体" w:eastAsia="宋体" w:cs="宋体"/>
          <w:kern w:val="0"/>
          <w:sz w:val="24"/>
          <w:szCs w:val="24"/>
        </w:rPr>
        <w:br w:type="textWrapping"/>
      </w:r>
      <w:r>
        <w:rPr>
          <w:rFonts w:ascii="宋体" w:hAnsi="宋体" w:eastAsia="宋体" w:cs="宋体"/>
          <w:b/>
          <w:bCs/>
          <w:kern w:val="0"/>
          <w:sz w:val="24"/>
          <w:szCs w:val="24"/>
        </w:rPr>
        <w:t>第九条:违约责任</w:t>
      </w:r>
      <w:r>
        <w:rPr>
          <w:rFonts w:ascii="宋体" w:hAnsi="宋体" w:eastAsia="宋体" w:cs="宋体"/>
          <w:kern w:val="0"/>
          <w:sz w:val="24"/>
          <w:szCs w:val="24"/>
        </w:rPr>
        <w:br w:type="textWrapping"/>
      </w:r>
      <w:r>
        <w:rPr>
          <w:rFonts w:ascii="宋体" w:hAnsi="宋体" w:eastAsia="宋体" w:cs="宋体"/>
          <w:kern w:val="0"/>
          <w:sz w:val="24"/>
          <w:szCs w:val="24"/>
        </w:rPr>
        <w:t>(一)违约行为:</w:t>
      </w:r>
      <w:r>
        <w:rPr>
          <w:rFonts w:ascii="宋体" w:hAnsi="宋体" w:eastAsia="宋体" w:cs="宋体"/>
          <w:kern w:val="0"/>
          <w:sz w:val="24"/>
          <w:szCs w:val="24"/>
        </w:rPr>
        <w:br w:type="textWrapping"/>
      </w:r>
      <w:r>
        <w:rPr>
          <w:rFonts w:ascii="宋体" w:hAnsi="宋体" w:eastAsia="宋体" w:cs="宋体"/>
          <w:kern w:val="0"/>
          <w:sz w:val="24"/>
          <w:szCs w:val="24"/>
        </w:rPr>
        <w:t>除不可抗力外，甲方无故终止项目、不按期委托评估项目、不按约定付款、不能按约定结算等故意违反约定的行为视为违约;</w:t>
      </w:r>
      <w:r>
        <w:rPr>
          <w:rFonts w:ascii="宋体" w:hAnsi="宋体" w:eastAsia="宋体" w:cs="宋体"/>
          <w:kern w:val="0"/>
          <w:sz w:val="24"/>
          <w:szCs w:val="24"/>
        </w:rPr>
        <w:br w:type="textWrapping"/>
      </w:r>
      <w:r>
        <w:rPr>
          <w:rFonts w:ascii="宋体" w:hAnsi="宋体" w:eastAsia="宋体" w:cs="宋体"/>
          <w:kern w:val="0"/>
          <w:sz w:val="24"/>
          <w:szCs w:val="24"/>
        </w:rPr>
        <w:t>除不可抗力外，乙方未按约定完成目标任务、不能达到约定标准(规范)、有意拖延项目实施或者在实施项目过程中存虚假欺骗等行为视为违约。</w:t>
      </w:r>
      <w:r>
        <w:rPr>
          <w:rFonts w:ascii="宋体" w:hAnsi="宋体" w:eastAsia="宋体" w:cs="宋体"/>
          <w:kern w:val="0"/>
          <w:sz w:val="24"/>
          <w:szCs w:val="24"/>
        </w:rPr>
        <w:br w:type="textWrapping"/>
      </w:r>
      <w:r>
        <w:rPr>
          <w:rFonts w:ascii="宋体" w:hAnsi="宋体" w:eastAsia="宋体" w:cs="宋体"/>
          <w:kern w:val="0"/>
          <w:sz w:val="24"/>
          <w:szCs w:val="24"/>
        </w:rPr>
        <w:t>(二)违约责任:</w:t>
      </w:r>
      <w:r>
        <w:rPr>
          <w:rFonts w:ascii="宋体" w:hAnsi="宋体" w:eastAsia="宋体" w:cs="宋体"/>
          <w:kern w:val="0"/>
          <w:sz w:val="24"/>
          <w:szCs w:val="24"/>
        </w:rPr>
        <w:br w:type="textWrapping"/>
      </w:r>
      <w:r>
        <w:rPr>
          <w:rFonts w:ascii="宋体" w:hAnsi="宋体" w:eastAsia="宋体" w:cs="宋体"/>
          <w:kern w:val="0"/>
          <w:sz w:val="24"/>
          <w:szCs w:val="24"/>
        </w:rPr>
        <w:t>可按项目总价款的5%的金额设立违约金。</w:t>
      </w:r>
      <w:r>
        <w:rPr>
          <w:rFonts w:ascii="宋体" w:hAnsi="宋体" w:eastAsia="宋体" w:cs="宋体"/>
          <w:kern w:val="0"/>
          <w:sz w:val="24"/>
          <w:szCs w:val="24"/>
        </w:rPr>
        <w:br w:type="textWrapping"/>
      </w:r>
      <w:r>
        <w:rPr>
          <w:rFonts w:ascii="宋体" w:hAnsi="宋体" w:eastAsia="宋体" w:cs="宋体"/>
          <w:kern w:val="0"/>
          <w:sz w:val="24"/>
          <w:szCs w:val="24"/>
        </w:rPr>
        <w:t>在合同履行过程中，双方因违约或重大过失造成对方经济损失的应当赔偿。甲乙双方违约的，各方应进行平等协商。协商不成的，可以向有管辖权的人民法院提起诉讼。</w:t>
      </w:r>
    </w:p>
    <w:p>
      <w:pPr>
        <w:tabs>
          <w:tab w:val="left" w:pos="1260"/>
        </w:tabs>
        <w:autoSpaceDE w:val="0"/>
        <w:autoSpaceDN w:val="0"/>
        <w:adjustRightInd w:val="0"/>
        <w:spacing w:line="360" w:lineRule="auto"/>
        <w:contextualSpacing/>
        <w:jc w:val="left"/>
        <w:rPr>
          <w:rFonts w:ascii="宋体" w:hAnsi="宋体" w:eastAsia="宋体" w:cs="宋体"/>
          <w:kern w:val="0"/>
          <w:sz w:val="24"/>
          <w:szCs w:val="24"/>
        </w:rPr>
      </w:pPr>
      <w:r>
        <w:rPr>
          <w:rFonts w:ascii="宋体" w:hAnsi="宋体" w:eastAsia="宋体" w:cs="宋体"/>
          <w:kern w:val="0"/>
          <w:sz w:val="24"/>
          <w:szCs w:val="24"/>
        </w:rPr>
        <w:t>乙方违约的，甲方有权采取单方面终止合同、取消乙方承接主体资格、追回拨款的本金和利息、要求赔偿违约金。</w:t>
      </w:r>
      <w:r>
        <w:rPr>
          <w:rFonts w:ascii="宋体" w:hAnsi="宋体" w:eastAsia="宋体" w:cs="宋体"/>
          <w:kern w:val="0"/>
          <w:sz w:val="24"/>
          <w:szCs w:val="24"/>
        </w:rPr>
        <w:br w:type="textWrapping"/>
      </w:r>
      <w:r>
        <w:rPr>
          <w:rFonts w:ascii="宋体" w:hAnsi="宋体" w:eastAsia="宋体" w:cs="宋体"/>
          <w:b/>
          <w:bCs/>
          <w:kern w:val="0"/>
          <w:sz w:val="24"/>
          <w:szCs w:val="24"/>
        </w:rPr>
        <w:t>第十条:</w:t>
      </w:r>
      <w:r>
        <w:rPr>
          <w:rFonts w:ascii="宋体" w:hAnsi="宋体" w:eastAsia="宋体" w:cs="宋体"/>
          <w:kern w:val="0"/>
          <w:sz w:val="24"/>
          <w:szCs w:val="24"/>
        </w:rPr>
        <w:t>本合同一式三份，甲方、乙方、当地财政部门各执一份，经甲、乙方法定代表人签章之日起生效。本合同未尽事宜，可以另行制定补充条款，补充条款与正文具有同等法律效力。</w:t>
      </w:r>
      <w:r>
        <w:rPr>
          <w:rFonts w:ascii="宋体" w:hAnsi="宋体" w:eastAsia="宋体" w:cs="宋体"/>
          <w:kern w:val="0"/>
          <w:sz w:val="24"/>
          <w:szCs w:val="24"/>
        </w:rPr>
        <w:br w:type="textWrapping"/>
      </w:r>
      <w:r>
        <w:rPr>
          <w:rFonts w:ascii="宋体" w:hAnsi="宋体" w:eastAsia="宋体" w:cs="宋体"/>
          <w:kern w:val="0"/>
          <w:sz w:val="24"/>
          <w:szCs w:val="24"/>
        </w:rPr>
        <w:t>附件:1.(签定具体合同时，若有附件应注明附件名称)</w:t>
      </w:r>
      <w:r>
        <w:rPr>
          <w:rFonts w:ascii="宋体" w:hAnsi="宋体" w:eastAsia="宋体" w:cs="宋体"/>
          <w:kern w:val="0"/>
          <w:sz w:val="24"/>
          <w:szCs w:val="24"/>
        </w:rPr>
        <w:br w:type="textWrapping"/>
      </w:r>
      <w:r>
        <w:rPr>
          <w:rFonts w:ascii="宋体" w:hAnsi="宋体" w:eastAsia="宋体" w:cs="宋体"/>
          <w:kern w:val="0"/>
          <w:sz w:val="24"/>
          <w:szCs w:val="24"/>
        </w:rPr>
        <w:t>甲方(公章)乙方(公章)</w:t>
      </w:r>
      <w:r>
        <w:rPr>
          <w:rFonts w:ascii="宋体" w:hAnsi="宋体" w:eastAsia="宋体" w:cs="宋体"/>
          <w:kern w:val="0"/>
          <w:sz w:val="24"/>
          <w:szCs w:val="24"/>
        </w:rPr>
        <w:br w:type="textWrapping"/>
      </w:r>
      <w:r>
        <w:rPr>
          <w:rFonts w:ascii="宋体" w:hAnsi="宋体" w:eastAsia="宋体" w:cs="宋体"/>
          <w:kern w:val="0"/>
          <w:sz w:val="24"/>
          <w:szCs w:val="24"/>
        </w:rPr>
        <w:t>单位名称:单位名称:</w:t>
      </w:r>
      <w:r>
        <w:rPr>
          <w:rFonts w:ascii="宋体" w:hAnsi="宋体" w:eastAsia="宋体" w:cs="宋体"/>
          <w:kern w:val="0"/>
          <w:sz w:val="24"/>
          <w:szCs w:val="24"/>
        </w:rPr>
        <w:br w:type="textWrapping"/>
      </w:r>
      <w:r>
        <w:rPr>
          <w:rFonts w:ascii="宋体" w:hAnsi="宋体" w:eastAsia="宋体" w:cs="宋体"/>
          <w:kern w:val="0"/>
          <w:sz w:val="24"/>
          <w:szCs w:val="24"/>
        </w:rPr>
        <w:t>法定代表人:法定代表人:</w:t>
      </w:r>
      <w:r>
        <w:rPr>
          <w:rFonts w:ascii="宋体" w:hAnsi="宋体" w:eastAsia="宋体" w:cs="宋体"/>
          <w:kern w:val="0"/>
          <w:sz w:val="24"/>
          <w:szCs w:val="24"/>
        </w:rPr>
        <w:br w:type="textWrapping"/>
      </w:r>
      <w:r>
        <w:rPr>
          <w:rFonts w:ascii="宋体" w:hAnsi="宋体" w:eastAsia="宋体" w:cs="宋体"/>
          <w:kern w:val="0"/>
          <w:sz w:val="24"/>
          <w:szCs w:val="24"/>
        </w:rPr>
        <w:t>地址:地址:</w:t>
      </w:r>
      <w:r>
        <w:rPr>
          <w:rFonts w:ascii="宋体" w:hAnsi="宋体" w:eastAsia="宋体" w:cs="宋体"/>
          <w:kern w:val="0"/>
          <w:sz w:val="24"/>
          <w:szCs w:val="24"/>
        </w:rPr>
        <w:br w:type="textWrapping"/>
      </w:r>
      <w:r>
        <w:rPr>
          <w:rFonts w:ascii="宋体" w:hAnsi="宋体" w:eastAsia="宋体" w:cs="宋体"/>
          <w:kern w:val="0"/>
          <w:sz w:val="24"/>
          <w:szCs w:val="24"/>
        </w:rPr>
        <w:t>电话:电话:</w:t>
      </w:r>
      <w:r>
        <w:rPr>
          <w:rFonts w:ascii="宋体" w:hAnsi="宋体" w:eastAsia="宋体" w:cs="宋体"/>
          <w:kern w:val="0"/>
          <w:sz w:val="24"/>
          <w:szCs w:val="24"/>
        </w:rPr>
        <w:br w:type="textWrapping"/>
      </w:r>
      <w:r>
        <w:rPr>
          <w:rFonts w:ascii="宋体" w:hAnsi="宋体" w:eastAsia="宋体" w:cs="宋体"/>
          <w:kern w:val="0"/>
          <w:sz w:val="24"/>
          <w:szCs w:val="24"/>
        </w:rPr>
        <w:t>传真:传真:</w:t>
      </w:r>
      <w:r>
        <w:rPr>
          <w:rFonts w:ascii="宋体" w:hAnsi="宋体" w:eastAsia="宋体" w:cs="宋体"/>
          <w:kern w:val="0"/>
          <w:sz w:val="24"/>
          <w:szCs w:val="24"/>
        </w:rPr>
        <w:br w:type="textWrapping"/>
      </w:r>
      <w:r>
        <w:rPr>
          <w:rFonts w:ascii="宋体" w:hAnsi="宋体" w:eastAsia="宋体" w:cs="宋体"/>
          <w:kern w:val="0"/>
          <w:sz w:val="24"/>
          <w:szCs w:val="24"/>
        </w:rPr>
        <w:t>签约日期:年月日签约日期:年月日</w:t>
      </w:r>
      <w:r>
        <w:rPr>
          <w:rFonts w:ascii="宋体" w:hAnsi="宋体" w:eastAsia="宋体" w:cs="宋体"/>
          <w:kern w:val="0"/>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kern w:val="0"/>
          <w:sz w:val="24"/>
          <w:szCs w:val="24"/>
        </w:rPr>
      </w:pPr>
      <w:r>
        <w:rPr>
          <w:rFonts w:ascii="宋体" w:hAnsi="宋体" w:eastAsia="宋体" w:cs="宋体"/>
          <w:kern w:val="0"/>
          <w:sz w:val="24"/>
          <w:szCs w:val="24"/>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项目实施方案</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③本表序号26请根据所投产品提供证书或截图情况填写其中一项即可。</w:t>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2415"/>
        <w:gridCol w:w="311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24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31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pPr>
            <w:r>
              <w:rPr>
                <w:rFonts w:hint="eastAsia"/>
                <w:lang w:val="zh-CN"/>
              </w:rPr>
              <w:t>大写：</w:t>
            </w:r>
          </w:p>
          <w:p>
            <w:pPr>
              <w:autoSpaceDE w:val="0"/>
              <w:autoSpaceDN w:val="0"/>
              <w:adjustRightInd w:val="0"/>
              <w:spacing w:line="480" w:lineRule="exact"/>
              <w:rPr>
                <w:lang w:val="zh-CN"/>
              </w:rPr>
            </w:pPr>
            <w:r>
              <w:rPr>
                <w:rFonts w:hint="eastAsia"/>
                <w:lang w:val="zh-CN"/>
              </w:rPr>
              <w:t>小写：</w:t>
            </w:r>
            <w:r>
              <w:rPr>
                <w:rFonts w:hint="eastAsia" w:ascii="宋体" w:hAnsi="宋体" w:cs="仿宋_GB2312"/>
                <w:sz w:val="24"/>
                <w:szCs w:val="24"/>
                <w:shd w:val="clear" w:color="auto" w:fill="FFFFFF"/>
              </w:rPr>
              <w:t>元/次</w:t>
            </w:r>
          </w:p>
        </w:tc>
        <w:tc>
          <w:tcPr>
            <w:tcW w:w="3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3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br w:type="page"/>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4"/>
        <w:spacing w:line="480" w:lineRule="auto"/>
        <w:ind w:firstLine="472" w:firstLineChars="225"/>
        <w:jc w:val="left"/>
        <w:rPr>
          <w:rFonts w:asciiTheme="minorEastAsia" w:hAnsiTheme="minorEastAsia"/>
          <w:sz w:val="21"/>
          <w:szCs w:val="21"/>
        </w:rPr>
      </w:pPr>
    </w:p>
    <w:p>
      <w:pPr>
        <w:pStyle w:val="44"/>
        <w:spacing w:line="480" w:lineRule="auto"/>
        <w:ind w:firstLine="472" w:firstLineChars="225"/>
        <w:jc w:val="left"/>
        <w:rPr>
          <w:rFonts w:asciiTheme="minorEastAsia" w:hAnsiTheme="minorEastAsia"/>
          <w:sz w:val="21"/>
          <w:szCs w:val="21"/>
        </w:rPr>
      </w:pPr>
    </w:p>
    <w:p>
      <w:pPr>
        <w:pStyle w:val="4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24"/>
          <w:szCs w:val="24"/>
        </w:rPr>
        <w:t xml:space="preserve">3.5 </w:t>
      </w:r>
      <w:r>
        <w:rPr>
          <w:rFonts w:hint="eastAsia" w:ascii="宋体" w:hAnsi="宋体"/>
          <w:b/>
          <w:bCs/>
          <w:sz w:val="24"/>
          <w:szCs w:val="24"/>
          <w:lang w:val="zh-CN"/>
        </w:rPr>
        <w:t>投标承诺函</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rPr>
        <w:t>：</w:t>
      </w:r>
      <w:r>
        <w:rPr>
          <w:rFonts w:hint="eastAsia" w:ascii="宋体" w:hAnsi="宋体" w:cs="宋体"/>
          <w:sz w:val="24"/>
          <w:szCs w:val="24"/>
          <w:u w:val="single"/>
          <w:lang w:val="zh-CN"/>
        </w:rPr>
        <w:t>采购人</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经研究，我方自愿参与贵方____年____月____日</w:t>
      </w:r>
      <w:r>
        <w:rPr>
          <w:rFonts w:hint="eastAsia" w:ascii="宋体" w:hAnsi="宋体" w:cs="宋体"/>
          <w:sz w:val="24"/>
          <w:szCs w:val="24"/>
          <w:u w:val="single"/>
          <w:lang w:val="zh-CN"/>
        </w:rPr>
        <w:t>（招标编号、项目名称）</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beforeLines="50" w:afterLines="50" w:line="360" w:lineRule="auto"/>
        <w:ind w:firstLine="3120" w:firstLineChars="1300"/>
        <w:rPr>
          <w:rFonts w:ascii="宋体" w:hAnsi="宋体" w:cs="宋体"/>
          <w:sz w:val="24"/>
          <w:szCs w:val="24"/>
          <w:lang w:val="zh-CN"/>
        </w:rPr>
      </w:pPr>
      <w:r>
        <w:rPr>
          <w:rFonts w:hint="eastAsia" w:ascii="宋体" w:hAnsi="宋体" w:cs="宋体"/>
          <w:sz w:val="24"/>
          <w:szCs w:val="24"/>
          <w:lang w:val="zh-CN"/>
        </w:rPr>
        <w:t>投标人名称（盖章）：</w:t>
      </w:r>
      <w:r>
        <w:rPr>
          <w:rFonts w:hint="eastAsia" w:ascii="宋体" w:hAnsi="宋体" w:cs="宋体"/>
          <w:sz w:val="24"/>
          <w:szCs w:val="24"/>
          <w:u w:val="single"/>
          <w:lang w:val="zh-CN"/>
        </w:rPr>
        <w:t>　　　　　　　　</w:t>
      </w:r>
      <w:r>
        <w:rPr>
          <w:rFonts w:hint="eastAsia" w:ascii="宋体" w:hAnsi="宋体" w:cs="宋体"/>
          <w:sz w:val="24"/>
          <w:szCs w:val="24"/>
          <w:lang w:val="zh-CN"/>
        </w:rPr>
        <w:t>　</w:t>
      </w:r>
    </w:p>
    <w:p>
      <w:pPr>
        <w:spacing w:beforeLines="50" w:afterLines="50" w:line="360" w:lineRule="auto"/>
        <w:ind w:firstLine="3120" w:firstLineChars="1300"/>
        <w:rPr>
          <w:rFonts w:ascii="宋体" w:hAnsi="宋体" w:cs="宋体"/>
          <w:sz w:val="24"/>
          <w:szCs w:val="24"/>
          <w:lang w:val="zh-CN"/>
        </w:rPr>
      </w:pPr>
      <w:r>
        <w:rPr>
          <w:rFonts w:hint="eastAsia" w:ascii="宋体" w:hAnsi="宋体" w:cs="宋体"/>
          <w:sz w:val="24"/>
          <w:szCs w:val="24"/>
          <w:lang w:val="zh-CN"/>
        </w:rPr>
        <w:t xml:space="preserve">日　  期： </w:t>
      </w:r>
      <w:r>
        <w:rPr>
          <w:rFonts w:hint="eastAsia" w:ascii="宋体" w:hAnsi="宋体" w:cs="宋体"/>
          <w:sz w:val="24"/>
          <w:szCs w:val="24"/>
        </w:rPr>
        <w:t>2019</w:t>
      </w:r>
      <w:r>
        <w:rPr>
          <w:rFonts w:hint="eastAsia" w:ascii="宋体" w:hAnsi="宋体" w:cs="宋体"/>
          <w:sz w:val="24"/>
          <w:szCs w:val="24"/>
          <w:lang w:val="zh-CN"/>
        </w:rPr>
        <w:t>年月 日</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3093"/>
          <w:tab w:val="center" w:pos="4873"/>
        </w:tabs>
        <w:autoSpaceDE w:val="0"/>
        <w:autoSpaceDN w:val="0"/>
        <w:adjustRightInd w:val="0"/>
        <w:spacing w:line="360" w:lineRule="auto"/>
        <w:jc w:val="left"/>
        <w:rPr>
          <w:rFonts w:cs="黑体" w:asciiTheme="minorEastAsia" w:hAnsiTheme="minorEastAsia"/>
          <w:b/>
          <w:bCs/>
          <w:sz w:val="28"/>
          <w:szCs w:val="28"/>
          <w:lang w:val="zh-CN"/>
        </w:rPr>
      </w:pPr>
      <w:r>
        <w:rPr>
          <w:rFonts w:cs="黑体" w:asciiTheme="minorEastAsia" w:hAnsiTheme="minorEastAsia"/>
          <w:b/>
          <w:bCs/>
          <w:sz w:val="28"/>
          <w:szCs w:val="28"/>
          <w:lang w:val="zh-CN"/>
        </w:rPr>
        <w:tab/>
      </w:r>
      <w:r>
        <w:rPr>
          <w:rFonts w:cs="黑体" w:asciiTheme="minorEastAsia" w:hAnsiTheme="minorEastAsia"/>
          <w:b/>
          <w:bCs/>
          <w:sz w:val="28"/>
          <w:szCs w:val="28"/>
          <w:lang w:val="zh-CN"/>
        </w:rPr>
        <w:tab/>
      </w:r>
      <w:r>
        <w:rPr>
          <w:rFonts w:hint="eastAsia" w:cs="黑体" w:asciiTheme="minorEastAsia" w:hAnsiTheme="minorEastAsia"/>
          <w:b/>
          <w:bCs/>
          <w:sz w:val="28"/>
          <w:szCs w:val="28"/>
          <w:lang w:val="zh-CN"/>
        </w:rPr>
        <w:t>四、符合性审查证明材料</w:t>
      </w:r>
    </w:p>
    <w:p>
      <w:pPr>
        <w:autoSpaceDE w:val="0"/>
        <w:autoSpaceDN w:val="0"/>
        <w:adjustRightInd w:val="0"/>
        <w:spacing w:line="480" w:lineRule="auto"/>
        <w:rPr>
          <w:rFonts w:cs="宋体" w:asciiTheme="minorEastAsia" w:hAnsiTheme="minorEastAsia"/>
          <w:szCs w:val="21"/>
          <w:lang w:val="zh-CN"/>
        </w:rPr>
      </w:pPr>
    </w:p>
    <w:p>
      <w:pPr>
        <w:widowControl/>
        <w:spacing w:line="500" w:lineRule="exact"/>
        <w:ind w:left="-2"/>
        <w:jc w:val="center"/>
        <w:rPr>
          <w:rFonts w:ascii="宋体" w:hAnsi="宋体"/>
          <w:b/>
          <w:bCs/>
          <w:sz w:val="24"/>
          <w:szCs w:val="24"/>
        </w:rPr>
      </w:pPr>
      <w:r>
        <w:rPr>
          <w:rFonts w:hint="eastAsia" w:ascii="宋体" w:hAnsi="宋体"/>
          <w:b/>
          <w:bCs/>
          <w:sz w:val="24"/>
          <w:szCs w:val="24"/>
        </w:rPr>
        <w:t>4.1项目实施方案</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1、管理制度</w:t>
      </w:r>
    </w:p>
    <w:p>
      <w:pPr>
        <w:widowControl/>
        <w:spacing w:line="500" w:lineRule="exact"/>
        <w:ind w:left="-2"/>
        <w:contextualSpacing/>
        <w:jc w:val="left"/>
        <w:rPr>
          <w:rFonts w:ascii="宋体" w:hAnsi="宋体" w:eastAsia="宋体" w:cs="宋体"/>
          <w:sz w:val="24"/>
          <w:szCs w:val="24"/>
        </w:rPr>
      </w:pPr>
      <w:r>
        <w:rPr>
          <w:rFonts w:hint="eastAsia" w:ascii="宋体" w:hAnsi="宋体" w:eastAsia="宋体" w:cs="宋体"/>
          <w:sz w:val="24"/>
          <w:szCs w:val="24"/>
        </w:rPr>
        <w:t>2、服务质量监管</w:t>
      </w:r>
    </w:p>
    <w:p>
      <w:pPr>
        <w:widowControl/>
        <w:spacing w:line="500" w:lineRule="exact"/>
        <w:ind w:left="-2"/>
        <w:contextualSpacing/>
        <w:jc w:val="left"/>
        <w:rPr>
          <w:rFonts w:ascii="宋体" w:hAnsi="宋体" w:eastAsia="宋体" w:cs="宋体"/>
          <w:sz w:val="24"/>
          <w:szCs w:val="24"/>
        </w:rPr>
      </w:pPr>
      <w:r>
        <w:rPr>
          <w:rFonts w:hint="eastAsia" w:ascii="宋体" w:hAnsi="宋体" w:eastAsia="宋体" w:cs="宋体"/>
          <w:sz w:val="24"/>
          <w:szCs w:val="24"/>
        </w:rPr>
        <w:t>3、档案管理方案</w:t>
      </w:r>
    </w:p>
    <w:p>
      <w:pPr>
        <w:widowControl/>
        <w:spacing w:line="500" w:lineRule="exact"/>
        <w:ind w:left="-2"/>
        <w:contextualSpacing/>
        <w:jc w:val="left"/>
        <w:rPr>
          <w:rFonts w:ascii="宋体" w:hAnsi="宋体" w:eastAsia="宋体" w:cs="宋体"/>
          <w:sz w:val="24"/>
          <w:szCs w:val="24"/>
        </w:rPr>
      </w:pPr>
      <w:r>
        <w:rPr>
          <w:rFonts w:hint="eastAsia" w:ascii="宋体" w:hAnsi="宋体" w:eastAsia="宋体" w:cs="宋体"/>
          <w:sz w:val="24"/>
          <w:szCs w:val="24"/>
        </w:rPr>
        <w:t>4、突发事件的处理预案</w:t>
      </w:r>
    </w:p>
    <w:p>
      <w:pPr>
        <w:widowControl/>
        <w:spacing w:line="500" w:lineRule="exact"/>
        <w:ind w:left="-2"/>
        <w:contextualSpacing/>
        <w:jc w:val="left"/>
        <w:rPr>
          <w:rFonts w:ascii="宋体" w:hAnsi="宋体" w:eastAsia="宋体" w:cs="宋体"/>
          <w:sz w:val="24"/>
          <w:szCs w:val="24"/>
        </w:rPr>
      </w:pPr>
      <w:r>
        <w:rPr>
          <w:rFonts w:hint="eastAsia" w:ascii="宋体" w:hAnsi="宋体" w:eastAsia="宋体" w:cs="宋体"/>
          <w:sz w:val="24"/>
          <w:szCs w:val="24"/>
        </w:rPr>
        <w:t>5、拟投入专业技术人员</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6、在项目实施过程中，与采购人配合、沟通方案并接受采购人指导监督评价</w:t>
      </w:r>
    </w:p>
    <w:p>
      <w:pPr>
        <w:widowControl/>
        <w:spacing w:line="500" w:lineRule="exact"/>
        <w:ind w:left="-2"/>
        <w:contextualSpacing/>
        <w:jc w:val="left"/>
        <w:rPr>
          <w:rFonts w:ascii="宋体" w:hAnsi="宋体" w:eastAsia="宋体" w:cs="宋体"/>
          <w:sz w:val="24"/>
          <w:szCs w:val="24"/>
        </w:rPr>
      </w:pPr>
      <w:r>
        <w:rPr>
          <w:rFonts w:hint="eastAsia" w:ascii="宋体" w:hAnsi="宋体" w:eastAsia="宋体" w:cs="宋体"/>
          <w:sz w:val="24"/>
          <w:szCs w:val="24"/>
        </w:rPr>
        <w:t>7、保密承诺</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服务方案</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1、服务计划书</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2、服务流程</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3、岗位人员架构</w:t>
      </w:r>
    </w:p>
    <w:p>
      <w:pPr>
        <w:widowControl/>
        <w:spacing w:line="500" w:lineRule="exact"/>
        <w:ind w:left="-2"/>
        <w:jc w:val="left"/>
        <w:rPr>
          <w:rFonts w:ascii="宋体" w:hAnsi="宋体" w:eastAsia="宋体" w:cs="宋体"/>
          <w:sz w:val="24"/>
          <w:szCs w:val="24"/>
        </w:rPr>
      </w:pPr>
      <w:r>
        <w:rPr>
          <w:rFonts w:hint="eastAsia" w:ascii="宋体" w:hAnsi="宋体" w:eastAsia="宋体" w:cs="宋体"/>
          <w:sz w:val="24"/>
          <w:szCs w:val="24"/>
        </w:rPr>
        <w:t>4、服务承诺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E4037"/>
    <w:multiLevelType w:val="singleLevel"/>
    <w:tmpl w:val="F1BE4037"/>
    <w:lvl w:ilvl="0" w:tentative="0">
      <w:start w:val="8"/>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2FD416"/>
    <w:multiLevelType w:val="singleLevel"/>
    <w:tmpl w:val="2C2FD416"/>
    <w:lvl w:ilvl="0" w:tentative="0">
      <w:start w:val="1"/>
      <w:numFmt w:val="decimal"/>
      <w:suff w:val="nothing"/>
      <w:lvlText w:val="%1、"/>
      <w:lvlJc w:val="left"/>
    </w:lvl>
  </w:abstractNum>
  <w:abstractNum w:abstractNumId="5">
    <w:nsid w:val="403A652F"/>
    <w:multiLevelType w:val="singleLevel"/>
    <w:tmpl w:val="403A652F"/>
    <w:lvl w:ilvl="0" w:tentative="0">
      <w:start w:val="1"/>
      <w:numFmt w:val="decimal"/>
      <w:suff w:val="nothing"/>
      <w:lvlText w:val="（%1）"/>
      <w:lvlJc w:val="left"/>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8EC"/>
    <w:rsid w:val="000125D2"/>
    <w:rsid w:val="00013E96"/>
    <w:rsid w:val="00014754"/>
    <w:rsid w:val="000249DA"/>
    <w:rsid w:val="00025C44"/>
    <w:rsid w:val="00026B40"/>
    <w:rsid w:val="0003728F"/>
    <w:rsid w:val="00045650"/>
    <w:rsid w:val="00060E86"/>
    <w:rsid w:val="000667AB"/>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2A27"/>
    <w:rsid w:val="001736A6"/>
    <w:rsid w:val="00175DBF"/>
    <w:rsid w:val="0018064F"/>
    <w:rsid w:val="0018527E"/>
    <w:rsid w:val="0018653E"/>
    <w:rsid w:val="001939DC"/>
    <w:rsid w:val="001953F2"/>
    <w:rsid w:val="00196B62"/>
    <w:rsid w:val="00197C55"/>
    <w:rsid w:val="001A0890"/>
    <w:rsid w:val="001A1DC2"/>
    <w:rsid w:val="001A4069"/>
    <w:rsid w:val="001A77DA"/>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1C7D"/>
    <w:rsid w:val="00262239"/>
    <w:rsid w:val="00263892"/>
    <w:rsid w:val="00267A4C"/>
    <w:rsid w:val="002747B6"/>
    <w:rsid w:val="00280EBA"/>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C6E66"/>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17A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6F6839"/>
    <w:rsid w:val="007024F0"/>
    <w:rsid w:val="00703F21"/>
    <w:rsid w:val="00705ACE"/>
    <w:rsid w:val="00706B75"/>
    <w:rsid w:val="00716945"/>
    <w:rsid w:val="00724B2F"/>
    <w:rsid w:val="00740DAA"/>
    <w:rsid w:val="00752433"/>
    <w:rsid w:val="00756D00"/>
    <w:rsid w:val="00762E7D"/>
    <w:rsid w:val="0076566E"/>
    <w:rsid w:val="0077354D"/>
    <w:rsid w:val="00786F9A"/>
    <w:rsid w:val="00787606"/>
    <w:rsid w:val="00787A46"/>
    <w:rsid w:val="00792FB0"/>
    <w:rsid w:val="00796F1C"/>
    <w:rsid w:val="007A3EB7"/>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1237"/>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5BA3"/>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3746A"/>
    <w:rsid w:val="00A419E1"/>
    <w:rsid w:val="00A43668"/>
    <w:rsid w:val="00A44311"/>
    <w:rsid w:val="00A45162"/>
    <w:rsid w:val="00A563C1"/>
    <w:rsid w:val="00A60BAA"/>
    <w:rsid w:val="00A6470C"/>
    <w:rsid w:val="00A660D7"/>
    <w:rsid w:val="00A66E23"/>
    <w:rsid w:val="00A719D3"/>
    <w:rsid w:val="00A75F45"/>
    <w:rsid w:val="00A82ECD"/>
    <w:rsid w:val="00A91444"/>
    <w:rsid w:val="00A92F80"/>
    <w:rsid w:val="00A9585A"/>
    <w:rsid w:val="00A9655D"/>
    <w:rsid w:val="00AA0D4F"/>
    <w:rsid w:val="00AA263A"/>
    <w:rsid w:val="00AA3BA5"/>
    <w:rsid w:val="00AA7436"/>
    <w:rsid w:val="00AB2FEF"/>
    <w:rsid w:val="00AB31CF"/>
    <w:rsid w:val="00AB44A9"/>
    <w:rsid w:val="00AB7E1C"/>
    <w:rsid w:val="00AC4AA2"/>
    <w:rsid w:val="00AE3C24"/>
    <w:rsid w:val="00AF05E5"/>
    <w:rsid w:val="00B02855"/>
    <w:rsid w:val="00B02ECE"/>
    <w:rsid w:val="00B05341"/>
    <w:rsid w:val="00B0661B"/>
    <w:rsid w:val="00B10C59"/>
    <w:rsid w:val="00B2218F"/>
    <w:rsid w:val="00B3245E"/>
    <w:rsid w:val="00B37BD7"/>
    <w:rsid w:val="00B405DF"/>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0680"/>
    <w:rsid w:val="00C85ECE"/>
    <w:rsid w:val="00C87FE2"/>
    <w:rsid w:val="00C901F9"/>
    <w:rsid w:val="00C94030"/>
    <w:rsid w:val="00C97EDF"/>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23"/>
    <w:rsid w:val="00D3745E"/>
    <w:rsid w:val="00D4115E"/>
    <w:rsid w:val="00D504B6"/>
    <w:rsid w:val="00D50F93"/>
    <w:rsid w:val="00D631A9"/>
    <w:rsid w:val="00D6584A"/>
    <w:rsid w:val="00D70BC8"/>
    <w:rsid w:val="00D7754C"/>
    <w:rsid w:val="00D916B7"/>
    <w:rsid w:val="00D91F02"/>
    <w:rsid w:val="00D935F7"/>
    <w:rsid w:val="00D93999"/>
    <w:rsid w:val="00D942FA"/>
    <w:rsid w:val="00D94533"/>
    <w:rsid w:val="00D95005"/>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0FA"/>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355C"/>
    <w:rsid w:val="00E441DC"/>
    <w:rsid w:val="00E46C37"/>
    <w:rsid w:val="00E51EC5"/>
    <w:rsid w:val="00E53D23"/>
    <w:rsid w:val="00E541ED"/>
    <w:rsid w:val="00E553BD"/>
    <w:rsid w:val="00E720F9"/>
    <w:rsid w:val="00E8521A"/>
    <w:rsid w:val="00E85AA3"/>
    <w:rsid w:val="00E85D65"/>
    <w:rsid w:val="00E86E90"/>
    <w:rsid w:val="00E877DC"/>
    <w:rsid w:val="00E91362"/>
    <w:rsid w:val="00E968DE"/>
    <w:rsid w:val="00E97DE2"/>
    <w:rsid w:val="00EA7B33"/>
    <w:rsid w:val="00EB1668"/>
    <w:rsid w:val="00EB1BC1"/>
    <w:rsid w:val="00EC6530"/>
    <w:rsid w:val="00ED1FC0"/>
    <w:rsid w:val="00ED4CC0"/>
    <w:rsid w:val="00ED6D93"/>
    <w:rsid w:val="00EE37CF"/>
    <w:rsid w:val="00EE44B0"/>
    <w:rsid w:val="00EE5656"/>
    <w:rsid w:val="00EE6615"/>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015B1695"/>
    <w:rsid w:val="036C4BCB"/>
    <w:rsid w:val="05B80929"/>
    <w:rsid w:val="06324F2E"/>
    <w:rsid w:val="0EBA2489"/>
    <w:rsid w:val="0ED77E4D"/>
    <w:rsid w:val="11282C39"/>
    <w:rsid w:val="17861654"/>
    <w:rsid w:val="1E5D1AE8"/>
    <w:rsid w:val="1EB167D1"/>
    <w:rsid w:val="1FD804B3"/>
    <w:rsid w:val="219D372A"/>
    <w:rsid w:val="21F37416"/>
    <w:rsid w:val="23BE10D0"/>
    <w:rsid w:val="26986411"/>
    <w:rsid w:val="2A190C5C"/>
    <w:rsid w:val="2BA90792"/>
    <w:rsid w:val="2E2E7808"/>
    <w:rsid w:val="329D3017"/>
    <w:rsid w:val="35023D64"/>
    <w:rsid w:val="43203340"/>
    <w:rsid w:val="437D6630"/>
    <w:rsid w:val="4E801082"/>
    <w:rsid w:val="4F273338"/>
    <w:rsid w:val="54F305B2"/>
    <w:rsid w:val="56A60E36"/>
    <w:rsid w:val="5721291F"/>
    <w:rsid w:val="5FA644F7"/>
    <w:rsid w:val="69D654BE"/>
    <w:rsid w:val="6C473A1B"/>
    <w:rsid w:val="73680DC4"/>
    <w:rsid w:val="752003C3"/>
    <w:rsid w:val="787B383C"/>
    <w:rsid w:val="7A1B6A0F"/>
    <w:rsid w:val="7A827E9D"/>
    <w:rsid w:val="7ECA2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link w:val="58"/>
    <w:qFormat/>
    <w:uiPriority w:val="0"/>
    <w:pPr>
      <w:adjustRightInd w:val="0"/>
      <w:spacing w:after="120" w:line="360" w:lineRule="atLeast"/>
      <w:ind w:left="420" w:leftChars="200"/>
      <w:jc w:val="left"/>
      <w:textAlignment w:val="baseline"/>
    </w:pPr>
    <w:rPr>
      <w:sz w:val="24"/>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60"/>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Body Text First Indent 2"/>
    <w:basedOn w:val="11"/>
    <w:unhideWhenUsed/>
    <w:qFormat/>
    <w:uiPriority w:val="99"/>
    <w:pPr>
      <w:ind w:firstLine="420" w:firstLineChars="200"/>
    </w:pPr>
    <w:rPr>
      <w:rFonts w:hint="eastAsia"/>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basedOn w:val="24"/>
    <w:link w:val="4"/>
    <w:qFormat/>
    <w:uiPriority w:val="0"/>
    <w:rPr>
      <w:rFonts w:ascii="Calibri" w:hAnsi="Calibri" w:eastAsia="宋体" w:cs="Times New Roman"/>
      <w:b/>
      <w:bCs/>
      <w:kern w:val="44"/>
      <w:sz w:val="44"/>
      <w:szCs w:val="44"/>
    </w:rPr>
  </w:style>
  <w:style w:type="character" w:customStyle="1" w:styleId="32">
    <w:name w:val="标题 2 Char"/>
    <w:basedOn w:val="24"/>
    <w:link w:val="5"/>
    <w:qFormat/>
    <w:uiPriority w:val="0"/>
    <w:rPr>
      <w:rFonts w:ascii="Arial" w:hAnsi="Arial" w:eastAsia="黑体" w:cs="Times New Roman"/>
      <w:b/>
      <w:bCs/>
      <w:kern w:val="0"/>
      <w:sz w:val="32"/>
      <w:szCs w:val="32"/>
    </w:rPr>
  </w:style>
  <w:style w:type="character" w:customStyle="1" w:styleId="33">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7"/>
    <w:qFormat/>
    <w:uiPriority w:val="0"/>
    <w:rPr>
      <w:rFonts w:ascii="Arial" w:hAnsi="Arial" w:eastAsia="黑体" w:cs="Times New Roman"/>
      <w:b/>
      <w:bCs/>
      <w:kern w:val="0"/>
      <w:sz w:val="28"/>
      <w:szCs w:val="28"/>
    </w:rPr>
  </w:style>
  <w:style w:type="character" w:customStyle="1" w:styleId="35">
    <w:name w:val="纯文本 Char"/>
    <w:basedOn w:val="24"/>
    <w:link w:val="15"/>
    <w:qFormat/>
    <w:uiPriority w:val="0"/>
    <w:rPr>
      <w:rFonts w:eastAsia="宋体"/>
      <w:sz w:val="24"/>
    </w:rPr>
  </w:style>
  <w:style w:type="character" w:customStyle="1" w:styleId="36">
    <w:name w:val="日期 Char"/>
    <w:basedOn w:val="24"/>
    <w:link w:val="16"/>
    <w:qFormat/>
    <w:uiPriority w:val="99"/>
  </w:style>
  <w:style w:type="character" w:customStyle="1" w:styleId="37">
    <w:name w:val="页脚 Char"/>
    <w:basedOn w:val="24"/>
    <w:link w:val="18"/>
    <w:qFormat/>
    <w:uiPriority w:val="99"/>
    <w:rPr>
      <w:sz w:val="18"/>
      <w:szCs w:val="18"/>
    </w:rPr>
  </w:style>
  <w:style w:type="character" w:customStyle="1" w:styleId="38">
    <w:name w:val="页眉 Char"/>
    <w:basedOn w:val="24"/>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2"/>
    <w:semiHidden/>
    <w:qFormat/>
    <w:uiPriority w:val="99"/>
    <w:rPr>
      <w:rFonts w:ascii="宋体" w:hAnsi="宋体" w:eastAsia="宋体" w:cs="宋体"/>
      <w:kern w:val="0"/>
      <w:sz w:val="24"/>
      <w:szCs w:val="24"/>
    </w:rPr>
  </w:style>
  <w:style w:type="character" w:customStyle="1" w:styleId="57">
    <w:name w:val="正文文本缩进 Char"/>
    <w:link w:val="11"/>
    <w:qFormat/>
    <w:uiPriority w:val="0"/>
    <w:rPr>
      <w:sz w:val="24"/>
    </w:rPr>
  </w:style>
  <w:style w:type="character" w:customStyle="1" w:styleId="58">
    <w:name w:val="正文文本缩进 Char1"/>
    <w:basedOn w:val="24"/>
    <w:link w:val="11"/>
    <w:semiHidden/>
    <w:qFormat/>
    <w:uiPriority w:val="99"/>
  </w:style>
  <w:style w:type="character" w:styleId="59">
    <w:name w:val="Placeholder Text"/>
    <w:basedOn w:val="24"/>
    <w:semiHidden/>
    <w:qFormat/>
    <w:uiPriority w:val="99"/>
    <w:rPr>
      <w:color w:val="808080"/>
    </w:rPr>
  </w:style>
  <w:style w:type="character" w:customStyle="1" w:styleId="60">
    <w:name w:val="批注框文本 Char"/>
    <w:basedOn w:val="24"/>
    <w:link w:val="17"/>
    <w:semiHidden/>
    <w:qFormat/>
    <w:uiPriority w:val="99"/>
    <w:rPr>
      <w:sz w:val="18"/>
      <w:szCs w:val="18"/>
    </w:rPr>
  </w:style>
  <w:style w:type="paragraph" w:customStyle="1" w:styleId="61">
    <w:name w:val="普通(网站)1"/>
    <w:basedOn w:val="1"/>
    <w:qFormat/>
    <w:uiPriority w:val="0"/>
    <w:rPr>
      <w:rFonts w:ascii="Calibri" w:hAnsi="Calibri" w:eastAsia="宋体" w:cs="Times New Roman"/>
      <w:sz w:val="24"/>
      <w:szCs w:val="24"/>
    </w:rPr>
  </w:style>
  <w:style w:type="paragraph" w:customStyle="1" w:styleId="62">
    <w:name w:val="正文文本1"/>
    <w:basedOn w:val="1"/>
    <w:qFormat/>
    <w:uiPriority w:val="0"/>
  </w:style>
  <w:style w:type="character" w:customStyle="1" w:styleId="63">
    <w:name w:val="hover24"/>
    <w:basedOn w:val="24"/>
    <w:qFormat/>
    <w:uiPriority w:val="0"/>
  </w:style>
  <w:style w:type="character" w:customStyle="1" w:styleId="64">
    <w:name w:val="red"/>
    <w:basedOn w:val="24"/>
    <w:qFormat/>
    <w:uiPriority w:val="0"/>
    <w:rPr>
      <w:color w:val="FF0000"/>
      <w:sz w:val="18"/>
      <w:szCs w:val="18"/>
    </w:rPr>
  </w:style>
  <w:style w:type="character" w:customStyle="1" w:styleId="65">
    <w:name w:val="red1"/>
    <w:basedOn w:val="24"/>
    <w:qFormat/>
    <w:uiPriority w:val="0"/>
    <w:rPr>
      <w:color w:val="FF0000"/>
      <w:sz w:val="18"/>
      <w:szCs w:val="18"/>
    </w:rPr>
  </w:style>
  <w:style w:type="character" w:customStyle="1" w:styleId="66">
    <w:name w:val="red2"/>
    <w:basedOn w:val="24"/>
    <w:qFormat/>
    <w:uiPriority w:val="0"/>
    <w:rPr>
      <w:color w:val="CC0000"/>
    </w:rPr>
  </w:style>
  <w:style w:type="character" w:customStyle="1" w:styleId="67">
    <w:name w:val="red3"/>
    <w:basedOn w:val="24"/>
    <w:qFormat/>
    <w:uiPriority w:val="0"/>
    <w:rPr>
      <w:color w:val="FF0000"/>
    </w:rPr>
  </w:style>
  <w:style w:type="character" w:customStyle="1" w:styleId="68">
    <w:name w:val="green"/>
    <w:basedOn w:val="24"/>
    <w:qFormat/>
    <w:uiPriority w:val="0"/>
    <w:rPr>
      <w:color w:val="66AE00"/>
      <w:sz w:val="18"/>
      <w:szCs w:val="18"/>
    </w:rPr>
  </w:style>
  <w:style w:type="character" w:customStyle="1" w:styleId="69">
    <w:name w:val="green1"/>
    <w:basedOn w:val="24"/>
    <w:qFormat/>
    <w:uiPriority w:val="0"/>
    <w:rPr>
      <w:color w:val="66AE00"/>
      <w:sz w:val="18"/>
      <w:szCs w:val="18"/>
    </w:rPr>
  </w:style>
  <w:style w:type="character" w:customStyle="1" w:styleId="70">
    <w:name w:val="gb-jt"/>
    <w:basedOn w:val="24"/>
    <w:qFormat/>
    <w:uiPriority w:val="0"/>
  </w:style>
  <w:style w:type="character" w:customStyle="1" w:styleId="71">
    <w:name w:val="blue"/>
    <w:basedOn w:val="24"/>
    <w:qFormat/>
    <w:uiPriority w:val="0"/>
    <w:rPr>
      <w:color w:val="0371C6"/>
      <w:sz w:val="21"/>
      <w:szCs w:val="21"/>
    </w:rPr>
  </w:style>
  <w:style w:type="character" w:customStyle="1" w:styleId="72">
    <w:name w:val="right"/>
    <w:basedOn w:val="24"/>
    <w:qFormat/>
    <w:uiPriority w:val="0"/>
    <w:rPr>
      <w:color w:val="999999"/>
      <w:sz w:val="18"/>
      <w:szCs w:val="18"/>
    </w:rPr>
  </w:style>
  <w:style w:type="character" w:customStyle="1" w:styleId="73">
    <w:name w:val="hover25"/>
    <w:basedOn w:val="2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0ECA1-2F3E-4C73-83F3-222632BB3C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6364</Words>
  <Characters>36278</Characters>
  <Lines>302</Lines>
  <Paragraphs>85</Paragraphs>
  <TotalTime>0</TotalTime>
  <ScaleCrop>false</ScaleCrop>
  <LinksUpToDate>false</LinksUpToDate>
  <CharactersWithSpaces>42557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2019-06-10T03:40:00Z</dcterms:created>
  <dc:creator>许昌市公共资源交易中心:孟莉</dc:creator>
  <cp:lastModifiedBy>找箌鑰匙了</cp:lastModifiedBy>
  <cp:lastPrinted>2019-11-07T03:32:00Z</cp:lastPrinted>
  <dcterms:modified xsi:type="dcterms:W3CDTF">2019-11-07T08:27:01Z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