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color w:val="000000"/>
          <w:sz w:val="44"/>
          <w:szCs w:val="44"/>
        </w:rPr>
      </w:pPr>
    </w:p>
    <w:p>
      <w:pPr>
        <w:jc w:val="center"/>
        <w:rPr>
          <w:rFonts w:hint="eastAsia" w:ascii="黑体" w:hAnsi="黑体" w:eastAsia="黑体" w:cs="黑体"/>
          <w:color w:val="000000"/>
          <w:sz w:val="44"/>
          <w:szCs w:val="44"/>
          <w:lang w:eastAsia="zh-CN"/>
        </w:rPr>
      </w:pPr>
      <w:r>
        <w:rPr>
          <w:rFonts w:hint="eastAsia" w:ascii="黑体" w:hAnsi="黑体" w:eastAsia="黑体" w:cs="黑体"/>
          <w:color w:val="000000"/>
          <w:sz w:val="44"/>
          <w:szCs w:val="44"/>
          <w:lang w:eastAsia="zh-CN"/>
        </w:rPr>
        <w:t>禹州市妇幼保健院</w:t>
      </w:r>
    </w:p>
    <w:p>
      <w:pPr>
        <w:jc w:val="center"/>
        <w:rPr>
          <w:rFonts w:hint="eastAsia" w:ascii="黑体" w:hAnsi="黑体" w:eastAsia="黑体" w:cs="黑体"/>
          <w:color w:val="000000"/>
          <w:sz w:val="44"/>
          <w:szCs w:val="44"/>
        </w:rPr>
      </w:pPr>
      <w:r>
        <w:rPr>
          <w:rFonts w:hint="eastAsia" w:ascii="黑体" w:hAnsi="黑体" w:eastAsia="黑体" w:cs="黑体"/>
          <w:color w:val="000000"/>
          <w:sz w:val="44"/>
          <w:szCs w:val="44"/>
          <w:lang w:eastAsia="zh-CN"/>
        </w:rPr>
        <w:t>信息化数据中心升级改造</w:t>
      </w:r>
      <w:r>
        <w:rPr>
          <w:rFonts w:hint="eastAsia" w:ascii="黑体" w:hAnsi="黑体" w:eastAsia="黑体" w:cs="黑体"/>
          <w:color w:val="000000"/>
          <w:sz w:val="44"/>
          <w:szCs w:val="44"/>
          <w:lang w:val="en-US" w:eastAsia="zh-CN"/>
        </w:rPr>
        <w:t>项目</w:t>
      </w: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采购单位：禹州市妇幼保健院</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300</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val="en-US" w:eastAsia="zh-CN"/>
        </w:rPr>
        <w:t>十一</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2209" w:firstLineChars="500"/>
        <w:rPr>
          <w:rFonts w:cs="黑体" w:asciiTheme="minorEastAsia" w:hAnsiTheme="minorEastAsia"/>
          <w:b/>
          <w:bCs/>
          <w:sz w:val="44"/>
          <w:szCs w:val="44"/>
          <w:lang w:val="zh-CN"/>
        </w:rPr>
      </w:pPr>
    </w:p>
    <w:p>
      <w:pPr>
        <w:autoSpaceDE w:val="0"/>
        <w:autoSpaceDN w:val="0"/>
        <w:adjustRightInd w:val="0"/>
        <w:spacing w:line="700" w:lineRule="exact"/>
        <w:ind w:firstLine="2209" w:firstLineChars="500"/>
        <w:rPr>
          <w:rFonts w:cs="黑体" w:asciiTheme="minorEastAsia" w:hAnsiTheme="minorEastAsia"/>
          <w:b/>
          <w:bCs/>
          <w:sz w:val="44"/>
          <w:szCs w:val="44"/>
          <w:lang w:val="zh-CN"/>
        </w:rPr>
      </w:pPr>
    </w:p>
    <w:p>
      <w:pPr>
        <w:autoSpaceDE w:val="0"/>
        <w:autoSpaceDN w:val="0"/>
        <w:adjustRightInd w:val="0"/>
        <w:spacing w:line="700" w:lineRule="exact"/>
        <w:ind w:firstLine="3092" w:firstLineChars="700"/>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
      </w:pPr>
    </w:p>
    <w:p>
      <w:pPr>
        <w:pStyle w:val="20"/>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shd w:val="clear" w:color="auto" w:fill="FFFFFF"/>
        <w:spacing w:line="315" w:lineRule="atLeast"/>
        <w:rPr>
          <w:rFonts w:ascii="宋体" w:hAnsi="宋体" w:cs="宋体"/>
          <w:b/>
          <w:color w:val="000000"/>
          <w:sz w:val="36"/>
          <w:szCs w:val="36"/>
          <w:shd w:val="clear" w:color="auto" w:fill="FFFFFF"/>
        </w:rPr>
      </w:pP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禹州市妇幼保健院信息化数据中心升级改造项目</w:t>
      </w: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招  标  邀  请 函</w:t>
      </w:r>
    </w:p>
    <w:p>
      <w:pPr>
        <w:pStyle w:val="2"/>
      </w:pPr>
    </w:p>
    <w:p>
      <w:pPr>
        <w:spacing w:line="600" w:lineRule="exact"/>
        <w:ind w:firstLine="480" w:firstLineChars="200"/>
        <w:jc w:val="left"/>
        <w:rPr>
          <w:rFonts w:ascii="新宋体" w:hAnsi="新宋体" w:eastAsia="新宋体" w:cs="新宋体"/>
          <w:sz w:val="24"/>
          <w:szCs w:val="24"/>
        </w:rPr>
      </w:pPr>
      <w:r>
        <w:rPr>
          <w:rFonts w:hint="eastAsia" w:ascii="新宋体" w:hAnsi="新宋体" w:eastAsia="新宋体" w:cs="新宋体"/>
          <w:sz w:val="24"/>
          <w:szCs w:val="24"/>
        </w:rPr>
        <w:t>禹州市政府采购中心受禹州市妇幼保健院的委托，就“禹州市妇幼保健院信息化数据中心升级改造项目”进行公开招标，欢迎合格的投标人前来投标。</w:t>
      </w:r>
    </w:p>
    <w:p>
      <w:pPr>
        <w:pStyle w:val="60"/>
        <w:widowControl/>
        <w:numPr>
          <w:ilvl w:val="0"/>
          <w:numId w:val="5"/>
        </w:numPr>
        <w:shd w:val="clear" w:color="auto" w:fill="FFFFFF"/>
        <w:spacing w:line="400" w:lineRule="exact"/>
        <w:ind w:firstLineChars="0"/>
        <w:jc w:val="left"/>
        <w:rPr>
          <w:rFonts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shd w:val="clear" w:color="auto" w:fill="FFFFFF"/>
        <w:spacing w:line="400" w:lineRule="exact"/>
        <w:ind w:firstLine="240" w:firstLineChars="100"/>
        <w:jc w:val="left"/>
        <w:rPr>
          <w:rFonts w:ascii="新宋体" w:hAnsi="新宋体" w:eastAsia="新宋体" w:cs="新宋体"/>
          <w:sz w:val="24"/>
          <w:szCs w:val="24"/>
        </w:rPr>
      </w:pPr>
      <w:r>
        <w:rPr>
          <w:rFonts w:hint="eastAsia" w:ascii="新宋体" w:hAnsi="新宋体" w:eastAsia="新宋体" w:cs="新宋体"/>
          <w:sz w:val="24"/>
          <w:szCs w:val="24"/>
        </w:rPr>
        <w:t>1.采购人：禹州市妇幼保健院</w:t>
      </w:r>
    </w:p>
    <w:p>
      <w:pPr>
        <w:widowControl/>
        <w:shd w:val="clear" w:color="auto" w:fill="FFFFFF"/>
        <w:spacing w:line="400" w:lineRule="exact"/>
        <w:ind w:firstLine="240" w:firstLineChars="1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2.项目名称：禹州市妇幼保健院信息化数据中心升级改造项目</w:t>
      </w:r>
    </w:p>
    <w:p>
      <w:pPr>
        <w:widowControl/>
        <w:shd w:val="clear" w:color="auto" w:fill="FFFFFF"/>
        <w:spacing w:line="400" w:lineRule="exact"/>
        <w:ind w:firstLine="240" w:firstLineChars="100"/>
        <w:jc w:val="left"/>
        <w:rPr>
          <w:rFonts w:ascii="新宋体" w:hAnsi="新宋体" w:eastAsia="新宋体" w:cs="新宋体"/>
          <w:sz w:val="24"/>
          <w:szCs w:val="24"/>
        </w:rPr>
      </w:pPr>
      <w:r>
        <w:rPr>
          <w:rFonts w:hint="eastAsia" w:ascii="新宋体" w:hAnsi="新宋体" w:eastAsia="新宋体" w:cs="新宋体"/>
          <w:color w:val="000000"/>
          <w:kern w:val="0"/>
          <w:sz w:val="24"/>
          <w:szCs w:val="24"/>
        </w:rPr>
        <w:t>3.采购编号：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300</w:t>
      </w:r>
    </w:p>
    <w:p>
      <w:pPr>
        <w:widowControl/>
        <w:shd w:val="clear" w:color="auto" w:fill="FFFFFF"/>
        <w:spacing w:line="400" w:lineRule="exact"/>
        <w:ind w:firstLine="240" w:firstLineChars="1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4.项目需求：</w:t>
      </w:r>
      <w:r>
        <w:rPr>
          <w:rFonts w:hint="eastAsia" w:ascii="新宋体" w:hAnsi="新宋体" w:eastAsia="新宋体" w:cs="新宋体"/>
          <w:color w:val="000000"/>
          <w:kern w:val="0"/>
          <w:sz w:val="24"/>
          <w:szCs w:val="24"/>
          <w:lang w:eastAsia="zh-CN"/>
        </w:rPr>
        <w:t>数据储存系统，数据库服务器等一批</w:t>
      </w:r>
      <w:r>
        <w:rPr>
          <w:rFonts w:hint="eastAsia" w:ascii="新宋体" w:hAnsi="新宋体" w:eastAsia="新宋体" w:cs="新宋体"/>
          <w:color w:val="000000"/>
          <w:kern w:val="0"/>
          <w:sz w:val="24"/>
          <w:szCs w:val="24"/>
        </w:rPr>
        <w:t>（详见招标文件）</w:t>
      </w:r>
    </w:p>
    <w:p>
      <w:pPr>
        <w:widowControl/>
        <w:shd w:val="clear" w:color="auto" w:fill="FFFFFF"/>
        <w:spacing w:line="400" w:lineRule="exact"/>
        <w:ind w:firstLine="240" w:firstLineChars="100"/>
        <w:jc w:val="left"/>
        <w:rPr>
          <w:rFonts w:ascii="新宋体" w:hAnsi="新宋体" w:eastAsia="新宋体" w:cs="新宋体"/>
          <w:sz w:val="24"/>
          <w:szCs w:val="24"/>
        </w:rPr>
      </w:pPr>
      <w:r>
        <w:rPr>
          <w:rFonts w:hint="eastAsia" w:ascii="新宋体" w:hAnsi="新宋体" w:eastAsia="新宋体" w:cs="新宋体"/>
          <w:color w:val="000000"/>
          <w:kern w:val="0"/>
          <w:sz w:val="24"/>
          <w:szCs w:val="24"/>
        </w:rPr>
        <w:t>5.采购预算：</w:t>
      </w:r>
      <w:r>
        <w:rPr>
          <w:rFonts w:hint="eastAsia" w:ascii="新宋体" w:hAnsi="新宋体" w:eastAsia="新宋体" w:cs="新宋体"/>
          <w:color w:val="000000"/>
          <w:kern w:val="0"/>
          <w:sz w:val="24"/>
          <w:szCs w:val="24"/>
          <w:lang w:val="en-US" w:eastAsia="zh-CN"/>
        </w:rPr>
        <w:t>165</w:t>
      </w:r>
      <w:r>
        <w:rPr>
          <w:rFonts w:hint="eastAsia" w:ascii="新宋体" w:hAnsi="新宋体" w:eastAsia="新宋体" w:cs="新宋体"/>
          <w:kern w:val="0"/>
          <w:sz w:val="24"/>
          <w:szCs w:val="24"/>
        </w:rPr>
        <w:t>万</w:t>
      </w:r>
      <w:r>
        <w:rPr>
          <w:rFonts w:hint="eastAsia" w:ascii="新宋体" w:hAnsi="新宋体" w:eastAsia="新宋体" w:cs="新宋体"/>
          <w:sz w:val="24"/>
          <w:szCs w:val="24"/>
        </w:rPr>
        <w:t>元</w:t>
      </w:r>
    </w:p>
    <w:p>
      <w:pPr>
        <w:widowControl/>
        <w:shd w:val="clear" w:color="auto" w:fill="FFFFFF"/>
        <w:spacing w:line="400" w:lineRule="exact"/>
        <w:ind w:firstLine="240" w:firstLineChars="100"/>
        <w:jc w:val="left"/>
        <w:rPr>
          <w:rFonts w:ascii="新宋体" w:hAnsi="新宋体" w:eastAsia="新宋体" w:cs="新宋体"/>
          <w:sz w:val="24"/>
          <w:szCs w:val="24"/>
        </w:rPr>
      </w:pPr>
      <w:r>
        <w:rPr>
          <w:rFonts w:hint="eastAsia" w:ascii="新宋体" w:hAnsi="新宋体" w:eastAsia="新宋体" w:cs="新宋体"/>
          <w:sz w:val="24"/>
          <w:szCs w:val="24"/>
        </w:rPr>
        <w:t>6.采购限价：</w:t>
      </w:r>
      <w:r>
        <w:rPr>
          <w:rFonts w:hint="eastAsia" w:ascii="新宋体" w:hAnsi="新宋体" w:eastAsia="新宋体" w:cs="新宋体"/>
          <w:sz w:val="24"/>
          <w:szCs w:val="24"/>
          <w:lang w:val="en-US" w:eastAsia="zh-CN"/>
        </w:rPr>
        <w:t>165</w:t>
      </w:r>
      <w:r>
        <w:rPr>
          <w:rFonts w:hint="eastAsia" w:ascii="新宋体" w:hAnsi="新宋体" w:eastAsia="新宋体" w:cs="新宋体"/>
          <w:sz w:val="24"/>
          <w:szCs w:val="24"/>
        </w:rPr>
        <w:t>万元</w:t>
      </w:r>
    </w:p>
    <w:p>
      <w:pPr>
        <w:widowControl/>
        <w:shd w:val="clear" w:color="auto" w:fill="FFFFFF"/>
        <w:spacing w:line="400" w:lineRule="exact"/>
        <w:ind w:firstLine="354" w:firstLineChars="147"/>
        <w:jc w:val="left"/>
        <w:rPr>
          <w:rFonts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641"/>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1、符合</w:t>
      </w:r>
      <w:r>
        <w:rPr>
          <w:rFonts w:hint="eastAsia" w:ascii="新宋体" w:hAnsi="新宋体" w:eastAsia="新宋体" w:cs="新宋体"/>
          <w:sz w:val="24"/>
          <w:szCs w:val="24"/>
        </w:rPr>
        <w:t>《政府采购法》第二十二条之规定</w:t>
      </w:r>
      <w:r>
        <w:rPr>
          <w:rFonts w:hint="eastAsia" w:ascii="新宋体" w:hAnsi="新宋体" w:eastAsia="新宋体" w:cs="新宋体"/>
          <w:sz w:val="24"/>
          <w:szCs w:val="24"/>
          <w:lang w:eastAsia="zh-CN"/>
        </w:rPr>
        <w:t>，具有独立法人资格及</w:t>
      </w:r>
      <w:r>
        <w:rPr>
          <w:rFonts w:hint="eastAsia" w:ascii="新宋体" w:hAnsi="新宋体" w:eastAsia="新宋体" w:cs="新宋体"/>
          <w:sz w:val="24"/>
          <w:szCs w:val="24"/>
        </w:rPr>
        <w:t>相应的经营范围（以营业执照为准）；</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、被委托人须是本单位职工，须提供公司为本人缴纳社会保险证明；</w:t>
      </w:r>
    </w:p>
    <w:p>
      <w:pPr>
        <w:spacing w:line="400" w:lineRule="exact"/>
        <w:ind w:left="319" w:leftChars="152" w:firstLine="120" w:firstLineChars="50"/>
        <w:rPr>
          <w:rFonts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、本项目不接受联合体投标。</w:t>
      </w:r>
    </w:p>
    <w:p>
      <w:pPr>
        <w:widowControl/>
        <w:shd w:val="clear" w:color="auto" w:fill="FFFFFF"/>
        <w:spacing w:line="400" w:lineRule="exact"/>
        <w:ind w:firstLine="482"/>
        <w:jc w:val="left"/>
        <w:rPr>
          <w:rFonts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ascii="新宋体" w:hAnsi="新宋体" w:eastAsia="新宋体" w:cs="新宋体"/>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val="zh-CN"/>
        </w:rPr>
        <w:t>、持</w:t>
      </w:r>
      <w:r>
        <w:rPr>
          <w:rFonts w:hint="eastAsia" w:ascii="新宋体" w:hAnsi="新宋体" w:eastAsia="新宋体" w:cs="新宋体"/>
          <w:sz w:val="24"/>
          <w:szCs w:val="24"/>
        </w:rPr>
        <w:t>CA</w:t>
      </w:r>
      <w:r>
        <w:rPr>
          <w:rFonts w:hint="eastAsia" w:ascii="新宋体" w:hAnsi="新宋体" w:eastAsia="新宋体" w:cs="新宋体"/>
          <w:sz w:val="24"/>
          <w:szCs w:val="24"/>
          <w:lang w:val="zh-CN"/>
        </w:rPr>
        <w:t>数字认证证书</w:t>
      </w:r>
      <w:r>
        <w:rPr>
          <w:rFonts w:hint="eastAsia" w:ascii="新宋体" w:hAnsi="新宋体" w:eastAsia="新宋体" w:cs="新宋体"/>
          <w:sz w:val="24"/>
          <w:szCs w:val="24"/>
        </w:rPr>
        <w:t>，</w:t>
      </w:r>
      <w:r>
        <w:rPr>
          <w:rFonts w:hint="eastAsia" w:ascii="新宋体" w:hAnsi="新宋体" w:eastAsia="新宋体" w:cs="新宋体"/>
          <w:sz w:val="24"/>
          <w:szCs w:val="24"/>
          <w:lang w:val="zh-CN"/>
        </w:rPr>
        <w:t>登录</w:t>
      </w:r>
      <w:r>
        <w:fldChar w:fldCharType="begin"/>
      </w:r>
      <w:r>
        <w:instrText xml:space="preserve"> HYPERLINK "http://221.14.6.70:8088/ggzy/eps/public/RegistAllJcxx.html" </w:instrText>
      </w:r>
      <w:r>
        <w:fldChar w:fldCharType="separate"/>
      </w:r>
      <w:r>
        <w:rPr>
          <w:rStyle w:val="29"/>
          <w:rFonts w:hint="eastAsia" w:ascii="新宋体" w:hAnsi="新宋体" w:eastAsia="新宋体" w:cs="新宋体"/>
          <w:sz w:val="24"/>
          <w:szCs w:val="24"/>
        </w:rPr>
        <w:t>http://221.14.6.70:8088/ggzy/eps/public/RegistAllJcxx.html</w:t>
      </w:r>
      <w:r>
        <w:rPr>
          <w:rStyle w:val="29"/>
          <w:rFonts w:hint="eastAsia" w:ascii="新宋体" w:hAnsi="新宋体" w:eastAsia="新宋体" w:cs="新宋体"/>
          <w:sz w:val="24"/>
          <w:szCs w:val="24"/>
        </w:rPr>
        <w:fldChar w:fldCharType="end"/>
      </w:r>
      <w:r>
        <w:rPr>
          <w:rFonts w:hint="eastAsia" w:ascii="新宋体" w:hAnsi="新宋体" w:eastAsia="新宋体" w:cs="新宋体"/>
          <w:sz w:val="24"/>
          <w:szCs w:val="24"/>
          <w:lang w:val="zh-CN"/>
        </w:rPr>
        <w:t>进行免费注册登记</w:t>
      </w:r>
      <w:r>
        <w:rPr>
          <w:rFonts w:hint="eastAsia" w:ascii="新宋体" w:hAnsi="新宋体" w:eastAsia="新宋体" w:cs="新宋体"/>
          <w:sz w:val="24"/>
          <w:szCs w:val="24"/>
        </w:rPr>
        <w:t>（</w:t>
      </w:r>
      <w:r>
        <w:rPr>
          <w:rFonts w:hint="eastAsia" w:ascii="新宋体" w:hAnsi="新宋体" w:eastAsia="新宋体" w:cs="新宋体"/>
          <w:sz w:val="24"/>
          <w:szCs w:val="24"/>
          <w:lang w:val="zh-CN"/>
        </w:rPr>
        <w:t>详见全国公共资源交易平台</w:t>
      </w:r>
      <w:r>
        <w:rPr>
          <w:rFonts w:hint="eastAsia" w:ascii="新宋体" w:hAnsi="新宋体" w:eastAsia="新宋体" w:cs="新宋体"/>
          <w:sz w:val="24"/>
          <w:szCs w:val="24"/>
        </w:rPr>
        <w:t>（</w:t>
      </w:r>
      <w:r>
        <w:rPr>
          <w:rFonts w:hint="eastAsia" w:ascii="新宋体" w:hAnsi="新宋体" w:eastAsia="新宋体" w:cs="新宋体"/>
          <w:sz w:val="24"/>
          <w:szCs w:val="24"/>
          <w:lang w:val="zh-CN"/>
        </w:rPr>
        <w:t>河南省</w:t>
      </w:r>
      <w:r>
        <w:rPr>
          <w:rFonts w:hint="eastAsia" w:ascii="新宋体" w:hAnsi="新宋体" w:eastAsia="新宋体" w:cs="新宋体"/>
          <w:sz w:val="24"/>
          <w:szCs w:val="24"/>
        </w:rPr>
        <w:t>·</w:t>
      </w:r>
      <w:r>
        <w:rPr>
          <w:rFonts w:hint="eastAsia" w:ascii="新宋体" w:hAnsi="新宋体" w:eastAsia="新宋体" w:cs="新宋体"/>
          <w:sz w:val="24"/>
          <w:szCs w:val="24"/>
          <w:lang w:val="zh-CN"/>
        </w:rPr>
        <w:t>许昌市</w:t>
      </w:r>
      <w:r>
        <w:rPr>
          <w:rFonts w:hint="eastAsia" w:ascii="新宋体" w:hAnsi="新宋体" w:eastAsia="新宋体" w:cs="新宋体"/>
          <w:sz w:val="24"/>
          <w:szCs w:val="24"/>
        </w:rPr>
        <w:t>）“</w:t>
      </w:r>
      <w:r>
        <w:rPr>
          <w:rFonts w:hint="eastAsia" w:ascii="新宋体" w:hAnsi="新宋体" w:eastAsia="新宋体" w:cs="新宋体"/>
          <w:sz w:val="24"/>
          <w:szCs w:val="24"/>
          <w:lang w:val="zh-CN"/>
        </w:rPr>
        <w:t>常见问题解答</w:t>
      </w:r>
      <w:r>
        <w:rPr>
          <w:rFonts w:hint="eastAsia" w:ascii="新宋体" w:hAnsi="新宋体" w:eastAsia="新宋体" w:cs="新宋体"/>
          <w:sz w:val="24"/>
          <w:szCs w:val="24"/>
        </w:rPr>
        <w:t>-</w:t>
      </w:r>
      <w:r>
        <w:rPr>
          <w:rFonts w:hint="eastAsia" w:ascii="新宋体" w:hAnsi="新宋体" w:eastAsia="新宋体" w:cs="新宋体"/>
          <w:sz w:val="24"/>
          <w:szCs w:val="24"/>
          <w:lang w:val="zh-CN"/>
        </w:rPr>
        <w:t>诚信库网上注册相关资料下载</w:t>
      </w:r>
      <w:r>
        <w:rPr>
          <w:rFonts w:hint="eastAsia" w:ascii="新宋体" w:hAnsi="新宋体" w:eastAsia="新宋体" w:cs="新宋体"/>
          <w:sz w:val="24"/>
          <w:szCs w:val="24"/>
        </w:rPr>
        <w:t>”）；</w:t>
      </w:r>
    </w:p>
    <w:p>
      <w:pPr>
        <w:wordWrap w:val="0"/>
        <w:topLinePunct/>
        <w:autoSpaceDE w:val="0"/>
        <w:autoSpaceDN w:val="0"/>
        <w:adjustRightInd w:val="0"/>
        <w:snapToGrid w:val="0"/>
        <w:spacing w:line="400" w:lineRule="exact"/>
        <w:ind w:firstLine="482"/>
        <w:rPr>
          <w:rFonts w:ascii="新宋体" w:hAnsi="新宋体" w:eastAsia="新宋体" w:cs="新宋体"/>
          <w:sz w:val="24"/>
          <w:szCs w:val="24"/>
        </w:rPr>
      </w:pPr>
      <w:r>
        <w:rPr>
          <w:rFonts w:hint="eastAsia" w:ascii="新宋体" w:hAnsi="新宋体" w:eastAsia="新宋体" w:cs="新宋体"/>
          <w:sz w:val="24"/>
          <w:szCs w:val="24"/>
        </w:rPr>
        <w:t>2</w:t>
      </w:r>
      <w:r>
        <w:rPr>
          <w:rFonts w:hint="eastAsia" w:ascii="新宋体" w:hAnsi="新宋体" w:eastAsia="新宋体" w:cs="新宋体"/>
          <w:sz w:val="24"/>
          <w:szCs w:val="24"/>
          <w:lang w:val="zh-CN"/>
        </w:rPr>
        <w:t>、在投标截止时间前登录</w:t>
      </w:r>
      <w:r>
        <w:fldChar w:fldCharType="begin"/>
      </w:r>
      <w:r>
        <w:instrText xml:space="preserve"> HYPERLINK "http://ggzy.xuchang.gov.cn/" </w:instrText>
      </w:r>
      <w:r>
        <w:fldChar w:fldCharType="separate"/>
      </w:r>
      <w:r>
        <w:rPr>
          <w:rStyle w:val="29"/>
          <w:rFonts w:hint="eastAsia" w:ascii="新宋体" w:hAnsi="新宋体" w:eastAsia="新宋体" w:cs="新宋体"/>
          <w:sz w:val="24"/>
          <w:szCs w:val="24"/>
        </w:rPr>
        <w:t>http://ggzy.xuchang.gov.cn/</w:t>
      </w:r>
      <w:r>
        <w:rPr>
          <w:rStyle w:val="29"/>
          <w:rFonts w:hint="eastAsia" w:ascii="新宋体" w:hAnsi="新宋体" w:eastAsia="新宋体" w:cs="新宋体"/>
          <w:sz w:val="24"/>
          <w:szCs w:val="24"/>
        </w:rPr>
        <w:fldChar w:fldCharType="end"/>
      </w:r>
      <w:r>
        <w:rPr>
          <w:rFonts w:hint="eastAsia" w:ascii="新宋体" w:hAnsi="新宋体" w:eastAsia="新宋体" w:cs="新宋体"/>
          <w:sz w:val="24"/>
          <w:szCs w:val="24"/>
        </w:rPr>
        <w:t>，</w:t>
      </w:r>
      <w:r>
        <w:rPr>
          <w:rFonts w:hint="eastAsia" w:ascii="新宋体" w:hAnsi="新宋体" w:eastAsia="新宋体" w:cs="新宋体"/>
          <w:sz w:val="24"/>
          <w:szCs w:val="24"/>
          <w:lang w:val="zh-CN"/>
        </w:rPr>
        <w:t>自行下载招标文件</w:t>
      </w:r>
      <w:r>
        <w:rPr>
          <w:rFonts w:hint="eastAsia" w:ascii="新宋体" w:hAnsi="新宋体" w:eastAsia="新宋体" w:cs="新宋体"/>
          <w:sz w:val="24"/>
          <w:szCs w:val="24"/>
        </w:rPr>
        <w:t>（</w:t>
      </w:r>
      <w:r>
        <w:rPr>
          <w:rFonts w:hint="eastAsia" w:ascii="新宋体" w:hAnsi="新宋体" w:eastAsia="新宋体" w:cs="新宋体"/>
          <w:sz w:val="24"/>
          <w:szCs w:val="24"/>
          <w:lang w:val="zh-CN"/>
        </w:rPr>
        <w:t>详见全国公共资源交易平台</w:t>
      </w:r>
      <w:r>
        <w:rPr>
          <w:rFonts w:hint="eastAsia" w:ascii="新宋体" w:hAnsi="新宋体" w:eastAsia="新宋体" w:cs="新宋体"/>
          <w:sz w:val="24"/>
          <w:szCs w:val="24"/>
        </w:rPr>
        <w:t>（</w:t>
      </w:r>
      <w:r>
        <w:rPr>
          <w:rFonts w:hint="eastAsia" w:ascii="新宋体" w:hAnsi="新宋体" w:eastAsia="新宋体" w:cs="新宋体"/>
          <w:sz w:val="24"/>
          <w:szCs w:val="24"/>
          <w:lang w:val="zh-CN"/>
        </w:rPr>
        <w:t>河南省</w:t>
      </w:r>
      <w:r>
        <w:rPr>
          <w:rFonts w:hint="eastAsia" w:ascii="新宋体" w:hAnsi="新宋体" w:eastAsia="新宋体" w:cs="新宋体"/>
          <w:sz w:val="24"/>
          <w:szCs w:val="24"/>
        </w:rPr>
        <w:t>·</w:t>
      </w:r>
      <w:r>
        <w:rPr>
          <w:rFonts w:hint="eastAsia" w:ascii="新宋体" w:hAnsi="新宋体" w:eastAsia="新宋体" w:cs="新宋体"/>
          <w:sz w:val="24"/>
          <w:szCs w:val="24"/>
          <w:lang w:val="zh-CN"/>
        </w:rPr>
        <w:t>许昌市</w:t>
      </w:r>
      <w:r>
        <w:rPr>
          <w:rFonts w:hint="eastAsia" w:ascii="新宋体" w:hAnsi="新宋体" w:eastAsia="新宋体" w:cs="新宋体"/>
          <w:sz w:val="24"/>
          <w:szCs w:val="24"/>
        </w:rPr>
        <w:t>）“</w:t>
      </w:r>
      <w:r>
        <w:rPr>
          <w:rFonts w:hint="eastAsia" w:ascii="新宋体" w:hAnsi="新宋体" w:eastAsia="新宋体" w:cs="新宋体"/>
          <w:sz w:val="24"/>
          <w:szCs w:val="24"/>
          <w:lang w:val="zh-CN"/>
        </w:rPr>
        <w:t>常见问题解答</w:t>
      </w:r>
      <w:r>
        <w:rPr>
          <w:rFonts w:hint="eastAsia" w:ascii="新宋体" w:hAnsi="新宋体" w:eastAsia="新宋体" w:cs="新宋体"/>
          <w:sz w:val="24"/>
          <w:szCs w:val="24"/>
        </w:rPr>
        <w:t>-</w:t>
      </w:r>
      <w:r>
        <w:rPr>
          <w:rFonts w:hint="eastAsia" w:ascii="新宋体" w:hAnsi="新宋体" w:eastAsia="新宋体" w:cs="新宋体"/>
          <w:sz w:val="24"/>
          <w:szCs w:val="24"/>
          <w:lang w:val="zh-CN"/>
        </w:rPr>
        <w:t>交易系统操作手册</w:t>
      </w:r>
      <w:r>
        <w:rPr>
          <w:rFonts w:hint="eastAsia" w:ascii="新宋体" w:hAnsi="新宋体" w:eastAsia="新宋体" w:cs="新宋体"/>
          <w:sz w:val="24"/>
          <w:szCs w:val="24"/>
        </w:rPr>
        <w:t>”）</w:t>
      </w:r>
      <w:r>
        <w:rPr>
          <w:rFonts w:hint="eastAsia" w:ascii="新宋体" w:hAnsi="新宋体" w:eastAsia="新宋体" w:cs="新宋体"/>
          <w:sz w:val="24"/>
          <w:szCs w:val="24"/>
          <w:lang w:val="zh-CN"/>
        </w:rPr>
        <w:t>。</w:t>
      </w:r>
    </w:p>
    <w:p>
      <w:pPr>
        <w:spacing w:line="400" w:lineRule="exact"/>
        <w:rPr>
          <w:rFonts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ascii="新宋体" w:hAnsi="新宋体" w:eastAsia="新宋体" w:cs="新宋体"/>
          <w:sz w:val="24"/>
          <w:szCs w:val="24"/>
        </w:rPr>
      </w:pPr>
      <w:r>
        <w:rPr>
          <w:rFonts w:hint="eastAsia" w:ascii="新宋体" w:hAnsi="新宋体" w:eastAsia="新宋体" w:cs="新宋体"/>
          <w:sz w:val="24"/>
          <w:szCs w:val="24"/>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五、投标截止时间、开标时间及地点：</w:t>
      </w:r>
    </w:p>
    <w:p>
      <w:pPr>
        <w:widowControl/>
        <w:shd w:val="clear" w:color="auto" w:fill="FFFFFF"/>
        <w:spacing w:line="400" w:lineRule="exact"/>
        <w:ind w:firstLine="480" w:firstLineChars="2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12</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11</w:t>
      </w:r>
      <w:r>
        <w:rPr>
          <w:rFonts w:hint="eastAsia" w:ascii="新宋体" w:hAnsi="新宋体" w:eastAsia="新宋体" w:cs="新宋体"/>
          <w:color w:val="000000"/>
          <w:kern w:val="0"/>
          <w:sz w:val="24"/>
          <w:szCs w:val="24"/>
        </w:rPr>
        <w:t xml:space="preserve">日 </w:t>
      </w:r>
      <w:r>
        <w:rPr>
          <w:rFonts w:hint="eastAsia" w:ascii="新宋体" w:hAnsi="新宋体" w:eastAsia="新宋体" w:cs="新宋体"/>
          <w:color w:val="000000"/>
          <w:kern w:val="0"/>
          <w:sz w:val="24"/>
          <w:szCs w:val="24"/>
          <w:lang w:val="en-US" w:eastAsia="zh-CN"/>
        </w:rPr>
        <w:t>9</w:t>
      </w:r>
      <w:r>
        <w:rPr>
          <w:rFonts w:hint="eastAsia" w:ascii="新宋体" w:hAnsi="新宋体" w:eastAsia="新宋体" w:cs="新宋体"/>
          <w:color w:val="000000"/>
          <w:kern w:val="0"/>
          <w:sz w:val="24"/>
          <w:szCs w:val="24"/>
        </w:rPr>
        <w:t>：00（北京时间），逾期送达或不符合规定的投标文件不予接受。</w:t>
      </w:r>
    </w:p>
    <w:p>
      <w:pPr>
        <w:spacing w:line="400" w:lineRule="exact"/>
        <w:ind w:firstLine="480" w:firstLineChars="200"/>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widowControl/>
        <w:shd w:val="clear" w:color="auto" w:fill="FFFFFF"/>
        <w:spacing w:line="400" w:lineRule="exact"/>
        <w:ind w:firstLine="641"/>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联系人：侯女士     联系电话：0374-2077111</w:t>
      </w:r>
    </w:p>
    <w:p>
      <w:pPr>
        <w:widowControl/>
        <w:shd w:val="clear" w:color="auto" w:fill="FFFFFF"/>
        <w:spacing w:line="400" w:lineRule="exact"/>
        <w:ind w:left="481"/>
        <w:jc w:val="left"/>
        <w:rPr>
          <w:rFonts w:ascii="新宋体" w:hAnsi="新宋体" w:eastAsia="新宋体" w:cs="新宋体"/>
          <w:sz w:val="24"/>
          <w:szCs w:val="24"/>
        </w:rPr>
      </w:pPr>
      <w:r>
        <w:rPr>
          <w:rFonts w:hint="eastAsia" w:ascii="新宋体" w:hAnsi="新宋体" w:eastAsia="新宋体" w:cs="新宋体"/>
          <w:color w:val="000000"/>
          <w:kern w:val="0"/>
          <w:sz w:val="24"/>
          <w:szCs w:val="24"/>
        </w:rPr>
        <w:t>（二）采购单位：禹州市妇幼保健院</w:t>
      </w:r>
    </w:p>
    <w:p>
      <w:pPr>
        <w:widowControl/>
        <w:shd w:val="clear" w:color="auto" w:fill="FFFFFF"/>
        <w:spacing w:line="400" w:lineRule="exact"/>
        <w:ind w:firstLine="720" w:firstLineChars="300"/>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color w:val="000000"/>
          <w:kern w:val="0"/>
          <w:sz w:val="24"/>
          <w:szCs w:val="24"/>
          <w:lang w:eastAsia="zh-CN"/>
        </w:rPr>
        <w:t>禹州市健康路</w:t>
      </w:r>
    </w:p>
    <w:p>
      <w:pPr>
        <w:widowControl/>
        <w:shd w:val="clear" w:color="auto" w:fill="FFFFFF"/>
        <w:spacing w:line="400" w:lineRule="exact"/>
        <w:ind w:firstLine="641"/>
        <w:jc w:val="left"/>
        <w:rPr>
          <w:rFonts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李先生</w:t>
      </w:r>
      <w:r>
        <w:rPr>
          <w:rFonts w:hint="eastAsia" w:ascii="新宋体" w:hAnsi="新宋体" w:eastAsia="新宋体" w:cs="新宋体"/>
          <w:color w:val="000000"/>
          <w:kern w:val="0"/>
          <w:sz w:val="24"/>
          <w:szCs w:val="24"/>
        </w:rPr>
        <w:t xml:space="preserve">   联系电话：</w:t>
      </w:r>
      <w:r>
        <w:rPr>
          <w:rFonts w:hint="eastAsia" w:ascii="新宋体" w:hAnsi="新宋体" w:eastAsia="新宋体" w:cs="新宋体"/>
          <w:color w:val="000000"/>
          <w:kern w:val="0"/>
          <w:sz w:val="24"/>
          <w:szCs w:val="24"/>
          <w:lang w:val="en-US" w:eastAsia="zh-CN"/>
        </w:rPr>
        <w:t>18539026326</w:t>
      </w:r>
    </w:p>
    <w:p>
      <w:pPr>
        <w:spacing w:line="400" w:lineRule="exact"/>
        <w:ind w:firstLine="4080" w:firstLineChars="1700"/>
        <w:rPr>
          <w:rFonts w:ascii="新宋体" w:hAnsi="新宋体" w:eastAsia="新宋体" w:cs="新宋体"/>
          <w:sz w:val="24"/>
          <w:szCs w:val="24"/>
        </w:rPr>
      </w:pPr>
      <w:r>
        <w:rPr>
          <w:rFonts w:hint="eastAsia" w:ascii="新宋体" w:hAnsi="新宋体" w:eastAsia="新宋体" w:cs="新宋体"/>
          <w:sz w:val="24"/>
          <w:szCs w:val="24"/>
        </w:rPr>
        <w:t xml:space="preserve">   </w:t>
      </w:r>
    </w:p>
    <w:p>
      <w:pPr>
        <w:spacing w:line="400" w:lineRule="exact"/>
        <w:ind w:firstLine="4560" w:firstLineChars="1900"/>
        <w:rPr>
          <w:rFonts w:ascii="新宋体" w:hAnsi="新宋体" w:eastAsia="新宋体" w:cs="新宋体"/>
          <w:sz w:val="24"/>
          <w:szCs w:val="24"/>
        </w:rPr>
      </w:pPr>
    </w:p>
    <w:p>
      <w:pPr>
        <w:spacing w:line="400" w:lineRule="exact"/>
        <w:ind w:firstLine="2640" w:firstLineChars="1100"/>
        <w:rPr>
          <w:rFonts w:ascii="新宋体" w:hAnsi="新宋体" w:eastAsia="新宋体" w:cs="新宋体"/>
          <w:sz w:val="24"/>
          <w:szCs w:val="24"/>
        </w:rPr>
      </w:pPr>
      <w:r>
        <w:rPr>
          <w:rFonts w:hint="eastAsia" w:ascii="新宋体" w:hAnsi="新宋体" w:eastAsia="新宋体" w:cs="新宋体"/>
          <w:sz w:val="24"/>
          <w:szCs w:val="24"/>
        </w:rPr>
        <w:t xml:space="preserve">              2019年</w:t>
      </w:r>
      <w:r>
        <w:rPr>
          <w:rFonts w:hint="eastAsia" w:ascii="新宋体" w:hAnsi="新宋体" w:eastAsia="新宋体" w:cs="新宋体"/>
          <w:sz w:val="24"/>
          <w:szCs w:val="24"/>
          <w:lang w:val="en-US" w:eastAsia="zh-CN"/>
        </w:rPr>
        <w:t>11</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15</w:t>
      </w:r>
      <w:r>
        <w:rPr>
          <w:rFonts w:hint="eastAsia" w:ascii="新宋体" w:hAnsi="新宋体" w:eastAsia="新宋体" w:cs="新宋体"/>
          <w:sz w:val="24"/>
          <w:szCs w:val="24"/>
        </w:rPr>
        <w:t>日</w:t>
      </w:r>
    </w:p>
    <w:p>
      <w:pPr>
        <w:spacing w:line="360" w:lineRule="auto"/>
        <w:rPr>
          <w:rFonts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9"/>
          <w:rFonts w:hAnsi="宋体"/>
          <w:sz w:val="24"/>
          <w:szCs w:val="24"/>
        </w:rPr>
        <w:t>http://221.14.6.70:8088/ggzy/</w:t>
      </w:r>
      <w:r>
        <w:rPr>
          <w:rStyle w:val="29"/>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9"/>
          <w:rFonts w:hAnsi="宋体"/>
          <w:sz w:val="24"/>
          <w:szCs w:val="24"/>
        </w:rPr>
        <w:t>http://221.14.6.70:8088/ggzy/</w:t>
      </w:r>
      <w:r>
        <w:rPr>
          <w:rStyle w:val="29"/>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pStyle w:val="2"/>
        <w:rPr>
          <w:rFonts w:cs="仿宋_GB2312" w:asciiTheme="minorEastAsia" w:hAnsiTheme="minorEastAsia"/>
          <w:color w:val="000000"/>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0"/>
        <w:rPr>
          <w:rFonts w:hint="eastAsia"/>
          <w:b/>
          <w:bCs/>
          <w:lang w:val="en-US" w:eastAsia="zh-CN"/>
        </w:rPr>
      </w:pPr>
    </w:p>
    <w:p>
      <w:pPr>
        <w:pStyle w:val="30"/>
        <w:rPr>
          <w:rFonts w:hint="eastAsia" w:ascii="仿宋" w:hAnsi="仿宋" w:eastAsia="仿宋" w:cs="宋体"/>
          <w:b/>
          <w:color w:val="000000"/>
          <w:kern w:val="0"/>
          <w:sz w:val="32"/>
          <w:szCs w:val="32"/>
          <w:lang w:val="en-US" w:eastAsia="zh-CN" w:bidi="ar-SA"/>
        </w:rPr>
      </w:pPr>
      <w:r>
        <w:rPr>
          <w:rFonts w:hint="eastAsia" w:ascii="仿宋" w:hAnsi="仿宋" w:eastAsia="仿宋" w:cs="宋体"/>
          <w:b/>
          <w:color w:val="000000"/>
          <w:kern w:val="0"/>
          <w:sz w:val="32"/>
          <w:szCs w:val="32"/>
          <w:lang w:val="en-US" w:eastAsia="zh-CN" w:bidi="ar-SA"/>
        </w:rPr>
        <w:t>一、采购需求</w:t>
      </w:r>
    </w:p>
    <w:p>
      <w:pPr>
        <w:widowControl/>
        <w:shd w:val="clear" w:color="auto" w:fill="FFFFFF"/>
        <w:spacing w:line="360" w:lineRule="auto"/>
        <w:ind w:firstLine="600"/>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（一）本项目需实现的功能或者目标</w:t>
      </w:r>
    </w:p>
    <w:p>
      <w:pPr>
        <w:widowControl/>
        <w:shd w:val="clear" w:color="auto" w:fill="FFFFFF"/>
        <w:spacing w:line="360" w:lineRule="auto"/>
        <w:ind w:firstLine="6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val="en-US" w:eastAsia="zh-CN"/>
        </w:rPr>
        <w:t>满足数字化医院评审的要求，全方面为医院的信息化系统提供安全可靠的保障。</w:t>
      </w:r>
    </w:p>
    <w:p>
      <w:pPr>
        <w:widowControl/>
        <w:shd w:val="clear" w:color="auto" w:fill="FFFFFF"/>
        <w:spacing w:line="360" w:lineRule="auto"/>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（二）采购清单及要求</w:t>
      </w:r>
    </w:p>
    <w:tbl>
      <w:tblPr>
        <w:tblStyle w:val="23"/>
        <w:tblW w:w="9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5"/>
        <w:gridCol w:w="3615"/>
        <w:gridCol w:w="960"/>
        <w:gridCol w:w="121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9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序号</w:t>
            </w:r>
          </w:p>
        </w:tc>
        <w:tc>
          <w:tcPr>
            <w:tcW w:w="3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货物名称</w:t>
            </w:r>
          </w:p>
        </w:tc>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单位</w:t>
            </w:r>
          </w:p>
        </w:tc>
        <w:tc>
          <w:tcPr>
            <w:tcW w:w="12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数量</w:t>
            </w:r>
          </w:p>
        </w:tc>
        <w:tc>
          <w:tcPr>
            <w:tcW w:w="2520" w:type="dxa"/>
            <w:tcBorders>
              <w:top w:val="single" w:color="auto" w:sz="4" w:space="0"/>
              <w:left w:val="single" w:color="auto" w:sz="4" w:space="0"/>
              <w:bottom w:val="single" w:color="auto" w:sz="4" w:space="0"/>
              <w:right w:val="single" w:color="auto" w:sz="4" w:space="0"/>
            </w:tcBorders>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9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w:t>
            </w:r>
          </w:p>
        </w:tc>
        <w:tc>
          <w:tcPr>
            <w:tcW w:w="3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存储系统</w:t>
            </w:r>
          </w:p>
        </w:tc>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eastAsia="zh-CN"/>
              </w:rPr>
              <w:t>台</w:t>
            </w:r>
          </w:p>
        </w:tc>
        <w:tc>
          <w:tcPr>
            <w:tcW w:w="12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9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w:t>
            </w:r>
          </w:p>
        </w:tc>
        <w:tc>
          <w:tcPr>
            <w:tcW w:w="3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eastAsia="zh-CN"/>
              </w:rPr>
              <w:t>数据库</w:t>
            </w:r>
            <w:r>
              <w:rPr>
                <w:rFonts w:hint="eastAsia" w:ascii="仿宋" w:hAnsi="仿宋" w:eastAsia="仿宋" w:cs="宋体"/>
                <w:color w:val="000000"/>
                <w:kern w:val="0"/>
                <w:sz w:val="32"/>
                <w:szCs w:val="32"/>
                <w:lang w:val="en-US" w:eastAsia="zh-CN"/>
              </w:rPr>
              <w:t xml:space="preserve"> 服务器</w:t>
            </w:r>
          </w:p>
        </w:tc>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台</w:t>
            </w:r>
          </w:p>
        </w:tc>
        <w:tc>
          <w:tcPr>
            <w:tcW w:w="12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9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3</w:t>
            </w:r>
          </w:p>
        </w:tc>
        <w:tc>
          <w:tcPr>
            <w:tcW w:w="3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光纤交换机</w:t>
            </w:r>
          </w:p>
        </w:tc>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台</w:t>
            </w:r>
          </w:p>
        </w:tc>
        <w:tc>
          <w:tcPr>
            <w:tcW w:w="12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9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4</w:t>
            </w:r>
          </w:p>
        </w:tc>
        <w:tc>
          <w:tcPr>
            <w:tcW w:w="3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HBA卡</w:t>
            </w:r>
          </w:p>
        </w:tc>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eastAsia="zh-CN"/>
              </w:rPr>
              <w:t>个</w:t>
            </w:r>
          </w:p>
        </w:tc>
        <w:tc>
          <w:tcPr>
            <w:tcW w:w="12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4</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trPr>
        <w:tc>
          <w:tcPr>
            <w:tcW w:w="9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5</w:t>
            </w:r>
          </w:p>
        </w:tc>
        <w:tc>
          <w:tcPr>
            <w:tcW w:w="3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光纤网卡</w:t>
            </w:r>
          </w:p>
        </w:tc>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个</w:t>
            </w:r>
          </w:p>
        </w:tc>
        <w:tc>
          <w:tcPr>
            <w:tcW w:w="12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9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6</w:t>
            </w:r>
          </w:p>
        </w:tc>
        <w:tc>
          <w:tcPr>
            <w:tcW w:w="3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UPS</w:t>
            </w:r>
          </w:p>
        </w:tc>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套</w:t>
            </w:r>
          </w:p>
        </w:tc>
        <w:tc>
          <w:tcPr>
            <w:tcW w:w="12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9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7</w:t>
            </w:r>
          </w:p>
        </w:tc>
        <w:tc>
          <w:tcPr>
            <w:tcW w:w="3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ROSE HA</w:t>
            </w:r>
          </w:p>
        </w:tc>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套</w:t>
            </w:r>
          </w:p>
        </w:tc>
        <w:tc>
          <w:tcPr>
            <w:tcW w:w="12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9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8</w:t>
            </w:r>
          </w:p>
        </w:tc>
        <w:tc>
          <w:tcPr>
            <w:tcW w:w="3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中心机房</w:t>
            </w:r>
          </w:p>
        </w:tc>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套</w:t>
            </w:r>
          </w:p>
        </w:tc>
        <w:tc>
          <w:tcPr>
            <w:tcW w:w="12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9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9</w:t>
            </w:r>
          </w:p>
        </w:tc>
        <w:tc>
          <w:tcPr>
            <w:tcW w:w="3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服务器机柜</w:t>
            </w:r>
          </w:p>
        </w:tc>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台</w:t>
            </w:r>
          </w:p>
        </w:tc>
        <w:tc>
          <w:tcPr>
            <w:tcW w:w="12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9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10</w:t>
            </w:r>
          </w:p>
        </w:tc>
        <w:tc>
          <w:tcPr>
            <w:tcW w:w="3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val="en-US" w:eastAsia="zh-CN"/>
              </w:rPr>
              <w:t>8口PDU</w:t>
            </w:r>
          </w:p>
        </w:tc>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个</w:t>
            </w:r>
          </w:p>
        </w:tc>
        <w:tc>
          <w:tcPr>
            <w:tcW w:w="12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8</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9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11</w:t>
            </w:r>
          </w:p>
        </w:tc>
        <w:tc>
          <w:tcPr>
            <w:tcW w:w="3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视频监控</w:t>
            </w:r>
          </w:p>
        </w:tc>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套</w:t>
            </w:r>
          </w:p>
        </w:tc>
        <w:tc>
          <w:tcPr>
            <w:tcW w:w="12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9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12</w:t>
            </w:r>
          </w:p>
        </w:tc>
        <w:tc>
          <w:tcPr>
            <w:tcW w:w="3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核心交换机</w:t>
            </w:r>
          </w:p>
        </w:tc>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台</w:t>
            </w:r>
          </w:p>
        </w:tc>
        <w:tc>
          <w:tcPr>
            <w:tcW w:w="12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13</w:t>
            </w:r>
          </w:p>
        </w:tc>
        <w:tc>
          <w:tcPr>
            <w:tcW w:w="3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千兆接入交换机（48口）</w:t>
            </w:r>
          </w:p>
        </w:tc>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台</w:t>
            </w:r>
          </w:p>
        </w:tc>
        <w:tc>
          <w:tcPr>
            <w:tcW w:w="12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9</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9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14</w:t>
            </w:r>
          </w:p>
        </w:tc>
        <w:tc>
          <w:tcPr>
            <w:tcW w:w="3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千兆接入交换机（24口）</w:t>
            </w:r>
          </w:p>
        </w:tc>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台</w:t>
            </w:r>
          </w:p>
        </w:tc>
        <w:tc>
          <w:tcPr>
            <w:tcW w:w="12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10</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9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15</w:t>
            </w:r>
          </w:p>
        </w:tc>
        <w:tc>
          <w:tcPr>
            <w:tcW w:w="3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千兆光模块</w:t>
            </w:r>
          </w:p>
        </w:tc>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个</w:t>
            </w:r>
          </w:p>
        </w:tc>
        <w:tc>
          <w:tcPr>
            <w:tcW w:w="12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90</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9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16</w:t>
            </w:r>
          </w:p>
        </w:tc>
        <w:tc>
          <w:tcPr>
            <w:tcW w:w="3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网络机柜</w:t>
            </w:r>
          </w:p>
        </w:tc>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个</w:t>
            </w:r>
          </w:p>
        </w:tc>
        <w:tc>
          <w:tcPr>
            <w:tcW w:w="12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180</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9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17</w:t>
            </w:r>
          </w:p>
        </w:tc>
        <w:tc>
          <w:tcPr>
            <w:tcW w:w="3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综合布线</w:t>
            </w:r>
          </w:p>
        </w:tc>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个</w:t>
            </w:r>
          </w:p>
        </w:tc>
        <w:tc>
          <w:tcPr>
            <w:tcW w:w="12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480</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99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18</w:t>
            </w:r>
          </w:p>
        </w:tc>
        <w:tc>
          <w:tcPr>
            <w:tcW w:w="3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系统集成</w:t>
            </w:r>
          </w:p>
        </w:tc>
        <w:tc>
          <w:tcPr>
            <w:tcW w:w="96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台</w:t>
            </w:r>
          </w:p>
        </w:tc>
        <w:tc>
          <w:tcPr>
            <w:tcW w:w="12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否</w:t>
            </w:r>
          </w:p>
        </w:tc>
      </w:tr>
    </w:tbl>
    <w:p>
      <w:pPr>
        <w:widowControl/>
        <w:shd w:val="clear" w:color="auto" w:fill="FFFFFF"/>
        <w:spacing w:line="360" w:lineRule="auto"/>
        <w:ind w:firstLine="320" w:firstLineChars="100"/>
        <w:jc w:val="left"/>
        <w:rPr>
          <w:rFonts w:hint="eastAsia" w:ascii="仿宋" w:hAnsi="仿宋" w:eastAsia="仿宋" w:cs="宋体"/>
          <w:color w:val="000000"/>
          <w:kern w:val="0"/>
          <w:sz w:val="32"/>
          <w:szCs w:val="32"/>
        </w:rPr>
      </w:pP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主要设备参数</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eastAsia="zh-CN"/>
        </w:rPr>
      </w:pP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数据库</w:t>
      </w:r>
      <w:r>
        <w:rPr>
          <w:rFonts w:hint="eastAsia" w:ascii="仿宋" w:hAnsi="仿宋" w:eastAsia="仿宋" w:cs="宋体"/>
          <w:color w:val="000000"/>
          <w:kern w:val="0"/>
          <w:sz w:val="32"/>
          <w:szCs w:val="32"/>
          <w:lang w:val="en-US" w:eastAsia="zh-CN"/>
        </w:rPr>
        <w:t>服务器</w:t>
      </w:r>
    </w:p>
    <w:tbl>
      <w:tblPr>
        <w:tblStyle w:val="24"/>
        <w:tblW w:w="9540" w:type="dxa"/>
        <w:tblInd w:w="-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540"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w:t>
            </w:r>
            <w:r>
              <w:rPr>
                <w:rFonts w:hint="eastAsia" w:ascii="仿宋" w:hAnsi="仿宋" w:eastAsia="仿宋" w:cs="宋体"/>
                <w:color w:val="000000"/>
                <w:kern w:val="0"/>
                <w:sz w:val="32"/>
                <w:szCs w:val="32"/>
                <w:lang w:eastAsia="zh-CN"/>
              </w:rPr>
              <w:t>规格：19英寸工业标准4U4路机架式服务器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540"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lang w:eastAsia="zh-CN"/>
              </w:rPr>
              <w:t>芯片组：Intel C602芯片组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540"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lang w:eastAsia="zh-CN"/>
              </w:rPr>
              <w:t>处理器：4颗Intel XeonE7-4800系列CPU（ 不低于8核/2.0GHz/20M缓存）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540"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lang w:eastAsia="zh-CN"/>
              </w:rPr>
              <w:t>内存：不低于32GB 1600MHz LV-DIMM  1.35V低功耗内存，支持8个内</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eastAsia="zh-CN"/>
              </w:rPr>
              <w:t>存板最少96条内存插槽，≥3TB内存扩展, 支持单条32GB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540"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val="en-US" w:eastAsia="zh-CN"/>
              </w:rPr>
              <w:t>5、</w:t>
            </w:r>
            <w:r>
              <w:rPr>
                <w:rFonts w:hint="eastAsia" w:ascii="仿宋" w:hAnsi="仿宋" w:eastAsia="仿宋" w:cs="宋体"/>
                <w:color w:val="000000"/>
                <w:kern w:val="0"/>
                <w:sz w:val="32"/>
                <w:szCs w:val="32"/>
                <w:lang w:eastAsia="zh-CN"/>
              </w:rPr>
              <w:t>硬盘：4块300GB 10000转 热插拔2.5寸SAS硬盘,支持12个2.5寸SAS硬盘扩展(非外挂存储)，可支持SSD硬盘扩展, 最低SSD容量80GB</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eastAsia="zh-CN"/>
              </w:rPr>
              <w:t>RAID功能： 外插独立SAS RAID卡，≥512MB缓存，可选电池，支持RAID6,60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540"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6、</w:t>
            </w:r>
            <w:r>
              <w:rPr>
                <w:rFonts w:hint="eastAsia" w:ascii="仿宋" w:hAnsi="仿宋" w:eastAsia="仿宋" w:cs="宋体"/>
                <w:color w:val="000000"/>
                <w:kern w:val="0"/>
                <w:sz w:val="32"/>
                <w:szCs w:val="32"/>
                <w:lang w:eastAsia="zh-CN"/>
              </w:rPr>
              <w:t>网卡：标配双口Intel千兆网卡，含1个独享的管理端口或共享的数据端口，以及两块单口光纤网卡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540"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7、</w:t>
            </w:r>
            <w:r>
              <w:rPr>
                <w:rFonts w:hint="eastAsia" w:ascii="仿宋" w:hAnsi="仿宋" w:eastAsia="仿宋" w:cs="宋体"/>
                <w:color w:val="000000"/>
                <w:kern w:val="0"/>
                <w:sz w:val="32"/>
                <w:szCs w:val="32"/>
                <w:lang w:eastAsia="zh-CN"/>
              </w:rPr>
              <w:t>HBA卡:两个单口8GHBA卡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540"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8、</w:t>
            </w:r>
            <w:r>
              <w:rPr>
                <w:rFonts w:hint="eastAsia" w:ascii="仿宋" w:hAnsi="仿宋" w:eastAsia="仿宋" w:cs="宋体"/>
                <w:color w:val="000000"/>
                <w:kern w:val="0"/>
                <w:sz w:val="32"/>
                <w:szCs w:val="32"/>
                <w:lang w:eastAsia="zh-CN"/>
              </w:rPr>
              <w:t>配件：DVD-RW光驱，机架安装滑动导轨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540"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9、</w:t>
            </w:r>
            <w:r>
              <w:rPr>
                <w:rFonts w:hint="eastAsia" w:ascii="仿宋" w:hAnsi="仿宋" w:eastAsia="仿宋" w:cs="宋体"/>
                <w:color w:val="000000"/>
                <w:kern w:val="0"/>
                <w:sz w:val="32"/>
                <w:szCs w:val="32"/>
                <w:lang w:eastAsia="zh-CN"/>
              </w:rPr>
              <w:t>电源：电源输出功率≥1600W 80+白金电源，满足能源之星2.0规范，2+2冗余电源冷却系统：支持8个冗余热插拔系统风扇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540"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10、</w:t>
            </w:r>
            <w:r>
              <w:rPr>
                <w:rFonts w:hint="eastAsia" w:ascii="仿宋" w:hAnsi="仿宋" w:eastAsia="仿宋" w:cs="宋体"/>
                <w:color w:val="000000"/>
                <w:kern w:val="0"/>
                <w:sz w:val="32"/>
                <w:szCs w:val="32"/>
                <w:lang w:eastAsia="zh-CN"/>
              </w:rPr>
              <w:t>RAS：支持热插内存板，支持热插拔PCI-e板卡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540"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11、</w:t>
            </w:r>
            <w:r>
              <w:rPr>
                <w:rFonts w:hint="eastAsia" w:ascii="仿宋" w:hAnsi="仿宋" w:eastAsia="仿宋" w:cs="宋体"/>
                <w:color w:val="000000"/>
                <w:kern w:val="0"/>
                <w:sz w:val="32"/>
                <w:szCs w:val="32"/>
                <w:lang w:eastAsia="zh-CN"/>
              </w:rPr>
              <w:t>I/O扩展：≥2个PCI-E 3.0x16, ≥8个PCI-E 3.0x8，7个USB 2.0接口，1个串口,1个VGA接口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540"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12、</w:t>
            </w:r>
            <w:r>
              <w:rPr>
                <w:rFonts w:hint="eastAsia" w:ascii="仿宋" w:hAnsi="仿宋" w:eastAsia="仿宋" w:cs="宋体"/>
                <w:color w:val="000000"/>
                <w:kern w:val="0"/>
                <w:sz w:val="32"/>
                <w:szCs w:val="32"/>
                <w:lang w:eastAsia="zh-CN"/>
              </w:rPr>
              <w:t>服务器管理：标配千台以上服务器节点的管理授权，IPMI 2.0，B/S架构，支持管理本地和远程的服务器，可实现服务器故障报警、批量的系统资源管理以及系统性能监控等功能；被管理的服务器无需安装代理软件；鼠标所到之处显示提示信息；跟踪服务器硬件配置变化；远程服务器控制及电源管理，并从控制台远程监控系统ID状态；高级功能：支持实现远程的iKVM管理和光驱、软驱的重定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540"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13、</w:t>
            </w:r>
            <w:r>
              <w:rPr>
                <w:rFonts w:hint="eastAsia" w:ascii="仿宋" w:hAnsi="仿宋" w:eastAsia="仿宋" w:cs="宋体"/>
                <w:color w:val="000000"/>
                <w:kern w:val="0"/>
                <w:sz w:val="32"/>
                <w:szCs w:val="32"/>
                <w:lang w:eastAsia="zh-CN"/>
              </w:rPr>
              <w:t>故障定位：标配前置故障诊断模块，可实现对CPU/内存/硬盘/网卡/风扇/温度/电源等关键部件的故障诊断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540"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14、</w:t>
            </w:r>
            <w:r>
              <w:rPr>
                <w:rFonts w:hint="eastAsia" w:ascii="仿宋" w:hAnsi="仿宋" w:eastAsia="仿宋" w:cs="宋体"/>
                <w:color w:val="000000"/>
                <w:kern w:val="0"/>
                <w:sz w:val="32"/>
                <w:szCs w:val="32"/>
                <w:lang w:eastAsia="zh-CN"/>
              </w:rPr>
              <w:t>服务：原厂商3年保修</w:t>
            </w:r>
          </w:p>
        </w:tc>
      </w:tr>
    </w:tbl>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val="en-US" w:eastAsia="zh-CN"/>
        </w:rPr>
        <w:t>存储系统</w:t>
      </w:r>
    </w:p>
    <w:tbl>
      <w:tblPr>
        <w:tblStyle w:val="23"/>
        <w:tblW w:w="9525" w:type="dxa"/>
        <w:tblInd w:w="-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1549"/>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0" w:type="dxa"/>
            <w:gridSpan w:val="2"/>
            <w:tcBorders>
              <w:top w:val="single" w:color="auto" w:sz="4" w:space="0"/>
              <w:left w:val="single" w:color="auto" w:sz="4" w:space="0"/>
              <w:bottom w:val="single" w:color="auto" w:sz="4" w:space="0"/>
              <w:right w:val="single" w:color="auto" w:sz="4" w:space="0"/>
            </w:tcBorders>
            <w:noWrap w:val="0"/>
            <w:vAlign w:val="top"/>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指标项目</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技术规格及配置要求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571" w:type="dxa"/>
            <w:tcBorders>
              <w:top w:val="single" w:color="auto" w:sz="4" w:space="0"/>
              <w:left w:val="single" w:color="auto" w:sz="4" w:space="0"/>
              <w:right w:val="single" w:color="auto" w:sz="4" w:space="0"/>
            </w:tcBorders>
            <w:noWrap w:val="0"/>
            <w:vAlign w:val="center"/>
          </w:tcPr>
          <w:p>
            <w:pPr>
              <w:widowControl/>
              <w:shd w:val="clear" w:color="auto" w:fill="FFFFFF"/>
              <w:spacing w:line="360" w:lineRule="auto"/>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基础要求</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专业性</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bookmarkStart w:id="0" w:name="OLE_LINK3"/>
            <w:bookmarkStart w:id="1" w:name="OLE_LINK2"/>
            <w:r>
              <w:rPr>
                <w:rFonts w:hint="eastAsia" w:ascii="仿宋" w:hAnsi="仿宋" w:eastAsia="仿宋" w:cs="宋体"/>
                <w:color w:val="000000"/>
                <w:kern w:val="0"/>
                <w:sz w:val="32"/>
                <w:szCs w:val="32"/>
              </w:rPr>
              <w:t>★</w:t>
            </w:r>
            <w:bookmarkEnd w:id="0"/>
            <w:bookmarkEnd w:id="1"/>
            <w:r>
              <w:rPr>
                <w:rFonts w:hint="eastAsia" w:ascii="仿宋" w:hAnsi="仿宋" w:eastAsia="仿宋" w:cs="宋体"/>
                <w:color w:val="000000"/>
                <w:kern w:val="0"/>
                <w:sz w:val="32"/>
                <w:szCs w:val="32"/>
              </w:rPr>
              <w:t>知名品牌, 具有ISO9001:2008质量体系认证（认证范围包含存储系统的设计、开发、生产和服务, 提供有效认证证书的复印件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vMerge w:val="restart"/>
            <w:tcBorders>
              <w:top w:val="single" w:color="auto" w:sz="4" w:space="0"/>
              <w:left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控制器</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体系架构</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★统一存储系统,配置双控制器，Active-Active模式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vMerge w:val="continue"/>
            <w:tcBorders>
              <w:left w:val="single" w:color="auto" w:sz="4" w:space="0"/>
              <w:right w:val="single" w:color="auto" w:sz="4" w:space="0"/>
            </w:tcBorders>
            <w:noWrap w:val="0"/>
            <w:vAlign w:val="top"/>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Cache配置</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★配置32GB高速缓存 （非SSD盘、Flash卡模拟）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vMerge w:val="continue"/>
            <w:tcBorders>
              <w:left w:val="single" w:color="auto" w:sz="4" w:space="0"/>
              <w:right w:val="single" w:color="auto" w:sz="4" w:space="0"/>
            </w:tcBorders>
            <w:noWrap w:val="0"/>
            <w:vAlign w:val="top"/>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Cache保护</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支持双Cache互为镜像技术，支持Cache断电数据保护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vMerge w:val="continue"/>
            <w:tcBorders>
              <w:left w:val="single" w:color="auto" w:sz="4" w:space="0"/>
              <w:right w:val="single" w:color="auto" w:sz="4" w:space="0"/>
            </w:tcBorders>
            <w:noWrap w:val="0"/>
            <w:vAlign w:val="top"/>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存储协议</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支持FC,ISCSI,CIFS,NFS,FTP,HTTP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vMerge w:val="continue"/>
            <w:tcBorders>
              <w:left w:val="single" w:color="auto" w:sz="4" w:space="0"/>
              <w:right w:val="single" w:color="auto" w:sz="4" w:space="0"/>
            </w:tcBorders>
            <w:noWrap w:val="0"/>
            <w:vAlign w:val="top"/>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主机接口</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★本次配置4个千兆网络端口、2个 12Gb SAS端口、8个16Gb光纤主机接口(包含8条LC-LC-10M光纤线缆)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vMerge w:val="restart"/>
            <w:tcBorders>
              <w:top w:val="single" w:color="auto" w:sz="4" w:space="0"/>
              <w:left w:val="single" w:color="auto" w:sz="4" w:space="0"/>
              <w:right w:val="single" w:color="auto" w:sz="4" w:space="0"/>
            </w:tcBorders>
            <w:noWrap w:val="0"/>
            <w:vAlign w:val="center"/>
          </w:tcPr>
          <w:p>
            <w:pPr>
              <w:widowControl/>
              <w:shd w:val="clear" w:color="auto" w:fill="FFFFFF"/>
              <w:spacing w:line="360" w:lineRule="auto"/>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硬盘系统</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支持磁盘类型</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支持2.5’及3.5’ SSD/SAS/SATA硬盘，支持硬盘混插；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vMerge w:val="continue"/>
            <w:tcBorders>
              <w:left w:val="single" w:color="auto" w:sz="4" w:space="0"/>
              <w:right w:val="single" w:color="auto" w:sz="4" w:space="0"/>
            </w:tcBorders>
            <w:noWrap w:val="0"/>
            <w:vAlign w:val="top"/>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支持RAID级别</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支持RAID 0/1/5/6/10和ERDS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vMerge w:val="continue"/>
            <w:tcBorders>
              <w:left w:val="single" w:color="auto" w:sz="4" w:space="0"/>
              <w:right w:val="single" w:color="auto" w:sz="4" w:space="0"/>
            </w:tcBorders>
            <w:noWrap w:val="0"/>
            <w:vAlign w:val="top"/>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硬盘配置</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★本次配置12块1.2T 2.5寸专用SAS磁盘,10K rpm,要求存储软件安装不能占用前端硬盘空间；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vMerge w:val="continue"/>
            <w:tcBorders>
              <w:left w:val="single" w:color="auto" w:sz="4" w:space="0"/>
              <w:right w:val="single" w:color="auto" w:sz="4" w:space="0"/>
            </w:tcBorders>
            <w:noWrap w:val="0"/>
            <w:vAlign w:val="top"/>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硬盘数据安全</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支持优化的RAID技术，不需单独设置热备盘,所有硬盘都参与数据存储,所有磁盘组成统一资源池提供数据服务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vMerge w:val="continue"/>
            <w:tcBorders>
              <w:left w:val="single" w:color="auto" w:sz="4" w:space="0"/>
              <w:right w:val="single" w:color="auto" w:sz="4" w:space="0"/>
            </w:tcBorders>
            <w:noWrap w:val="0"/>
            <w:vAlign w:val="top"/>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路径冗余</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★提供统一的多路径冗余管理软件，同时要提供无license限制的多路径冗余软件，支持流量负载均衡和切换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571" w:type="dxa"/>
            <w:vMerge w:val="continue"/>
            <w:tcBorders>
              <w:left w:val="single" w:color="auto" w:sz="4" w:space="0"/>
              <w:right w:val="single" w:color="auto" w:sz="4" w:space="0"/>
            </w:tcBorders>
            <w:noWrap w:val="0"/>
            <w:vAlign w:val="top"/>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数据压缩</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支持硬件数据压缩功能，提升数据读写速度和空间利用率；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71" w:type="dxa"/>
            <w:vMerge w:val="continue"/>
            <w:tcBorders>
              <w:left w:val="single" w:color="auto" w:sz="4" w:space="0"/>
              <w:right w:val="single" w:color="auto" w:sz="4" w:space="0"/>
            </w:tcBorders>
            <w:noWrap w:val="0"/>
            <w:vAlign w:val="top"/>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自动精简配置</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配置瘦供给（Thin Provision）功能且无容量限制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71" w:type="dxa"/>
            <w:vMerge w:val="continue"/>
            <w:tcBorders>
              <w:left w:val="single" w:color="auto" w:sz="4" w:space="0"/>
              <w:right w:val="single" w:color="auto" w:sz="4" w:space="0"/>
            </w:tcBorders>
            <w:noWrap w:val="0"/>
            <w:vAlign w:val="top"/>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存储容灾软件</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★配置存储级容灾软件,包含远程复制等,支持存储系统之间数据同步及异步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vMerge w:val="restart"/>
            <w:tcBorders>
              <w:top w:val="single" w:color="auto" w:sz="4" w:space="0"/>
              <w:left w:val="single" w:color="auto" w:sz="4" w:space="0"/>
              <w:right w:val="single" w:color="auto" w:sz="4" w:space="0"/>
            </w:tcBorders>
            <w:noWrap w:val="0"/>
            <w:vAlign w:val="center"/>
          </w:tcPr>
          <w:p>
            <w:pPr>
              <w:widowControl/>
              <w:shd w:val="clear" w:color="auto" w:fill="FFFFFF"/>
              <w:spacing w:line="360" w:lineRule="auto"/>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运维管理</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数据迁移</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支持透明的、不影响应用运行的数据在不同存储设备和同一存储设备上的迁移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vMerge w:val="continue"/>
            <w:tcBorders>
              <w:left w:val="single" w:color="auto" w:sz="4" w:space="0"/>
              <w:bottom w:val="single" w:color="auto" w:sz="4" w:space="0"/>
              <w:right w:val="single" w:color="auto" w:sz="4" w:space="0"/>
            </w:tcBorders>
            <w:noWrap w:val="0"/>
            <w:vAlign w:val="top"/>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管理方式</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支持CLI/WebGUI/Client等图形化管理界面,中英文图形化管理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1" w:type="dxa"/>
            <w:tcBorders>
              <w:top w:val="single" w:color="auto" w:sz="4" w:space="0"/>
              <w:left w:val="single" w:color="auto" w:sz="4" w:space="0"/>
              <w:right w:val="single" w:color="auto" w:sz="4" w:space="0"/>
            </w:tcBorders>
            <w:noWrap w:val="0"/>
            <w:vAlign w:val="center"/>
          </w:tcPr>
          <w:p>
            <w:pPr>
              <w:widowControl/>
              <w:shd w:val="clear" w:color="auto" w:fill="FFFFFF"/>
              <w:spacing w:line="360" w:lineRule="auto"/>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兼容性</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支持的操作系统及数据库</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支持Windows Server 2003/2008/2008 R2/2012(包括Hyper-V)，Red Hat Enterprise Linux，SUSE Linux Enterprise，Sun Solaris，Mac OS X,HP-UX,IBM AIX,VMware,Citrix XenServer等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571" w:type="dxa"/>
            <w:vMerge w:val="restart"/>
            <w:tcBorders>
              <w:top w:val="single" w:color="auto" w:sz="4" w:space="0"/>
              <w:left w:val="single" w:color="auto" w:sz="4" w:space="0"/>
              <w:right w:val="single" w:color="auto" w:sz="4" w:space="0"/>
            </w:tcBorders>
            <w:noWrap w:val="0"/>
            <w:vAlign w:val="center"/>
          </w:tcPr>
          <w:p>
            <w:pPr>
              <w:widowControl/>
              <w:shd w:val="clear" w:color="auto" w:fill="FFFFFF"/>
              <w:spacing w:line="360" w:lineRule="auto"/>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厂商服务</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资质</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★省/直辖市颁发的专利试点单位证书；★国防部三级保密资格单位证书；以上需提供有效认证证书的复印件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571" w:type="dxa"/>
            <w:vMerge w:val="continue"/>
            <w:tcBorders>
              <w:left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服务</w:t>
            </w:r>
          </w:p>
        </w:tc>
        <w:tc>
          <w:tcPr>
            <w:tcW w:w="6405"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★原厂商提供首次设备现场安装服务，三年产品质保与原厂工程师上门服务</w:t>
            </w:r>
          </w:p>
        </w:tc>
      </w:tr>
    </w:tbl>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光纤交换机</w:t>
      </w:r>
    </w:p>
    <w:tbl>
      <w:tblPr>
        <w:tblStyle w:val="24"/>
        <w:tblW w:w="9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3"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8Gb，24端口交换机，16端口激活，含16个8Gb/s短波SFP，含Web tools、Zoning、EGM软件授权，全光纤支持级联，可按需扩展到24个通讯端口，单电源（固定），机架套件，原厂保修1年</w:t>
            </w:r>
          </w:p>
        </w:tc>
      </w:tr>
    </w:tbl>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 xml:space="preserve">                                </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核心交换机</w:t>
      </w:r>
    </w:p>
    <w:tbl>
      <w:tblPr>
        <w:tblStyle w:val="23"/>
        <w:tblW w:w="511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5000" w:type="pct"/>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1、★基本要求</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提供7插槽机箱、背板、风扇、主控和电源，主控板槽位数≥2，业务槽位数≥5，主控和电源冗余配置；必须能支持高压直流电源：3</w:t>
            </w:r>
            <w:r>
              <w:rPr>
                <w:rFonts w:hint="eastAsia" w:ascii="仿宋" w:hAnsi="仿宋" w:eastAsia="仿宋" w:cs="宋体"/>
                <w:color w:val="000000"/>
                <w:kern w:val="0"/>
                <w:sz w:val="32"/>
                <w:szCs w:val="32"/>
                <w:lang w:val="en-US" w:eastAsia="zh-CN"/>
              </w:rPr>
              <w:t>80</w:t>
            </w:r>
            <w:r>
              <w:rPr>
                <w:rFonts w:hint="eastAsia" w:ascii="仿宋" w:hAnsi="仿宋" w:eastAsia="仿宋" w:cs="宋体"/>
                <w:color w:val="000000"/>
                <w:kern w:val="0"/>
                <w:sz w:val="32"/>
                <w:szCs w:val="32"/>
              </w:rPr>
              <w:t>V HVDC；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trPr>
        <w:tc>
          <w:tcPr>
            <w:tcW w:w="5000" w:type="pct"/>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2、★整机性能</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支持交换容量≥15Tbps，包转发率≥3</w:t>
            </w:r>
            <w:r>
              <w:rPr>
                <w:rFonts w:hint="eastAsia" w:ascii="仿宋" w:hAnsi="仿宋" w:eastAsia="仿宋" w:cs="宋体"/>
                <w:color w:val="000000"/>
                <w:kern w:val="0"/>
                <w:sz w:val="32"/>
                <w:szCs w:val="32"/>
                <w:lang w:val="en-US" w:eastAsia="zh-CN"/>
              </w:rPr>
              <w:t>0</w:t>
            </w:r>
            <w:r>
              <w:rPr>
                <w:rFonts w:hint="eastAsia" w:ascii="仿宋" w:hAnsi="仿宋" w:eastAsia="仿宋" w:cs="宋体"/>
                <w:color w:val="000000"/>
                <w:kern w:val="0"/>
                <w:sz w:val="32"/>
                <w:szCs w:val="32"/>
              </w:rPr>
              <w:t>00Mpps，主控板、电源、接口模块等关键部件必须支持可热插拔；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5000" w:type="pct"/>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3、★虚拟化技术</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支持虚拟化技术；支持≥320Gbps虚拟化带宽；支持长距离虚拟化，最大距离≥80KM，支持堆叠口和业务口共板卡且均可以正常工作，提供第三方检测报告；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5000" w:type="pct"/>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4、时钟同步特性</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★支持IEEE 1588v2、同步以太网。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5000" w:type="pct"/>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5、QoS/ACL</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至少具备8个QoS优先级；支持基于二层ACL、扩展ACL（五元组）、混合ACL、自定义ACL；支持基于时间段的ACL配置；支持出、入方向的双向ACL；平均每板提供ACl条目数不小于100K条。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5000" w:type="pct"/>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6、可靠性功能</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★支持快速以太网的环网保护技术，环网故障恢复时间不超过50ms；支持环网、开环拓扑及双上行的拓扑保护；支持多实例的负荷分担；支持UDLD或同类协议。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5000" w:type="pct"/>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7、链路聚合</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支持IEEE 802.3ad LACP 链路聚合协议；支持静态Trunk端口，聚合数目支持最大128组/每组最大8端口。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5000" w:type="pct"/>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8、VLAN</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支持4K个VLAN；支持基于端口/协议/IP子网/MAC的VLAN；支持QinQ功能、灵活QinQ功能；支持SuperVLAN和VLAN翻译。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5000" w:type="pct"/>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9、镜像</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支持基于端口的出方向/入方向/双向数据的流量镜像功能；支持一对一、多对一、多对多的端口镜像；支持基于流的出方向/入方向/双向数据的镜像功能；支持远程镜像RSPAN和支持增强的远程镜像ERSPAN功能。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5000" w:type="pct"/>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10、IP路由(IPv4、IPv6)</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支持静态路由；静态路由For IPv6；支持RIPv1/v2、RIPng、OSPFv2/v3、  ISIS、ISISv6、BGP4、BGP4+ For IPv6、策略路由、等价路由等协议。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5000" w:type="pct"/>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11、IPv6特性</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硬件支持分布式IPv6线速处理；支持IPv6 Ping、IPv6 Telnet；支持ND（Neighbor Discovery）、MLD Snooping、DHCPv6 snooping、IPv6 ACL、IPv4/IPv6双栈、6to4 tunnel、ISATAP tunnel等协议。★要求设备通过IPv6 Ready Phase II认证，并提供相应的证书复印件。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5000" w:type="pct"/>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12、MPLS/MPLS VPN</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支持LDP协议、静态LSP配置、MPLS TE、VPWS、VPLS、H-VPLS和MPLS L3 VPN。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5000" w:type="pct"/>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13、组播协议</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组播协议必须支持IGMP V1/V2/V3 Snooping、组播VLAN注册MVR、IGMP侦听、过滤、代理和快速离开；支持基于VLAN/Group加入用户数量的限制；支持PIM-SM、PIM-DM、PIM-SSM和MSDP协议。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5000" w:type="pct"/>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14、设备管理</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支持SD卡；支持CLI、Telnet、SSH方式的设备管理；支持本地和远程（Radius/Tacacs+）的用户登录认证和授权；支持SNMPv1/v2/v3；支持NTP、SYSLOG、RMON等。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5000" w:type="pct"/>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15、★产品资质</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需要提供工信部入网证。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5000" w:type="pct"/>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16、★配置要求</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本次提供主控板≥2，提供GE电接口≥</w:t>
            </w:r>
            <w:r>
              <w:rPr>
                <w:rFonts w:hint="eastAsia" w:ascii="仿宋" w:hAnsi="仿宋" w:eastAsia="仿宋" w:cs="宋体"/>
                <w:color w:val="000000"/>
                <w:kern w:val="0"/>
                <w:sz w:val="32"/>
                <w:szCs w:val="32"/>
                <w:lang w:val="en-US" w:eastAsia="zh-CN"/>
              </w:rPr>
              <w:t>48</w:t>
            </w:r>
            <w:r>
              <w:rPr>
                <w:rFonts w:hint="eastAsia" w:ascii="仿宋" w:hAnsi="仿宋" w:eastAsia="仿宋" w:cs="宋体"/>
                <w:color w:val="000000"/>
                <w:kern w:val="0"/>
                <w:sz w:val="32"/>
                <w:szCs w:val="32"/>
              </w:rPr>
              <w:t>，提供GE SFP接口≥</w:t>
            </w:r>
            <w:r>
              <w:rPr>
                <w:rFonts w:hint="eastAsia" w:ascii="仿宋" w:hAnsi="仿宋" w:eastAsia="仿宋" w:cs="宋体"/>
                <w:color w:val="000000"/>
                <w:kern w:val="0"/>
                <w:sz w:val="32"/>
                <w:szCs w:val="32"/>
                <w:lang w:val="en-US" w:eastAsia="zh-CN"/>
              </w:rPr>
              <w:t>24</w:t>
            </w:r>
            <w:r>
              <w:rPr>
                <w:rFonts w:hint="eastAsia" w:ascii="仿宋" w:hAnsi="仿宋" w:eastAsia="仿宋" w:cs="宋体"/>
                <w:color w:val="000000"/>
                <w:kern w:val="0"/>
                <w:sz w:val="32"/>
                <w:szCs w:val="32"/>
                <w:lang w:eastAsia="zh-CN"/>
              </w:rPr>
              <w:t>。</w:t>
            </w:r>
          </w:p>
        </w:tc>
      </w:tr>
    </w:tbl>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千兆接入交换机（48口）</w:t>
      </w:r>
    </w:p>
    <w:tbl>
      <w:tblPr>
        <w:tblStyle w:val="23"/>
        <w:tblW w:w="9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trPr>
        <w:tc>
          <w:tcPr>
            <w:tcW w:w="9518"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1、★基本要求</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国产主流品牌，可提供GE电接口≥48，GE光接口≥4。</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交换容量≥256Gbps，包转发率≥108Mpps，MAC地址表≥16K,官网有多个参数时以较小的参数为准。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trPr>
        <w:tc>
          <w:tcPr>
            <w:tcW w:w="9518"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2、二层特性</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支持4K VLAN，支持Voice VLAN。支持灵活的QinQ功能。支持STP、RSTP、MSTP。支持LACP。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518"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3、三层特性</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支持至少120条以上静态路由；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518"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4、IPv6</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★支持静态路由For IPv6。为确保设备能够支持IPv6，需要产品通过IPv6 Ready Phrase II。</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支持IPv6 ACL，支持IPv6 Ping，IPv6 Telnet。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518"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5、组播</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支持可控组播，CAC品当访问控制。支持用户组播访问控制，用户组播访问记录。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518"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6、ACL</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支持基于时间段的ACL配置，支持出、入方向的双向ACL。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518"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7、安全</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支持802.1X，支持CPU防护，CPU过载保护。</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★支持以太环网保护技术；支持环网、开环拓扑及双上行的拓扑保护，支持多实例的负荷分担，可实现以太网环路50ms级的保护。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518"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8、★节能环保</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支持可调速风扇，根据环境温度调整风扇转速，支持国际标准协议802.3az能效以太网EEE。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518"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9、系统管理</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支持SNMP v1/v2/v3和RMON，支持WEB管理,支持FTP、TFTP。</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★支持增强VCT，单个命令显示所有端口VCT状态，</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支持零部署。</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★支持通过端口的指示灯直观获取设备端口、内存、CPU状态等信息。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518"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10、★资质要求</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提供信息产业部的电信设备入网许可证</w:t>
            </w:r>
          </w:p>
        </w:tc>
      </w:tr>
    </w:tbl>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 xml:space="preserve">                     千兆接入交换机（24口</w:t>
      </w:r>
      <w:r>
        <w:rPr>
          <w:rFonts w:hint="eastAsia" w:ascii="仿宋" w:hAnsi="仿宋" w:eastAsia="仿宋" w:cs="宋体"/>
          <w:color w:val="000000"/>
          <w:kern w:val="0"/>
          <w:sz w:val="32"/>
          <w:szCs w:val="32"/>
          <w:lang w:eastAsia="zh-CN"/>
        </w:rPr>
        <w:t>）</w:t>
      </w:r>
    </w:p>
    <w:tbl>
      <w:tblPr>
        <w:tblStyle w:val="23"/>
        <w:tblW w:w="9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518"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1、★基本要求</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国产主流品牌，可提供GE电接口≥24，可提供GE SFP接口≥2；可提供GE COMBO接口≥2。</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交换容量≥256 Gbps，包转发率≥72Mpps，MAC地址表≥16K, 官网有多个参数时以较小的参数为准。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518"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2、二层特性</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支持4K VLAN，支持Voice VLAN。支持灵活的QinQ功能。支持STP、RSTP、MSTP。支持LACP</w:t>
            </w:r>
            <w:r>
              <w:rPr>
                <w:rFonts w:hint="eastAsia" w:ascii="仿宋" w:hAnsi="仿宋" w:eastAsia="仿宋" w:cs="宋体"/>
                <w:color w:val="000000"/>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518"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3、三层特性</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支持至少120条以上静态路由；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518"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4、IPv6</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★支持静态路由For IPv6。为确保设备能够支持IPv6，需要产品通过IPv6 Ready Phrase II。</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支持IPv6 ACL，支持IPv6 Ping，IPv6 Telnet。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518"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5、组播</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支持可控组播，CAC品当访问控制。支持用户组播访问控制，用户组播访问记录。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518"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6、ACL</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支持基于时间段的ACL配置，支持出、入方向的双向ACL。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518"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7、安全</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支持802.1X，支持CPU防护，CPU过载保护。</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★支持以太环网保护技术；支持环网、开环拓扑及双上行的拓扑保护，支持多实例的负荷分担，可实现以太网环路50ms级的保护</w:t>
            </w:r>
            <w:r>
              <w:rPr>
                <w:rFonts w:hint="eastAsia" w:ascii="仿宋" w:hAnsi="仿宋" w:eastAsia="仿宋" w:cs="宋体"/>
                <w:color w:val="000000"/>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518"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8、★节能环保</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支持可调速风扇，根据环境温度调整风扇转速</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支持国际标准协议802.3az能效以太网EEE</w:t>
            </w:r>
            <w:r>
              <w:rPr>
                <w:rFonts w:hint="eastAsia" w:ascii="仿宋" w:hAnsi="仿宋" w:eastAsia="仿宋" w:cs="宋体"/>
                <w:color w:val="000000"/>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trPr>
        <w:tc>
          <w:tcPr>
            <w:tcW w:w="9518"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9、系统管理</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支持SNMP v1/v2/v3和RMON，支持WEB管理,支持FTP、TFTP。</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★支持增强VCT，单个命令显示所有端口VCT状态</w:t>
            </w:r>
            <w:r>
              <w:rPr>
                <w:rFonts w:hint="eastAsia" w:ascii="仿宋" w:hAnsi="仿宋" w:eastAsia="仿宋" w:cs="宋体"/>
                <w:color w:val="000000"/>
                <w:kern w:val="0"/>
                <w:sz w:val="32"/>
                <w:szCs w:val="32"/>
                <w:lang w:eastAsia="zh-CN"/>
              </w:rPr>
              <w:t>，</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支持零部署。</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★支持通过端口的指示灯直观获取设备端口、内存、CPU状态等信息。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9518" w:type="dxa"/>
          </w:tcPr>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10、★资质要求</w:t>
            </w:r>
          </w:p>
          <w:p>
            <w:pPr>
              <w:widowControl/>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提供信息产业部的电信设备入网许可证</w:t>
            </w:r>
          </w:p>
        </w:tc>
      </w:tr>
    </w:tbl>
    <w:p>
      <w:pPr>
        <w:widowControl/>
        <w:shd w:val="clear" w:color="auto" w:fill="FFFFFF"/>
        <w:spacing w:line="360" w:lineRule="auto"/>
        <w:ind w:firstLine="640" w:firstLineChars="200"/>
        <w:contextualSpacing/>
        <w:jc w:val="left"/>
        <w:rPr>
          <w:rFonts w:ascii="仿宋" w:hAnsi="仿宋" w:eastAsia="仿宋" w:cs="宋体"/>
          <w:color w:val="000000"/>
          <w:kern w:val="0"/>
          <w:sz w:val="32"/>
          <w:szCs w:val="32"/>
        </w:rPr>
      </w:pPr>
    </w:p>
    <w:p>
      <w:pPr>
        <w:widowControl/>
        <w:numPr>
          <w:ilvl w:val="0"/>
          <w:numId w:val="7"/>
        </w:numPr>
        <w:shd w:val="clear" w:color="auto" w:fill="FFFFFF"/>
        <w:spacing w:line="360" w:lineRule="auto"/>
        <w:contextualSpacing/>
        <w:jc w:val="left"/>
        <w:rPr>
          <w:rFonts w:hint="eastAsia" w:ascii="仿宋" w:hAnsi="仿宋" w:eastAsia="仿宋" w:cs="宋体"/>
          <w:b/>
          <w:color w:val="000000"/>
          <w:kern w:val="0"/>
          <w:sz w:val="32"/>
          <w:szCs w:val="32"/>
        </w:rPr>
      </w:pPr>
      <w:r>
        <w:rPr>
          <w:rFonts w:hint="eastAsia" w:ascii="仿宋" w:hAnsi="仿宋" w:eastAsia="仿宋" w:cs="宋体"/>
          <w:b/>
          <w:color w:val="000000"/>
          <w:kern w:val="0"/>
          <w:sz w:val="32"/>
          <w:szCs w:val="32"/>
        </w:rPr>
        <w:t>采购标的执行标准</w:t>
      </w:r>
    </w:p>
    <w:p>
      <w:pPr>
        <w:widowControl/>
        <w:shd w:val="clear" w:color="auto" w:fill="FFFFFF"/>
        <w:spacing w:line="360" w:lineRule="auto"/>
        <w:ind w:firstLine="600"/>
        <w:jc w:val="left"/>
        <w:rPr>
          <w:rFonts w:hint="eastAsia" w:ascii="仿宋" w:hAnsi="仿宋" w:eastAsia="仿宋" w:cs="宋体"/>
          <w:color w:val="000000"/>
          <w:kern w:val="0"/>
          <w:sz w:val="32"/>
          <w:szCs w:val="32"/>
          <w:lang w:val="zh-TW" w:eastAsia="zh-TW"/>
        </w:rPr>
      </w:pPr>
      <w:r>
        <w:rPr>
          <w:rFonts w:hint="eastAsia" w:ascii="仿宋" w:hAnsi="仿宋" w:eastAsia="仿宋" w:cs="宋体"/>
          <w:color w:val="000000"/>
          <w:kern w:val="0"/>
          <w:sz w:val="32"/>
          <w:szCs w:val="32"/>
          <w:lang w:val="zh-TW" w:eastAsia="zh-TW"/>
        </w:rPr>
        <w:t>1、强制性产品认证</w:t>
      </w:r>
    </w:p>
    <w:p>
      <w:pPr>
        <w:widowControl/>
        <w:shd w:val="clear" w:color="auto" w:fill="FFFFFF"/>
        <w:spacing w:line="360" w:lineRule="auto"/>
        <w:ind w:firstLine="600"/>
        <w:jc w:val="left"/>
        <w:rPr>
          <w:rFonts w:hint="eastAsia" w:ascii="仿宋" w:hAnsi="仿宋" w:eastAsia="仿宋" w:cs="宋体"/>
          <w:color w:val="000000"/>
          <w:kern w:val="0"/>
          <w:sz w:val="32"/>
          <w:szCs w:val="32"/>
          <w:lang w:val="zh-TW" w:eastAsia="zh-TW"/>
        </w:rPr>
      </w:pPr>
      <w:r>
        <w:rPr>
          <w:rFonts w:hint="eastAsia" w:ascii="仿宋" w:hAnsi="仿宋" w:eastAsia="仿宋" w:cs="宋体"/>
          <w:color w:val="000000"/>
          <w:kern w:val="0"/>
          <w:sz w:val="32"/>
          <w:szCs w:val="32"/>
          <w:lang w:val="zh-TW" w:eastAsia="zh-TW"/>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widowControl/>
        <w:shd w:val="clear" w:color="auto" w:fill="FFFFFF"/>
        <w:spacing w:line="360" w:lineRule="auto"/>
        <w:ind w:firstLine="600"/>
        <w:jc w:val="left"/>
        <w:rPr>
          <w:rFonts w:hint="eastAsia" w:ascii="仿宋" w:hAnsi="仿宋" w:eastAsia="仿宋" w:cs="宋体"/>
          <w:color w:val="000000"/>
          <w:kern w:val="0"/>
          <w:sz w:val="32"/>
          <w:szCs w:val="32"/>
          <w:lang w:val="zh-TW" w:eastAsia="zh-TW"/>
        </w:rPr>
      </w:pPr>
      <w:r>
        <w:rPr>
          <w:rFonts w:hint="eastAsia" w:ascii="仿宋" w:hAnsi="仿宋" w:eastAsia="仿宋" w:cs="宋体"/>
          <w:color w:val="000000"/>
          <w:kern w:val="0"/>
          <w:sz w:val="32"/>
          <w:szCs w:val="32"/>
          <w:lang w:val="zh-TW" w:eastAsia="zh-TW"/>
        </w:rPr>
        <w:t>2、信息安全产品强制性认证</w:t>
      </w:r>
    </w:p>
    <w:p>
      <w:pPr>
        <w:widowControl/>
        <w:shd w:val="clear" w:color="auto" w:fill="FFFFFF"/>
        <w:spacing w:line="360" w:lineRule="auto"/>
        <w:ind w:firstLine="600"/>
        <w:jc w:val="left"/>
        <w:rPr>
          <w:rFonts w:hint="eastAsia" w:ascii="仿宋" w:hAnsi="仿宋" w:eastAsia="仿宋" w:cs="宋体"/>
          <w:color w:val="000000"/>
          <w:kern w:val="0"/>
          <w:sz w:val="32"/>
          <w:szCs w:val="32"/>
          <w:lang w:val="zh-TW" w:eastAsia="zh-TW"/>
        </w:rPr>
      </w:pPr>
      <w:r>
        <w:rPr>
          <w:rFonts w:hint="eastAsia" w:ascii="仿宋" w:hAnsi="仿宋" w:eastAsia="仿宋" w:cs="宋体"/>
          <w:color w:val="000000"/>
          <w:kern w:val="0"/>
          <w:sz w:val="32"/>
          <w:szCs w:val="32"/>
          <w:lang w:val="zh-TW" w:eastAsia="zh-TW"/>
        </w:rPr>
        <w:t>如投标人所投产品被列入《信息安全产品强制性认证目录》，投标人不能提供出此目录范畴外的替代品并须在投标文件中提供：</w:t>
      </w:r>
    </w:p>
    <w:p>
      <w:pPr>
        <w:widowControl/>
        <w:shd w:val="clear" w:color="auto" w:fill="FFFFFF"/>
        <w:spacing w:line="360" w:lineRule="auto"/>
        <w:ind w:firstLine="600"/>
        <w:jc w:val="left"/>
        <w:rPr>
          <w:rFonts w:hint="eastAsia" w:ascii="仿宋" w:hAnsi="仿宋" w:eastAsia="仿宋" w:cs="宋体"/>
          <w:color w:val="000000"/>
          <w:kern w:val="0"/>
          <w:sz w:val="32"/>
          <w:szCs w:val="32"/>
          <w:lang w:val="zh-TW" w:eastAsia="zh-TW"/>
        </w:rPr>
      </w:pPr>
      <w:r>
        <w:rPr>
          <w:rFonts w:hint="eastAsia" w:ascii="仿宋" w:hAnsi="仿宋" w:eastAsia="仿宋" w:cs="宋体"/>
          <w:color w:val="000000"/>
          <w:kern w:val="0"/>
          <w:sz w:val="32"/>
          <w:szCs w:val="32"/>
          <w:lang w:val="zh-TW" w:eastAsia="zh-TW"/>
        </w:rPr>
        <w:t>（1）中国信息安全认证中心官网(http://www.isccc.gov.cn/index.shtml)产品查询结果截图并加盖投标人公章；</w:t>
      </w:r>
    </w:p>
    <w:p>
      <w:pPr>
        <w:widowControl/>
        <w:shd w:val="clear" w:color="auto" w:fill="FFFFFF"/>
        <w:spacing w:line="360" w:lineRule="auto"/>
        <w:ind w:firstLine="600"/>
        <w:jc w:val="left"/>
        <w:rPr>
          <w:rFonts w:hint="eastAsia" w:ascii="仿宋" w:hAnsi="仿宋" w:eastAsia="仿宋" w:cs="宋体"/>
          <w:color w:val="000000"/>
          <w:kern w:val="0"/>
          <w:sz w:val="32"/>
          <w:szCs w:val="32"/>
          <w:lang w:val="zh-TW" w:eastAsia="zh-TW"/>
        </w:rPr>
      </w:pPr>
      <w:r>
        <w:rPr>
          <w:rFonts w:hint="eastAsia" w:ascii="仿宋" w:hAnsi="仿宋" w:eastAsia="仿宋" w:cs="宋体"/>
          <w:color w:val="000000"/>
          <w:kern w:val="0"/>
          <w:sz w:val="32"/>
          <w:szCs w:val="32"/>
          <w:lang w:val="zh-TW" w:eastAsia="zh-TW"/>
        </w:rPr>
        <w:t>（2）中国信息安全认证中心颁发的《中国国家信息安全产品认证证书》的原件扫描件(或图片)并加盖投标人公章。</w:t>
      </w:r>
    </w:p>
    <w:p>
      <w:pPr>
        <w:widowControl/>
        <w:shd w:val="clear" w:color="auto" w:fill="FFFFFF"/>
        <w:spacing w:line="360" w:lineRule="auto"/>
        <w:ind w:firstLine="6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zh-TW" w:eastAsia="zh-TW"/>
        </w:rPr>
        <w:t>注:仅需提供序号（1）~（2）其中之一即可</w:t>
      </w:r>
      <w:r>
        <w:rPr>
          <w:rFonts w:hint="eastAsia" w:ascii="仿宋" w:hAnsi="仿宋" w:eastAsia="仿宋" w:cs="宋体"/>
          <w:color w:val="000000"/>
          <w:kern w:val="0"/>
          <w:sz w:val="32"/>
          <w:szCs w:val="32"/>
          <w:lang w:val="zh-TW" w:eastAsia="zh-CN"/>
        </w:rPr>
        <w:t>。</w:t>
      </w:r>
    </w:p>
    <w:p>
      <w:pPr>
        <w:widowControl/>
        <w:shd w:val="clear" w:color="auto" w:fill="FFFFFF"/>
        <w:spacing w:line="360" w:lineRule="auto"/>
        <w:ind w:firstLine="643" w:firstLineChars="200"/>
        <w:contextualSpacing/>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 xml:space="preserve">（四）服务标准、期限、效率等要求 </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硬件提供原厂</w:t>
      </w:r>
      <w:r>
        <w:rPr>
          <w:rFonts w:hint="eastAsia" w:ascii="仿宋" w:hAnsi="仿宋" w:eastAsia="仿宋" w:cs="宋体"/>
          <w:color w:val="000000"/>
          <w:kern w:val="0"/>
          <w:sz w:val="32"/>
          <w:szCs w:val="32"/>
          <w:lang w:val="en-US" w:eastAsia="zh-CN"/>
        </w:rPr>
        <w:t>3年7*24小时原厂服务，软件提供1年厂家原厂质保服务</w:t>
      </w:r>
    </w:p>
    <w:p>
      <w:pPr>
        <w:widowControl/>
        <w:shd w:val="clear" w:color="auto" w:fill="FFFFFF"/>
        <w:spacing w:line="360" w:lineRule="auto"/>
        <w:ind w:firstLine="600"/>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（五）验收标准</w:t>
      </w:r>
      <w:r>
        <w:rPr>
          <w:rFonts w:hint="eastAsia" w:ascii="仿宋" w:hAnsi="仿宋" w:eastAsia="仿宋" w:cs="宋体"/>
          <w:color w:val="000000"/>
          <w:kern w:val="0"/>
          <w:sz w:val="32"/>
          <w:szCs w:val="32"/>
        </w:rPr>
        <w:t>（符合国家和履约地相关安全质量标准；行业技术规范标准；环保节能标准；强制认证相关标准）</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numPr>
          <w:ilvl w:val="0"/>
          <w:numId w:val="8"/>
        </w:numPr>
        <w:shd w:val="clear" w:color="auto" w:fill="FFFFFF"/>
        <w:spacing w:line="360" w:lineRule="auto"/>
        <w:ind w:firstLine="600"/>
        <w:jc w:val="left"/>
        <w:rPr>
          <w:rFonts w:hint="eastAsia" w:ascii="仿宋" w:hAnsi="仿宋" w:eastAsia="仿宋" w:cs="宋体"/>
          <w:iCs/>
          <w:color w:val="000000"/>
          <w:kern w:val="0"/>
          <w:sz w:val="32"/>
          <w:szCs w:val="32"/>
        </w:rPr>
      </w:pPr>
      <w:r>
        <w:rPr>
          <w:rFonts w:hint="eastAsia" w:ascii="仿宋" w:hAnsi="仿宋" w:eastAsia="仿宋" w:cs="宋体"/>
          <w:iCs/>
          <w:color w:val="000000"/>
          <w:kern w:val="0"/>
          <w:sz w:val="32"/>
          <w:szCs w:val="32"/>
        </w:rPr>
        <w:t>按照国家相关标准、行业标准、地方标准或者其他标准、规范验收</w:t>
      </w:r>
      <w:r>
        <w:rPr>
          <w:rFonts w:hint="eastAsia" w:ascii="仿宋" w:hAnsi="仿宋" w:eastAsia="仿宋" w:cs="宋体"/>
          <w:iCs/>
          <w:color w:val="000000"/>
          <w:kern w:val="0"/>
          <w:sz w:val="32"/>
          <w:szCs w:val="32"/>
          <w:lang w:eastAsia="zh-CN"/>
        </w:rPr>
        <w:t>。</w:t>
      </w:r>
    </w:p>
    <w:p>
      <w:pPr>
        <w:widowControl/>
        <w:numPr>
          <w:ilvl w:val="0"/>
          <w:numId w:val="0"/>
        </w:numPr>
        <w:shd w:val="clear" w:color="auto" w:fill="FFFFFF"/>
        <w:spacing w:line="360" w:lineRule="auto"/>
        <w:ind w:left="600" w:leftChars="0"/>
        <w:jc w:val="left"/>
        <w:rPr>
          <w:rFonts w:hint="eastAsia"/>
        </w:rPr>
      </w:pP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按照招标文件要求、投标文件响应和承诺验收；</w:t>
      </w:r>
    </w:p>
    <w:p>
      <w:pPr>
        <w:widowControl/>
        <w:numPr>
          <w:ilvl w:val="0"/>
          <w:numId w:val="0"/>
        </w:numPr>
        <w:shd w:val="clear" w:color="auto" w:fill="FFFFFF"/>
        <w:spacing w:line="360" w:lineRule="auto"/>
        <w:ind w:left="600" w:leftChars="0"/>
        <w:jc w:val="left"/>
        <w:rPr>
          <w:rFonts w:hint="eastAsia" w:cs="宋体" w:asciiTheme="majorEastAsia" w:hAnsiTheme="majorEastAsia" w:eastAsiaTheme="majorEastAsia"/>
          <w:b/>
          <w:kern w:val="0"/>
          <w:sz w:val="36"/>
          <w:szCs w:val="36"/>
        </w:rPr>
      </w:pP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按照双方签订的合同验收。</w:t>
      </w:r>
    </w:p>
    <w:p>
      <w:pPr>
        <w:pStyle w:val="2"/>
        <w:rPr>
          <w:rFonts w:hint="eastAsia" w:ascii="仿宋" w:hAnsi="仿宋" w:eastAsia="仿宋" w:cs="宋体"/>
          <w:b/>
          <w:color w:val="000000"/>
          <w:kern w:val="0"/>
          <w:sz w:val="32"/>
          <w:szCs w:val="32"/>
          <w:lang w:val="en-US" w:eastAsia="zh-CN" w:bidi="ar-SA"/>
        </w:rPr>
      </w:pPr>
      <w:r>
        <w:rPr>
          <w:rFonts w:hint="eastAsia" w:ascii="仿宋" w:hAnsi="仿宋" w:eastAsia="仿宋" w:cs="宋体"/>
          <w:b/>
          <w:color w:val="000000"/>
          <w:kern w:val="0"/>
          <w:sz w:val="32"/>
          <w:szCs w:val="32"/>
          <w:lang w:val="en-US" w:eastAsia="zh-CN" w:bidi="ar-SA"/>
        </w:rPr>
        <w:t>（六）采购资金支付</w:t>
      </w:r>
    </w:p>
    <w:p>
      <w:pPr>
        <w:widowControl/>
        <w:numPr>
          <w:ilvl w:val="0"/>
          <w:numId w:val="0"/>
        </w:numPr>
        <w:shd w:val="clear" w:color="auto" w:fill="FFFFFF"/>
        <w:spacing w:line="360" w:lineRule="auto"/>
        <w:ind w:left="600" w:leftChars="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（一）支付方式：直接支付</w:t>
      </w:r>
    </w:p>
    <w:p>
      <w:pPr>
        <w:widowControl/>
        <w:numPr>
          <w:ilvl w:val="0"/>
          <w:numId w:val="0"/>
        </w:numPr>
        <w:shd w:val="clear" w:color="auto" w:fill="FFFFFF"/>
        <w:spacing w:line="360" w:lineRule="auto"/>
        <w:ind w:left="600" w:leftChars="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（二）支付时间及条件：投标人在采购人验收合格后，一次性向采购人开具全额发票。设备验收合格后支付95%，剩余5%满1年无质量问题后无息支付。</w:t>
      </w: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p>
    <w:p>
      <w:pPr>
        <w:pStyle w:val="2"/>
        <w:rPr>
          <w:rFonts w:hint="eastAsia" w:cs="宋体" w:asciiTheme="majorEastAsia" w:hAnsiTheme="majorEastAsia" w:eastAsiaTheme="majorEastAsia"/>
          <w:b/>
          <w:kern w:val="0"/>
          <w:sz w:val="36"/>
          <w:szCs w:val="36"/>
        </w:rPr>
      </w:pPr>
      <w:bookmarkStart w:id="11" w:name="_GoBack"/>
      <w:bookmarkEnd w:id="11"/>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381"/>
        <w:gridCol w:w="7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1381"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7700"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1381"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7700" w:type="dxa"/>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项目名称： 禹州市妇幼保健院信息化数据中心升级改造项目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项目编号：YZCG-G2019</w:t>
            </w:r>
            <w:r>
              <w:rPr>
                <w:rFonts w:hint="eastAsia" w:cs="仿宋_GB2312" w:asciiTheme="minorEastAsia" w:hAnsiTheme="minorEastAsia"/>
                <w:szCs w:val="21"/>
                <w:lang w:val="en-US" w:eastAsia="zh-CN"/>
              </w:rPr>
              <w:t>300</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lang w:val="en-US" w:eastAsia="zh-CN"/>
              </w:rPr>
              <w:t>供货</w:t>
            </w:r>
            <w:r>
              <w:rPr>
                <w:rFonts w:hint="eastAsia" w:cs="仿宋_GB2312" w:asciiTheme="minorEastAsia" w:hAnsiTheme="minorEastAsia"/>
                <w:szCs w:val="21"/>
              </w:rPr>
              <w:t>期：</w:t>
            </w:r>
            <w:r>
              <w:rPr>
                <w:rFonts w:hint="eastAsia" w:cs="仿宋_GB2312" w:asciiTheme="minorEastAsia" w:hAnsiTheme="minorEastAsia"/>
                <w:szCs w:val="21"/>
                <w:lang w:eastAsia="zh-CN"/>
              </w:rPr>
              <w:t>签订合同后</w:t>
            </w:r>
            <w:r>
              <w:rPr>
                <w:rFonts w:hint="eastAsia" w:cs="仿宋_GB2312" w:asciiTheme="minorEastAsia" w:hAnsiTheme="minorEastAsia"/>
                <w:szCs w:val="21"/>
                <w:lang w:val="en-US" w:eastAsia="zh-CN"/>
              </w:rPr>
              <w:t>60日内完成调试及验收。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1381"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7700"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名称：禹州市妇幼保健院</w:t>
            </w:r>
          </w:p>
          <w:p>
            <w:pPr>
              <w:widowControl/>
              <w:shd w:val="clear" w:color="auto" w:fill="FFFFFF"/>
              <w:spacing w:line="400" w:lineRule="exact"/>
              <w:jc w:val="left"/>
              <w:rPr>
                <w:rFonts w:cs="仿宋_GB2312" w:asciiTheme="minorEastAsia" w:hAnsiTheme="minorEastAsia"/>
                <w:szCs w:val="21"/>
              </w:rPr>
            </w:pPr>
            <w:r>
              <w:rPr>
                <w:rFonts w:hint="eastAsia" w:cs="仿宋_GB2312" w:asciiTheme="minorEastAsia" w:hAnsiTheme="minorEastAsia"/>
                <w:sz w:val="24"/>
                <w:szCs w:val="24"/>
              </w:rPr>
              <w:t>地址：</w:t>
            </w:r>
            <w:r>
              <w:rPr>
                <w:rFonts w:hint="eastAsia" w:cs="仿宋_GB2312" w:asciiTheme="minorEastAsia" w:hAnsiTheme="minorEastAsia"/>
                <w:sz w:val="24"/>
                <w:szCs w:val="24"/>
                <w:lang w:eastAsia="zh-CN"/>
              </w:rPr>
              <w:t>禹州市健康路</w:t>
            </w:r>
          </w:p>
          <w:p>
            <w:pPr>
              <w:widowControl/>
              <w:shd w:val="clear" w:color="auto" w:fill="FFFFFF"/>
              <w:spacing w:line="400" w:lineRule="exact"/>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val="en-US" w:eastAsia="zh-CN"/>
              </w:rPr>
              <w:t>李</w:t>
            </w:r>
            <w:r>
              <w:rPr>
                <w:rFonts w:hint="eastAsia" w:cs="仿宋_GB2312" w:asciiTheme="minorEastAsia" w:hAnsiTheme="minorEastAsia"/>
                <w:sz w:val="24"/>
                <w:szCs w:val="24"/>
              </w:rPr>
              <w:t>先生                  电话：</w:t>
            </w:r>
            <w:r>
              <w:rPr>
                <w:rFonts w:hint="eastAsia" w:cs="仿宋_GB2312" w:asciiTheme="minorEastAsia" w:hAnsiTheme="minorEastAsia"/>
                <w:sz w:val="24"/>
                <w:szCs w:val="24"/>
                <w:lang w:val="en-US" w:eastAsia="zh-CN"/>
              </w:rPr>
              <w:t>18539026326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1381"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7700"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联系人：侯女士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1381" w:type="dxa"/>
            <w:vAlign w:val="center"/>
          </w:tcPr>
          <w:p>
            <w:pPr>
              <w:autoSpaceDE w:val="0"/>
              <w:autoSpaceDN w:val="0"/>
              <w:adjustRightInd w:val="0"/>
              <w:spacing w:line="276" w:lineRule="auto"/>
              <w:jc w:val="center"/>
              <w:rPr>
                <w:rFonts w:hint="eastAsia" w:cs="仿宋_GB2312" w:asciiTheme="minorEastAsia" w:hAnsiTheme="minorEastAsia"/>
                <w:sz w:val="24"/>
                <w:szCs w:val="24"/>
              </w:rPr>
            </w:pPr>
            <w:r>
              <w:rPr>
                <w:rFonts w:hint="eastAsia" w:cs="仿宋_GB2312" w:asciiTheme="minorEastAsia" w:hAnsiTheme="minorEastAsia"/>
                <w:sz w:val="24"/>
                <w:szCs w:val="24"/>
              </w:rPr>
              <w:t>投标人</w:t>
            </w:r>
          </w:p>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资格</w:t>
            </w:r>
          </w:p>
        </w:tc>
        <w:tc>
          <w:tcPr>
            <w:tcW w:w="7700"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default"/>
              </w:rPr>
              <w:t>③</w:t>
            </w:r>
            <w:r>
              <w:rPr>
                <w:rFonts w:hint="eastAsia"/>
              </w:rPr>
              <w:t>“中国社会组织公共服务平台”网站（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4、信用信息的使用原则：经采购人认定的被列入失信被执行人、重大税收违法案件当事人名单、政府采购严重违法失信行为记录名单、严重违法失信社会组织名单的投标人，将拒绝其参与本次政府采购活动。</w:t>
            </w:r>
          </w:p>
          <w:p>
            <w:pPr>
              <w:autoSpaceDE w:val="0"/>
              <w:autoSpaceDN w:val="0"/>
              <w:spacing w:line="360" w:lineRule="auto"/>
              <w:contextualSpacing/>
              <w:rPr>
                <w:rFonts w:hint="eastAsia"/>
              </w:rPr>
            </w:pPr>
            <w:r>
              <w:rPr>
                <w:rFonts w:hint="eastAsia"/>
              </w:rPr>
              <w:t>5、投标人不良信用记录以采购人查询结果为准，采购人查询之后，网站信息发生的任何变更不再作为评审依据，投标人自行提供的与网站信息不一致的其他证明材料亦不作为审依据。</w:t>
            </w:r>
          </w:p>
          <w:p>
            <w:pPr>
              <w:pStyle w:val="2"/>
              <w:rPr>
                <w:rFonts w:hint="default" w:eastAsiaTheme="minorEastAsia"/>
                <w:lang w:val="en-US" w:eastAsia="zh-CN"/>
              </w:rPr>
            </w:pPr>
            <w:r>
              <w:rPr>
                <w:rFonts w:hint="eastAsia"/>
                <w:lang w:val="en-US" w:eastAsia="zh-CN"/>
              </w:rPr>
              <w:t>八、1、被委托人须是本单位职工，须提供公司为本人缴纳社会保险证明。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1381"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7700"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1381"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7700"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en-US" w:eastAsia="zh-CN"/>
              </w:rPr>
              <w:t>165</w:t>
            </w:r>
            <w:r>
              <w:rPr>
                <w:rFonts w:hint="eastAsia" w:cs="宋体" w:asciiTheme="minorEastAsia" w:hAnsiTheme="minorEastAsia"/>
                <w:bCs/>
                <w:sz w:val="24"/>
                <w:szCs w:val="24"/>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1381"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7700"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1381"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7700"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1381"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7700"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1381"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7700"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1381"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7700"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1381"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7700"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12</w:t>
            </w:r>
            <w:r>
              <w:rPr>
                <w:rFonts w:hint="eastAsia" w:cs="宋体" w:asciiTheme="minorEastAsia" w:hAnsiTheme="minorEastAsia"/>
                <w:bCs/>
                <w:sz w:val="24"/>
                <w:szCs w:val="24"/>
                <w:lang w:val="zh-CN"/>
              </w:rPr>
              <w:t>月</w:t>
            </w:r>
            <w:r>
              <w:rPr>
                <w:rFonts w:hint="eastAsia" w:cs="宋体" w:asciiTheme="minorEastAsia" w:hAnsiTheme="minorEastAsia"/>
                <w:bCs/>
                <w:sz w:val="24"/>
                <w:szCs w:val="24"/>
              </w:rPr>
              <w:t xml:space="preserve"> </w:t>
            </w:r>
            <w:r>
              <w:rPr>
                <w:rFonts w:hint="eastAsia" w:cs="宋体" w:asciiTheme="minorEastAsia" w:hAnsiTheme="minorEastAsia"/>
                <w:bCs/>
                <w:sz w:val="24"/>
                <w:szCs w:val="24"/>
                <w:lang w:val="en-US" w:eastAsia="zh-CN"/>
              </w:rPr>
              <w:t>11</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1381"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7700"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1381"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7700" w:type="dxa"/>
            <w:vAlign w:val="center"/>
          </w:tcPr>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rPr>
              <w:t>1</w:t>
            </w:r>
            <w:r>
              <w:rPr>
                <w:rFonts w:hint="eastAsia" w:cs="宋体" w:asciiTheme="minorEastAsia" w:hAnsiTheme="minorEastAsia"/>
                <w:bCs/>
                <w:sz w:val="24"/>
                <w:szCs w:val="24"/>
              </w:rPr>
              <w:t>、</w:t>
            </w:r>
            <w:r>
              <w:rPr>
                <w:rFonts w:hint="eastAsia" w:cs="宋体" w:asciiTheme="minorEastAsia" w:hAnsiTheme="minorEastAsia"/>
                <w:bCs/>
                <w:sz w:val="24"/>
                <w:szCs w:val="24"/>
                <w:lang w:val="zh-CN"/>
              </w:rPr>
              <w:t>不收取投标保证金。</w:t>
            </w:r>
          </w:p>
          <w:p>
            <w:pPr>
              <w:pStyle w:val="2"/>
              <w:rPr>
                <w:lang w:val="zh-CN"/>
              </w:rPr>
            </w:pPr>
            <w:r>
              <w:rPr>
                <w:rFonts w:hint="eastAsia" w:cs="仿宋_GB2312" w:asciiTheme="minorEastAsia" w:hAnsiTheme="minorEastAsia"/>
                <w:szCs w:val="24"/>
              </w:rPr>
              <w:t>2.</w:t>
            </w:r>
            <w:r>
              <w:rPr>
                <w:rFonts w:hint="eastAsia" w:cs="仿宋_GB2312" w:asciiTheme="minorEastAsia" w:hAnsiTheme="minorEastAsia"/>
                <w:szCs w:val="24"/>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1381"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7700"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1381"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7700"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1381"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7700"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1381"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7700"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1381"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7700"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1381"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7700"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1381"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7700"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1381"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7700"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1381"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7700"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1381"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7700"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1381"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7700"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1381"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7700"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Ansi="宋体" w:cs="宋体"/>
                <w:sz w:val="24"/>
              </w:rPr>
            </w:pPr>
            <w:r>
              <w:rPr>
                <w:rFonts w:hint="eastAsia" w:hAnsi="宋体" w:cs="宋体"/>
                <w:sz w:val="24"/>
                <w:lang w:val="zh-CN"/>
              </w:rPr>
              <w:t>27</w:t>
            </w:r>
          </w:p>
        </w:tc>
        <w:tc>
          <w:tcPr>
            <w:tcW w:w="1381"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特别提示</w:t>
            </w:r>
          </w:p>
        </w:tc>
        <w:tc>
          <w:tcPr>
            <w:tcW w:w="7700"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9"/>
        </w:num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60"/>
        <w:numPr>
          <w:ilvl w:val="0"/>
          <w:numId w:val="10"/>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60"/>
        <w:numPr>
          <w:ilvl w:val="0"/>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60"/>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60"/>
        <w:autoSpaceDE w:val="0"/>
        <w:autoSpaceDN w:val="0"/>
        <w:spacing w:line="360" w:lineRule="auto"/>
        <w:ind w:left="780" w:firstLine="0" w:firstLineChars="0"/>
        <w:contextualSpacing/>
        <w:rPr>
          <w:rFonts w:cs="宋体" w:asciiTheme="minorEastAsia" w:hAnsiTheme="minorEastAsia"/>
          <w:kern w:val="0"/>
          <w:sz w:val="24"/>
          <w:szCs w:val="24"/>
        </w:rPr>
      </w:pPr>
    </w:p>
    <w:p>
      <w:pPr>
        <w:pStyle w:val="60"/>
        <w:numPr>
          <w:ilvl w:val="0"/>
          <w:numId w:val="10"/>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60"/>
        <w:numPr>
          <w:ilvl w:val="0"/>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60"/>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60"/>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60"/>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60"/>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60"/>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60"/>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ind w:left="840" w:leftChars="400"/>
        <w:contextualSpacing/>
        <w:rPr>
          <w:rFonts w:cs="宋体" w:asciiTheme="minorEastAsia" w:hAnsiTheme="minorEastAsia"/>
          <w:kern w:val="0"/>
          <w:sz w:val="24"/>
          <w:szCs w:val="24"/>
        </w:rPr>
      </w:pPr>
      <w:r>
        <w:rPr>
          <w:rFonts w:hint="eastAsia" w:cs="宋体" w:asciiTheme="minorEastAsia" w:hAnsiTheme="minorEastAsia"/>
          <w:kern w:val="0"/>
          <w:sz w:val="24"/>
          <w:szCs w:val="24"/>
        </w:rPr>
        <w:t>2.7.1  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 w:val="24"/>
          <w:szCs w:val="24"/>
        </w:rPr>
      </w:pPr>
      <w:r>
        <w:rPr>
          <w:rFonts w:hint="eastAsia" w:cs="宋体" w:asciiTheme="minorEastAsia" w:hAnsiTheme="minorEastAsia"/>
          <w:kern w:val="0"/>
          <w:sz w:val="24"/>
          <w:szCs w:val="24"/>
        </w:rPr>
        <w:t>2.7.2  如招标文件中已说明，经财政部门审核同意，允许部分或全部产品采购进口产品，投标人既可提供本国产品，也可以提供进口产品。</w:t>
      </w:r>
    </w:p>
    <w:p>
      <w:pPr>
        <w:pStyle w:val="60"/>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8"/>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autoSpaceDE w:val="0"/>
        <w:autoSpaceDN w:val="0"/>
        <w:spacing w:line="360" w:lineRule="auto"/>
        <w:ind w:firstLine="120" w:firstLineChars="50"/>
        <w:contextualSpacing/>
        <w:rPr>
          <w:rFonts w:hint="eastAsia"/>
          <w:sz w:val="24"/>
          <w:szCs w:val="24"/>
        </w:rPr>
      </w:pPr>
      <w:r>
        <w:rPr>
          <w:rFonts w:hint="eastAsia"/>
          <w:sz w:val="24"/>
          <w:szCs w:val="24"/>
        </w:rPr>
        <w:t>3.3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pPr>
        <w:autoSpaceDE w:val="0"/>
        <w:autoSpaceDN w:val="0"/>
        <w:spacing w:line="360" w:lineRule="auto"/>
        <w:ind w:firstLine="120" w:firstLineChars="50"/>
        <w:contextualSpacing/>
        <w:rPr>
          <w:rFonts w:hint="eastAsia"/>
          <w:sz w:val="24"/>
          <w:szCs w:val="24"/>
        </w:rPr>
      </w:pPr>
      <w:r>
        <w:rPr>
          <w:rFonts w:hint="eastAsia"/>
          <w:sz w:val="24"/>
          <w:szCs w:val="24"/>
        </w:rPr>
        <w:t>（1）查询渠道：“信用中国”网站（www.creditchina.gov.cn）、“中国政府采购网”（www.ccgp.gov.cn）、“中国社会组织公共服务平台”网站（www.chinanpo.gov.cn）。</w:t>
      </w:r>
    </w:p>
    <w:p>
      <w:pPr>
        <w:autoSpaceDE w:val="0"/>
        <w:autoSpaceDN w:val="0"/>
        <w:spacing w:line="360" w:lineRule="auto"/>
        <w:ind w:firstLine="120" w:firstLineChars="50"/>
        <w:contextualSpacing/>
        <w:rPr>
          <w:rFonts w:hint="eastAsia"/>
          <w:sz w:val="24"/>
          <w:szCs w:val="24"/>
        </w:rPr>
      </w:pPr>
      <w:r>
        <w:rPr>
          <w:rFonts w:hint="eastAsia"/>
          <w:sz w:val="24"/>
          <w:szCs w:val="24"/>
        </w:rPr>
        <w:t>（2）截止时间：同响应截止时间。</w:t>
      </w:r>
    </w:p>
    <w:p>
      <w:pPr>
        <w:autoSpaceDE w:val="0"/>
        <w:autoSpaceDN w:val="0"/>
        <w:spacing w:line="360" w:lineRule="auto"/>
        <w:ind w:firstLine="120" w:firstLineChars="50"/>
        <w:contextualSpacing/>
        <w:rPr>
          <w:rFonts w:hint="eastAsia"/>
          <w:sz w:val="24"/>
          <w:szCs w:val="24"/>
        </w:rPr>
      </w:pPr>
      <w:r>
        <w:rPr>
          <w:rFonts w:hint="eastAsia"/>
          <w:sz w:val="24"/>
          <w:szCs w:val="24"/>
        </w:rPr>
        <w:t>（3）信用信息查询记录和证据留存具体方式：经谈判小组确认的查询结果网页截图作为查询记录和证据，与其他采购文件一并保存。</w:t>
      </w:r>
    </w:p>
    <w:p>
      <w:pPr>
        <w:autoSpaceDE w:val="0"/>
        <w:autoSpaceDN w:val="0"/>
        <w:spacing w:line="360" w:lineRule="auto"/>
        <w:ind w:firstLine="120" w:firstLineChars="50"/>
        <w:contextualSpacing/>
        <w:rPr>
          <w:rFonts w:hint="eastAsia"/>
          <w:sz w:val="24"/>
          <w:szCs w:val="24"/>
        </w:rPr>
      </w:pPr>
      <w:r>
        <w:rPr>
          <w:rFonts w:hint="eastAsia"/>
          <w:sz w:val="24"/>
          <w:szCs w:val="24"/>
        </w:rPr>
        <w:t>（4）信用信息的使用原则：经谈判小组认定的被列入失信被执行人、重大税收违法案件当事人名单、政府采购严重违法失信行为记录名单、严重违法失信社会组织名单的响应人，将拒绝其参与本次政府采购活动。</w:t>
      </w:r>
    </w:p>
    <w:p>
      <w:pPr>
        <w:autoSpaceDE w:val="0"/>
        <w:autoSpaceDN w:val="0"/>
        <w:spacing w:line="360" w:lineRule="auto"/>
        <w:ind w:firstLine="120" w:firstLineChars="50"/>
        <w:contextualSpacing/>
        <w:rPr>
          <w:rFonts w:hint="eastAsia"/>
          <w:sz w:val="24"/>
          <w:szCs w:val="24"/>
        </w:rPr>
      </w:pPr>
      <w:r>
        <w:rPr>
          <w:rFonts w:hint="eastAsia"/>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60"/>
        <w:autoSpaceDE w:val="0"/>
        <w:autoSpaceDN w:val="0"/>
        <w:spacing w:line="360" w:lineRule="auto"/>
        <w:ind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rPr>
        <w:t>4.合格的货物和服务</w:t>
      </w:r>
    </w:p>
    <w:p>
      <w:pPr>
        <w:pStyle w:val="60"/>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60"/>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pStyle w:val="60"/>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4.3 如投标人所投产品被列入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pStyle w:val="60"/>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4.4投标人所投产品如被列入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numPr>
          <w:ilvl w:val="0"/>
          <w:numId w:val="9"/>
        </w:num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1"/>
        <w:ind w:firstLine="0" w:firstLine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w:t>
      </w:r>
      <w:r>
        <w:rPr>
          <w:rFonts w:hint="eastAsia" w:cs="仿宋_GB2312" w:asciiTheme="minorEastAsia" w:hAnsiTheme="minorEastAsia"/>
          <w:sz w:val="24"/>
          <w:szCs w:val="24"/>
          <w:lang w:val="en-US" w:eastAsia="zh-CN"/>
        </w:rPr>
        <w:t>承诺函</w:t>
      </w:r>
      <w:r>
        <w:rPr>
          <w:rFonts w:hint="eastAsia" w:cs="仿宋_GB2312" w:asciiTheme="minorEastAsia" w:hAnsiTheme="minorEastAsia"/>
          <w:sz w:val="24"/>
          <w:szCs w:val="24"/>
          <w:lang w:val="zh-CN"/>
        </w:rPr>
        <w:t>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2" w:name="OLE_LINK6"/>
      <w:r>
        <w:rPr>
          <w:rFonts w:hint="eastAsia" w:cs="仿宋_GB2312" w:asciiTheme="minorEastAsia" w:hAnsiTheme="minorEastAsia"/>
          <w:sz w:val="24"/>
          <w:szCs w:val="24"/>
          <w:lang w:val="zh-CN"/>
        </w:rPr>
        <w:t>财库[2014]68号</w:t>
      </w:r>
      <w:bookmarkEnd w:id="2"/>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ind w:firstLine="2168" w:firstLineChars="600"/>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9"/>
                <w:rFonts w:hint="eastAsia" w:asciiTheme="minorEastAsia" w:hAnsiTheme="minorEastAsia"/>
                <w:szCs w:val="21"/>
              </w:rPr>
              <w:t>www.creditchina.gov.cn</w:t>
            </w:r>
            <w:r>
              <w:rPr>
                <w:rStyle w:val="29"/>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jc w:val="left"/>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default" w:asciiTheme="minorEastAsia" w:hAnsiTheme="minorEastAsia" w:eastAsiaTheme="minorEastAsia"/>
                <w:b/>
                <w:bCs/>
                <w:szCs w:val="21"/>
                <w:lang w:val="en-US" w:eastAsia="zh-CN"/>
              </w:rPr>
            </w:pPr>
            <w:r>
              <w:rPr>
                <w:rFonts w:hint="eastAsia" w:asciiTheme="minorEastAsia" w:hAnsiTheme="minorEastAsia"/>
                <w:b/>
                <w:bCs/>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
        <w:rPr>
          <w:rFonts w:hint="eastAsia" w:cs="仿宋_GB2312" w:asciiTheme="minorEastAsia" w:hAnsiTheme="minorEastAsia"/>
          <w:szCs w:val="21"/>
        </w:rPr>
      </w:pPr>
      <w:r>
        <w:rPr>
          <w:rFonts w:hint="eastAsia" w:cs="仿宋_GB2312" w:asciiTheme="minorEastAsia" w:hAnsiTheme="minorEastAsia"/>
          <w:szCs w:val="21"/>
        </w:rPr>
        <w:t xml:space="preserve">   （5）评分标准</w:t>
      </w:r>
    </w:p>
    <w:p>
      <w:pPr>
        <w:pStyle w:val="2"/>
        <w:rPr>
          <w:rFonts w:hint="eastAsia" w:cs="仿宋_GB2312" w:asciiTheme="minorEastAsia" w:hAnsiTheme="minorEastAsia"/>
          <w:szCs w:val="21"/>
        </w:rPr>
      </w:pPr>
    </w:p>
    <w:p>
      <w:pPr>
        <w:pStyle w:val="2"/>
        <w:rPr>
          <w:rFonts w:hint="eastAsia" w:cs="仿宋_GB2312" w:asciiTheme="minorEastAsia" w:hAnsiTheme="minorEastAsia"/>
          <w:szCs w:val="21"/>
        </w:rPr>
      </w:pPr>
    </w:p>
    <w:p>
      <w:pPr>
        <w:pStyle w:val="2"/>
        <w:rPr>
          <w:rFonts w:hint="eastAsia" w:cs="仿宋_GB2312" w:asciiTheme="minorEastAsia" w:hAnsiTheme="minorEastAsia"/>
          <w:szCs w:val="21"/>
        </w:rPr>
      </w:pPr>
    </w:p>
    <w:p>
      <w:pPr>
        <w:pStyle w:val="64"/>
        <w:shd w:val="clear" w:color="auto" w:fill="FFFFFF"/>
        <w:jc w:val="left"/>
        <w:rPr>
          <w:rFonts w:ascii="新宋体" w:hAnsi="新宋体" w:eastAsia="新宋体" w:cs="新宋体"/>
          <w:kern w:val="0"/>
          <w:sz w:val="24"/>
          <w:szCs w:val="24"/>
        </w:rPr>
      </w:pPr>
    </w:p>
    <w:tbl>
      <w:tblPr>
        <w:tblStyle w:val="23"/>
        <w:tblW w:w="9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8"/>
        <w:gridCol w:w="1820"/>
        <w:gridCol w:w="4546"/>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91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分值构成</w:t>
            </w:r>
          </w:p>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(总分100分)</w:t>
            </w:r>
          </w:p>
        </w:tc>
        <w:tc>
          <w:tcPr>
            <w:tcW w:w="7585"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003" w:firstLineChars="62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价格分值： </w:t>
            </w:r>
            <w:r>
              <w:rPr>
                <w:rFonts w:hint="eastAsia" w:ascii="仿宋" w:hAnsi="仿宋" w:eastAsia="仿宋" w:cs="仿宋"/>
                <w:color w:val="000000"/>
                <w:kern w:val="0"/>
                <w:sz w:val="32"/>
                <w:szCs w:val="32"/>
                <w:lang w:val="en-US" w:eastAsia="zh-CN"/>
              </w:rPr>
              <w:t>50</w:t>
            </w:r>
            <w:r>
              <w:rPr>
                <w:rFonts w:hint="eastAsia" w:ascii="仿宋" w:hAnsi="仿宋" w:eastAsia="仿宋" w:cs="仿宋"/>
                <w:color w:val="000000"/>
                <w:kern w:val="0"/>
                <w:sz w:val="32"/>
                <w:szCs w:val="32"/>
              </w:rPr>
              <w:t> 分</w:t>
            </w:r>
          </w:p>
          <w:p>
            <w:pPr>
              <w:widowControl/>
              <w:spacing w:line="360" w:lineRule="auto"/>
              <w:ind w:firstLine="2003" w:firstLineChars="62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商务部分： </w:t>
            </w:r>
            <w:r>
              <w:rPr>
                <w:rFonts w:hint="eastAsia" w:ascii="仿宋" w:hAnsi="仿宋" w:eastAsia="仿宋" w:cs="仿宋"/>
                <w:color w:val="000000"/>
                <w:kern w:val="0"/>
                <w:sz w:val="32"/>
                <w:szCs w:val="32"/>
                <w:lang w:val="en-US" w:eastAsia="zh-CN"/>
              </w:rPr>
              <w:t>23</w:t>
            </w:r>
            <w:r>
              <w:rPr>
                <w:rFonts w:hint="eastAsia" w:ascii="仿宋" w:hAnsi="仿宋" w:eastAsia="仿宋" w:cs="仿宋"/>
                <w:color w:val="000000"/>
                <w:kern w:val="0"/>
                <w:sz w:val="32"/>
                <w:szCs w:val="32"/>
              </w:rPr>
              <w:t>分</w:t>
            </w:r>
          </w:p>
          <w:p>
            <w:pPr>
              <w:widowControl/>
              <w:spacing w:line="360" w:lineRule="auto"/>
              <w:ind w:firstLine="2003" w:firstLineChars="626"/>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技术部分： </w:t>
            </w:r>
            <w:r>
              <w:rPr>
                <w:rFonts w:hint="eastAsia" w:ascii="仿宋" w:hAnsi="仿宋" w:eastAsia="仿宋" w:cs="仿宋"/>
                <w:color w:val="000000"/>
                <w:kern w:val="0"/>
                <w:sz w:val="32"/>
                <w:szCs w:val="32"/>
                <w:lang w:val="en-US" w:eastAsia="zh-CN"/>
              </w:rPr>
              <w:t>27</w:t>
            </w:r>
            <w:r>
              <w:rPr>
                <w:rFonts w:hint="eastAsia" w:ascii="仿宋" w:hAnsi="仿宋" w:eastAsia="仿宋" w:cs="仿宋"/>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03" w:type="dxa"/>
            <w:gridSpan w:val="4"/>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一、价格部分（满分 </w:t>
            </w:r>
            <w:r>
              <w:rPr>
                <w:rFonts w:hint="eastAsia" w:ascii="仿宋" w:hAnsi="仿宋" w:eastAsia="仿宋" w:cs="仿宋"/>
                <w:bCs/>
                <w:color w:val="000000"/>
                <w:kern w:val="0"/>
                <w:sz w:val="32"/>
                <w:szCs w:val="32"/>
                <w:lang w:val="en-US" w:eastAsia="zh-CN"/>
              </w:rPr>
              <w:t>50</w:t>
            </w:r>
            <w:r>
              <w:rPr>
                <w:rFonts w:hint="eastAsia" w:ascii="仿宋" w:hAnsi="仿宋" w:eastAsia="仿宋" w:cs="仿宋"/>
                <w:bCs/>
                <w:color w:val="000000"/>
                <w:kern w:val="0"/>
                <w:sz w:val="32"/>
                <w:szCs w:val="32"/>
              </w:rPr>
              <w:t>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1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评分因素</w:t>
            </w:r>
          </w:p>
        </w:tc>
        <w:tc>
          <w:tcPr>
            <w:tcW w:w="6366" w:type="dxa"/>
            <w:gridSpan w:val="2"/>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评分标准</w:t>
            </w:r>
          </w:p>
        </w:tc>
        <w:tc>
          <w:tcPr>
            <w:tcW w:w="12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191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投标报价</w:t>
            </w:r>
          </w:p>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评分标准</w:t>
            </w:r>
          </w:p>
        </w:tc>
        <w:tc>
          <w:tcPr>
            <w:tcW w:w="6366" w:type="dxa"/>
            <w:gridSpan w:val="2"/>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评标基准价：满足招标文件要求的有效投标报价中，最低的投标报价为评标基准价。</w:t>
            </w:r>
          </w:p>
          <w:p>
            <w:pPr>
              <w:widowControl/>
              <w:spacing w:line="33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投标报价得分=（评标基准价/投标报价）× </w:t>
            </w:r>
            <w:r>
              <w:rPr>
                <w:rFonts w:hint="eastAsia" w:ascii="仿宋" w:hAnsi="仿宋" w:eastAsia="仿宋" w:cs="仿宋"/>
                <w:color w:val="000000"/>
                <w:kern w:val="0"/>
                <w:sz w:val="32"/>
                <w:szCs w:val="32"/>
                <w:lang w:val="en-US" w:eastAsia="zh-CN"/>
              </w:rPr>
              <w:t>50</w:t>
            </w:r>
            <w:r>
              <w:rPr>
                <w:rFonts w:hint="eastAsia" w:ascii="仿宋" w:hAnsi="仿宋" w:eastAsia="仿宋" w:cs="仿宋"/>
                <w:color w:val="000000"/>
                <w:kern w:val="0"/>
                <w:sz w:val="32"/>
                <w:szCs w:val="32"/>
              </w:rPr>
              <w:t xml:space="preserve">  </w:t>
            </w:r>
          </w:p>
        </w:tc>
        <w:tc>
          <w:tcPr>
            <w:tcW w:w="12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50</w:t>
            </w:r>
            <w:r>
              <w:rPr>
                <w:rFonts w:hint="eastAsia" w:ascii="仿宋" w:hAnsi="仿宋" w:eastAsia="仿宋" w:cs="仿宋"/>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503" w:type="dxa"/>
            <w:gridSpan w:val="4"/>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二、商务部分（满分 </w:t>
            </w:r>
            <w:r>
              <w:rPr>
                <w:rFonts w:hint="eastAsia" w:ascii="仿宋" w:hAnsi="仿宋" w:eastAsia="仿宋" w:cs="仿宋"/>
                <w:bCs/>
                <w:color w:val="000000"/>
                <w:kern w:val="0"/>
                <w:sz w:val="32"/>
                <w:szCs w:val="32"/>
                <w:lang w:val="en-US" w:eastAsia="zh-CN"/>
              </w:rPr>
              <w:t>23</w:t>
            </w:r>
            <w:r>
              <w:rPr>
                <w:rFonts w:hint="eastAsia" w:ascii="仿宋" w:hAnsi="仿宋" w:eastAsia="仿宋" w:cs="仿宋"/>
                <w:bCs/>
                <w:color w:val="000000"/>
                <w:kern w:val="0"/>
                <w:sz w:val="32"/>
                <w:szCs w:val="32"/>
              </w:rPr>
              <w:t>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1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评分因素</w:t>
            </w:r>
          </w:p>
        </w:tc>
        <w:tc>
          <w:tcPr>
            <w:tcW w:w="6366" w:type="dxa"/>
            <w:gridSpan w:val="2"/>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评分标准</w:t>
            </w:r>
          </w:p>
        </w:tc>
        <w:tc>
          <w:tcPr>
            <w:tcW w:w="12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企业实力</w:t>
            </w:r>
          </w:p>
        </w:tc>
        <w:tc>
          <w:tcPr>
            <w:tcW w:w="6366" w:type="dxa"/>
            <w:gridSpan w:val="2"/>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投标单位</w:t>
            </w:r>
            <w:r>
              <w:rPr>
                <w:rFonts w:hint="eastAsia" w:ascii="仿宋" w:hAnsi="仿宋" w:eastAsia="仿宋" w:cs="仿宋"/>
                <w:color w:val="000000"/>
                <w:kern w:val="0"/>
                <w:sz w:val="32"/>
                <w:szCs w:val="32"/>
                <w:lang w:eastAsia="zh-CN"/>
              </w:rPr>
              <w:t>所</w:t>
            </w:r>
            <w:r>
              <w:rPr>
                <w:rFonts w:hint="eastAsia" w:ascii="仿宋" w:hAnsi="仿宋" w:eastAsia="仿宋" w:cs="仿宋"/>
                <w:color w:val="000000"/>
                <w:kern w:val="0"/>
                <w:sz w:val="32"/>
                <w:szCs w:val="32"/>
              </w:rPr>
              <w:t>提供</w:t>
            </w:r>
            <w:r>
              <w:rPr>
                <w:rFonts w:hint="eastAsia" w:ascii="仿宋" w:hAnsi="仿宋" w:eastAsia="仿宋" w:cs="仿宋"/>
                <w:color w:val="000000"/>
                <w:kern w:val="0"/>
                <w:sz w:val="32"/>
                <w:szCs w:val="32"/>
                <w:lang w:eastAsia="zh-CN"/>
              </w:rPr>
              <w:t>核心产品需</w:t>
            </w:r>
            <w:r>
              <w:rPr>
                <w:rFonts w:hint="eastAsia" w:ascii="仿宋" w:hAnsi="仿宋" w:eastAsia="仿宋" w:cs="仿宋"/>
                <w:color w:val="000000"/>
                <w:kern w:val="0"/>
                <w:sz w:val="32"/>
                <w:szCs w:val="32"/>
              </w:rPr>
              <w:t>通过ISO 9001质量管理体系认证； ISO14001 环境管理体系认证证书；（每提供一项得</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分，满分</w:t>
            </w:r>
            <w:r>
              <w:rPr>
                <w:rFonts w:hint="eastAsia" w:ascii="仿宋" w:hAnsi="仿宋" w:eastAsia="仿宋" w:cs="仿宋"/>
                <w:color w:val="000000"/>
                <w:kern w:val="0"/>
                <w:sz w:val="32"/>
                <w:szCs w:val="32"/>
                <w:lang w:val="en-US" w:eastAsia="zh-CN"/>
              </w:rPr>
              <w:t>6</w:t>
            </w:r>
            <w:r>
              <w:rPr>
                <w:rFonts w:hint="eastAsia" w:ascii="仿宋" w:hAnsi="仿宋" w:eastAsia="仿宋" w:cs="仿宋"/>
                <w:color w:val="000000"/>
                <w:kern w:val="0"/>
                <w:sz w:val="32"/>
                <w:szCs w:val="32"/>
              </w:rPr>
              <w:t>分。）</w:t>
            </w:r>
          </w:p>
        </w:tc>
        <w:tc>
          <w:tcPr>
            <w:tcW w:w="12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6</w:t>
            </w:r>
            <w:r>
              <w:rPr>
                <w:rFonts w:hint="eastAsia" w:ascii="仿宋" w:hAnsi="仿宋" w:eastAsia="仿宋" w:cs="仿宋"/>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1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业绩</w:t>
            </w:r>
          </w:p>
        </w:tc>
        <w:tc>
          <w:tcPr>
            <w:tcW w:w="6366" w:type="dxa"/>
            <w:gridSpan w:val="2"/>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2016年以来完成类似项目业绩，</w:t>
            </w:r>
            <w:r>
              <w:rPr>
                <w:rFonts w:hint="eastAsia" w:ascii="仿宋" w:hAnsi="仿宋" w:eastAsia="仿宋" w:cs="仿宋"/>
                <w:color w:val="000000"/>
                <w:kern w:val="0"/>
                <w:sz w:val="32"/>
                <w:szCs w:val="32"/>
                <w:lang w:eastAsia="zh-CN"/>
              </w:rPr>
              <w:t>中标通知书、</w:t>
            </w:r>
            <w:r>
              <w:rPr>
                <w:rFonts w:hint="eastAsia" w:ascii="仿宋" w:hAnsi="仿宋" w:eastAsia="仿宋" w:cs="仿宋"/>
                <w:color w:val="000000"/>
                <w:kern w:val="0"/>
                <w:sz w:val="32"/>
                <w:szCs w:val="32"/>
              </w:rPr>
              <w:t>合同</w:t>
            </w:r>
            <w:r>
              <w:rPr>
                <w:rFonts w:hint="eastAsia" w:ascii="仿宋" w:hAnsi="仿宋" w:eastAsia="仿宋" w:cs="仿宋"/>
                <w:color w:val="000000"/>
                <w:kern w:val="0"/>
                <w:sz w:val="32"/>
                <w:szCs w:val="32"/>
                <w:lang w:eastAsia="zh-CN"/>
              </w:rPr>
              <w:t>及</w:t>
            </w:r>
            <w:r>
              <w:rPr>
                <w:rFonts w:hint="eastAsia" w:ascii="仿宋" w:hAnsi="仿宋" w:eastAsia="仿宋" w:cs="仿宋"/>
                <w:color w:val="000000"/>
                <w:kern w:val="0"/>
                <w:sz w:val="32"/>
                <w:szCs w:val="32"/>
              </w:rPr>
              <w:t>验收报告齐全。每个业绩得</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分，满分</w:t>
            </w:r>
            <w:r>
              <w:rPr>
                <w:rFonts w:hint="eastAsia" w:ascii="仿宋" w:hAnsi="仿宋" w:eastAsia="仿宋" w:cs="仿宋"/>
                <w:color w:val="000000"/>
                <w:kern w:val="0"/>
                <w:sz w:val="32"/>
                <w:szCs w:val="32"/>
                <w:lang w:val="en-US" w:eastAsia="zh-CN"/>
              </w:rPr>
              <w:t>12</w:t>
            </w:r>
            <w:r>
              <w:rPr>
                <w:rFonts w:hint="eastAsia" w:ascii="仿宋" w:hAnsi="仿宋" w:eastAsia="仿宋" w:cs="仿宋"/>
                <w:color w:val="000000"/>
                <w:kern w:val="0"/>
                <w:sz w:val="32"/>
                <w:szCs w:val="32"/>
              </w:rPr>
              <w:t>分。</w:t>
            </w:r>
          </w:p>
        </w:tc>
        <w:tc>
          <w:tcPr>
            <w:tcW w:w="12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12</w:t>
            </w:r>
            <w:r>
              <w:rPr>
                <w:rFonts w:hint="eastAsia" w:ascii="仿宋" w:hAnsi="仿宋" w:eastAsia="仿宋" w:cs="仿宋"/>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1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投标文件规范程度</w:t>
            </w:r>
          </w:p>
        </w:tc>
        <w:tc>
          <w:tcPr>
            <w:tcW w:w="6366" w:type="dxa"/>
            <w:gridSpan w:val="2"/>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投标文件的编制符合招标文件的规定，评委根据投标文件编制规范、条理是否清楚、有无错误在1-</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分内打分</w:t>
            </w:r>
          </w:p>
        </w:tc>
        <w:tc>
          <w:tcPr>
            <w:tcW w:w="12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9503" w:type="dxa"/>
            <w:gridSpan w:val="4"/>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三、技术部分（满分 </w:t>
            </w:r>
            <w:r>
              <w:rPr>
                <w:rFonts w:hint="eastAsia" w:ascii="仿宋" w:hAnsi="仿宋" w:eastAsia="仿宋" w:cs="仿宋"/>
                <w:bCs/>
                <w:color w:val="000000"/>
                <w:kern w:val="0"/>
                <w:sz w:val="32"/>
                <w:szCs w:val="32"/>
                <w:lang w:val="en-US" w:eastAsia="zh-CN"/>
              </w:rPr>
              <w:t>27</w:t>
            </w:r>
            <w:r>
              <w:rPr>
                <w:rFonts w:hint="eastAsia" w:ascii="仿宋" w:hAnsi="仿宋" w:eastAsia="仿宋" w:cs="仿宋"/>
                <w:bCs/>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1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评分因素</w:t>
            </w:r>
          </w:p>
        </w:tc>
        <w:tc>
          <w:tcPr>
            <w:tcW w:w="6366" w:type="dxa"/>
            <w:gridSpan w:val="2"/>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评分标准</w:t>
            </w:r>
          </w:p>
        </w:tc>
        <w:tc>
          <w:tcPr>
            <w:tcW w:w="12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1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仿宋" w:hAnsi="仿宋" w:eastAsia="仿宋" w:cs="仿宋"/>
                <w:color w:val="000000"/>
                <w:kern w:val="0"/>
                <w:sz w:val="32"/>
                <w:szCs w:val="32"/>
              </w:rPr>
            </w:pPr>
            <w:r>
              <w:rPr>
                <w:rFonts w:hint="eastAsia" w:ascii="仿宋" w:hAnsi="仿宋" w:eastAsia="仿宋" w:cs="仿宋"/>
                <w:spacing w:val="10"/>
                <w:sz w:val="32"/>
                <w:szCs w:val="32"/>
              </w:rPr>
              <w:t>技术参数</w:t>
            </w:r>
          </w:p>
        </w:tc>
        <w:tc>
          <w:tcPr>
            <w:tcW w:w="6366" w:type="dxa"/>
            <w:gridSpan w:val="2"/>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仿宋" w:hAnsi="仿宋" w:eastAsia="仿宋" w:cs="仿宋"/>
                <w:color w:val="000000"/>
                <w:kern w:val="0"/>
                <w:sz w:val="32"/>
                <w:szCs w:val="32"/>
              </w:rPr>
            </w:pPr>
            <w:r>
              <w:rPr>
                <w:rFonts w:hint="eastAsia" w:ascii="仿宋" w:hAnsi="仿宋" w:eastAsia="仿宋" w:cs="仿宋"/>
                <w:sz w:val="32"/>
                <w:szCs w:val="32"/>
              </w:rPr>
              <w:t>技术参数完全符合或优于招标文件要求的，得</w:t>
            </w:r>
            <w:r>
              <w:rPr>
                <w:rFonts w:hint="eastAsia" w:ascii="仿宋" w:hAnsi="仿宋" w:eastAsia="仿宋" w:cs="仿宋"/>
                <w:sz w:val="32"/>
                <w:szCs w:val="32"/>
                <w:lang w:val="en-US" w:eastAsia="zh-CN"/>
              </w:rPr>
              <w:t>17</w:t>
            </w:r>
            <w:r>
              <w:rPr>
                <w:rFonts w:hint="eastAsia" w:ascii="仿宋" w:hAnsi="仿宋" w:eastAsia="仿宋" w:cs="仿宋"/>
                <w:sz w:val="32"/>
                <w:szCs w:val="32"/>
              </w:rPr>
              <w:t>分，招标文件技术参数要求带★的，每一项不满足的扣2分，不带★的，每一项不满足的扣1分，扣完为止。</w:t>
            </w:r>
          </w:p>
        </w:tc>
        <w:tc>
          <w:tcPr>
            <w:tcW w:w="1219"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17</w:t>
            </w:r>
            <w:r>
              <w:rPr>
                <w:rFonts w:hint="eastAsia" w:ascii="仿宋" w:hAnsi="仿宋" w:eastAsia="仿宋" w:cs="仿宋"/>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918"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技术实力</w:t>
            </w:r>
          </w:p>
        </w:tc>
        <w:tc>
          <w:tcPr>
            <w:tcW w:w="1820"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服务器</w:t>
            </w:r>
          </w:p>
        </w:tc>
        <w:tc>
          <w:tcPr>
            <w:tcW w:w="45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1、产品稳定性：投标产品平均无故障时间MTBF≥100000小时，并提供国家级认证机构NCTC相关证明材料加盖原厂商公章。</w:t>
            </w:r>
          </w:p>
        </w:tc>
        <w:tc>
          <w:tcPr>
            <w:tcW w:w="1219" w:type="dxa"/>
            <w:tcBorders>
              <w:top w:val="single" w:color="auto" w:sz="4" w:space="0"/>
              <w:left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918" w:type="dxa"/>
            <w:vMerge w:val="continue"/>
            <w:tcBorders>
              <w:left w:val="single" w:color="auto" w:sz="4" w:space="0"/>
              <w:right w:val="single" w:color="auto" w:sz="4" w:space="0"/>
            </w:tcBorders>
            <w:vAlign w:val="center"/>
          </w:tcPr>
          <w:p>
            <w:pPr>
              <w:widowControl/>
              <w:spacing w:line="360" w:lineRule="auto"/>
              <w:jc w:val="center"/>
              <w:rPr>
                <w:rFonts w:hint="eastAsia" w:ascii="仿宋" w:hAnsi="仿宋" w:eastAsia="仿宋" w:cs="仿宋"/>
                <w:sz w:val="32"/>
                <w:szCs w:val="32"/>
              </w:rPr>
            </w:pPr>
          </w:p>
        </w:tc>
        <w:tc>
          <w:tcPr>
            <w:tcW w:w="1820"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32"/>
                <w:szCs w:val="32"/>
              </w:rPr>
            </w:pPr>
          </w:p>
        </w:tc>
        <w:tc>
          <w:tcPr>
            <w:tcW w:w="454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2、服务器支持温度：支持ASHRAE A4标准，工作温度支持0-50摄氏度，并提供国家级认证机构NCTC相关证明材料加盖原厂商公章。</w:t>
            </w:r>
          </w:p>
        </w:tc>
        <w:tc>
          <w:tcPr>
            <w:tcW w:w="1219"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0" w:hRule="atLeast"/>
        </w:trPr>
        <w:tc>
          <w:tcPr>
            <w:tcW w:w="1918"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32"/>
                <w:szCs w:val="32"/>
              </w:rPr>
            </w:pPr>
          </w:p>
        </w:tc>
        <w:tc>
          <w:tcPr>
            <w:tcW w:w="1820" w:type="dxa"/>
            <w:tcBorders>
              <w:top w:val="single" w:color="auto" w:sz="4" w:space="0"/>
              <w:left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集群存储系统</w:t>
            </w:r>
          </w:p>
        </w:tc>
        <w:tc>
          <w:tcPr>
            <w:tcW w:w="4546" w:type="dxa"/>
            <w:tcBorders>
              <w:top w:val="single" w:color="auto" w:sz="4" w:space="0"/>
              <w:left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1、GJB9001质量体系包含有存储系统的设计、开发、总成和服务的认证证书加盖原厂商公章</w:t>
            </w:r>
          </w:p>
        </w:tc>
        <w:tc>
          <w:tcPr>
            <w:tcW w:w="12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分</w:t>
            </w:r>
          </w:p>
          <w:p>
            <w:pPr>
              <w:widowControl/>
              <w:spacing w:line="360" w:lineRule="auto"/>
              <w:jc w:val="center"/>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1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售后服务承诺</w:t>
            </w:r>
          </w:p>
        </w:tc>
        <w:tc>
          <w:tcPr>
            <w:tcW w:w="6366"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投标人针对本项目提供详细、完善的售后服务方案，明确响应时间（1个小时响应，2个小时人员到位）、服务内容。</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1-5分</w:t>
            </w:r>
            <w:r>
              <w:rPr>
                <w:rFonts w:hint="eastAsia" w:ascii="仿宋" w:hAnsi="仿宋" w:eastAsia="仿宋" w:cs="仿宋"/>
                <w:color w:val="000000"/>
                <w:kern w:val="0"/>
                <w:sz w:val="32"/>
                <w:szCs w:val="32"/>
                <w:lang w:eastAsia="zh-CN"/>
              </w:rPr>
              <w:t>）</w:t>
            </w:r>
          </w:p>
        </w:tc>
        <w:tc>
          <w:tcPr>
            <w:tcW w:w="12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5分</w:t>
            </w:r>
          </w:p>
        </w:tc>
      </w:tr>
    </w:tbl>
    <w:p>
      <w:pPr>
        <w:pStyle w:val="2"/>
        <w:rPr>
          <w:rFonts w:cs="仿宋_GB2312" w:asciiTheme="minorEastAsia" w:hAnsiTheme="minorEastAsia"/>
          <w:szCs w:val="21"/>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bl>
    <w:p>
      <w:pPr>
        <w:pStyle w:val="2"/>
        <w:rPr>
          <w:rFonts w:cs="仿宋_GB2312" w:asciiTheme="minorEastAsia" w:hAnsiTheme="minorEastAsia"/>
          <w:szCs w:val="21"/>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6"/>
          <w:szCs w:val="36"/>
        </w:rPr>
        <w:t>（如涉及本项目的提供)</w:t>
      </w: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3" w:name="_Toc186274126"/>
      <w:bookmarkStart w:id="4" w:name="_Toc184023138"/>
      <w:bookmarkStart w:id="5" w:name="_Toc174185203"/>
      <w:r>
        <w:rPr>
          <w:rFonts w:hint="eastAsia" w:cs="黑体" w:asciiTheme="minorEastAsia" w:hAnsiTheme="minorEastAsia" w:eastAsiaTheme="minorEastAsia"/>
          <w:color w:val="auto"/>
          <w:kern w:val="2"/>
          <w:sz w:val="28"/>
          <w:szCs w:val="28"/>
          <w:lang w:val="zh-CN"/>
        </w:rPr>
        <w:t>一、投标人应答索引表</w:t>
      </w:r>
      <w:bookmarkEnd w:id="3"/>
      <w:bookmarkEnd w:id="4"/>
      <w:bookmarkEnd w:id="5"/>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eastAsiaTheme="majorEastAsia"/>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三、我方明白并同意，在规定的开标日之后，投标有效期之内撤销投标的，则贵方将不予退还履约保证金。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4"/>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4"/>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7"/>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6"/>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6" w:name="_资格证明文件"/>
            <w:bookmarkEnd w:id="6"/>
            <w:bookmarkStart w:id="7"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7"/>
          </w:p>
        </w:tc>
        <w:tc>
          <w:tcPr>
            <w:tcW w:w="4492" w:type="dxa"/>
            <w:gridSpan w:val="2"/>
            <w:vAlign w:val="center"/>
          </w:tcPr>
          <w:p>
            <w:pPr>
              <w:jc w:val="center"/>
              <w:rPr>
                <w:rFonts w:asciiTheme="minorEastAsia" w:hAnsiTheme="minorEastAsia"/>
                <w:szCs w:val="21"/>
              </w:rPr>
            </w:pPr>
            <w:bookmarkStart w:id="8"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156" w:beforeLines="50" w:after="156"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156" w:beforeLines="50" w:after="156" w:afterLines="50" w:line="360" w:lineRule="auto"/>
        <w:ind w:firstLine="495" w:firstLineChars="236"/>
        <w:rPr>
          <w:rFonts w:cs="宋体" w:asciiTheme="minorEastAsia" w:hAnsiTheme="minorEastAsia"/>
          <w:szCs w:val="21"/>
          <w:lang w:val="zh-CN"/>
        </w:rPr>
      </w:pP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
        <w:rPr>
          <w:rFonts w:ascii="宋体" w:hAnsi="宋体"/>
          <w:b/>
          <w:bCs/>
          <w:color w:val="000000"/>
          <w:szCs w:val="24"/>
        </w:rPr>
      </w:pPr>
    </w:p>
    <w:p>
      <w:pPr>
        <w:pStyle w:val="2"/>
        <w:rPr>
          <w:rFonts w:ascii="宋体" w:hAnsi="宋体"/>
          <w:b/>
          <w:bCs/>
          <w:color w:val="000000"/>
          <w:szCs w:val="24"/>
        </w:rPr>
      </w:pPr>
    </w:p>
    <w:p>
      <w:pPr>
        <w:pStyle w:val="2"/>
        <w:rPr>
          <w:rFonts w:ascii="宋体" w:hAnsi="宋体"/>
          <w:b/>
          <w:bCs/>
          <w:color w:val="000000"/>
          <w:szCs w:val="24"/>
        </w:rPr>
      </w:pPr>
    </w:p>
    <w:p>
      <w:pPr>
        <w:pStyle w:val="2"/>
        <w:rPr>
          <w:rFonts w:ascii="宋体" w:hAnsi="宋体"/>
          <w:b/>
          <w:bCs/>
          <w:color w:val="000000"/>
          <w:szCs w:val="24"/>
        </w:rPr>
      </w:pPr>
    </w:p>
    <w:p>
      <w:pPr>
        <w:pStyle w:val="2"/>
        <w:rPr>
          <w:rFonts w:ascii="宋体" w:hAnsi="宋体"/>
          <w:b/>
          <w:bCs/>
          <w:color w:val="000000"/>
          <w:szCs w:val="24"/>
        </w:rPr>
      </w:pPr>
    </w:p>
    <w:p>
      <w:pPr>
        <w:pStyle w:val="2"/>
        <w:rPr>
          <w:rFonts w:ascii="宋体" w:hAnsi="宋体"/>
          <w:b/>
          <w:bCs/>
          <w:color w:val="000000"/>
          <w:szCs w:val="24"/>
        </w:rPr>
      </w:pPr>
    </w:p>
    <w:p>
      <w:pPr>
        <w:pStyle w:val="2"/>
        <w:rPr>
          <w:rFonts w:ascii="宋体" w:hAnsi="宋体"/>
          <w:b/>
          <w:bCs/>
          <w:color w:val="000000"/>
          <w:szCs w:val="24"/>
        </w:rPr>
      </w:pPr>
    </w:p>
    <w:p>
      <w:pPr>
        <w:pStyle w:val="2"/>
        <w:rPr>
          <w:rFonts w:ascii="宋体" w:hAnsi="宋体"/>
          <w:b/>
          <w:bCs/>
          <w:color w:val="000000"/>
          <w:szCs w:val="24"/>
        </w:rPr>
      </w:pPr>
    </w:p>
    <w:p>
      <w:pPr>
        <w:autoSpaceDE w:val="0"/>
        <w:autoSpaceDN w:val="0"/>
        <w:adjustRightInd w:val="0"/>
        <w:spacing w:line="360" w:lineRule="auto"/>
        <w:ind w:firstLine="3373" w:firstLineChars="1400"/>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widowControl/>
        <w:shd w:val="clear" w:color="auto" w:fill="FFFFFF"/>
        <w:spacing w:after="300"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cs="黑体" w:asciiTheme="minorEastAsia" w:hAnsiTheme="minorEastAsia"/>
          <w:b/>
          <w:bCs/>
          <w:sz w:val="28"/>
          <w:szCs w:val="28"/>
          <w:lang w:val="zh-CN"/>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en-US" w:eastAsia="zh-CN"/>
              </w:rPr>
              <w:t>品牌</w:t>
            </w: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pStyle w:val="2"/>
        <w:rPr>
          <w:rFonts w:asciiTheme="minorEastAsia" w:hAnsiTheme="minorEastAsia"/>
          <w:color w:val="000000"/>
          <w:sz w:val="24"/>
          <w:szCs w:val="24"/>
        </w:rPr>
      </w:pPr>
    </w:p>
    <w:p>
      <w:pPr>
        <w:pStyle w:val="2"/>
        <w:rPr>
          <w:rFonts w:asciiTheme="minorEastAsia" w:hAnsiTheme="minorEastAsia"/>
          <w:color w:val="000000"/>
          <w:sz w:val="24"/>
          <w:szCs w:val="24"/>
        </w:rPr>
      </w:pPr>
    </w:p>
    <w:p>
      <w:pPr>
        <w:pStyle w:val="2"/>
        <w:rPr>
          <w:rFonts w:asciiTheme="minorEastAsia" w:hAnsiTheme="minorEastAsia"/>
          <w:color w:val="000000"/>
          <w:sz w:val="24"/>
          <w:szCs w:val="24"/>
        </w:rPr>
      </w:pPr>
    </w:p>
    <w:p>
      <w:pPr>
        <w:pStyle w:val="2"/>
        <w:rPr>
          <w:rFonts w:asciiTheme="minorEastAsia" w:hAnsiTheme="minorEastAsia"/>
          <w:color w:val="000000"/>
          <w:sz w:val="24"/>
          <w:szCs w:val="24"/>
        </w:rPr>
      </w:pPr>
    </w:p>
    <w:p>
      <w:pPr>
        <w:pStyle w:val="2"/>
        <w:rPr>
          <w:rFonts w:asciiTheme="minorEastAsia" w:hAnsiTheme="minorEastAsia"/>
          <w:color w:val="000000"/>
          <w:sz w:val="24"/>
          <w:szCs w:val="24"/>
        </w:rPr>
      </w:pPr>
    </w:p>
    <w:p>
      <w:pPr>
        <w:pStyle w:val="2"/>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lang w:val="en-US" w:eastAsia="zh-CN"/>
              </w:rPr>
              <w:t>品牌</w:t>
            </w: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pStyle w:val="2"/>
        <w:rPr>
          <w:rFonts w:hAnsi="宋体" w:eastAsia="宋体"/>
          <w:b/>
          <w:snapToGrid w:val="0"/>
          <w:kern w:val="0"/>
          <w:sz w:val="36"/>
          <w:szCs w:val="36"/>
        </w:rPr>
      </w:pPr>
    </w:p>
    <w:p>
      <w:pPr>
        <w:pStyle w:val="2"/>
        <w:rPr>
          <w:rFonts w:hAnsi="宋体" w:eastAsia="宋体"/>
          <w:b/>
          <w:snapToGrid w:val="0"/>
          <w:kern w:val="0"/>
          <w:sz w:val="36"/>
          <w:szCs w:val="36"/>
        </w:rPr>
      </w:pPr>
    </w:p>
    <w:p>
      <w:pPr>
        <w:pStyle w:val="2"/>
        <w:rPr>
          <w:rFonts w:hAnsi="宋体" w:eastAsia="宋体"/>
          <w:b/>
          <w:snapToGrid w:val="0"/>
          <w:kern w:val="0"/>
          <w:sz w:val="36"/>
          <w:szCs w:val="36"/>
        </w:rPr>
      </w:pPr>
    </w:p>
    <w:p>
      <w:pPr>
        <w:pStyle w:val="2"/>
        <w:rPr>
          <w:rFonts w:hAnsi="宋体" w:eastAsia="宋体"/>
          <w:b/>
          <w:snapToGrid w:val="0"/>
          <w:kern w:val="0"/>
          <w:sz w:val="36"/>
          <w:szCs w:val="36"/>
        </w:rPr>
      </w:pPr>
    </w:p>
    <w:p>
      <w:pPr>
        <w:pStyle w:val="2"/>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ind w:firstLine="2891" w:firstLineChars="1200"/>
        <w:jc w:val="both"/>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9" w:name="OLE_LINK14"/>
      <w:bookmarkStart w:id="10" w:name="OLE_LINK13"/>
      <w:r>
        <w:rPr>
          <w:rFonts w:hint="eastAsia" w:ascii="宋体" w:hAnsi="宋体"/>
          <w:b/>
          <w:bCs/>
          <w:color w:val="000000"/>
          <w:sz w:val="24"/>
          <w:szCs w:val="24"/>
        </w:rPr>
        <w:t>4.7 残疾人福利性单位声明函</w:t>
      </w:r>
    </w:p>
    <w:bookmarkEnd w:id="9"/>
    <w:bookmarkEnd w:id="10"/>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28"/>
          <w:szCs w:val="28"/>
          <w:lang w:val="zh-CN"/>
        </w:rPr>
      </w:pPr>
    </w:p>
    <w:p>
      <w:pPr>
        <w:pStyle w:val="2"/>
        <w:rPr>
          <w:rFonts w:cs="黑体" w:asciiTheme="minorEastAsia" w:hAnsiTheme="minorEastAsia"/>
          <w:b/>
          <w:bCs/>
          <w:sz w:val="28"/>
          <w:szCs w:val="28"/>
          <w:lang w:val="zh-CN"/>
        </w:rPr>
      </w:pPr>
    </w:p>
    <w:p>
      <w:pPr>
        <w:pStyle w:val="2"/>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1"/>
        <w:ind w:firstLine="42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7467FF"/>
    <w:multiLevelType w:val="singleLevel"/>
    <w:tmpl w:val="C57467FF"/>
    <w:lvl w:ilvl="0" w:tentative="0">
      <w:start w:val="1"/>
      <w:numFmt w:val="decimal"/>
      <w:suff w:val="nothing"/>
      <w:lvlText w:val="%1、"/>
      <w:lvlJc w:val="left"/>
    </w:lvl>
  </w:abstractNum>
  <w:abstractNum w:abstractNumId="1">
    <w:nsid w:val="E7B403A2"/>
    <w:multiLevelType w:val="singleLevel"/>
    <w:tmpl w:val="E7B403A2"/>
    <w:lvl w:ilvl="0" w:tentative="0">
      <w:start w:val="1"/>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DEA0851"/>
    <w:multiLevelType w:val="singleLevel"/>
    <w:tmpl w:val="0DEA0851"/>
    <w:lvl w:ilvl="0" w:tentative="0">
      <w:start w:val="3"/>
      <w:numFmt w:val="chineseCounting"/>
      <w:suff w:val="nothing"/>
      <w:lvlText w:val="（%1）"/>
      <w:lvlJc w:val="left"/>
      <w:rPr>
        <w:rFonts w:hint="eastAsia"/>
      </w:rPr>
    </w:lvl>
  </w:abstractNum>
  <w:abstractNum w:abstractNumId="6">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31D40CE9"/>
    <w:multiLevelType w:val="singleLevel"/>
    <w:tmpl w:val="31D40CE9"/>
    <w:lvl w:ilvl="0" w:tentative="0">
      <w:start w:val="1"/>
      <w:numFmt w:val="chineseCounting"/>
      <w:suff w:val="space"/>
      <w:lvlText w:val="第%1章"/>
      <w:lvlJc w:val="left"/>
      <w:rPr>
        <w:rFonts w:hint="eastAsia"/>
      </w:rPr>
    </w:lvl>
  </w:abstractNum>
  <w:abstractNum w:abstractNumId="9">
    <w:nsid w:val="59F817C2"/>
    <w:multiLevelType w:val="singleLevel"/>
    <w:tmpl w:val="59F817C2"/>
    <w:lvl w:ilvl="0" w:tentative="0">
      <w:start w:val="2"/>
      <w:numFmt w:val="chineseCounting"/>
      <w:suff w:val="space"/>
      <w:lvlText w:val="第%1章"/>
      <w:lvlJc w:val="left"/>
    </w:lvl>
  </w:abstractNum>
  <w:abstractNum w:abstractNumId="10">
    <w:nsid w:val="59F817E8"/>
    <w:multiLevelType w:val="singleLevel"/>
    <w:tmpl w:val="59F817E8"/>
    <w:lvl w:ilvl="0" w:tentative="0">
      <w:start w:val="1"/>
      <w:numFmt w:val="chineseCounting"/>
      <w:pStyle w:val="53"/>
      <w:suff w:val="nothing"/>
      <w:lvlText w:val="%1、"/>
      <w:lvlJc w:val="left"/>
    </w:lvl>
  </w:abstractNum>
  <w:abstractNum w:abstractNumId="11">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10"/>
  </w:num>
  <w:num w:numId="4">
    <w:abstractNumId w:val="8"/>
  </w:num>
  <w:num w:numId="5">
    <w:abstractNumId w:val="4"/>
  </w:num>
  <w:num w:numId="6">
    <w:abstractNumId w:val="9"/>
  </w:num>
  <w:num w:numId="7">
    <w:abstractNumId w:val="5"/>
  </w:num>
  <w:num w:numId="8">
    <w:abstractNumId w:val="0"/>
  </w:num>
  <w:num w:numId="9">
    <w:abstractNumId w:val="1"/>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0ECF"/>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A8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6F4"/>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175FB0"/>
    <w:rsid w:val="014F25D8"/>
    <w:rsid w:val="01F0498B"/>
    <w:rsid w:val="01FC76C9"/>
    <w:rsid w:val="027C7D92"/>
    <w:rsid w:val="02E813E8"/>
    <w:rsid w:val="032449BC"/>
    <w:rsid w:val="037217D3"/>
    <w:rsid w:val="037D2EFC"/>
    <w:rsid w:val="03A87C38"/>
    <w:rsid w:val="03C54AE6"/>
    <w:rsid w:val="05530FDE"/>
    <w:rsid w:val="067B2CDB"/>
    <w:rsid w:val="07732CDA"/>
    <w:rsid w:val="07DA78CD"/>
    <w:rsid w:val="080C2BBA"/>
    <w:rsid w:val="08866B85"/>
    <w:rsid w:val="08BA0002"/>
    <w:rsid w:val="08C0181D"/>
    <w:rsid w:val="08FD5745"/>
    <w:rsid w:val="091E11E7"/>
    <w:rsid w:val="09834DFC"/>
    <w:rsid w:val="0A5E16AE"/>
    <w:rsid w:val="0A7C3AAF"/>
    <w:rsid w:val="0A997A60"/>
    <w:rsid w:val="0AB50907"/>
    <w:rsid w:val="0B01317F"/>
    <w:rsid w:val="0BBD5765"/>
    <w:rsid w:val="0C1D2223"/>
    <w:rsid w:val="0C3D4298"/>
    <w:rsid w:val="0C9523A6"/>
    <w:rsid w:val="0CA67F00"/>
    <w:rsid w:val="0CAB7FE2"/>
    <w:rsid w:val="0CF46B6D"/>
    <w:rsid w:val="0D403087"/>
    <w:rsid w:val="0DAC158A"/>
    <w:rsid w:val="0F485C64"/>
    <w:rsid w:val="0FD30C14"/>
    <w:rsid w:val="101B403B"/>
    <w:rsid w:val="10483DBD"/>
    <w:rsid w:val="10E862A7"/>
    <w:rsid w:val="110E6851"/>
    <w:rsid w:val="116D26CD"/>
    <w:rsid w:val="119F1D23"/>
    <w:rsid w:val="11C23651"/>
    <w:rsid w:val="11E13F76"/>
    <w:rsid w:val="12204073"/>
    <w:rsid w:val="129267D1"/>
    <w:rsid w:val="12C422CE"/>
    <w:rsid w:val="12EF53A4"/>
    <w:rsid w:val="13903C42"/>
    <w:rsid w:val="13EB69AF"/>
    <w:rsid w:val="13EF7D11"/>
    <w:rsid w:val="140778EB"/>
    <w:rsid w:val="155C6126"/>
    <w:rsid w:val="158908A7"/>
    <w:rsid w:val="160E3E81"/>
    <w:rsid w:val="16EE4E99"/>
    <w:rsid w:val="171A4F3B"/>
    <w:rsid w:val="171E620C"/>
    <w:rsid w:val="175F012D"/>
    <w:rsid w:val="177F77A3"/>
    <w:rsid w:val="17843B5C"/>
    <w:rsid w:val="17A87F25"/>
    <w:rsid w:val="17F27C17"/>
    <w:rsid w:val="183965F3"/>
    <w:rsid w:val="189035FD"/>
    <w:rsid w:val="18C769E5"/>
    <w:rsid w:val="18D55096"/>
    <w:rsid w:val="192D0B22"/>
    <w:rsid w:val="198348D6"/>
    <w:rsid w:val="1A08396D"/>
    <w:rsid w:val="1A1A3129"/>
    <w:rsid w:val="1AFBFFDD"/>
    <w:rsid w:val="1B1653FD"/>
    <w:rsid w:val="1C2D1536"/>
    <w:rsid w:val="1CCA2593"/>
    <w:rsid w:val="1CCF2F1D"/>
    <w:rsid w:val="1CF87F0B"/>
    <w:rsid w:val="1CFB73D3"/>
    <w:rsid w:val="1D767D0D"/>
    <w:rsid w:val="1DAB4E8F"/>
    <w:rsid w:val="1E516E0E"/>
    <w:rsid w:val="1E6A062B"/>
    <w:rsid w:val="1E8E722F"/>
    <w:rsid w:val="1F8E45BB"/>
    <w:rsid w:val="1FE15514"/>
    <w:rsid w:val="1FF158F3"/>
    <w:rsid w:val="208614E5"/>
    <w:rsid w:val="211E56E5"/>
    <w:rsid w:val="2157706F"/>
    <w:rsid w:val="21DC7D3C"/>
    <w:rsid w:val="21DD4A96"/>
    <w:rsid w:val="2298317C"/>
    <w:rsid w:val="22CE29EE"/>
    <w:rsid w:val="242212EC"/>
    <w:rsid w:val="24D35795"/>
    <w:rsid w:val="255E48CD"/>
    <w:rsid w:val="25A73210"/>
    <w:rsid w:val="26B87348"/>
    <w:rsid w:val="271F4B16"/>
    <w:rsid w:val="275038F3"/>
    <w:rsid w:val="27CB63E1"/>
    <w:rsid w:val="27CD14F5"/>
    <w:rsid w:val="27D75029"/>
    <w:rsid w:val="28E96646"/>
    <w:rsid w:val="29081640"/>
    <w:rsid w:val="293C5FB1"/>
    <w:rsid w:val="29A55E19"/>
    <w:rsid w:val="29F94CB1"/>
    <w:rsid w:val="2A553543"/>
    <w:rsid w:val="2A745111"/>
    <w:rsid w:val="2AF87034"/>
    <w:rsid w:val="2B022C78"/>
    <w:rsid w:val="2B79591F"/>
    <w:rsid w:val="2C014C3B"/>
    <w:rsid w:val="2D4A693F"/>
    <w:rsid w:val="2E252DC4"/>
    <w:rsid w:val="2E7954A4"/>
    <w:rsid w:val="2EE200E1"/>
    <w:rsid w:val="2F566BBD"/>
    <w:rsid w:val="2F650AED"/>
    <w:rsid w:val="2FFD3F6B"/>
    <w:rsid w:val="30EA79C7"/>
    <w:rsid w:val="30FD56B7"/>
    <w:rsid w:val="329E1B24"/>
    <w:rsid w:val="32BF12F4"/>
    <w:rsid w:val="33563CED"/>
    <w:rsid w:val="338A4286"/>
    <w:rsid w:val="33A248F8"/>
    <w:rsid w:val="347F0816"/>
    <w:rsid w:val="3495779B"/>
    <w:rsid w:val="34B644B7"/>
    <w:rsid w:val="34DB5209"/>
    <w:rsid w:val="35850A1F"/>
    <w:rsid w:val="35C53FC8"/>
    <w:rsid w:val="36621D69"/>
    <w:rsid w:val="36B46A4A"/>
    <w:rsid w:val="36E65B38"/>
    <w:rsid w:val="37561C08"/>
    <w:rsid w:val="375656B9"/>
    <w:rsid w:val="375B6549"/>
    <w:rsid w:val="37627558"/>
    <w:rsid w:val="37B36A7F"/>
    <w:rsid w:val="37B91083"/>
    <w:rsid w:val="395049CE"/>
    <w:rsid w:val="39734983"/>
    <w:rsid w:val="39FD28B4"/>
    <w:rsid w:val="3A50664E"/>
    <w:rsid w:val="3AC47AB6"/>
    <w:rsid w:val="3ADD0A2E"/>
    <w:rsid w:val="3B4C7808"/>
    <w:rsid w:val="3B7A3E82"/>
    <w:rsid w:val="3B8D0CE8"/>
    <w:rsid w:val="3BA71EF1"/>
    <w:rsid w:val="3C1651F0"/>
    <w:rsid w:val="3C2006E5"/>
    <w:rsid w:val="3CBF1608"/>
    <w:rsid w:val="3CC749D9"/>
    <w:rsid w:val="3CFB31CE"/>
    <w:rsid w:val="3D0B4A04"/>
    <w:rsid w:val="3DCA2531"/>
    <w:rsid w:val="3DDA3322"/>
    <w:rsid w:val="3E3A26DB"/>
    <w:rsid w:val="3EA20E92"/>
    <w:rsid w:val="3EF36E15"/>
    <w:rsid w:val="3F263B0E"/>
    <w:rsid w:val="3FE210C6"/>
    <w:rsid w:val="414D7438"/>
    <w:rsid w:val="41572B91"/>
    <w:rsid w:val="41A16B13"/>
    <w:rsid w:val="41EF3AE9"/>
    <w:rsid w:val="42065704"/>
    <w:rsid w:val="423A7A11"/>
    <w:rsid w:val="428968C5"/>
    <w:rsid w:val="430D37F8"/>
    <w:rsid w:val="43420F67"/>
    <w:rsid w:val="43AF27C5"/>
    <w:rsid w:val="44237FCC"/>
    <w:rsid w:val="443E3AC2"/>
    <w:rsid w:val="444225CD"/>
    <w:rsid w:val="444772BC"/>
    <w:rsid w:val="444A0A6A"/>
    <w:rsid w:val="444D773E"/>
    <w:rsid w:val="44972791"/>
    <w:rsid w:val="44F0621D"/>
    <w:rsid w:val="458D2A4C"/>
    <w:rsid w:val="459D509E"/>
    <w:rsid w:val="45A926DC"/>
    <w:rsid w:val="45FC4042"/>
    <w:rsid w:val="475521A8"/>
    <w:rsid w:val="477C4489"/>
    <w:rsid w:val="477E79DB"/>
    <w:rsid w:val="47EC2F8F"/>
    <w:rsid w:val="48163D9E"/>
    <w:rsid w:val="48BB1E61"/>
    <w:rsid w:val="48D05818"/>
    <w:rsid w:val="48E44347"/>
    <w:rsid w:val="49174D2D"/>
    <w:rsid w:val="49951B10"/>
    <w:rsid w:val="4A205008"/>
    <w:rsid w:val="4AB4093D"/>
    <w:rsid w:val="4AE22F4C"/>
    <w:rsid w:val="4B536EA5"/>
    <w:rsid w:val="4CA91082"/>
    <w:rsid w:val="4D1C4C00"/>
    <w:rsid w:val="4D3E056B"/>
    <w:rsid w:val="4D6D63A9"/>
    <w:rsid w:val="4E8A1C6C"/>
    <w:rsid w:val="4E8F0D2C"/>
    <w:rsid w:val="4E9D24DB"/>
    <w:rsid w:val="4EAC4ADD"/>
    <w:rsid w:val="4EB72836"/>
    <w:rsid w:val="4ED23FD5"/>
    <w:rsid w:val="4EE945C2"/>
    <w:rsid w:val="4EFB1FC3"/>
    <w:rsid w:val="4F3C1178"/>
    <w:rsid w:val="4F661CEB"/>
    <w:rsid w:val="4FEB5C49"/>
    <w:rsid w:val="4FF123BD"/>
    <w:rsid w:val="50EE3DA0"/>
    <w:rsid w:val="51551B42"/>
    <w:rsid w:val="526717EF"/>
    <w:rsid w:val="527B1821"/>
    <w:rsid w:val="5310611D"/>
    <w:rsid w:val="53276344"/>
    <w:rsid w:val="53293BFC"/>
    <w:rsid w:val="533D55CA"/>
    <w:rsid w:val="535D3032"/>
    <w:rsid w:val="53673EE3"/>
    <w:rsid w:val="53C97953"/>
    <w:rsid w:val="53E15B41"/>
    <w:rsid w:val="53F5577A"/>
    <w:rsid w:val="5590515E"/>
    <w:rsid w:val="55EF2276"/>
    <w:rsid w:val="562B4D59"/>
    <w:rsid w:val="562D2F69"/>
    <w:rsid w:val="565C29A5"/>
    <w:rsid w:val="5703196B"/>
    <w:rsid w:val="57140DA8"/>
    <w:rsid w:val="574A43AC"/>
    <w:rsid w:val="57FF2C3C"/>
    <w:rsid w:val="58077CBD"/>
    <w:rsid w:val="5812110B"/>
    <w:rsid w:val="582E1358"/>
    <w:rsid w:val="58323449"/>
    <w:rsid w:val="58FD658D"/>
    <w:rsid w:val="591E17FC"/>
    <w:rsid w:val="59454145"/>
    <w:rsid w:val="597A69A6"/>
    <w:rsid w:val="5A50619C"/>
    <w:rsid w:val="5B0C6CA4"/>
    <w:rsid w:val="5BCD4474"/>
    <w:rsid w:val="5C944AE4"/>
    <w:rsid w:val="5CFD3C28"/>
    <w:rsid w:val="5E2C7B65"/>
    <w:rsid w:val="5EB8046C"/>
    <w:rsid w:val="5EC23D91"/>
    <w:rsid w:val="5EEA6FD8"/>
    <w:rsid w:val="5F5D3B89"/>
    <w:rsid w:val="5F91300B"/>
    <w:rsid w:val="5FBD74DE"/>
    <w:rsid w:val="601812B8"/>
    <w:rsid w:val="608416F1"/>
    <w:rsid w:val="60BD0412"/>
    <w:rsid w:val="616C5D6E"/>
    <w:rsid w:val="61775FA5"/>
    <w:rsid w:val="619B680C"/>
    <w:rsid w:val="61B05CCC"/>
    <w:rsid w:val="622D3D3C"/>
    <w:rsid w:val="62E53998"/>
    <w:rsid w:val="64124C78"/>
    <w:rsid w:val="648D2FFF"/>
    <w:rsid w:val="64D156E0"/>
    <w:rsid w:val="653348F4"/>
    <w:rsid w:val="656839C3"/>
    <w:rsid w:val="65725730"/>
    <w:rsid w:val="65B92974"/>
    <w:rsid w:val="65C80747"/>
    <w:rsid w:val="65C83ABD"/>
    <w:rsid w:val="665D6AFD"/>
    <w:rsid w:val="66834498"/>
    <w:rsid w:val="672B7704"/>
    <w:rsid w:val="68594ADA"/>
    <w:rsid w:val="68741D48"/>
    <w:rsid w:val="6A0D5579"/>
    <w:rsid w:val="6AB31C19"/>
    <w:rsid w:val="6B357A50"/>
    <w:rsid w:val="6B5B7DCB"/>
    <w:rsid w:val="6B930197"/>
    <w:rsid w:val="6BB95672"/>
    <w:rsid w:val="6C1E4AF0"/>
    <w:rsid w:val="6C4712E8"/>
    <w:rsid w:val="6C6B0B7F"/>
    <w:rsid w:val="6C9C46AE"/>
    <w:rsid w:val="6CE55F45"/>
    <w:rsid w:val="6D15465F"/>
    <w:rsid w:val="6D6121F0"/>
    <w:rsid w:val="6D8D5D8A"/>
    <w:rsid w:val="6DE87E82"/>
    <w:rsid w:val="6DFC3DF2"/>
    <w:rsid w:val="6E673C05"/>
    <w:rsid w:val="6E6F4DC3"/>
    <w:rsid w:val="6E7511ED"/>
    <w:rsid w:val="6E76180E"/>
    <w:rsid w:val="6ED546F7"/>
    <w:rsid w:val="6EF25BF0"/>
    <w:rsid w:val="6F272507"/>
    <w:rsid w:val="6FF11A89"/>
    <w:rsid w:val="70117814"/>
    <w:rsid w:val="70602224"/>
    <w:rsid w:val="70C1699F"/>
    <w:rsid w:val="7151172F"/>
    <w:rsid w:val="71617265"/>
    <w:rsid w:val="718D23FE"/>
    <w:rsid w:val="71C32A07"/>
    <w:rsid w:val="71E53350"/>
    <w:rsid w:val="720E5D3A"/>
    <w:rsid w:val="72254E2A"/>
    <w:rsid w:val="72E83FB1"/>
    <w:rsid w:val="72ED3426"/>
    <w:rsid w:val="73184127"/>
    <w:rsid w:val="73733509"/>
    <w:rsid w:val="73D40348"/>
    <w:rsid w:val="74304EB5"/>
    <w:rsid w:val="74AB41BE"/>
    <w:rsid w:val="75304144"/>
    <w:rsid w:val="755A041E"/>
    <w:rsid w:val="75EA3934"/>
    <w:rsid w:val="76AF6448"/>
    <w:rsid w:val="76FE772E"/>
    <w:rsid w:val="774700AD"/>
    <w:rsid w:val="777E0158"/>
    <w:rsid w:val="788A0F31"/>
    <w:rsid w:val="78AD1534"/>
    <w:rsid w:val="78DE6336"/>
    <w:rsid w:val="78F56DD8"/>
    <w:rsid w:val="79373D17"/>
    <w:rsid w:val="7A77760E"/>
    <w:rsid w:val="7AC70899"/>
    <w:rsid w:val="7B3F7553"/>
    <w:rsid w:val="7B7986D1"/>
    <w:rsid w:val="7B877587"/>
    <w:rsid w:val="7D1D2C00"/>
    <w:rsid w:val="7E0F106D"/>
    <w:rsid w:val="7E4F5023"/>
    <w:rsid w:val="7EE52F06"/>
    <w:rsid w:val="7F2F256F"/>
    <w:rsid w:val="7F590E4F"/>
    <w:rsid w:val="7F5A64D2"/>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2"/>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3"/>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4"/>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5"/>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50"/>
    <w:qFormat/>
    <w:uiPriority w:val="0"/>
    <w:rPr>
      <w:rFonts w:ascii="Times New Roman" w:hAnsi="Times New Roman" w:eastAsia="宋体" w:cs="Times New Roman"/>
      <w:color w:val="FF0000"/>
      <w:sz w:val="24"/>
      <w:szCs w:val="24"/>
    </w:rPr>
  </w:style>
  <w:style w:type="paragraph" w:styleId="10">
    <w:name w:val="Body Text"/>
    <w:basedOn w:val="1"/>
    <w:link w:val="54"/>
    <w:unhideWhenUsed/>
    <w:qFormat/>
    <w:uiPriority w:val="99"/>
    <w:pPr>
      <w:spacing w:after="120"/>
    </w:pPr>
  </w:style>
  <w:style w:type="paragraph" w:styleId="11">
    <w:name w:val="Body Text Indent"/>
    <w:basedOn w:val="1"/>
    <w:qFormat/>
    <w:uiPriority w:val="0"/>
    <w:pPr>
      <w:spacing w:line="400" w:lineRule="exact"/>
      <w:ind w:left="630"/>
    </w:pPr>
    <w:rPr>
      <w:rFonts w:ascii="楷体_GB2312" w:eastAsia="宋体"/>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6"/>
    <w:qFormat/>
    <w:uiPriority w:val="0"/>
    <w:rPr>
      <w:rFonts w:eastAsia="宋体"/>
      <w:sz w:val="24"/>
    </w:rPr>
  </w:style>
  <w:style w:type="paragraph" w:styleId="15">
    <w:name w:val="Date"/>
    <w:basedOn w:val="1"/>
    <w:next w:val="1"/>
    <w:link w:val="37"/>
    <w:unhideWhenUsed/>
    <w:qFormat/>
    <w:uiPriority w:val="99"/>
    <w:pPr>
      <w:ind w:left="100" w:leftChars="2500"/>
    </w:pPr>
  </w:style>
  <w:style w:type="paragraph" w:styleId="16">
    <w:name w:val="footer"/>
    <w:basedOn w:val="1"/>
    <w:link w:val="38"/>
    <w:unhideWhenUsed/>
    <w:qFormat/>
    <w:uiPriority w:val="99"/>
    <w:pPr>
      <w:tabs>
        <w:tab w:val="center" w:pos="4153"/>
        <w:tab w:val="right" w:pos="8306"/>
      </w:tabs>
      <w:snapToGrid w:val="0"/>
      <w:jc w:val="left"/>
    </w:pPr>
    <w:rPr>
      <w:sz w:val="18"/>
      <w:szCs w:val="18"/>
    </w:rPr>
  </w:style>
  <w:style w:type="paragraph" w:styleId="17">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0"/>
    <w:link w:val="55"/>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1"/>
    <w:semiHidden/>
    <w:qFormat/>
    <w:uiPriority w:val="99"/>
    <w:pPr>
      <w:spacing w:after="120" w:line="240" w:lineRule="auto"/>
      <w:ind w:left="420" w:leftChars="200" w:firstLine="420" w:firstLineChars="200"/>
    </w:pPr>
    <w:rPr>
      <w:szCs w:val="24"/>
    </w:rPr>
  </w:style>
  <w:style w:type="table" w:styleId="24">
    <w:name w:val="Table Grid"/>
    <w:basedOn w:val="23"/>
    <w:qFormat/>
    <w:uiPriority w:val="59"/>
    <w:pPr>
      <w:widowControl w:val="0"/>
      <w:jc w:val="both"/>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FollowedHyperlink"/>
    <w:basedOn w:val="25"/>
    <w:unhideWhenUsed/>
    <w:qFormat/>
    <w:uiPriority w:val="99"/>
    <w:rPr>
      <w:color w:val="800080" w:themeColor="followedHyperlink"/>
      <w:u w:val="single"/>
    </w:rPr>
  </w:style>
  <w:style w:type="character" w:styleId="28">
    <w:name w:val="Emphasis"/>
    <w:basedOn w:val="25"/>
    <w:qFormat/>
    <w:uiPriority w:val="20"/>
    <w:rPr>
      <w:i/>
      <w:iCs/>
    </w:rPr>
  </w:style>
  <w:style w:type="character" w:styleId="29">
    <w:name w:val="Hyperlink"/>
    <w:basedOn w:val="25"/>
    <w:unhideWhenUsed/>
    <w:qFormat/>
    <w:uiPriority w:val="99"/>
    <w:rPr>
      <w:color w:val="0000FF"/>
      <w:u w:val="single"/>
    </w:rPr>
  </w:style>
  <w:style w:type="paragraph" w:customStyle="1" w:styleId="30">
    <w:name w:val="列出段落1"/>
    <w:basedOn w:val="1"/>
    <w:unhideWhenUsed/>
    <w:qFormat/>
    <w:uiPriority w:val="99"/>
    <w:pPr>
      <w:ind w:firstLine="420" w:firstLineChars="200"/>
    </w:pPr>
  </w:style>
  <w:style w:type="paragraph" w:customStyle="1" w:styleId="31">
    <w:name w:val="*正文"/>
    <w:basedOn w:val="1"/>
    <w:qFormat/>
    <w:uiPriority w:val="0"/>
    <w:pPr>
      <w:keepNext/>
      <w:keepLines/>
      <w:spacing w:line="360" w:lineRule="auto"/>
      <w:ind w:firstLine="200" w:firstLineChars="200"/>
    </w:pPr>
    <w:rPr>
      <w:rFonts w:ascii="宋体" w:hAnsi="宋体"/>
    </w:rPr>
  </w:style>
  <w:style w:type="character" w:customStyle="1" w:styleId="32">
    <w:name w:val="标题 1 字符"/>
    <w:basedOn w:val="25"/>
    <w:link w:val="3"/>
    <w:qFormat/>
    <w:uiPriority w:val="0"/>
    <w:rPr>
      <w:rFonts w:ascii="Calibri" w:hAnsi="Calibri" w:eastAsia="宋体" w:cs="Times New Roman"/>
      <w:b/>
      <w:bCs/>
      <w:kern w:val="44"/>
      <w:sz w:val="44"/>
      <w:szCs w:val="44"/>
    </w:rPr>
  </w:style>
  <w:style w:type="character" w:customStyle="1" w:styleId="33">
    <w:name w:val="标题 2 字符"/>
    <w:basedOn w:val="25"/>
    <w:link w:val="4"/>
    <w:qFormat/>
    <w:uiPriority w:val="0"/>
    <w:rPr>
      <w:rFonts w:ascii="Arial" w:hAnsi="Arial" w:eastAsia="黑体" w:cs="Times New Roman"/>
      <w:b/>
      <w:bCs/>
      <w:kern w:val="0"/>
      <w:sz w:val="32"/>
      <w:szCs w:val="32"/>
    </w:rPr>
  </w:style>
  <w:style w:type="character" w:customStyle="1" w:styleId="34">
    <w:name w:val="标题 3 字符"/>
    <w:basedOn w:val="25"/>
    <w:link w:val="5"/>
    <w:qFormat/>
    <w:uiPriority w:val="0"/>
    <w:rPr>
      <w:rFonts w:ascii="宋体" w:hAnsi="宋体" w:eastAsia="宋体" w:cs="Times New Roman"/>
      <w:b/>
      <w:color w:val="000000"/>
      <w:kern w:val="0"/>
      <w:sz w:val="24"/>
      <w:szCs w:val="20"/>
      <w:lang w:val="en-GB"/>
    </w:rPr>
  </w:style>
  <w:style w:type="character" w:customStyle="1" w:styleId="35">
    <w:name w:val="标题 4 字符"/>
    <w:basedOn w:val="25"/>
    <w:link w:val="6"/>
    <w:qFormat/>
    <w:uiPriority w:val="0"/>
    <w:rPr>
      <w:rFonts w:ascii="Arial" w:hAnsi="Arial" w:eastAsia="黑体" w:cs="Times New Roman"/>
      <w:b/>
      <w:bCs/>
      <w:kern w:val="0"/>
      <w:sz w:val="28"/>
      <w:szCs w:val="28"/>
    </w:rPr>
  </w:style>
  <w:style w:type="character" w:customStyle="1" w:styleId="36">
    <w:name w:val="纯文本 字符"/>
    <w:basedOn w:val="25"/>
    <w:link w:val="14"/>
    <w:qFormat/>
    <w:uiPriority w:val="0"/>
    <w:rPr>
      <w:rFonts w:eastAsia="宋体"/>
      <w:sz w:val="24"/>
    </w:rPr>
  </w:style>
  <w:style w:type="character" w:customStyle="1" w:styleId="37">
    <w:name w:val="日期 字符"/>
    <w:basedOn w:val="25"/>
    <w:link w:val="15"/>
    <w:qFormat/>
    <w:uiPriority w:val="99"/>
  </w:style>
  <w:style w:type="character" w:customStyle="1" w:styleId="38">
    <w:name w:val="页脚 字符"/>
    <w:basedOn w:val="25"/>
    <w:link w:val="16"/>
    <w:qFormat/>
    <w:uiPriority w:val="99"/>
    <w:rPr>
      <w:sz w:val="18"/>
      <w:szCs w:val="18"/>
    </w:rPr>
  </w:style>
  <w:style w:type="character" w:customStyle="1" w:styleId="39">
    <w:name w:val="页眉 字符"/>
    <w:basedOn w:val="25"/>
    <w:link w:val="17"/>
    <w:qFormat/>
    <w:uiPriority w:val="99"/>
    <w:rPr>
      <w:sz w:val="18"/>
      <w:szCs w:val="18"/>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1"/>
    <w:basedOn w:val="1"/>
    <w:qFormat/>
    <w:uiPriority w:val="34"/>
    <w:pPr>
      <w:ind w:firstLine="420" w:firstLineChars="200"/>
    </w:pPr>
  </w:style>
  <w:style w:type="character" w:customStyle="1" w:styleId="43">
    <w:name w:val="正文文本缩进 Char Char"/>
    <w:link w:val="44"/>
    <w:qFormat/>
    <w:uiPriority w:val="0"/>
    <w:rPr>
      <w:rFonts w:ascii="宋体"/>
      <w:sz w:val="24"/>
    </w:rPr>
  </w:style>
  <w:style w:type="paragraph" w:customStyle="1" w:styleId="44">
    <w:name w:val="正文文本缩进1"/>
    <w:basedOn w:val="1"/>
    <w:link w:val="43"/>
    <w:qFormat/>
    <w:uiPriority w:val="0"/>
    <w:pPr>
      <w:spacing w:line="360" w:lineRule="auto"/>
      <w:ind w:firstLine="480" w:firstLineChars="200"/>
    </w:pPr>
    <w:rPr>
      <w:rFonts w:ascii="宋体"/>
      <w:sz w:val="24"/>
    </w:rPr>
  </w:style>
  <w:style w:type="character" w:customStyle="1" w:styleId="45">
    <w:name w:val="日期 Char Char"/>
    <w:link w:val="46"/>
    <w:qFormat/>
    <w:uiPriority w:val="0"/>
    <w:rPr>
      <w:sz w:val="24"/>
    </w:rPr>
  </w:style>
  <w:style w:type="paragraph" w:customStyle="1" w:styleId="46">
    <w:name w:val="日期1"/>
    <w:basedOn w:val="1"/>
    <w:next w:val="1"/>
    <w:link w:val="45"/>
    <w:qFormat/>
    <w:uiPriority w:val="0"/>
    <w:rPr>
      <w:sz w:val="24"/>
    </w:rPr>
  </w:style>
  <w:style w:type="paragraph" w:customStyle="1" w:styleId="47">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8">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0">
    <w:name w:val="正文文本 3 字符"/>
    <w:basedOn w:val="25"/>
    <w:link w:val="9"/>
    <w:qFormat/>
    <w:uiPriority w:val="0"/>
    <w:rPr>
      <w:rFonts w:ascii="Times New Roman" w:hAnsi="Times New Roman" w:eastAsia="宋体" w:cs="Times New Roman"/>
      <w:color w:val="FF0000"/>
      <w:sz w:val="24"/>
      <w:szCs w:val="24"/>
    </w:rPr>
  </w:style>
  <w:style w:type="character" w:customStyle="1" w:styleId="51">
    <w:name w:val="edittexttarea"/>
    <w:basedOn w:val="25"/>
    <w:qFormat/>
    <w:uiPriority w:val="0"/>
  </w:style>
  <w:style w:type="paragraph" w:customStyle="1" w:styleId="52">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 字符"/>
    <w:basedOn w:val="25"/>
    <w:link w:val="10"/>
    <w:semiHidden/>
    <w:qFormat/>
    <w:uiPriority w:val="99"/>
  </w:style>
  <w:style w:type="character" w:customStyle="1" w:styleId="55">
    <w:name w:val="正文文本首行缩进 字符"/>
    <w:basedOn w:val="54"/>
    <w:link w:val="21"/>
    <w:qFormat/>
    <w:uiPriority w:val="0"/>
    <w:rPr>
      <w:rFonts w:ascii="宋体" w:hAnsi="Times New Roman" w:eastAsia="宋体" w:cs="Times New Roman"/>
      <w:kern w:val="0"/>
      <w:sz w:val="34"/>
      <w:szCs w:val="20"/>
    </w:rPr>
  </w:style>
  <w:style w:type="character" w:customStyle="1" w:styleId="56">
    <w:name w:val="HTML 预设格式 字符"/>
    <w:basedOn w:val="25"/>
    <w:link w:val="19"/>
    <w:semiHidden/>
    <w:qFormat/>
    <w:uiPriority w:val="99"/>
    <w:rPr>
      <w:rFonts w:ascii="宋体" w:hAnsi="宋体" w:eastAsia="宋体" w:cs="宋体"/>
      <w:kern w:val="0"/>
      <w:sz w:val="24"/>
      <w:szCs w:val="24"/>
    </w:rPr>
  </w:style>
  <w:style w:type="paragraph" w:customStyle="1" w:styleId="57">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9">
    <w:name w:val="List Paragraph1"/>
    <w:basedOn w:val="1"/>
    <w:qFormat/>
    <w:uiPriority w:val="99"/>
    <w:pPr>
      <w:ind w:firstLine="420" w:firstLineChars="200"/>
    </w:pPr>
    <w:rPr>
      <w:rFonts w:ascii="Times New Roman" w:hAnsi="Times New Roman" w:eastAsia="宋体" w:cs="Times New Roman"/>
      <w:szCs w:val="24"/>
    </w:rPr>
  </w:style>
  <w:style w:type="paragraph" w:styleId="60">
    <w:name w:val="List Paragraph"/>
    <w:basedOn w:val="1"/>
    <w:unhideWhenUsed/>
    <w:qFormat/>
    <w:uiPriority w:val="99"/>
    <w:pPr>
      <w:ind w:firstLine="420" w:firstLineChars="200"/>
    </w:pPr>
  </w:style>
  <w:style w:type="character" w:customStyle="1" w:styleId="61">
    <w:name w:val="font01"/>
    <w:basedOn w:val="25"/>
    <w:qFormat/>
    <w:uiPriority w:val="0"/>
    <w:rPr>
      <w:rFonts w:hint="eastAsia" w:ascii="宋体" w:hAnsi="宋体" w:eastAsia="宋体" w:cs="宋体"/>
      <w:color w:val="000000"/>
      <w:sz w:val="22"/>
      <w:szCs w:val="22"/>
      <w:u w:val="none"/>
    </w:rPr>
  </w:style>
  <w:style w:type="character" w:customStyle="1" w:styleId="62">
    <w:name w:val="font21"/>
    <w:basedOn w:val="25"/>
    <w:qFormat/>
    <w:uiPriority w:val="0"/>
    <w:rPr>
      <w:rFonts w:hint="eastAsia" w:ascii="宋体" w:hAnsi="宋体" w:eastAsia="宋体" w:cs="宋体"/>
      <w:color w:val="000000"/>
      <w:sz w:val="28"/>
      <w:szCs w:val="28"/>
      <w:u w:val="none"/>
    </w:rPr>
  </w:style>
  <w:style w:type="character" w:customStyle="1" w:styleId="63">
    <w:name w:val="font11"/>
    <w:basedOn w:val="25"/>
    <w:qFormat/>
    <w:uiPriority w:val="0"/>
    <w:rPr>
      <w:rFonts w:ascii="Calibri" w:hAnsi="Calibri" w:cs="Calibri"/>
      <w:color w:val="000000"/>
      <w:sz w:val="28"/>
      <w:szCs w:val="28"/>
      <w:u w:val="none"/>
    </w:rPr>
  </w:style>
  <w:style w:type="paragraph" w:customStyle="1" w:styleId="64">
    <w:name w:val="正文 A"/>
    <w:next w:val="65"/>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styleId="65">
    <w:name w:val="No Spacing"/>
    <w:qFormat/>
    <w:uiPriority w:val="0"/>
    <w:pPr>
      <w:widowControl w:val="0"/>
      <w:spacing w:line="400" w:lineRule="exact"/>
      <w:jc w:val="both"/>
    </w:pPr>
    <w:rPr>
      <w:rFonts w:ascii="Calibri" w:hAnsi="Calibri" w:eastAsia="Calibri" w:cs="Calibri"/>
      <w:color w:val="000000"/>
      <w:kern w:val="2"/>
      <w:sz w:val="24"/>
      <w:szCs w:val="24"/>
      <w:u w:color="000000"/>
      <w:lang w:val="en-US" w:eastAsia="zh-CN" w:bidi="ar-SA"/>
    </w:rPr>
  </w:style>
  <w:style w:type="table" w:customStyle="1" w:styleId="66">
    <w:name w:val="Table Normal"/>
    <w:qFormat/>
    <w:uiPriority w:val="0"/>
    <w:tblPr>
      <w:tblCellMar>
        <w:top w:w="0" w:type="dxa"/>
        <w:left w:w="0" w:type="dxa"/>
        <w:bottom w:w="0" w:type="dxa"/>
        <w:right w:w="0" w:type="dxa"/>
      </w:tblCellMar>
    </w:tblPr>
  </w:style>
  <w:style w:type="paragraph" w:customStyle="1" w:styleId="67">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78</Pages>
  <Words>6003</Words>
  <Characters>34219</Characters>
  <Lines>285</Lines>
  <Paragraphs>80</Paragraphs>
  <TotalTime>0</TotalTime>
  <ScaleCrop>false</ScaleCrop>
  <LinksUpToDate>false</LinksUpToDate>
  <CharactersWithSpaces>40142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禹州市公共资源交易中心:艾明辉</cp:lastModifiedBy>
  <cp:lastPrinted>2018-08-01T18:20:00Z</cp:lastPrinted>
  <dcterms:modified xsi:type="dcterms:W3CDTF">2019-11-15T08:10:05Z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