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黑体" w:hAnsi="黑体" w:eastAsia="黑体" w:cs="黑体"/>
          <w:b/>
          <w:color w:val="000000"/>
          <w:spacing w:val="-16"/>
          <w:w w:val="90"/>
          <w:kern w:val="22"/>
          <w:sz w:val="44"/>
          <w:szCs w:val="44"/>
        </w:rPr>
      </w:pPr>
      <w:r>
        <w:rPr>
          <w:rFonts w:hint="eastAsia" w:ascii="黑体" w:hAnsi="黑体" w:eastAsia="黑体" w:cs="黑体"/>
          <w:b/>
          <w:bCs/>
          <w:color w:val="000000"/>
          <w:sz w:val="44"/>
          <w:szCs w:val="44"/>
          <w:shd w:val="clear" w:color="auto" w:fill="FFFFFF"/>
        </w:rPr>
        <w:t>长葛市机关事务管理局“</w:t>
      </w:r>
      <w:r>
        <w:rPr>
          <w:rFonts w:hint="eastAsia" w:ascii="黑体" w:hAnsi="黑体" w:eastAsia="黑体" w:cs="黑体"/>
          <w:b/>
          <w:bCs/>
          <w:color w:val="000000"/>
          <w:sz w:val="44"/>
          <w:szCs w:val="44"/>
          <w:shd w:val="clear" w:color="auto" w:fill="FFFFFF"/>
          <w:lang w:eastAsia="zh-CN"/>
        </w:rPr>
        <w:t>质检大厦</w:t>
      </w:r>
      <w:r>
        <w:rPr>
          <w:rFonts w:hint="eastAsia" w:ascii="黑体" w:hAnsi="黑体" w:eastAsia="黑体" w:cs="黑体"/>
          <w:b/>
          <w:bCs/>
          <w:color w:val="000000"/>
          <w:sz w:val="44"/>
          <w:szCs w:val="44"/>
          <w:shd w:val="clear" w:color="auto" w:fill="FFFFFF"/>
        </w:rPr>
        <w:t>物业服务项目”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项目编号：长招采公字【2019】04</w:t>
      </w:r>
      <w:r>
        <w:rPr>
          <w:rFonts w:hint="eastAsia" w:asciiTheme="majorEastAsia" w:hAnsiTheme="majorEastAsia" w:eastAsiaTheme="majorEastAsia" w:cstheme="majorEastAsia"/>
          <w:b/>
          <w:bCs/>
          <w:color w:val="000000"/>
          <w:sz w:val="36"/>
          <w:szCs w:val="36"/>
          <w:lang w:val="en-US" w:eastAsia="zh-CN"/>
        </w:rPr>
        <w:t>9</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采购单位：长葛市机关事务管理局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集中采购机构：长葛市公共资源交易中心</w:t>
      </w:r>
    </w:p>
    <w:p>
      <w:pPr>
        <w:rPr>
          <w:rFonts w:asciiTheme="majorEastAsia" w:hAnsiTheme="majorEastAsia" w:eastAsiaTheme="majorEastAsia" w:cstheme="majorEastAsia"/>
          <w:b/>
          <w:bCs/>
          <w:color w:val="000000"/>
          <w:sz w:val="36"/>
          <w:szCs w:val="36"/>
        </w:rPr>
      </w:pP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二〇一九年九月</w:t>
      </w:r>
      <w:r>
        <w:rPr>
          <w:rFonts w:hint="eastAsia" w:asciiTheme="majorEastAsia" w:hAnsiTheme="majorEastAsia" w:eastAsiaTheme="majorEastAsia" w:cstheme="majorEastAsia"/>
          <w:b/>
          <w:bCs/>
          <w:color w:val="000000"/>
          <w:sz w:val="36"/>
          <w:szCs w:val="36"/>
          <w:lang w:eastAsia="zh-CN"/>
        </w:rPr>
        <w:t>三十</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jc w:val="left"/>
        <w:rPr>
          <w:color w:val="000000"/>
          <w:szCs w:val="21"/>
          <w:shd w:val="clear" w:color="auto" w:fill="FFFFFF"/>
        </w:rPr>
      </w:pPr>
      <w:r>
        <w:rPr>
          <w:rFonts w:hint="eastAsia"/>
          <w:color w:val="000000"/>
          <w:szCs w:val="21"/>
          <w:shd w:val="clear" w:color="auto" w:fill="FFFFFF"/>
        </w:rPr>
        <w:t xml:space="preserve">    长葛市公共资源交易中心受长葛市机关事务管理局的委托，对长葛市机关事务管理局“</w:t>
      </w:r>
      <w:r>
        <w:rPr>
          <w:rFonts w:hint="eastAsia"/>
          <w:color w:val="000000"/>
          <w:szCs w:val="21"/>
          <w:shd w:val="clear" w:color="auto" w:fill="FFFFFF"/>
          <w:lang w:eastAsia="zh-CN"/>
        </w:rPr>
        <w:t>质检大厦</w:t>
      </w:r>
      <w:r>
        <w:rPr>
          <w:rFonts w:hint="eastAsia"/>
          <w:color w:val="000000"/>
          <w:szCs w:val="21"/>
          <w:shd w:val="clear" w:color="auto" w:fill="FFFFFF"/>
        </w:rPr>
        <w:t>物业服务项目”项目进行公开招标。现邀请符合本招标文件规定条件的供应商前来投标。</w:t>
      </w:r>
    </w:p>
    <w:p>
      <w:pPr>
        <w:pStyle w:val="21"/>
        <w:widowControl/>
        <w:shd w:val="clear" w:color="auto" w:fill="FFFFFF"/>
        <w:spacing w:line="360" w:lineRule="auto"/>
        <w:ind w:firstLine="420" w:firstLineChars="200"/>
        <w:contextualSpacing/>
        <w:jc w:val="left"/>
        <w:rPr>
          <w:rFonts w:asciiTheme="minorHAnsi" w:hAnsiTheme="minorHAnsi" w:eastAsiaTheme="minorEastAsia" w:cstheme="minorBidi"/>
          <w:color w:val="000000"/>
          <w:sz w:val="21"/>
          <w:szCs w:val="21"/>
          <w:shd w:val="clear" w:color="auto" w:fill="FFFFFF"/>
        </w:rPr>
      </w:pPr>
      <w:r>
        <w:rPr>
          <w:rFonts w:hint="eastAsia" w:asciiTheme="minorHAnsi" w:hAnsiTheme="minorHAnsi" w:eastAsiaTheme="minorEastAsia" w:cstheme="minorBidi"/>
          <w:color w:val="000000"/>
          <w:sz w:val="21"/>
          <w:szCs w:val="21"/>
          <w:shd w:val="clear" w:color="auto" w:fill="FFFFFF"/>
        </w:rPr>
        <w:t>一、项目基本情况</w:t>
      </w:r>
    </w:p>
    <w:p>
      <w:pPr>
        <w:pStyle w:val="21"/>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w:t>
      </w:r>
      <w:r>
        <w:rPr>
          <w:rFonts w:hint="eastAsia"/>
          <w:color w:val="000000"/>
          <w:sz w:val="21"/>
          <w:szCs w:val="21"/>
          <w:shd w:val="clear" w:color="auto" w:fill="FFFFFF"/>
        </w:rPr>
        <w:t>称：</w:t>
      </w:r>
      <w:r>
        <w:rPr>
          <w:color w:val="000000"/>
          <w:sz w:val="21"/>
          <w:szCs w:val="21"/>
          <w:shd w:val="clear" w:color="auto" w:fill="FFFFFF"/>
        </w:rPr>
        <w:t xml:space="preserve"> </w:t>
      </w:r>
      <w:r>
        <w:rPr>
          <w:rFonts w:hint="eastAsia" w:asciiTheme="minorHAnsi" w:hAnsiTheme="minorHAnsi" w:eastAsiaTheme="minorEastAsia" w:cstheme="minorBidi"/>
          <w:color w:val="000000"/>
          <w:sz w:val="21"/>
          <w:szCs w:val="21"/>
          <w:shd w:val="clear" w:color="auto" w:fill="FFFFFF"/>
        </w:rPr>
        <w:t>长葛市机关事务管理局“</w:t>
      </w:r>
      <w:r>
        <w:rPr>
          <w:rFonts w:hint="eastAsia" w:asciiTheme="minorHAnsi" w:hAnsiTheme="minorHAnsi" w:eastAsiaTheme="minorEastAsia" w:cstheme="minorBidi"/>
          <w:color w:val="000000"/>
          <w:kern w:val="2"/>
          <w:sz w:val="21"/>
          <w:szCs w:val="21"/>
          <w:shd w:val="clear" w:color="auto" w:fill="FFFFFF"/>
          <w:lang w:val="en-US" w:eastAsia="zh-CN" w:bidi="ar-SA"/>
        </w:rPr>
        <w:t>质检大厦物业</w:t>
      </w:r>
      <w:r>
        <w:rPr>
          <w:rFonts w:hint="eastAsia" w:asciiTheme="minorHAnsi" w:hAnsiTheme="minorHAnsi" w:eastAsiaTheme="minorEastAsia" w:cstheme="minorBidi"/>
          <w:color w:val="000000"/>
          <w:sz w:val="21"/>
          <w:szCs w:val="21"/>
          <w:shd w:val="clear" w:color="auto" w:fill="FFFFFF"/>
        </w:rPr>
        <w:t>服务项目”项目</w:t>
      </w:r>
    </w:p>
    <w:p>
      <w:pPr>
        <w:pStyle w:val="21"/>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（二）项目编号：长招采公字【2019】0</w:t>
      </w:r>
      <w:r>
        <w:rPr>
          <w:rFonts w:hint="eastAsia"/>
          <w:color w:val="000000"/>
          <w:sz w:val="21"/>
          <w:szCs w:val="21"/>
          <w:shd w:val="clear" w:color="auto" w:fill="FFFFFF"/>
          <w:lang w:val="en-US" w:eastAsia="zh-CN"/>
        </w:rPr>
        <w:t>49</w:t>
      </w:r>
      <w:r>
        <w:rPr>
          <w:rFonts w:hint="eastAsia"/>
          <w:color w:val="000000"/>
          <w:sz w:val="21"/>
          <w:szCs w:val="21"/>
          <w:shd w:val="clear" w:color="auto" w:fill="FFFFFF"/>
        </w:rPr>
        <w:t xml:space="preserve">号    </w:t>
      </w:r>
    </w:p>
    <w:p>
      <w:pPr>
        <w:pStyle w:val="21"/>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 xml:space="preserve">（三）采购方式：公开招标                                                                                                                         </w:t>
      </w:r>
    </w:p>
    <w:p>
      <w:pPr>
        <w:pStyle w:val="21"/>
        <w:widowControl/>
        <w:spacing w:line="360" w:lineRule="auto"/>
        <w:ind w:firstLine="420" w:firstLineChars="200"/>
        <w:rPr>
          <w:color w:val="000000"/>
          <w:sz w:val="21"/>
          <w:szCs w:val="21"/>
          <w:shd w:val="clear" w:color="auto" w:fill="FFFFFF"/>
        </w:rPr>
      </w:pPr>
      <w:r>
        <w:rPr>
          <w:rFonts w:hint="eastAsia"/>
          <w:color w:val="000000"/>
          <w:sz w:val="21"/>
          <w:szCs w:val="21"/>
          <w:shd w:val="clear" w:color="auto" w:fill="FFFFFF"/>
        </w:rPr>
        <w:t>（四）采购内容：长葛市机关事务管理局</w:t>
      </w:r>
      <w:r>
        <w:rPr>
          <w:rFonts w:hint="eastAsia" w:asciiTheme="minorHAnsi" w:hAnsiTheme="minorHAnsi" w:eastAsiaTheme="minorEastAsia" w:cstheme="minorBidi"/>
          <w:color w:val="000000"/>
          <w:kern w:val="2"/>
          <w:sz w:val="21"/>
          <w:szCs w:val="21"/>
          <w:shd w:val="clear" w:color="auto" w:fill="FFFFFF"/>
          <w:lang w:val="en-US" w:eastAsia="zh-CN" w:bidi="ar-SA"/>
        </w:rPr>
        <w:t>“质检大厦物业服</w:t>
      </w:r>
      <w:r>
        <w:rPr>
          <w:rFonts w:hint="eastAsia"/>
          <w:color w:val="000000"/>
          <w:sz w:val="21"/>
          <w:szCs w:val="21"/>
          <w:shd w:val="clear" w:color="auto" w:fill="FFFFFF"/>
        </w:rPr>
        <w:t>务项目”；详见招标文件。</w:t>
      </w:r>
    </w:p>
    <w:p>
      <w:pPr>
        <w:pStyle w:val="21"/>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（五）预算金额</w:t>
      </w:r>
      <w:r>
        <w:rPr>
          <w:rFonts w:hint="eastAsia" w:asciiTheme="minorHAnsi" w:hAnsiTheme="minorHAnsi" w:eastAsiaTheme="minorEastAsia" w:cstheme="minorBidi"/>
          <w:color w:val="000000"/>
          <w:kern w:val="2"/>
          <w:sz w:val="21"/>
          <w:szCs w:val="21"/>
          <w:shd w:val="clear" w:color="auto" w:fill="FFFFFF"/>
          <w:lang w:val="en-US" w:eastAsia="zh-CN" w:bidi="ar-SA"/>
        </w:rPr>
        <w:t>：¥1879080元。最高限价：¥1879080元（超</w:t>
      </w:r>
      <w:r>
        <w:rPr>
          <w:rFonts w:hint="eastAsia"/>
          <w:color w:val="000000"/>
          <w:sz w:val="21"/>
          <w:szCs w:val="21"/>
          <w:shd w:val="clear" w:color="auto" w:fill="FFFFFF"/>
        </w:rPr>
        <w:t>过此预算为无效报价）。</w:t>
      </w:r>
    </w:p>
    <w:p>
      <w:pPr>
        <w:pStyle w:val="21"/>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（六）交付（服务、完工）时间 ：3年</w:t>
      </w:r>
      <w:r>
        <w:rPr>
          <w:color w:val="000000"/>
          <w:sz w:val="21"/>
          <w:szCs w:val="21"/>
          <w:shd w:val="clear" w:color="auto" w:fill="FFFFFF"/>
        </w:rPr>
        <w:t xml:space="preserve"> </w:t>
      </w:r>
    </w:p>
    <w:p>
      <w:pPr>
        <w:pStyle w:val="21"/>
        <w:widowControl/>
        <w:shd w:val="clear" w:color="auto" w:fill="FFFFFF"/>
        <w:spacing w:line="360" w:lineRule="auto"/>
        <w:ind w:firstLine="420" w:firstLineChars="200"/>
        <w:contextualSpacing/>
        <w:jc w:val="left"/>
        <w:rPr>
          <w:rFonts w:hint="eastAsia" w:cs="Times New Roman"/>
          <w:color w:val="000000"/>
          <w:sz w:val="21"/>
          <w:szCs w:val="21"/>
          <w:shd w:val="clear" w:color="auto" w:fill="FFFFFF"/>
        </w:rPr>
      </w:pPr>
      <w:r>
        <w:rPr>
          <w:rFonts w:hint="eastAsia"/>
          <w:color w:val="000000"/>
          <w:sz w:val="21"/>
          <w:szCs w:val="21"/>
          <w:shd w:val="clear" w:color="auto" w:fill="FFFFFF"/>
        </w:rPr>
        <w:t>（七）交付（服务、完工）地</w:t>
      </w:r>
      <w:r>
        <w:rPr>
          <w:rFonts w:hint="eastAsia" w:cs="Times New Roman"/>
          <w:color w:val="000000"/>
          <w:sz w:val="21"/>
          <w:szCs w:val="21"/>
          <w:shd w:val="clear" w:color="auto" w:fill="FFFFFF"/>
        </w:rPr>
        <w:t>点：长葛市</w:t>
      </w:r>
      <w:r>
        <w:rPr>
          <w:rFonts w:hint="eastAsia" w:cs="Times New Roman"/>
          <w:color w:val="000000"/>
          <w:sz w:val="21"/>
          <w:szCs w:val="21"/>
          <w:shd w:val="clear" w:color="auto" w:fill="FFFFFF"/>
          <w:lang w:eastAsia="zh-CN"/>
        </w:rPr>
        <w:t>张辽路与</w:t>
      </w:r>
      <w:r>
        <w:rPr>
          <w:rFonts w:hint="eastAsia" w:cs="Times New Roman"/>
          <w:color w:val="000000"/>
          <w:sz w:val="21"/>
          <w:szCs w:val="21"/>
          <w:shd w:val="clear" w:color="auto" w:fill="FFFFFF"/>
        </w:rPr>
        <w:t>葛天大道</w:t>
      </w:r>
      <w:r>
        <w:rPr>
          <w:rFonts w:hint="eastAsia" w:cs="Times New Roman"/>
          <w:color w:val="000000"/>
          <w:sz w:val="21"/>
          <w:szCs w:val="21"/>
          <w:shd w:val="clear" w:color="auto" w:fill="FFFFFF"/>
          <w:lang w:eastAsia="zh-CN"/>
        </w:rPr>
        <w:t>交叉口向东</w:t>
      </w:r>
      <w:r>
        <w:rPr>
          <w:rFonts w:hint="eastAsia" w:cs="Times New Roman"/>
          <w:color w:val="000000"/>
          <w:sz w:val="21"/>
          <w:szCs w:val="21"/>
          <w:shd w:val="clear" w:color="auto" w:fill="FFFFFF"/>
          <w:lang w:val="en-US" w:eastAsia="zh-CN"/>
        </w:rPr>
        <w:t>200米</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（八）分包：不允许。</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（九）标包：一个标包</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1"/>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）严重违法失信名单的投标人。</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（三）本次招标不接受联合体投标。</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FF0000"/>
          <w:sz w:val="21"/>
          <w:szCs w:val="21"/>
        </w:rPr>
      </w:pPr>
      <w:r>
        <w:rPr>
          <w:rFonts w:hint="eastAsia" w:cs="仿宋_GB2312" w:asciiTheme="minorEastAsia" w:hAnsiTheme="minorEastAsia" w:eastAsiaTheme="minorEastAsia"/>
          <w:color w:val="FF0000"/>
          <w:sz w:val="21"/>
          <w:szCs w:val="21"/>
        </w:rPr>
        <w:t>（一）投标截止及开标时间：2019年</w:t>
      </w:r>
      <w:r>
        <w:rPr>
          <w:rFonts w:hint="eastAsia" w:cs="仿宋_GB2312" w:asciiTheme="minorEastAsia" w:hAnsiTheme="minorEastAsia" w:eastAsiaTheme="minorEastAsia"/>
          <w:color w:val="FF0000"/>
          <w:sz w:val="21"/>
          <w:szCs w:val="21"/>
          <w:lang w:val="en-US" w:eastAsia="zh-CN"/>
        </w:rPr>
        <w:t>10</w:t>
      </w:r>
      <w:r>
        <w:rPr>
          <w:rFonts w:hint="eastAsia" w:cs="仿宋_GB2312" w:asciiTheme="minorEastAsia" w:hAnsiTheme="minorEastAsia" w:eastAsiaTheme="minorEastAsia"/>
          <w:color w:val="FF0000"/>
          <w:sz w:val="21"/>
          <w:szCs w:val="21"/>
        </w:rPr>
        <w:t>月</w:t>
      </w:r>
      <w:r>
        <w:rPr>
          <w:rFonts w:hint="eastAsia" w:cs="仿宋_GB2312" w:asciiTheme="minorEastAsia" w:hAnsiTheme="minorEastAsia" w:eastAsiaTheme="minorEastAsia"/>
          <w:color w:val="FF0000"/>
          <w:sz w:val="21"/>
          <w:szCs w:val="21"/>
          <w:lang w:val="en-US" w:eastAsia="zh-CN"/>
        </w:rPr>
        <w:t>29</w:t>
      </w:r>
      <w:r>
        <w:rPr>
          <w:rFonts w:hint="eastAsia" w:cs="仿宋_GB2312" w:asciiTheme="minorEastAsia" w:hAnsiTheme="minorEastAsia" w:eastAsiaTheme="minorEastAsia"/>
          <w:color w:val="FF0000"/>
          <w:sz w:val="21"/>
          <w:szCs w:val="21"/>
        </w:rPr>
        <w:t>日</w:t>
      </w:r>
      <w:r>
        <w:rPr>
          <w:rFonts w:hint="eastAsia" w:cs="仿宋_GB2312" w:asciiTheme="minorEastAsia" w:hAnsiTheme="minorEastAsia" w:eastAsiaTheme="minorEastAsia"/>
          <w:color w:val="FF0000"/>
          <w:sz w:val="21"/>
          <w:szCs w:val="21"/>
          <w:lang w:val="en-US" w:eastAsia="zh-CN"/>
        </w:rPr>
        <w:t>9</w:t>
      </w:r>
      <w:r>
        <w:rPr>
          <w:rFonts w:hint="eastAsia" w:cs="仿宋_GB2312" w:asciiTheme="minorEastAsia" w:hAnsiTheme="minorEastAsia" w:eastAsiaTheme="minorEastAsia"/>
          <w:color w:val="FF0000"/>
          <w:sz w:val="21"/>
          <w:szCs w:val="21"/>
        </w:rPr>
        <w:t>时</w:t>
      </w:r>
      <w:r>
        <w:rPr>
          <w:rFonts w:hint="eastAsia" w:cs="仿宋_GB2312" w:asciiTheme="minorEastAsia" w:hAnsiTheme="minorEastAsia" w:eastAsiaTheme="minorEastAsia"/>
          <w:color w:val="FF0000"/>
          <w:sz w:val="21"/>
          <w:szCs w:val="21"/>
          <w:lang w:val="en-US" w:eastAsia="zh-CN"/>
        </w:rPr>
        <w:t>00</w:t>
      </w:r>
      <w:r>
        <w:rPr>
          <w:rFonts w:hint="eastAsia" w:cs="仿宋_GB2312" w:asciiTheme="minorEastAsia" w:hAnsiTheme="minorEastAsia" w:eastAsiaTheme="minorEastAsia"/>
          <w:color w:val="FF0000"/>
          <w:sz w:val="21"/>
          <w:szCs w:val="21"/>
        </w:rPr>
        <w:t>分（北京时间），逾期提交或不符合规定的投标文件不予接受。</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FF0000"/>
          <w:sz w:val="21"/>
          <w:szCs w:val="21"/>
        </w:rPr>
      </w:pPr>
      <w:r>
        <w:rPr>
          <w:rFonts w:hint="eastAsia" w:cs="仿宋_GB2312" w:asciiTheme="minorEastAsia" w:hAnsiTheme="minorEastAsia" w:eastAsiaTheme="minorEastAsia"/>
          <w:color w:val="FF0000"/>
          <w:sz w:val="21"/>
          <w:szCs w:val="21"/>
        </w:rPr>
        <w:t>（二）开标地点：长葛市公共资源交易中心（长葛市商务区6号楼）</w:t>
      </w:r>
      <w:r>
        <w:rPr>
          <w:rFonts w:hint="eastAsia" w:cs="仿宋_GB2312" w:asciiTheme="minorEastAsia" w:hAnsiTheme="minorEastAsia" w:eastAsiaTheme="minorEastAsia"/>
          <w:color w:val="FF0000"/>
          <w:sz w:val="21"/>
          <w:szCs w:val="21"/>
          <w:lang w:val="en-US" w:eastAsia="zh-CN"/>
        </w:rPr>
        <w:t>4</w:t>
      </w:r>
      <w:r>
        <w:rPr>
          <w:rFonts w:hint="eastAsia" w:cs="仿宋_GB2312" w:asciiTheme="minorEastAsia" w:hAnsiTheme="minorEastAsia" w:eastAsiaTheme="minorEastAsia"/>
          <w:color w:val="FF0000"/>
          <w:sz w:val="21"/>
          <w:szCs w:val="21"/>
        </w:rPr>
        <w:t>楼开标</w:t>
      </w:r>
      <w:r>
        <w:rPr>
          <w:rFonts w:hint="eastAsia" w:cs="仿宋_GB2312" w:asciiTheme="minorEastAsia" w:hAnsiTheme="minorEastAsia" w:eastAsiaTheme="minorEastAsia"/>
          <w:color w:val="FF0000"/>
          <w:sz w:val="21"/>
          <w:szCs w:val="21"/>
          <w:lang w:eastAsia="zh-CN"/>
        </w:rPr>
        <w:t>二</w:t>
      </w:r>
      <w:r>
        <w:rPr>
          <w:rFonts w:hint="eastAsia" w:cs="仿宋_GB2312" w:asciiTheme="minorEastAsia" w:hAnsiTheme="minorEastAsia" w:eastAsiaTheme="minorEastAsia"/>
          <w:color w:val="FF0000"/>
          <w:sz w:val="21"/>
          <w:szCs w:val="21"/>
        </w:rPr>
        <w:t>室</w:t>
      </w:r>
      <w:r>
        <w:rPr>
          <w:rFonts w:hint="eastAsia" w:cs="仿宋_GB2312" w:asciiTheme="minorEastAsia" w:hAnsiTheme="minorEastAsia" w:eastAsiaTheme="minorEastAsia"/>
          <w:color w:val="FF0000"/>
          <w:sz w:val="21"/>
          <w:szCs w:val="21"/>
          <w:lang w:val="en-US" w:eastAsia="zh-CN"/>
        </w:rPr>
        <w:t>409室</w:t>
      </w:r>
      <w:r>
        <w:rPr>
          <w:rFonts w:hint="eastAsia" w:cs="仿宋_GB2312" w:asciiTheme="minorEastAsia" w:hAnsiTheme="minorEastAsia" w:eastAsiaTheme="minorEastAsia"/>
          <w:color w:val="FF0000"/>
          <w:sz w:val="21"/>
          <w:szCs w:val="21"/>
        </w:rPr>
        <w:t>。</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六、本次招标公告同时在《河南省政府采购网》、《许昌市政府采购网》、《全国公共资源交易平台（河南省·许昌市）》发布。</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spacing w:line="360" w:lineRule="auto"/>
        <w:rPr>
          <w:rFonts w:cs="仿宋_GB2312" w:asciiTheme="minorEastAsia" w:hAnsiTheme="minorEastAsia"/>
          <w:color w:val="000000"/>
          <w:szCs w:val="21"/>
        </w:rPr>
      </w:pPr>
      <w:r>
        <w:rPr>
          <w:rFonts w:hint="eastAsia" w:cs="仿宋_GB2312" w:asciiTheme="minorEastAsia" w:hAnsiTheme="minorEastAsia"/>
          <w:color w:val="000000"/>
          <w:szCs w:val="21"/>
        </w:rPr>
        <w:t xml:space="preserve">    采购人：长葛市机关事务管理局</w:t>
      </w:r>
    </w:p>
    <w:p>
      <w:pPr>
        <w:spacing w:line="360" w:lineRule="auto"/>
        <w:rPr>
          <w:rFonts w:cs="仿宋_GB2312" w:asciiTheme="minorEastAsia" w:hAnsiTheme="minorEastAsia"/>
          <w:color w:val="000000"/>
          <w:szCs w:val="21"/>
        </w:rPr>
      </w:pPr>
      <w:r>
        <w:rPr>
          <w:rFonts w:hint="eastAsia" w:cs="仿宋_GB2312" w:asciiTheme="minorEastAsia" w:hAnsiTheme="minorEastAsia"/>
          <w:color w:val="000000"/>
          <w:szCs w:val="21"/>
        </w:rPr>
        <w:t xml:space="preserve">    联系人：侯先生                 联系电话：13837421936 </w:t>
      </w:r>
    </w:p>
    <w:p>
      <w:pPr>
        <w:spacing w:line="360" w:lineRule="auto"/>
        <w:rPr>
          <w:rFonts w:cs="仿宋_GB2312" w:asciiTheme="minorEastAsia" w:hAnsiTheme="minorEastAsia"/>
          <w:color w:val="000000"/>
          <w:szCs w:val="21"/>
        </w:rPr>
      </w:pPr>
      <w:r>
        <w:rPr>
          <w:rFonts w:hint="eastAsia" w:cs="仿宋_GB2312" w:asciiTheme="minorEastAsia" w:hAnsiTheme="minorEastAsia"/>
          <w:color w:val="000000"/>
          <w:szCs w:val="21"/>
        </w:rPr>
        <w:t xml:space="preserve">    地址：长葛市葛天大道中段</w:t>
      </w:r>
    </w:p>
    <w:p>
      <w:pPr>
        <w:spacing w:line="360" w:lineRule="auto"/>
        <w:rPr>
          <w:rFonts w:cs="仿宋_GB2312" w:asciiTheme="minorEastAsia" w:hAnsiTheme="minorEastAsia"/>
          <w:color w:val="000000"/>
          <w:szCs w:val="21"/>
        </w:rPr>
      </w:pPr>
      <w:r>
        <w:rPr>
          <w:rFonts w:hint="eastAsia" w:cs="仿宋_GB2312" w:asciiTheme="minorEastAsia" w:hAnsiTheme="minorEastAsia"/>
          <w:color w:val="000000"/>
          <w:szCs w:val="21"/>
        </w:rPr>
        <w:t xml:space="preserve">    集中采购机构：长葛市公共资源交易中心</w:t>
      </w:r>
    </w:p>
    <w:p>
      <w:pPr>
        <w:spacing w:line="360" w:lineRule="auto"/>
        <w:rPr>
          <w:rFonts w:cs="仿宋_GB2312" w:asciiTheme="minorEastAsia" w:hAnsiTheme="minorEastAsia"/>
          <w:color w:val="000000"/>
          <w:szCs w:val="21"/>
        </w:rPr>
      </w:pPr>
      <w:r>
        <w:rPr>
          <w:rFonts w:hint="eastAsia" w:cs="仿宋_GB2312" w:asciiTheme="minorEastAsia" w:hAnsiTheme="minorEastAsia"/>
          <w:color w:val="000000"/>
          <w:szCs w:val="21"/>
        </w:rPr>
        <w:t xml:space="preserve">    地址：长葛市葛天大道东段商务区6#楼4楼</w:t>
      </w:r>
    </w:p>
    <w:p>
      <w:pPr>
        <w:spacing w:line="360" w:lineRule="auto"/>
        <w:rPr>
          <w:rFonts w:hint="default" w:cs="仿宋_GB2312" w:asciiTheme="minorEastAsia" w:hAnsiTheme="minorEastAsia" w:eastAsiaTheme="minorEastAsia"/>
          <w:color w:val="000000"/>
          <w:szCs w:val="21"/>
          <w:lang w:val="en-US" w:eastAsia="zh-CN"/>
        </w:rPr>
      </w:pPr>
      <w:r>
        <w:rPr>
          <w:rFonts w:hint="eastAsia" w:cs="仿宋_GB2312" w:asciiTheme="minorEastAsia" w:hAnsiTheme="minorEastAsia"/>
          <w:color w:val="000000"/>
          <w:szCs w:val="21"/>
        </w:rPr>
        <w:t xml:space="preserve">    联系人：政府采购</w:t>
      </w:r>
      <w:r>
        <w:rPr>
          <w:rFonts w:hint="eastAsia" w:cs="仿宋_GB2312" w:asciiTheme="minorEastAsia" w:hAnsiTheme="minorEastAsia"/>
          <w:color w:val="000000"/>
          <w:szCs w:val="21"/>
          <w:lang w:eastAsia="zh-CN"/>
        </w:rPr>
        <w:t>一</w:t>
      </w:r>
      <w:r>
        <w:rPr>
          <w:rFonts w:hint="eastAsia" w:cs="仿宋_GB2312" w:asciiTheme="minorEastAsia" w:hAnsiTheme="minorEastAsia"/>
          <w:color w:val="000000"/>
          <w:szCs w:val="21"/>
        </w:rPr>
        <w:t>部            联系电话：0374-6189</w:t>
      </w:r>
      <w:r>
        <w:rPr>
          <w:rFonts w:hint="eastAsia" w:cs="仿宋_GB2312" w:asciiTheme="minorEastAsia" w:hAnsiTheme="minorEastAsia"/>
          <w:color w:val="000000"/>
          <w:szCs w:val="21"/>
          <w:lang w:val="en-US" w:eastAsia="zh-CN"/>
        </w:rPr>
        <w:t>379</w:t>
      </w: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6"/>
          <w:rFonts w:hAnsi="宋体"/>
          <w:szCs w:val="21"/>
        </w:rPr>
        <w:t>http://221.14.6.70:8088/ggzy/</w:t>
      </w:r>
      <w:r>
        <w:rPr>
          <w:rStyle w:val="26"/>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asciiTheme="minorEastAsia" w:hAnsiTheme="minorEastAsia"/>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6"/>
          <w:rFonts w:hAnsi="宋体"/>
          <w:szCs w:val="21"/>
        </w:rPr>
        <w:t>http://221.14.6.70:8088/ggzy/</w:t>
      </w:r>
      <w:r>
        <w:rPr>
          <w:rStyle w:val="26"/>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numPr>
          <w:ilvl w:val="0"/>
          <w:numId w:val="5"/>
        </w:numPr>
        <w:shd w:val="clear" w:color="auto" w:fill="FFFFFF"/>
        <w:spacing w:line="360" w:lineRule="auto"/>
        <w:ind w:firstLine="482" w:firstLineChars="200"/>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采购清单</w:t>
      </w:r>
    </w:p>
    <w:p>
      <w:pPr>
        <w:pStyle w:val="38"/>
        <w:numPr>
          <w:ilvl w:val="0"/>
          <w:numId w:val="0"/>
        </w:numPr>
        <w:ind w:firstLine="1890" w:firstLineChars="900"/>
        <w:jc w:val="both"/>
        <w:rPr>
          <w:b/>
          <w:bCs/>
          <w:sz w:val="32"/>
          <w:szCs w:val="32"/>
        </w:rPr>
      </w:pPr>
      <w:r>
        <w:rPr>
          <w:rFonts w:hint="eastAsia" w:cs="宋体" w:asciiTheme="minorEastAsia" w:hAnsiTheme="minorEastAsia"/>
          <w:color w:val="FF0000"/>
          <w:kern w:val="0"/>
          <w:szCs w:val="21"/>
        </w:rPr>
        <w:t>★</w:t>
      </w:r>
      <w:r>
        <w:rPr>
          <w:rFonts w:hint="eastAsia" w:cs="黑体" w:asciiTheme="minorEastAsia" w:hAnsiTheme="minorEastAsia" w:eastAsiaTheme="minorEastAsia"/>
          <w:b/>
          <w:bCs/>
          <w:color w:val="000000"/>
          <w:kern w:val="2"/>
          <w:sz w:val="24"/>
          <w:szCs w:val="24"/>
          <w:shd w:val="clear" w:color="auto" w:fill="FFFFFF"/>
          <w:lang w:val="en-US" w:eastAsia="zh-CN" w:bidi="ar-SA"/>
        </w:rPr>
        <w:t>长葛市质检大厦物业服务项目要求</w:t>
      </w:r>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38"/>
              <w:ind w:firstLine="0" w:firstLineChars="0"/>
              <w:jc w:val="center"/>
              <w:rPr>
                <w:b/>
                <w:bCs/>
                <w:sz w:val="28"/>
                <w:szCs w:val="28"/>
              </w:rPr>
            </w:pPr>
            <w:r>
              <w:rPr>
                <w:rFonts w:hint="eastAsia"/>
                <w:b/>
                <w:bCs/>
                <w:sz w:val="28"/>
                <w:szCs w:val="28"/>
              </w:rPr>
              <w:t>项目</w:t>
            </w:r>
          </w:p>
        </w:tc>
        <w:tc>
          <w:tcPr>
            <w:tcW w:w="7497" w:type="dxa"/>
            <w:noWrap w:val="0"/>
            <w:vAlign w:val="top"/>
          </w:tcPr>
          <w:p>
            <w:pPr>
              <w:pStyle w:val="38"/>
              <w:ind w:firstLine="0" w:firstLineChars="0"/>
              <w:jc w:val="center"/>
              <w:rPr>
                <w:sz w:val="24"/>
              </w:rPr>
            </w:pPr>
            <w:r>
              <w:rPr>
                <w:rFonts w:hint="eastAsia"/>
                <w:b/>
                <w:bCs/>
                <w:sz w:val="28"/>
                <w:szCs w:val="28"/>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1025" w:type="dxa"/>
            <w:noWrap w:val="0"/>
            <w:vAlign w:val="top"/>
          </w:tcPr>
          <w:p>
            <w:pPr>
              <w:pStyle w:val="38"/>
              <w:ind w:firstLine="0" w:firstLineChars="0"/>
              <w:jc w:val="center"/>
              <w:rPr>
                <w:rFonts w:hint="eastAsia"/>
                <w:b/>
                <w:bCs/>
                <w:sz w:val="28"/>
                <w:szCs w:val="28"/>
              </w:rPr>
            </w:pPr>
            <w:r>
              <w:rPr>
                <w:rFonts w:hint="eastAsia"/>
                <w:b/>
                <w:bCs/>
                <w:sz w:val="28"/>
                <w:szCs w:val="28"/>
              </w:rPr>
              <w:t>物业经理</w:t>
            </w:r>
          </w:p>
        </w:tc>
        <w:tc>
          <w:tcPr>
            <w:tcW w:w="7497" w:type="dxa"/>
            <w:noWrap w:val="0"/>
            <w:vAlign w:val="top"/>
          </w:tcPr>
          <w:p>
            <w:pPr>
              <w:pStyle w:val="38"/>
              <w:ind w:firstLine="0" w:firstLineChars="0"/>
              <w:rPr>
                <w:rFonts w:hint="eastAsia"/>
                <w:sz w:val="24"/>
              </w:rPr>
            </w:pPr>
            <w:r>
              <w:rPr>
                <w:rFonts w:hint="eastAsia"/>
                <w:sz w:val="24"/>
              </w:rPr>
              <w:t>1、物业项目经理1人，年龄不超过50周岁，整治合格，身体健康，人品端正，负责整个物业服务项目的管理协调工作、具备物业管理岗位证书。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38"/>
              <w:ind w:firstLine="0" w:firstLineChars="0"/>
              <w:jc w:val="center"/>
              <w:rPr>
                <w:rFonts w:hint="eastAsia"/>
                <w:b/>
                <w:bCs/>
                <w:sz w:val="28"/>
                <w:szCs w:val="28"/>
              </w:rPr>
            </w:pPr>
            <w:r>
              <w:rPr>
                <w:rFonts w:hint="eastAsia"/>
                <w:b/>
                <w:bCs/>
                <w:sz w:val="28"/>
                <w:szCs w:val="28"/>
              </w:rPr>
              <w:t>安</w:t>
            </w:r>
          </w:p>
          <w:p>
            <w:pPr>
              <w:pStyle w:val="38"/>
              <w:ind w:firstLine="0" w:firstLineChars="0"/>
              <w:jc w:val="center"/>
              <w:rPr>
                <w:rFonts w:hint="eastAsia"/>
                <w:b/>
                <w:bCs/>
                <w:sz w:val="28"/>
                <w:szCs w:val="28"/>
              </w:rPr>
            </w:pPr>
            <w:r>
              <w:rPr>
                <w:rFonts w:hint="eastAsia"/>
                <w:b/>
                <w:bCs/>
                <w:sz w:val="28"/>
                <w:szCs w:val="28"/>
              </w:rPr>
              <w:t>保</w:t>
            </w:r>
          </w:p>
          <w:p>
            <w:pPr>
              <w:pStyle w:val="38"/>
              <w:ind w:firstLine="0" w:firstLineChars="0"/>
              <w:jc w:val="center"/>
              <w:rPr>
                <w:rFonts w:hint="eastAsia"/>
                <w:b/>
                <w:bCs/>
                <w:sz w:val="28"/>
                <w:szCs w:val="28"/>
              </w:rPr>
            </w:pPr>
            <w:r>
              <w:rPr>
                <w:rFonts w:hint="eastAsia"/>
                <w:b/>
                <w:bCs/>
                <w:sz w:val="28"/>
                <w:szCs w:val="28"/>
              </w:rPr>
              <w:t>工</w:t>
            </w:r>
          </w:p>
          <w:p>
            <w:pPr>
              <w:pStyle w:val="38"/>
              <w:ind w:firstLine="0" w:firstLineChars="0"/>
              <w:jc w:val="center"/>
              <w:rPr>
                <w:b/>
                <w:bCs/>
                <w:sz w:val="28"/>
                <w:szCs w:val="28"/>
              </w:rPr>
            </w:pPr>
            <w:r>
              <w:rPr>
                <w:rFonts w:hint="eastAsia"/>
                <w:b/>
                <w:bCs/>
                <w:sz w:val="28"/>
                <w:szCs w:val="28"/>
              </w:rPr>
              <w:t>作</w:t>
            </w:r>
          </w:p>
        </w:tc>
        <w:tc>
          <w:tcPr>
            <w:tcW w:w="7497" w:type="dxa"/>
            <w:noWrap w:val="0"/>
            <w:vAlign w:val="top"/>
          </w:tcPr>
          <w:p>
            <w:pPr>
              <w:pStyle w:val="38"/>
              <w:ind w:firstLine="0" w:firstLineChars="0"/>
              <w:rPr>
                <w:rFonts w:hint="eastAsia"/>
                <w:sz w:val="24"/>
              </w:rPr>
            </w:pPr>
            <w:r>
              <w:rPr>
                <w:rFonts w:hint="eastAsia"/>
                <w:sz w:val="24"/>
              </w:rPr>
              <w:t>1、人员</w:t>
            </w:r>
            <w:r>
              <w:rPr>
                <w:rFonts w:hint="eastAsia"/>
                <w:sz w:val="24"/>
                <w:lang w:val="en-US" w:eastAsia="zh-CN"/>
              </w:rPr>
              <w:t>6</w:t>
            </w:r>
            <w:r>
              <w:rPr>
                <w:rFonts w:hint="eastAsia"/>
                <w:sz w:val="24"/>
              </w:rPr>
              <w:t>人，年龄不超过50周岁，政治合格，身体健康，人品端正，无社会犯罪记录。</w:t>
            </w:r>
          </w:p>
          <w:p>
            <w:pPr>
              <w:pStyle w:val="38"/>
              <w:ind w:firstLine="0" w:firstLineChars="0"/>
              <w:rPr>
                <w:sz w:val="24"/>
              </w:rPr>
            </w:pPr>
            <w:r>
              <w:rPr>
                <w:rFonts w:hint="eastAsia"/>
                <w:sz w:val="24"/>
              </w:rPr>
              <w:t>2、负责24小时门岗室值班，对出入人员及车辆进行登记，禁止无关人员和车辆进入办公区域。</w:t>
            </w:r>
          </w:p>
          <w:p>
            <w:pPr>
              <w:pStyle w:val="38"/>
              <w:ind w:firstLine="0" w:firstLineChars="0"/>
              <w:rPr>
                <w:rFonts w:hint="eastAsia"/>
                <w:sz w:val="24"/>
              </w:rPr>
            </w:pPr>
            <w:r>
              <w:rPr>
                <w:rFonts w:hint="eastAsia"/>
                <w:sz w:val="24"/>
              </w:rPr>
              <w:t>3、负责楼、院内巡逻，特别是夜间巡逻次数要保证。</w:t>
            </w:r>
          </w:p>
          <w:p>
            <w:pPr>
              <w:pStyle w:val="38"/>
              <w:ind w:firstLine="0" w:firstLineChars="0"/>
              <w:rPr>
                <w:rFonts w:hint="eastAsia"/>
                <w:sz w:val="24"/>
              </w:rPr>
            </w:pPr>
            <w:r>
              <w:rPr>
                <w:rFonts w:hint="eastAsia"/>
                <w:sz w:val="24"/>
              </w:rPr>
              <w:t>4、负责引导院内和地下车库的车辆有序停放，制止和纠正乱停乱放。</w:t>
            </w:r>
          </w:p>
          <w:p>
            <w:pPr>
              <w:pStyle w:val="38"/>
              <w:ind w:firstLine="0" w:firstLineChars="0"/>
              <w:rPr>
                <w:rFonts w:hint="eastAsia"/>
                <w:sz w:val="24"/>
              </w:rPr>
            </w:pPr>
            <w:r>
              <w:rPr>
                <w:rFonts w:hint="eastAsia"/>
                <w:sz w:val="24"/>
              </w:rPr>
              <w:t>5、负责公共区域内公共设施、设备，保证完好。</w:t>
            </w:r>
          </w:p>
          <w:p>
            <w:pPr>
              <w:pStyle w:val="38"/>
              <w:ind w:firstLine="0" w:firstLineChars="0"/>
              <w:rPr>
                <w:rFonts w:hint="eastAsia"/>
                <w:sz w:val="24"/>
              </w:rPr>
            </w:pPr>
            <w:r>
              <w:rPr>
                <w:rFonts w:hint="eastAsia"/>
                <w:sz w:val="24"/>
              </w:rPr>
              <w:t>6、保安人员必须熟练使用消防器材，遇有紧急情况，迅速处理，及时上报。</w:t>
            </w:r>
          </w:p>
          <w:p>
            <w:pPr>
              <w:pStyle w:val="38"/>
              <w:ind w:firstLine="0" w:firstLineChars="0"/>
              <w:rPr>
                <w:sz w:val="24"/>
              </w:rPr>
            </w:pPr>
            <w:r>
              <w:rPr>
                <w:rFonts w:hint="eastAsia"/>
                <w:sz w:val="24"/>
              </w:rPr>
              <w:t>7、落实业主单位安排的其他安保工作。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025" w:type="dxa"/>
            <w:noWrap w:val="0"/>
            <w:vAlign w:val="top"/>
          </w:tcPr>
          <w:p>
            <w:pPr>
              <w:pStyle w:val="38"/>
              <w:ind w:firstLine="0" w:firstLineChars="0"/>
              <w:jc w:val="center"/>
              <w:rPr>
                <w:b/>
                <w:bCs/>
                <w:sz w:val="28"/>
                <w:szCs w:val="28"/>
              </w:rPr>
            </w:pPr>
            <w:r>
              <w:rPr>
                <w:rFonts w:hint="eastAsia"/>
                <w:b/>
                <w:bCs/>
                <w:sz w:val="28"/>
                <w:szCs w:val="28"/>
              </w:rPr>
              <w:t>卫生保洁</w:t>
            </w:r>
          </w:p>
        </w:tc>
        <w:tc>
          <w:tcPr>
            <w:tcW w:w="7497" w:type="dxa"/>
            <w:noWrap w:val="0"/>
            <w:vAlign w:val="top"/>
          </w:tcPr>
          <w:p>
            <w:pPr>
              <w:pStyle w:val="38"/>
              <w:ind w:firstLine="0" w:firstLineChars="0"/>
              <w:rPr>
                <w:rFonts w:hint="eastAsia"/>
                <w:sz w:val="24"/>
              </w:rPr>
            </w:pPr>
            <w:r>
              <w:rPr>
                <w:rFonts w:hint="eastAsia"/>
                <w:sz w:val="24"/>
              </w:rPr>
              <w:t>1、人员</w:t>
            </w:r>
            <w:r>
              <w:rPr>
                <w:rFonts w:hint="eastAsia"/>
                <w:sz w:val="24"/>
                <w:lang w:val="en-US" w:eastAsia="zh-CN"/>
              </w:rPr>
              <w:t>8</w:t>
            </w:r>
            <w:bookmarkStart w:id="12" w:name="_GoBack"/>
            <w:bookmarkEnd w:id="12"/>
            <w:r>
              <w:rPr>
                <w:rFonts w:hint="eastAsia"/>
                <w:sz w:val="24"/>
              </w:rPr>
              <w:t>人，年龄不超过50周岁，人品端正，吃苦耐劳，无社会犯罪记录。</w:t>
            </w:r>
          </w:p>
          <w:p>
            <w:pPr>
              <w:pStyle w:val="38"/>
              <w:ind w:firstLine="0" w:firstLineChars="0"/>
              <w:rPr>
                <w:rFonts w:hint="eastAsia"/>
                <w:sz w:val="24"/>
              </w:rPr>
            </w:pPr>
            <w:r>
              <w:rPr>
                <w:rFonts w:hint="eastAsia"/>
                <w:sz w:val="24"/>
              </w:rPr>
              <w:t>2、负责单位公共部分的管理、保养、清洁和垃圾清理。包括楼梯间、电梯间、走廊、门厅、卫生间、开水间、会议室、大院等，以及重要活动的临时性保洁等。</w:t>
            </w:r>
          </w:p>
          <w:p>
            <w:pPr>
              <w:pStyle w:val="38"/>
              <w:ind w:firstLine="0" w:firstLineChars="0"/>
              <w:rPr>
                <w:rFonts w:hint="eastAsia"/>
                <w:sz w:val="24"/>
              </w:rPr>
            </w:pPr>
            <w:r>
              <w:rPr>
                <w:rFonts w:hint="eastAsia"/>
                <w:sz w:val="24"/>
              </w:rPr>
              <w:t>3、负责单位垃圾清运工作。</w:t>
            </w:r>
          </w:p>
          <w:p>
            <w:pPr>
              <w:pStyle w:val="38"/>
              <w:ind w:firstLine="0" w:firstLineChars="0"/>
              <w:rPr>
                <w:sz w:val="24"/>
              </w:rPr>
            </w:pPr>
            <w:r>
              <w:rPr>
                <w:rFonts w:hint="eastAsia"/>
                <w:sz w:val="24"/>
              </w:rPr>
              <w:t>4、落实业主单位安排的其他保洁工作。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noWrap w:val="0"/>
            <w:vAlign w:val="top"/>
          </w:tcPr>
          <w:p>
            <w:pPr>
              <w:pStyle w:val="38"/>
              <w:ind w:firstLine="0" w:firstLineChars="0"/>
              <w:jc w:val="center"/>
              <w:rPr>
                <w:b/>
                <w:bCs/>
                <w:sz w:val="28"/>
                <w:szCs w:val="28"/>
              </w:rPr>
            </w:pPr>
            <w:r>
              <w:rPr>
                <w:rFonts w:hint="eastAsia"/>
                <w:b/>
                <w:bCs/>
                <w:sz w:val="28"/>
                <w:szCs w:val="28"/>
              </w:rPr>
              <w:t>绿化养护</w:t>
            </w:r>
          </w:p>
        </w:tc>
        <w:tc>
          <w:tcPr>
            <w:tcW w:w="7497" w:type="dxa"/>
            <w:noWrap w:val="0"/>
            <w:vAlign w:val="top"/>
          </w:tcPr>
          <w:p>
            <w:pPr>
              <w:pStyle w:val="38"/>
              <w:ind w:firstLine="0" w:firstLineChars="0"/>
              <w:rPr>
                <w:sz w:val="24"/>
              </w:rPr>
            </w:pPr>
            <w:r>
              <w:rPr>
                <w:rFonts w:hint="eastAsia"/>
                <w:sz w:val="24"/>
              </w:rPr>
              <w:t>1、绿化管理员1人，年龄不超过45周岁，人品端正，吃苦耐劳，具有绿化管理、养护经验。</w:t>
            </w:r>
          </w:p>
          <w:p>
            <w:pPr>
              <w:pStyle w:val="38"/>
              <w:ind w:firstLine="0" w:firstLineChars="0"/>
              <w:rPr>
                <w:rFonts w:hint="eastAsia"/>
                <w:sz w:val="24"/>
              </w:rPr>
            </w:pPr>
            <w:r>
              <w:rPr>
                <w:rFonts w:hint="eastAsia"/>
                <w:sz w:val="24"/>
              </w:rPr>
              <w:t>2、及时清除绿化区域杂物，保持清洁美观。</w:t>
            </w:r>
          </w:p>
          <w:p>
            <w:pPr>
              <w:pStyle w:val="38"/>
              <w:ind w:firstLine="0" w:firstLineChars="0"/>
              <w:rPr>
                <w:rFonts w:hint="eastAsia"/>
                <w:sz w:val="24"/>
              </w:rPr>
            </w:pPr>
            <w:r>
              <w:rPr>
                <w:rFonts w:hint="eastAsia"/>
                <w:sz w:val="24"/>
              </w:rPr>
              <w:t>3、修剪平整，做好病虫防治，补栽补种，科学施肥、浇水等养护工作。</w:t>
            </w:r>
          </w:p>
          <w:p>
            <w:pPr>
              <w:pStyle w:val="38"/>
              <w:ind w:firstLine="0" w:firstLineChars="0"/>
              <w:rPr>
                <w:sz w:val="24"/>
              </w:rPr>
            </w:pPr>
            <w:r>
              <w:rPr>
                <w:rFonts w:hint="eastAsia"/>
                <w:sz w:val="24"/>
              </w:rPr>
              <w:t>4、按照绿化养护二级管理标准执行。</w:t>
            </w:r>
          </w:p>
        </w:tc>
      </w:tr>
    </w:tbl>
    <w:p>
      <w:pPr>
        <w:pStyle w:val="38"/>
        <w:ind w:firstLine="0" w:firstLineChars="0"/>
        <w:jc w:val="center"/>
        <w:rPr>
          <w:rFonts w:hint="eastAsia"/>
          <w:b/>
          <w:bCs/>
          <w:sz w:val="32"/>
          <w:szCs w:val="32"/>
        </w:rPr>
      </w:pPr>
      <w:r>
        <w:rPr>
          <w:rFonts w:hint="eastAsia"/>
          <w:b/>
          <w:bCs/>
          <w:sz w:val="32"/>
          <w:szCs w:val="32"/>
        </w:rPr>
        <w:t>2、具体标准细则</w:t>
      </w:r>
    </w:p>
    <w:p>
      <w:pP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（1）保洁工作标准及内容：</w:t>
      </w:r>
    </w:p>
    <w:tbl>
      <w:tblPr>
        <w:tblStyle w:val="23"/>
        <w:tblW w:w="9043" w:type="dxa"/>
        <w:tblInd w:w="-5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427"/>
        <w:gridCol w:w="2036"/>
        <w:gridCol w:w="1712"/>
        <w:gridCol w:w="960"/>
        <w:gridCol w:w="2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 w:hRule="atLeast"/>
        </w:trPr>
        <w:tc>
          <w:tcPr>
            <w:tcW w:w="900" w:type="dxa"/>
            <w:vMerge w:val="restart"/>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项目范围</w:t>
            </w:r>
          </w:p>
        </w:tc>
        <w:tc>
          <w:tcPr>
            <w:tcW w:w="1427"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清洁项目</w:t>
            </w:r>
          </w:p>
        </w:tc>
        <w:tc>
          <w:tcPr>
            <w:tcW w:w="4708"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 洁 规 程</w:t>
            </w:r>
          </w:p>
        </w:tc>
        <w:tc>
          <w:tcPr>
            <w:tcW w:w="2008"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清洁标准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1" w:hRule="atLeast"/>
        </w:trPr>
        <w:tc>
          <w:tcPr>
            <w:tcW w:w="90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sz w:val="24"/>
                <w:szCs w:val="24"/>
              </w:rPr>
            </w:pPr>
          </w:p>
        </w:tc>
        <w:tc>
          <w:tcPr>
            <w:tcW w:w="142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sz w:val="24"/>
                <w:szCs w:val="24"/>
              </w:rPr>
            </w:pPr>
          </w:p>
        </w:tc>
        <w:tc>
          <w:tcPr>
            <w:tcW w:w="203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 天</w:t>
            </w:r>
          </w:p>
        </w:tc>
        <w:tc>
          <w:tcPr>
            <w:tcW w:w="171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每</w:t>
            </w:r>
            <w:r>
              <w:rPr>
                <w:rFonts w:hint="eastAsia" w:ascii="仿宋_GB2312" w:hAnsi="仿宋_GB2312" w:eastAsia="仿宋_GB2312" w:cs="仿宋_GB2312"/>
                <w:sz w:val="24"/>
                <w:szCs w:val="24"/>
                <w:lang w:eastAsia="zh-CN"/>
              </w:rPr>
              <w:t>星期</w:t>
            </w:r>
          </w:p>
        </w:tc>
        <w:tc>
          <w:tcPr>
            <w:tcW w:w="96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 月</w:t>
            </w:r>
          </w:p>
        </w:tc>
        <w:tc>
          <w:tcPr>
            <w:tcW w:w="200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09" w:hRule="atLeast"/>
        </w:trPr>
        <w:tc>
          <w:tcPr>
            <w:tcW w:w="900" w:type="dxa"/>
            <w:vMerge w:val="restart"/>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厅</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w:t>
            </w:r>
          </w:p>
          <w:p>
            <w:pP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共</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道</w:t>
            </w:r>
          </w:p>
          <w:p>
            <w:pPr>
              <w:tabs>
                <w:tab w:val="left" w:pos="155"/>
              </w:tabs>
              <w:ind w:firstLine="84" w:firstLineChars="35"/>
              <w:jc w:val="center"/>
              <w:rPr>
                <w:rFonts w:hint="eastAsia" w:ascii="仿宋_GB2312" w:hAnsi="仿宋_GB2312" w:eastAsia="仿宋_GB2312" w:cs="仿宋_GB2312"/>
                <w:i/>
                <w:sz w:val="24"/>
                <w:szCs w:val="24"/>
              </w:rPr>
            </w:pPr>
          </w:p>
        </w:tc>
        <w:tc>
          <w:tcPr>
            <w:tcW w:w="14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大厅</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内地面</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清拖二次，推尘数次，清除污渍、杂物、香口胶并保洁</w:t>
            </w:r>
          </w:p>
        </w:tc>
        <w:tc>
          <w:tcPr>
            <w:tcW w:w="171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2008"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无污渍、痰渍、香口胶，保持洁净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szCs w:val="24"/>
              </w:rPr>
            </w:pPr>
          </w:p>
        </w:tc>
        <w:tc>
          <w:tcPr>
            <w:tcW w:w="14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大门台阶</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清拖，清除污渍、杂物并随时保洁</w:t>
            </w:r>
          </w:p>
        </w:tc>
        <w:tc>
          <w:tcPr>
            <w:tcW w:w="171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2008"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无污渍、痰渍、烟头、香口胶，洁净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szCs w:val="24"/>
              </w:rPr>
            </w:pPr>
          </w:p>
        </w:tc>
        <w:tc>
          <w:tcPr>
            <w:tcW w:w="14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大理石或瓷砖墙面</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171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用尘弹除尘,清抹一次</w:t>
            </w:r>
          </w:p>
        </w:tc>
        <w:tc>
          <w:tcPr>
            <w:tcW w:w="9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2008"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无污渍、痰渍、灰尘，光洁明亮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szCs w:val="24"/>
              </w:rPr>
            </w:pPr>
          </w:p>
        </w:tc>
        <w:tc>
          <w:tcPr>
            <w:tcW w:w="14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玻璃门、窗及玻璃饰品</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用玻璃清洁剂清抹一次，随时保洁</w:t>
            </w:r>
          </w:p>
        </w:tc>
        <w:tc>
          <w:tcPr>
            <w:tcW w:w="171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用玻璃清洁剂全面刮洗一次</w:t>
            </w:r>
          </w:p>
        </w:tc>
        <w:tc>
          <w:tcPr>
            <w:tcW w:w="9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2008"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无蛛丝、污渍、手印，光洁明亮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szCs w:val="24"/>
              </w:rPr>
            </w:pPr>
          </w:p>
        </w:tc>
        <w:tc>
          <w:tcPr>
            <w:tcW w:w="14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不锈钢门</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及饰品</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用不锈钢清洁剂抹一次，随时保洁</w:t>
            </w:r>
          </w:p>
        </w:tc>
        <w:tc>
          <w:tcPr>
            <w:tcW w:w="171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擦不锈钢油一次，护理保养</w:t>
            </w:r>
          </w:p>
        </w:tc>
        <w:tc>
          <w:tcPr>
            <w:tcW w:w="9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2008"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无污渍、锈迹、手印，光洁明亮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szCs w:val="24"/>
              </w:rPr>
            </w:pPr>
          </w:p>
        </w:tc>
        <w:tc>
          <w:tcPr>
            <w:tcW w:w="14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标识、指示牌（两米以下）</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抹一次，随时保洁</w:t>
            </w:r>
          </w:p>
        </w:tc>
        <w:tc>
          <w:tcPr>
            <w:tcW w:w="171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2008"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无蛛丝、污渍、尘渍，光洁明亮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szCs w:val="24"/>
              </w:rPr>
            </w:pPr>
          </w:p>
        </w:tc>
        <w:tc>
          <w:tcPr>
            <w:tcW w:w="14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消防楼道</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清扫一次，随时保洁</w:t>
            </w:r>
          </w:p>
        </w:tc>
        <w:tc>
          <w:tcPr>
            <w:tcW w:w="171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2008"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无污渍、无杂物，光洁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szCs w:val="24"/>
              </w:rPr>
            </w:pPr>
          </w:p>
        </w:tc>
        <w:tc>
          <w:tcPr>
            <w:tcW w:w="14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楼梯扶手</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栅栏</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清洁剂抹一次，随时保洁</w:t>
            </w:r>
          </w:p>
        </w:tc>
        <w:tc>
          <w:tcPr>
            <w:tcW w:w="171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2008"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无蛛丝、污渍、尘渍，光洁明亮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szCs w:val="24"/>
              </w:rPr>
            </w:pPr>
          </w:p>
        </w:tc>
        <w:tc>
          <w:tcPr>
            <w:tcW w:w="14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烟灰桶</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垃圾桶</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清倒二次，整理清抹桶身，随时保洁</w:t>
            </w:r>
          </w:p>
        </w:tc>
        <w:tc>
          <w:tcPr>
            <w:tcW w:w="171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9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2008"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无异味、污渍，光洁明亮，垃圾不满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00" w:hRule="atLeast"/>
        </w:trPr>
        <w:tc>
          <w:tcPr>
            <w:tcW w:w="90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szCs w:val="24"/>
              </w:rPr>
            </w:pPr>
          </w:p>
        </w:tc>
        <w:tc>
          <w:tcPr>
            <w:tcW w:w="1427"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消防门、</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消防设施</w:t>
            </w:r>
          </w:p>
        </w:tc>
        <w:tc>
          <w:tcPr>
            <w:tcW w:w="20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171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清抹一次，保洁</w:t>
            </w:r>
          </w:p>
        </w:tc>
        <w:tc>
          <w:tcPr>
            <w:tcW w:w="96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p>
        </w:tc>
        <w:tc>
          <w:tcPr>
            <w:tcW w:w="2008"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无蛛丝、杂物、污渍、灰尘，光洁</w:t>
            </w:r>
          </w:p>
        </w:tc>
      </w:tr>
    </w:tbl>
    <w:p>
      <w:pPr>
        <w:pStyle w:val="2"/>
        <w:rPr>
          <w:rFonts w:hint="eastAsia"/>
        </w:rPr>
      </w:pPr>
    </w:p>
    <w:tbl>
      <w:tblPr>
        <w:tblStyle w:val="23"/>
        <w:tblW w:w="9061" w:type="dxa"/>
        <w:tblInd w:w="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440"/>
        <w:gridCol w:w="2452"/>
        <w:gridCol w:w="1080"/>
        <w:gridCol w:w="1136"/>
        <w:gridCol w:w="20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258" w:hRule="atLeast"/>
        </w:trPr>
        <w:tc>
          <w:tcPr>
            <w:tcW w:w="900" w:type="dxa"/>
            <w:vMerge w:val="restart"/>
            <w:tcBorders>
              <w:top w:val="single" w:color="auto" w:sz="6" w:space="0"/>
              <w:left w:val="single" w:color="auto" w:sz="6" w:space="0"/>
              <w:right w:val="single" w:color="auto" w:sz="6" w:space="0"/>
            </w:tcBorders>
            <w:noWrap w:val="0"/>
            <w:vAlign w:val="center"/>
          </w:tcPr>
          <w:p>
            <w:pP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公</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共</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洗</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手</w:t>
            </w:r>
          </w:p>
          <w:p>
            <w:pPr>
              <w:jc w:val="center"/>
              <w:rPr>
                <w:rFonts w:hint="eastAsia" w:ascii="仿宋_GB2312" w:hAnsi="仿宋_GB2312" w:eastAsia="仿宋_GB2312" w:cs="仿宋_GB2312"/>
                <w:sz w:val="24"/>
              </w:rPr>
            </w:pPr>
          </w:p>
          <w:p>
            <w:pPr>
              <w:jc w:val="center"/>
              <w:rPr>
                <w:rFonts w:hint="eastAsia" w:ascii="仿宋_GB2312" w:hAnsi="仿宋_GB2312" w:eastAsia="仿宋_GB2312" w:cs="仿宋_GB2312"/>
                <w:i/>
                <w:sz w:val="24"/>
              </w:rPr>
            </w:pPr>
            <w:r>
              <w:rPr>
                <w:rFonts w:hint="eastAsia" w:ascii="仿宋_GB2312" w:hAnsi="仿宋_GB2312" w:eastAsia="仿宋_GB2312" w:cs="仿宋_GB2312"/>
                <w:sz w:val="24"/>
              </w:rPr>
              <w:t>间</w:t>
            </w:r>
          </w:p>
          <w:p>
            <w:pPr>
              <w:jc w:val="center"/>
              <w:rPr>
                <w:rFonts w:hint="eastAsia" w:ascii="仿宋_GB2312" w:hAnsi="仿宋_GB2312" w:eastAsia="仿宋_GB2312" w:cs="仿宋_GB2312"/>
                <w:i/>
                <w:sz w:val="24"/>
              </w:rPr>
            </w:pPr>
          </w:p>
        </w:tc>
        <w:tc>
          <w:tcPr>
            <w:tcW w:w="1440" w:type="dxa"/>
            <w:tcBorders>
              <w:top w:val="single" w:color="auto" w:sz="6" w:space="0"/>
              <w:left w:val="single" w:color="auto" w:sz="6" w:space="0"/>
              <w:right w:val="single" w:color="auto" w:sz="6" w:space="0"/>
            </w:tcBorders>
            <w:noWrap w:val="0"/>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地  面</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清拖二次，并随时保洁</w:t>
            </w:r>
          </w:p>
          <w:p>
            <w:pPr>
              <w:rPr>
                <w:rFonts w:hint="eastAsia" w:ascii="仿宋_GB2312" w:hAnsi="仿宋_GB2312"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用消毒水拖地二次，杀菌</w:t>
            </w: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无污渍、痰渍、水渍，洁亮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65" w:hRule="atLeast"/>
        </w:trPr>
        <w:tc>
          <w:tcPr>
            <w:tcW w:w="900" w:type="dxa"/>
            <w:vMerge w:val="continue"/>
            <w:tcBorders>
              <w:left w:val="single" w:color="auto" w:sz="6" w:space="0"/>
              <w:right w:val="single" w:color="auto" w:sz="6" w:space="0"/>
            </w:tcBorders>
            <w:noWrap w:val="0"/>
            <w:vAlign w:val="center"/>
          </w:tcPr>
          <w:p>
            <w:pPr>
              <w:jc w:val="center"/>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墙  面</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清抹一次，并随时保洁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用消毒水抹一次，杀菌消毒</w:t>
            </w: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无污渍、灰尘，蛛丝，光洁明亮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天花、风口灯饰、管道</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用消毒水抹一次，杀菌消毒</w:t>
            </w: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无蛛丝、污渍、尘渍，光洁明亮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pStyle w:val="56"/>
              <w:widowControl w:val="0"/>
              <w:pBdr>
                <w:bottom w:val="none" w:color="auto" w:sz="0" w:space="0"/>
                <w:right w:val="none" w:color="auto" w:sz="0" w:space="0"/>
              </w:pBdr>
              <w:spacing w:before="0" w:beforeAutospacing="0" w:after="0" w:afterAutospacing="0"/>
              <w:rPr>
                <w:rFonts w:hint="eastAsia" w:ascii="仿宋_GB2312" w:hAnsi="仿宋_GB2312" w:eastAsia="仿宋_GB2312" w:cs="仿宋_GB2312"/>
                <w:szCs w:val="24"/>
              </w:rPr>
            </w:pPr>
            <w:r>
              <w:rPr>
                <w:rFonts w:hint="eastAsia" w:ascii="仿宋_GB2312" w:hAnsi="仿宋_GB2312" w:eastAsia="仿宋_GB2312" w:cs="仿宋_GB2312"/>
                <w:kern w:val="2"/>
                <w:szCs w:val="24"/>
              </w:rPr>
              <w:t>门面及隔板</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清抹一次，并随时保洁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用消毒水抹一次，杀菌消毒</w:t>
            </w: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无污渍、灰尘，蛛丝，光洁明亮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洗手台</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洗手盆</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随时抹净水渍、清除污渍</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无污渍、水渍，干燥，光洁明亮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1"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镜  面</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随时抹净水渍、清除污渍</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玻璃清洁剂刮洗镜面一次</w:t>
            </w: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无污渍、水渍，干燥，光洁明亮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8"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大小便洁具</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上下午各洗刷二次，随时冲洗污垢</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用消毒水抹二次，杀菌消毒</w:t>
            </w: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便池放置香丸一次</w:t>
            </w: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无污、无垢，无臭，外干燥，光亮如新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4"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配套设施和公共设施</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清抹一次，并随时保洁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用消毒水抹一次，杀菌消毒</w:t>
            </w: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无污渍、灰尘，蛛丝，光洁明亮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7"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杂物箱</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清抹一次，清理杂物，并随时保洁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用消毒水抹一次，杀菌消毒</w:t>
            </w: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无污渍、蛛丝，整洁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93"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垃圾篓</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收集垃圾二次，洗刷垃圾篓污渍</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用消毒水洗一次，杀菌消毒</w:t>
            </w: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无污、无垢，无臭，干燥，垃圾不能满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08" w:hRule="atLeast"/>
        </w:trPr>
        <w:tc>
          <w:tcPr>
            <w:tcW w:w="900" w:type="dxa"/>
            <w:vMerge w:val="continue"/>
            <w:tcBorders>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灭蝇剂</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夏季据情喷洒</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无蚊蝇，无死蝇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900" w:type="dxa"/>
            <w:vMerge w:val="restart"/>
            <w:tcBorders>
              <w:top w:val="single" w:color="auto" w:sz="4" w:space="0"/>
              <w:left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电</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梯</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部</w:t>
            </w:r>
          </w:p>
          <w:p>
            <w:pPr>
              <w:jc w:val="center"/>
              <w:rPr>
                <w:rFonts w:hint="eastAsia" w:ascii="仿宋_GB2312" w:hAnsi="仿宋_GB2312" w:eastAsia="仿宋_GB2312" w:cs="仿宋_GB2312"/>
                <w:b/>
                <w:i/>
                <w:sz w:val="24"/>
              </w:rPr>
            </w:pPr>
            <w:r>
              <w:rPr>
                <w:rFonts w:hint="eastAsia" w:ascii="仿宋_GB2312" w:hAnsi="仿宋_GB2312" w:eastAsia="仿宋_GB2312" w:cs="仿宋_GB2312"/>
                <w:sz w:val="24"/>
              </w:rPr>
              <w:t>分</w:t>
            </w:r>
          </w:p>
        </w:tc>
        <w:tc>
          <w:tcPr>
            <w:tcW w:w="1440"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不锈钢门、</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面板及饰物</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不锈钢清洁剂清抹一次，并随时保洁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擦不锈钢油一次，保养</w:t>
            </w: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无污渍、手印，无锈迹、光洁明亮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900" w:type="dxa"/>
            <w:vMerge w:val="continue"/>
            <w:tcBorders>
              <w:left w:val="single" w:color="auto" w:sz="6" w:space="0"/>
              <w:right w:val="single" w:color="auto" w:sz="6" w:space="0"/>
            </w:tcBorders>
            <w:noWrap w:val="0"/>
            <w:vAlign w:val="center"/>
          </w:tcPr>
          <w:p>
            <w:pPr>
              <w:jc w:val="center"/>
              <w:rPr>
                <w:rFonts w:hint="eastAsia" w:ascii="仿宋_GB2312" w:hAnsi="仿宋_GB2312" w:eastAsia="仿宋_GB2312" w:cs="仿宋_GB2312"/>
                <w:b/>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地面、地垫</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清洁剂拖一次，随时保洁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清洗抛光一次换洗地垫</w:t>
            </w: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无污渍、无香口胶，无杂物，光洁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b/>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电梯轨槽</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清理清抹一次，随时保洁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无污渍、油尘，无杂物，光亮如新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b/>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电梯轿厢</w:t>
            </w:r>
          </w:p>
          <w:p>
            <w:pPr>
              <w:pStyle w:val="56"/>
              <w:widowControl w:val="0"/>
              <w:pBdr>
                <w:bottom w:val="none" w:color="auto" w:sz="0" w:space="0"/>
                <w:right w:val="none" w:color="auto" w:sz="0" w:space="0"/>
              </w:pBdr>
              <w:spacing w:before="0" w:beforeAutospacing="0" w:after="0" w:afterAutospacing="0"/>
              <w:rPr>
                <w:rFonts w:hint="eastAsia" w:ascii="仿宋_GB2312" w:hAnsi="仿宋_GB2312" w:eastAsia="仿宋_GB2312" w:cs="仿宋_GB2312"/>
                <w:szCs w:val="24"/>
              </w:rPr>
            </w:pPr>
            <w:r>
              <w:rPr>
                <w:rFonts w:hint="eastAsia" w:ascii="仿宋_GB2312" w:hAnsi="仿宋_GB2312" w:eastAsia="仿宋_GB2312" w:cs="仿宋_GB2312"/>
                <w:kern w:val="2"/>
                <w:szCs w:val="24"/>
              </w:rPr>
              <w:t>内壁及天花</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毛巾清抹一次，并随时保洁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无尘，无污渍，光洁如新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b/>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玻璃饰物</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玻璃清洁剂刮洗一次，随时保洁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全面刮洗一次</w:t>
            </w: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无蛛丝、污渍、手印，光洁明亮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0"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b/>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其他饰物</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清抹一次，保洁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无尘，无污渍，光洁如新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4" w:hRule="atLeast"/>
        </w:trPr>
        <w:tc>
          <w:tcPr>
            <w:tcW w:w="900" w:type="dxa"/>
            <w:vMerge w:val="continue"/>
            <w:tcBorders>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b/>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空气清晰剂</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喷洒二次</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无异味，空气清晰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900" w:type="dxa"/>
            <w:vMerge w:val="restart"/>
            <w:tcBorders>
              <w:top w:val="single" w:color="auto" w:sz="4" w:space="0"/>
              <w:left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项目范围</w:t>
            </w:r>
          </w:p>
        </w:tc>
        <w:tc>
          <w:tcPr>
            <w:tcW w:w="1440" w:type="dxa"/>
            <w:vMerge w:val="restart"/>
            <w:tcBorders>
              <w:top w:val="single" w:color="auto" w:sz="6" w:space="0"/>
              <w:left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清洁项目</w:t>
            </w:r>
          </w:p>
        </w:tc>
        <w:tc>
          <w:tcPr>
            <w:tcW w:w="4668" w:type="dxa"/>
            <w:gridSpan w:val="3"/>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清 洁 规 程</w:t>
            </w:r>
          </w:p>
        </w:tc>
        <w:tc>
          <w:tcPr>
            <w:tcW w:w="2053" w:type="dxa"/>
            <w:vMerge w:val="restart"/>
            <w:tcBorders>
              <w:top w:val="single" w:color="auto" w:sz="6" w:space="0"/>
              <w:left w:val="single" w:color="auto" w:sz="4"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清洁标准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9" w:hRule="atLeast"/>
        </w:trPr>
        <w:tc>
          <w:tcPr>
            <w:tcW w:w="900" w:type="dxa"/>
            <w:vMerge w:val="continue"/>
            <w:tcBorders>
              <w:left w:val="single" w:color="auto" w:sz="6" w:space="0"/>
              <w:bottom w:val="single" w:color="auto" w:sz="4" w:space="0"/>
              <w:right w:val="single" w:color="auto" w:sz="6" w:space="0"/>
            </w:tcBorders>
            <w:noWrap w:val="0"/>
            <w:vAlign w:val="center"/>
          </w:tcPr>
          <w:p>
            <w:pPr>
              <w:rPr>
                <w:rFonts w:hint="eastAsia" w:ascii="仿宋_GB2312" w:hAnsi="仿宋_GB2312" w:eastAsia="仿宋_GB2312" w:cs="仿宋_GB2312"/>
                <w:sz w:val="24"/>
              </w:rPr>
            </w:pPr>
          </w:p>
        </w:tc>
        <w:tc>
          <w:tcPr>
            <w:tcW w:w="1440" w:type="dxa"/>
            <w:vMerge w:val="continue"/>
            <w:tcBorders>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sz w:val="24"/>
              </w:rPr>
            </w:pPr>
          </w:p>
        </w:tc>
        <w:tc>
          <w:tcPr>
            <w:tcW w:w="2452"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每 天</w:t>
            </w:r>
          </w:p>
        </w:tc>
        <w:tc>
          <w:tcPr>
            <w:tcW w:w="1080" w:type="dxa"/>
            <w:tcBorders>
              <w:top w:val="single" w:color="auto" w:sz="6" w:space="0"/>
              <w:left w:val="single" w:color="auto" w:sz="6"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每星期</w:t>
            </w:r>
          </w:p>
        </w:tc>
        <w:tc>
          <w:tcPr>
            <w:tcW w:w="1136" w:type="dxa"/>
            <w:tcBorders>
              <w:top w:val="single" w:color="auto" w:sz="6"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每月</w:t>
            </w:r>
          </w:p>
        </w:tc>
        <w:tc>
          <w:tcPr>
            <w:tcW w:w="2053" w:type="dxa"/>
            <w:vMerge w:val="continue"/>
            <w:tcBorders>
              <w:left w:val="single" w:color="auto" w:sz="4" w:space="0"/>
              <w:bottom w:val="single" w:color="auto" w:sz="4" w:space="0"/>
              <w:right w:val="single" w:color="auto" w:sz="6" w:space="0"/>
            </w:tcBorders>
            <w:noWrap w:val="0"/>
            <w:vAlign w:val="center"/>
          </w:tcPr>
          <w:p>
            <w:pPr>
              <w:jc w:val="center"/>
              <w:rPr>
                <w:rFonts w:hint="eastAsia"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4" w:hRule="atLeast"/>
        </w:trPr>
        <w:tc>
          <w:tcPr>
            <w:tcW w:w="900" w:type="dxa"/>
            <w:vMerge w:val="restart"/>
            <w:tcBorders>
              <w:top w:val="single" w:color="auto" w:sz="4" w:space="0"/>
              <w:left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停</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车</w:t>
            </w:r>
          </w:p>
          <w:p>
            <w:pPr>
              <w:jc w:val="center"/>
              <w:rPr>
                <w:rFonts w:hint="eastAsia" w:ascii="仿宋_GB2312" w:hAnsi="仿宋_GB2312" w:eastAsia="仿宋_GB2312" w:cs="仿宋_GB2312"/>
                <w:b/>
                <w:i/>
                <w:sz w:val="24"/>
              </w:rPr>
            </w:pPr>
            <w:r>
              <w:rPr>
                <w:rFonts w:hint="eastAsia" w:ascii="仿宋_GB2312" w:hAnsi="仿宋_GB2312" w:eastAsia="仿宋_GB2312" w:cs="仿宋_GB2312"/>
                <w:sz w:val="24"/>
              </w:rPr>
              <w:t>场</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部</w:t>
            </w:r>
          </w:p>
          <w:p>
            <w:pPr>
              <w:jc w:val="center"/>
              <w:rPr>
                <w:rFonts w:hint="eastAsia" w:ascii="仿宋_GB2312" w:hAnsi="仿宋_GB2312" w:eastAsia="仿宋_GB2312" w:cs="仿宋_GB2312"/>
                <w:i/>
                <w:sz w:val="24"/>
              </w:rPr>
            </w:pPr>
            <w:r>
              <w:rPr>
                <w:rFonts w:hint="eastAsia" w:ascii="仿宋_GB2312" w:hAnsi="仿宋_GB2312" w:eastAsia="仿宋_GB2312" w:cs="仿宋_GB2312"/>
                <w:sz w:val="24"/>
              </w:rPr>
              <w:t>分</w:t>
            </w:r>
          </w:p>
        </w:tc>
        <w:tc>
          <w:tcPr>
            <w:tcW w:w="144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地 面</w:t>
            </w:r>
          </w:p>
        </w:tc>
        <w:tc>
          <w:tcPr>
            <w:tcW w:w="2452" w:type="dxa"/>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清扫一次，局部除渍并随时保洁</w:t>
            </w:r>
          </w:p>
        </w:tc>
        <w:tc>
          <w:tcPr>
            <w:tcW w:w="1080" w:type="dxa"/>
            <w:tcBorders>
              <w:top w:val="single" w:color="auto" w:sz="4" w:space="0"/>
              <w:left w:val="single" w:color="auto" w:sz="6" w:space="0"/>
              <w:right w:val="single" w:color="auto" w:sz="4" w:space="0"/>
            </w:tcBorders>
            <w:noWrap w:val="0"/>
            <w:vAlign w:val="center"/>
          </w:tcPr>
          <w:p>
            <w:pPr>
              <w:jc w:val="center"/>
              <w:rPr>
                <w:rFonts w:hint="eastAsia" w:ascii="仿宋_GB2312" w:hAnsi="仿宋_GB2312" w:eastAsia="仿宋_GB2312" w:cs="仿宋_GB2312"/>
                <w:sz w:val="24"/>
              </w:rPr>
            </w:pPr>
          </w:p>
        </w:tc>
        <w:tc>
          <w:tcPr>
            <w:tcW w:w="1136"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冲洗一次</w:t>
            </w:r>
          </w:p>
        </w:tc>
        <w:tc>
          <w:tcPr>
            <w:tcW w:w="2053" w:type="dxa"/>
            <w:tcBorders>
              <w:top w:val="single" w:color="auto" w:sz="4" w:space="0"/>
              <w:left w:val="single" w:color="auto" w:sz="4"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无污渍、果皮、纸屑、杂物、积泥沙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900" w:type="dxa"/>
            <w:vMerge w:val="continue"/>
            <w:tcBorders>
              <w:left w:val="single" w:color="auto" w:sz="6" w:space="0"/>
              <w:right w:val="single" w:color="auto" w:sz="6" w:space="0"/>
            </w:tcBorders>
            <w:noWrap w:val="0"/>
            <w:vAlign w:val="center"/>
          </w:tcPr>
          <w:p>
            <w:pPr>
              <w:jc w:val="center"/>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岗亭闸门</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抹一次除渍，保洁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无污渍、蛛丝，光洁明亮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停车设施</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抹一次，巡回保洁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无污渍、灰尘、蛛丝及杂物，光洁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广告指示牌</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（两米以下）</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清抹一次并保洁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无污渍、乱粘贴，光洁明亮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900" w:type="dxa"/>
            <w:vMerge w:val="continue"/>
            <w:tcBorders>
              <w:left w:val="single" w:color="auto" w:sz="6" w:space="0"/>
              <w:right w:val="single" w:color="auto" w:sz="6" w:space="0"/>
            </w:tcBorders>
            <w:noWrap w:val="0"/>
            <w:vAlign w:val="center"/>
          </w:tcPr>
          <w:p>
            <w:pPr>
              <w:widowControl/>
              <w:jc w:val="left"/>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消防设施</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清抹一次，并保洁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无蛛丝、污渍，玻璃无手印，明亮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0" w:hRule="atLeast"/>
        </w:trPr>
        <w:tc>
          <w:tcPr>
            <w:tcW w:w="900" w:type="dxa"/>
            <w:vMerge w:val="continue"/>
            <w:tcBorders>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i/>
                <w:sz w:val="24"/>
              </w:rPr>
            </w:pPr>
          </w:p>
        </w:tc>
        <w:tc>
          <w:tcPr>
            <w:tcW w:w="1440" w:type="dxa"/>
            <w:tcBorders>
              <w:top w:val="single" w:color="auto" w:sz="6" w:space="0"/>
              <w:left w:val="single" w:color="auto" w:sz="6" w:space="0"/>
              <w:bottom w:val="single" w:color="auto" w:sz="4" w:space="0"/>
              <w:right w:val="single" w:color="auto" w:sz="6" w:space="0"/>
            </w:tcBorders>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明沟、渠</w:t>
            </w:r>
          </w:p>
        </w:tc>
        <w:tc>
          <w:tcPr>
            <w:tcW w:w="2452"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清除杂物并保洁</w:t>
            </w:r>
          </w:p>
          <w:p>
            <w:pPr>
              <w:rPr>
                <w:rFonts w:hint="eastAsia" w:ascii="仿宋_GB2312" w:hAnsi="仿宋_GB2312" w:eastAsia="仿宋_GB2312" w:cs="仿宋_GB2312"/>
                <w:sz w:val="24"/>
              </w:rPr>
            </w:pPr>
            <w:r>
              <w:rPr>
                <w:rFonts w:hint="eastAsia" w:ascii="仿宋_GB2312" w:hAnsi="仿宋_GB2312" w:eastAsia="仿宋_GB2312" w:cs="仿宋_GB2312"/>
                <w:sz w:val="24"/>
              </w:rPr>
              <w:t>随时疏通堵塞</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p>
        </w:tc>
        <w:tc>
          <w:tcPr>
            <w:tcW w:w="1136"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冲洗一次</w:t>
            </w:r>
          </w:p>
        </w:tc>
        <w:tc>
          <w:tcPr>
            <w:tcW w:w="2053" w:type="dxa"/>
            <w:tcBorders>
              <w:top w:val="single" w:color="auto" w:sz="6"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无杂物、无异味、无积泥沙、无堵塞</w:t>
            </w:r>
          </w:p>
        </w:tc>
      </w:tr>
    </w:tbl>
    <w:p>
      <w:pP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（2）安保工作标准及内容：</w:t>
      </w:r>
    </w:p>
    <w:tbl>
      <w:tblPr>
        <w:tblStyle w:val="23"/>
        <w:tblW w:w="8745" w:type="dxa"/>
        <w:tblInd w:w="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5"/>
        <w:gridCol w:w="79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82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项目</w:t>
            </w:r>
          </w:p>
        </w:tc>
        <w:tc>
          <w:tcPr>
            <w:tcW w:w="792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督   查   内   容  标  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067" w:hRule="atLeast"/>
        </w:trPr>
        <w:tc>
          <w:tcPr>
            <w:tcW w:w="825" w:type="dxa"/>
            <w:tcBorders>
              <w:top w:val="single" w:color="auto" w:sz="6" w:space="0"/>
              <w:left w:val="single" w:color="auto" w:sz="6" w:space="0"/>
              <w:bottom w:val="single" w:color="auto" w:sz="6" w:space="0"/>
              <w:right w:val="single" w:color="auto" w:sz="6" w:space="0"/>
            </w:tcBorders>
            <w:noWrap w:val="0"/>
            <w:textDirection w:val="tbRlV"/>
            <w:vAlign w:val="center"/>
          </w:tcPr>
          <w:p>
            <w:pPr>
              <w:snapToGrid w:val="0"/>
              <w:ind w:left="113" w:right="113"/>
              <w:jc w:val="center"/>
              <w:rPr>
                <w:rFonts w:hint="eastAsia" w:ascii="仿宋_GB2312" w:hAnsi="仿宋_GB2312" w:eastAsia="仿宋_GB2312" w:cs="仿宋_GB2312"/>
                <w:sz w:val="24"/>
              </w:rPr>
            </w:pPr>
            <w:r>
              <w:rPr>
                <w:rFonts w:hint="eastAsia" w:ascii="仿宋_GB2312" w:hAnsi="仿宋_GB2312" w:eastAsia="仿宋_GB2312" w:cs="仿宋_GB2312"/>
                <w:sz w:val="24"/>
              </w:rPr>
              <w:t>着  装</w:t>
            </w:r>
          </w:p>
        </w:tc>
        <w:tc>
          <w:tcPr>
            <w:tcW w:w="7920" w:type="dxa"/>
            <w:tcBorders>
              <w:top w:val="single" w:color="auto" w:sz="6" w:space="0"/>
              <w:left w:val="single" w:color="auto" w:sz="6" w:space="0"/>
              <w:bottom w:val="single" w:color="auto" w:sz="6" w:space="0"/>
              <w:right w:val="single" w:color="auto" w:sz="6" w:space="0"/>
            </w:tcBorders>
            <w:noWrap w:val="0"/>
            <w:vAlign w:val="center"/>
          </w:tcPr>
          <w:p>
            <w:pPr>
              <w:pStyle w:val="14"/>
              <w:snapToGrid w:val="0"/>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1、上岗须着公司统一的保安员制服，戴好帽，系正领带，扎紧武装带，衣领钮扣全部扣好。</w:t>
            </w:r>
          </w:p>
          <w:p>
            <w:pPr>
              <w:pStyle w:val="14"/>
              <w:snapToGrid w:val="0"/>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2、上岗须佩戴好工作牌。工作牌统一佩戴在外衣左上衣袋上方。</w:t>
            </w:r>
          </w:p>
          <w:p>
            <w:pPr>
              <w:pStyle w:val="14"/>
              <w:snapToGrid w:val="0"/>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3、制服领口、袖口处不得显露个人衣物，制服外不得显露个人物品（如纪念章、笔、手机、锁匙扣等），制服衣袋不得装过大过厚物品。</w:t>
            </w:r>
          </w:p>
          <w:p>
            <w:pPr>
              <w:pStyle w:val="14"/>
              <w:snapToGrid w:val="0"/>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4、非当值班时间，除因公或经批准外，不得穿着或携带制服离开辖区。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640" w:hRule="atLeast"/>
        </w:trPr>
        <w:tc>
          <w:tcPr>
            <w:tcW w:w="825" w:type="dxa"/>
            <w:tcBorders>
              <w:top w:val="single" w:color="auto" w:sz="6" w:space="0"/>
              <w:left w:val="single" w:color="auto" w:sz="6" w:space="0"/>
              <w:bottom w:val="single" w:color="auto" w:sz="6" w:space="0"/>
              <w:right w:val="single" w:color="auto" w:sz="6" w:space="0"/>
            </w:tcBorders>
            <w:noWrap w:val="0"/>
            <w:textDirection w:val="tbRlV"/>
            <w:vAlign w:val="center"/>
          </w:tcPr>
          <w:p>
            <w:pPr>
              <w:snapToGrid w:val="0"/>
              <w:ind w:left="113" w:right="113"/>
              <w:jc w:val="center"/>
              <w:rPr>
                <w:rFonts w:hint="eastAsia" w:ascii="仿宋_GB2312" w:hAnsi="仿宋_GB2312" w:eastAsia="仿宋_GB2312" w:cs="仿宋_GB2312"/>
                <w:sz w:val="24"/>
              </w:rPr>
            </w:pPr>
            <w:r>
              <w:rPr>
                <w:rFonts w:hint="eastAsia" w:ascii="仿宋_GB2312" w:hAnsi="仿宋_GB2312" w:eastAsia="仿宋_GB2312" w:cs="仿宋_GB2312"/>
                <w:sz w:val="24"/>
              </w:rPr>
              <w:t>行为举止</w:t>
            </w:r>
          </w:p>
        </w:tc>
        <w:tc>
          <w:tcPr>
            <w:tcW w:w="7920" w:type="dxa"/>
            <w:tcBorders>
              <w:top w:val="single" w:color="auto" w:sz="6" w:space="0"/>
              <w:left w:val="single" w:color="auto" w:sz="6" w:space="0"/>
              <w:bottom w:val="single" w:color="auto" w:sz="6" w:space="0"/>
              <w:right w:val="single" w:color="auto" w:sz="6" w:space="0"/>
            </w:tcBorders>
            <w:noWrap w:val="0"/>
            <w:vAlign w:val="center"/>
          </w:tcPr>
          <w:p>
            <w:pPr>
              <w:pStyle w:val="14"/>
              <w:snapToGrid w:val="0"/>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1、上岗时举止应文明、大方。</w:t>
            </w:r>
          </w:p>
          <w:p>
            <w:pPr>
              <w:pStyle w:val="14"/>
              <w:snapToGrid w:val="0"/>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2、头发要整洁，不留长发。</w:t>
            </w:r>
          </w:p>
          <w:p>
            <w:pPr>
              <w:pStyle w:val="14"/>
              <w:snapToGrid w:val="0"/>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3、精神振作，姿态良好，抬头挺胸。不得东倒西歪、前倾后靠，不得伸懒腰，不袖手、背手、插腰或将手插入衣袋。</w:t>
            </w:r>
          </w:p>
          <w:p>
            <w:pPr>
              <w:pStyle w:val="14"/>
              <w:snapToGrid w:val="0"/>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4、值勤时不得抽烟、吃零食，不得看小说杂志、报纸、会客闲聊、吹口哨等与工作无关的事情，不得随地吐痰、乱丢杂物。</w:t>
            </w:r>
          </w:p>
          <w:p>
            <w:pPr>
              <w:pStyle w:val="14"/>
              <w:snapToGrid w:val="0"/>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5、注意检查和保持仪表，但不得当众整理个人衣物。</w:t>
            </w:r>
          </w:p>
          <w:p>
            <w:pPr>
              <w:snapToGrid w:val="0"/>
              <w:ind w:left="312" w:hanging="312"/>
              <w:rPr>
                <w:rFonts w:hint="eastAsia" w:ascii="仿宋_GB2312" w:hAnsi="仿宋_GB2312" w:eastAsia="仿宋_GB2312" w:cs="仿宋_GB2312"/>
                <w:sz w:val="24"/>
              </w:rPr>
            </w:pPr>
            <w:r>
              <w:rPr>
                <w:rFonts w:hint="eastAsia" w:ascii="仿宋_GB2312" w:hAnsi="仿宋_GB2312" w:eastAsia="仿宋_GB2312" w:cs="仿宋_GB2312"/>
                <w:sz w:val="24"/>
              </w:rPr>
              <w:t>6、不得将任何物件夹于腋下，不得敲桌椅或玩弄其他物品。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87" w:hRule="atLeast"/>
        </w:trPr>
        <w:tc>
          <w:tcPr>
            <w:tcW w:w="825" w:type="dxa"/>
            <w:tcBorders>
              <w:top w:val="single" w:color="auto" w:sz="6" w:space="0"/>
              <w:left w:val="single" w:color="auto" w:sz="6" w:space="0"/>
              <w:bottom w:val="single" w:color="auto" w:sz="6" w:space="0"/>
              <w:right w:val="single" w:color="auto" w:sz="6" w:space="0"/>
            </w:tcBorders>
            <w:noWrap w:val="0"/>
            <w:textDirection w:val="tbRlV"/>
            <w:vAlign w:val="center"/>
          </w:tcPr>
          <w:p>
            <w:pPr>
              <w:snapToGrid w:val="0"/>
              <w:ind w:left="113" w:right="113"/>
              <w:jc w:val="center"/>
              <w:rPr>
                <w:rFonts w:hint="eastAsia" w:ascii="仿宋_GB2312" w:hAnsi="仿宋_GB2312" w:eastAsia="仿宋_GB2312" w:cs="仿宋_GB2312"/>
                <w:sz w:val="24"/>
              </w:rPr>
            </w:pPr>
            <w:r>
              <w:rPr>
                <w:rFonts w:hint="eastAsia" w:ascii="仿宋_GB2312" w:hAnsi="仿宋_GB2312" w:eastAsia="仿宋_GB2312" w:cs="仿宋_GB2312"/>
                <w:sz w:val="24"/>
              </w:rPr>
              <w:t>作息规定</w:t>
            </w:r>
          </w:p>
        </w:tc>
        <w:tc>
          <w:tcPr>
            <w:tcW w:w="7920" w:type="dxa"/>
            <w:tcBorders>
              <w:top w:val="single" w:color="auto" w:sz="6" w:space="0"/>
              <w:left w:val="single" w:color="auto" w:sz="6" w:space="0"/>
              <w:bottom w:val="single" w:color="auto" w:sz="6" w:space="0"/>
              <w:right w:val="single" w:color="auto" w:sz="6" w:space="0"/>
            </w:tcBorders>
            <w:noWrap w:val="0"/>
            <w:vAlign w:val="center"/>
          </w:tcPr>
          <w:p>
            <w:pPr>
              <w:pStyle w:val="14"/>
              <w:snapToGrid w:val="0"/>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1、保安员实行24小时值班制，每班提前10分钟进行交接班。</w:t>
            </w:r>
          </w:p>
          <w:p>
            <w:pPr>
              <w:pStyle w:val="14"/>
              <w:snapToGrid w:val="0"/>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2、严格执行备岗制度,休息（假）期间，发生紧急情况，一经召唤必须立即归队，听候调遣。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177" w:hRule="atLeast"/>
        </w:trPr>
        <w:tc>
          <w:tcPr>
            <w:tcW w:w="825" w:type="dxa"/>
            <w:tcBorders>
              <w:top w:val="single" w:color="auto" w:sz="6" w:space="0"/>
              <w:left w:val="single" w:color="auto" w:sz="6" w:space="0"/>
              <w:bottom w:val="single" w:color="auto" w:sz="6" w:space="0"/>
              <w:right w:val="single" w:color="auto" w:sz="6" w:space="0"/>
            </w:tcBorders>
            <w:noWrap w:val="0"/>
            <w:textDirection w:val="tbRlV"/>
            <w:vAlign w:val="center"/>
          </w:tcPr>
          <w:p>
            <w:pPr>
              <w:snapToGrid w:val="0"/>
              <w:ind w:left="113" w:right="113"/>
              <w:jc w:val="center"/>
              <w:rPr>
                <w:rFonts w:hint="eastAsia" w:ascii="仿宋_GB2312" w:hAnsi="仿宋_GB2312" w:eastAsia="仿宋_GB2312" w:cs="仿宋_GB2312"/>
                <w:sz w:val="24"/>
              </w:rPr>
            </w:pPr>
            <w:r>
              <w:rPr>
                <w:rFonts w:hint="eastAsia" w:ascii="仿宋_GB2312" w:hAnsi="仿宋_GB2312" w:eastAsia="仿宋_GB2312" w:cs="仿宋_GB2312"/>
                <w:sz w:val="24"/>
              </w:rPr>
              <w:t>公秩器材</w:t>
            </w:r>
          </w:p>
        </w:tc>
        <w:tc>
          <w:tcPr>
            <w:tcW w:w="7920" w:type="dxa"/>
            <w:tcBorders>
              <w:top w:val="single" w:color="auto" w:sz="6" w:space="0"/>
              <w:left w:val="single" w:color="auto" w:sz="6" w:space="0"/>
              <w:bottom w:val="single" w:color="auto" w:sz="6" w:space="0"/>
              <w:right w:val="single" w:color="auto" w:sz="6" w:space="0"/>
            </w:tcBorders>
            <w:noWrap w:val="0"/>
            <w:vAlign w:val="center"/>
          </w:tcPr>
          <w:p>
            <w:pPr>
              <w:pStyle w:val="13"/>
              <w:snapToGrid w:val="0"/>
              <w:ind w:left="312" w:hanging="31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1．公秩器械包括有对讲机、警棍等，它是公秩人员执行任务的工具和武器，属公共财产，每个公秩员都有责任和义务将其保管好，防止遗失或损坏。</w:t>
            </w:r>
          </w:p>
          <w:p>
            <w:pPr>
              <w:pStyle w:val="13"/>
              <w:snapToGrid w:val="0"/>
              <w:ind w:left="312" w:hanging="31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2．公秩器械只供公秩员执行公务时使用，严禁用作其他用途。</w:t>
            </w:r>
          </w:p>
          <w:p>
            <w:pPr>
              <w:pStyle w:val="13"/>
              <w:snapToGrid w:val="0"/>
              <w:ind w:left="312" w:hanging="31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3．公秩器械严禁转借他人，严禁个人携带外出，如因工作需要须报服务中心批准。</w:t>
            </w:r>
          </w:p>
          <w:p>
            <w:pPr>
              <w:pStyle w:val="13"/>
              <w:snapToGrid w:val="0"/>
              <w:ind w:left="312" w:hanging="31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4．对讲机使用应严格按规定频率正确操作，严禁公秩员私自乱拆、乱拧、乱调其它频率。若有损坏视情节赔偿。</w:t>
            </w:r>
          </w:p>
          <w:p>
            <w:pPr>
              <w:pStyle w:val="13"/>
              <w:snapToGrid w:val="0"/>
              <w:ind w:left="312" w:hanging="31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5．执勤中禁止使用对讲机聊天、说笑、以及谈一些无关工作的话题。严禁在检查时通风报信。</w:t>
            </w:r>
          </w:p>
          <w:p>
            <w:pPr>
              <w:pStyle w:val="13"/>
              <w:snapToGrid w:val="0"/>
              <w:ind w:left="312" w:hanging="31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6．警棍是公秩员制服犯罪分子以及自卫的武器，严禁用来当作斗殴或威吓他人的工具。</w:t>
            </w:r>
          </w:p>
          <w:p>
            <w:pPr>
              <w:pStyle w:val="13"/>
              <w:snapToGrid w:val="0"/>
              <w:ind w:left="312" w:hanging="31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7．公秩员交接班时，应做好公秩器械的交接验收记录，防止出现问题时互相推卸责任。</w:t>
            </w:r>
          </w:p>
          <w:p>
            <w:pPr>
              <w:rPr>
                <w:rFonts w:hint="eastAsia" w:ascii="仿宋_GB2312" w:hAnsi="仿宋_GB2312" w:eastAsia="仿宋_GB2312" w:cs="仿宋_GB2312"/>
                <w:sz w:val="24"/>
              </w:rPr>
            </w:pPr>
            <w:r>
              <w:rPr>
                <w:rFonts w:hint="eastAsia" w:ascii="仿宋_GB2312" w:hAnsi="仿宋_GB2312" w:eastAsia="仿宋_GB2312" w:cs="仿宋_GB2312"/>
                <w:sz w:val="24"/>
              </w:rPr>
              <w:t>8．公秩器械不用时，应由当事人交服务中心统一保管。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6" w:hRule="atLeast"/>
        </w:trPr>
        <w:tc>
          <w:tcPr>
            <w:tcW w:w="825" w:type="dxa"/>
            <w:tcBorders>
              <w:top w:val="single" w:color="auto" w:sz="6" w:space="0"/>
              <w:left w:val="single" w:color="auto" w:sz="6" w:space="0"/>
              <w:bottom w:val="single" w:color="auto" w:sz="6" w:space="0"/>
              <w:right w:val="single" w:color="auto" w:sz="6" w:space="0"/>
            </w:tcBorders>
            <w:noWrap w:val="0"/>
            <w:textDirection w:val="tbRlV"/>
            <w:vAlign w:val="center"/>
          </w:tcPr>
          <w:p>
            <w:pPr>
              <w:snapToGrid w:val="0"/>
              <w:ind w:left="113" w:right="113"/>
              <w:jc w:val="center"/>
              <w:rPr>
                <w:rFonts w:hint="eastAsia" w:ascii="仿宋_GB2312" w:hAnsi="仿宋_GB2312" w:eastAsia="仿宋_GB2312" w:cs="仿宋_GB2312"/>
                <w:sz w:val="24"/>
              </w:rPr>
            </w:pPr>
            <w:r>
              <w:rPr>
                <w:rFonts w:hint="eastAsia" w:ascii="仿宋_GB2312" w:hAnsi="仿宋_GB2312" w:eastAsia="仿宋_GB2312" w:cs="仿宋_GB2312"/>
                <w:sz w:val="24"/>
              </w:rPr>
              <w:t>固定岗位</w:t>
            </w:r>
          </w:p>
        </w:tc>
        <w:tc>
          <w:tcPr>
            <w:tcW w:w="7920" w:type="dxa"/>
            <w:tcBorders>
              <w:top w:val="single" w:color="auto" w:sz="6" w:space="0"/>
              <w:left w:val="single" w:color="auto" w:sz="6" w:space="0"/>
              <w:bottom w:val="single" w:color="auto" w:sz="6" w:space="0"/>
              <w:right w:val="single" w:color="auto" w:sz="6" w:space="0"/>
            </w:tcBorders>
            <w:noWrap w:val="0"/>
            <w:vAlign w:val="center"/>
          </w:tcPr>
          <w:p>
            <w:pPr>
              <w:pStyle w:val="14"/>
              <w:snapToGrid w:val="0"/>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1、熟悉本岗位职责，熟悉入住人员的基本情况，包括相貌特征、常规进出时间等。</w:t>
            </w:r>
          </w:p>
          <w:p>
            <w:pPr>
              <w:pStyle w:val="14"/>
              <w:snapToGrid w:val="0"/>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2、当发现双手提（拿）着重物的客户进出大门有困难时，应主动提供帮助。</w:t>
            </w:r>
          </w:p>
          <w:p>
            <w:pPr>
              <w:pStyle w:val="14"/>
              <w:snapToGrid w:val="0"/>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3、若遇领导或前来指导、参观的社会各届人士，应立即起立敬礼。</w:t>
            </w:r>
          </w:p>
          <w:p>
            <w:pPr>
              <w:pStyle w:val="14"/>
              <w:snapToGrid w:val="0"/>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4、外来人员进出，值班人员填写《来访登记表》，谢绝推销和其他闲杂人员进入。</w:t>
            </w:r>
          </w:p>
          <w:p>
            <w:pPr>
              <w:ind w:left="308" w:hanging="298"/>
              <w:rPr>
                <w:rFonts w:hint="eastAsia" w:ascii="仿宋_GB2312" w:hAnsi="仿宋_GB2312" w:eastAsia="仿宋_GB2312" w:cs="仿宋_GB2312"/>
                <w:sz w:val="24"/>
              </w:rPr>
            </w:pPr>
            <w:r>
              <w:rPr>
                <w:rFonts w:hint="eastAsia" w:ascii="仿宋_GB2312" w:hAnsi="仿宋_GB2312" w:eastAsia="仿宋_GB2312" w:cs="仿宋_GB2312"/>
                <w:sz w:val="24"/>
              </w:rPr>
              <w:t>5、当用户搬出物品时，应区分不同情况，必要时值班人员查验用户《出入物品申报表》后予以放行，同时收回《出入物品申报表》。</w:t>
            </w:r>
          </w:p>
          <w:p>
            <w:pPr>
              <w:snapToGrid w:val="0"/>
              <w:ind w:left="322" w:hanging="312"/>
              <w:rPr>
                <w:rFonts w:hint="eastAsia" w:ascii="仿宋_GB2312" w:hAnsi="仿宋_GB2312" w:eastAsia="仿宋_GB2312" w:cs="仿宋_GB2312"/>
                <w:sz w:val="24"/>
              </w:rPr>
            </w:pPr>
            <w:r>
              <w:rPr>
                <w:rFonts w:hint="eastAsia" w:ascii="仿宋_GB2312" w:hAnsi="仿宋_GB2312" w:eastAsia="仿宋_GB2312" w:cs="仿宋_GB2312"/>
                <w:sz w:val="24"/>
              </w:rPr>
              <w:t>6、对于出现的紧急情况，应及时上报。</w:t>
            </w:r>
          </w:p>
          <w:p>
            <w:pPr>
              <w:pStyle w:val="13"/>
              <w:snapToGrid w:val="0"/>
              <w:ind w:left="312" w:hanging="31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8、协助物业服务中心做好有关管理工作。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326" w:hRule="atLeast"/>
        </w:trPr>
        <w:tc>
          <w:tcPr>
            <w:tcW w:w="825" w:type="dxa"/>
            <w:tcBorders>
              <w:top w:val="single" w:color="auto" w:sz="6" w:space="0"/>
              <w:left w:val="single" w:color="auto" w:sz="6" w:space="0"/>
              <w:bottom w:val="single" w:color="auto" w:sz="6" w:space="0"/>
              <w:right w:val="single" w:color="auto" w:sz="6" w:space="0"/>
            </w:tcBorders>
            <w:noWrap w:val="0"/>
            <w:textDirection w:val="tbRlV"/>
            <w:vAlign w:val="center"/>
          </w:tcPr>
          <w:p>
            <w:pPr>
              <w:snapToGrid w:val="0"/>
              <w:ind w:left="113" w:right="113"/>
              <w:jc w:val="center"/>
              <w:rPr>
                <w:rFonts w:hint="eastAsia" w:ascii="仿宋_GB2312" w:hAnsi="仿宋_GB2312" w:eastAsia="仿宋_GB2312" w:cs="仿宋_GB2312"/>
                <w:sz w:val="24"/>
              </w:rPr>
            </w:pPr>
            <w:r>
              <w:rPr>
                <w:rFonts w:hint="eastAsia" w:ascii="仿宋_GB2312" w:hAnsi="仿宋_GB2312" w:eastAsia="仿宋_GB2312" w:cs="仿宋_GB2312"/>
                <w:sz w:val="24"/>
              </w:rPr>
              <w:t>巡逻岗位</w:t>
            </w:r>
          </w:p>
        </w:tc>
        <w:tc>
          <w:tcPr>
            <w:tcW w:w="7920" w:type="dxa"/>
            <w:tcBorders>
              <w:top w:val="single" w:color="auto" w:sz="6" w:space="0"/>
              <w:left w:val="single" w:color="auto" w:sz="6" w:space="0"/>
              <w:bottom w:val="single" w:color="auto" w:sz="6" w:space="0"/>
              <w:right w:val="single" w:color="auto" w:sz="6" w:space="0"/>
            </w:tcBorders>
            <w:noWrap w:val="0"/>
            <w:vAlign w:val="center"/>
          </w:tcPr>
          <w:p>
            <w:pPr>
              <w:pStyle w:val="14"/>
              <w:snapToGrid w:val="0"/>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1、巡逻时要多走、多看、多听、多嗅。重点检查治安、防火、防盗等情况，消防等公共设备、设施是否完好，防盗门是否关好等。发现问题立即处理，做好《值班记录表》，并上报班长。</w:t>
            </w:r>
          </w:p>
          <w:p>
            <w:pPr>
              <w:pStyle w:val="14"/>
              <w:snapToGrid w:val="0"/>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2、巡逻中发现可疑人员，要前往盘查，必要时检查其所带物品。属三无人员，应驱赶出辖区；属推销、摆卖人员，应劝其离开辖区。</w:t>
            </w:r>
          </w:p>
          <w:p>
            <w:pPr>
              <w:snapToGrid w:val="0"/>
              <w:ind w:left="322" w:hanging="312"/>
              <w:rPr>
                <w:rFonts w:hint="eastAsia" w:ascii="仿宋_GB2312" w:hAnsi="仿宋_GB2312" w:eastAsia="仿宋_GB2312" w:cs="仿宋_GB2312"/>
                <w:sz w:val="24"/>
              </w:rPr>
            </w:pPr>
            <w:r>
              <w:rPr>
                <w:rFonts w:hint="eastAsia" w:ascii="仿宋_GB2312" w:hAnsi="仿宋_GB2312" w:eastAsia="仿宋_GB2312" w:cs="仿宋_GB2312"/>
                <w:sz w:val="24"/>
              </w:rPr>
              <w:t>3、对于出现的紧急情况，应及时上报。</w:t>
            </w:r>
          </w:p>
          <w:p>
            <w:pPr>
              <w:pStyle w:val="14"/>
              <w:snapToGrid w:val="0"/>
              <w:ind w:left="0" w:leftChars="0"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4、协助服务中心做好有关管理工作。</w:t>
            </w:r>
          </w:p>
        </w:tc>
      </w:tr>
    </w:tbl>
    <w:p>
      <w:pPr>
        <w:ind w:firstLine="649" w:firstLineChars="147"/>
        <w:rPr>
          <w:rFonts w:hint="eastAsia"/>
          <w:b/>
          <w:bCs/>
          <w:sz w:val="44"/>
          <w:szCs w:val="44"/>
        </w:rPr>
      </w:pPr>
    </w:p>
    <w:p>
      <w:pPr>
        <w:widowControl/>
        <w:shd w:val="clear" w:color="auto" w:fill="FFFFFF"/>
        <w:spacing w:line="360" w:lineRule="auto"/>
        <w:ind w:firstLine="420" w:firstLineChars="200"/>
        <w:contextualSpacing/>
        <w:jc w:val="left"/>
        <w:rPr>
          <w:rFonts w:hint="eastAsia" w:cs="宋体" w:asciiTheme="minorEastAsia" w:hAnsiTheme="minorEastAsia"/>
          <w:color w:val="FF0000"/>
          <w:kern w:val="0"/>
          <w:szCs w:val="21"/>
        </w:rPr>
      </w:pP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二、采购标的的其他技术、服务等要求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rPr>
        <w:t>1、</w:t>
      </w:r>
      <w:r>
        <w:rPr>
          <w:rFonts w:hint="eastAsia" w:ascii="宋体" w:cs="宋体"/>
          <w:sz w:val="24"/>
          <w:lang w:val="zh-CN"/>
        </w:rPr>
        <w:t>投标文件中须有详细可行的实施方案，</w:t>
      </w:r>
      <w:r>
        <w:rPr>
          <w:rFonts w:hint="eastAsia" w:ascii="宋体" w:cs="宋体"/>
          <w:b/>
          <w:bCs/>
          <w:sz w:val="24"/>
          <w:lang w:val="zh-CN"/>
        </w:rPr>
        <w:t>否则为无效投标。</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ascii="宋体" w:cs="宋体"/>
          <w:b/>
          <w:sz w:val="24"/>
        </w:rPr>
      </w:pPr>
      <w:r>
        <w:rPr>
          <w:rFonts w:hint="eastAsia" w:ascii="宋体" w:hAnsi="宋体" w:cs="宋体"/>
          <w:color w:val="000000"/>
          <w:kern w:val="0"/>
          <w:sz w:val="24"/>
          <w:szCs w:val="24"/>
        </w:rPr>
        <w:t>3、</w:t>
      </w:r>
      <w:r>
        <w:rPr>
          <w:rFonts w:hint="eastAsia" w:ascii="宋体" w:hAnsi="宋体" w:cs="宋体"/>
          <w:color w:val="000000"/>
          <w:kern w:val="0"/>
          <w:sz w:val="24"/>
          <w:szCs w:val="24"/>
          <w:lang w:val="zh-CN"/>
        </w:rPr>
        <w:t>中标人所需用工必须符合国家《劳动法》要求，其工资发放不得低于同期许昌市最低工资标准，并对其一切安全负责，如发生用工纠纷，由中标人自行承担全部责任。</w:t>
      </w:r>
    </w:p>
    <w:p>
      <w:pPr>
        <w:wordWrap w:val="0"/>
        <w:topLinePunct/>
        <w:spacing w:line="360" w:lineRule="auto"/>
        <w:ind w:firstLine="480" w:firstLineChars="200"/>
        <w:rPr>
          <w:rFonts w:ascii="宋体" w:cs="宋体"/>
          <w:b/>
          <w:sz w:val="24"/>
          <w:lang w:val="zh-CN"/>
        </w:rPr>
      </w:pPr>
      <w:r>
        <w:rPr>
          <w:rFonts w:hint="eastAsia" w:ascii="宋体" w:cs="宋体"/>
          <w:sz w:val="24"/>
        </w:rPr>
        <w:t>4</w:t>
      </w:r>
      <w:r>
        <w:rPr>
          <w:rFonts w:hint="eastAsia" w:ascii="宋体" w:cs="宋体"/>
          <w:sz w:val="24"/>
          <w:lang w:val="zh-CN"/>
        </w:rPr>
        <w:t>、本项目为交钥匙工程。</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三、验收标准</w:t>
      </w:r>
    </w:p>
    <w:p>
      <w:pPr>
        <w:wordWrap w:val="0"/>
        <w:topLinePunct/>
        <w:spacing w:line="360" w:lineRule="auto"/>
        <w:ind w:firstLine="480" w:firstLineChars="200"/>
        <w:rPr>
          <w:rFonts w:ascii="宋体" w:cs="宋体"/>
          <w:sz w:val="24"/>
          <w:lang w:val="zh-CN"/>
        </w:rPr>
      </w:pPr>
      <w:r>
        <w:rPr>
          <w:rFonts w:hint="eastAsia"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sz w:val="24"/>
          <w:lang w:val="zh-CN"/>
        </w:rPr>
      </w:pPr>
      <w:r>
        <w:rPr>
          <w:rFonts w:hint="eastAsia" w:ascii="宋体" w:cs="宋体"/>
          <w:sz w:val="24"/>
          <w:lang w:val="zh-CN"/>
        </w:rPr>
        <w:t>2.按照招标文件要求、投标文件响应和承诺验收。</w:t>
      </w:r>
    </w:p>
    <w:p>
      <w:pPr>
        <w:pStyle w:val="21"/>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微软雅黑" w:asciiTheme="minorEastAsia" w:hAnsiTheme="minorEastAsia" w:eastAsiaTheme="minorEastAsia"/>
          <w:b/>
          <w:color w:val="FF0000"/>
          <w:sz w:val="21"/>
          <w:szCs w:val="21"/>
        </w:rPr>
        <w:t>★</w:t>
      </w:r>
      <w:r>
        <w:rPr>
          <w:rFonts w:hint="eastAsia" w:cs="黑体" w:asciiTheme="minorEastAsia" w:hAnsiTheme="minorEastAsia" w:eastAsiaTheme="minorEastAsia"/>
          <w:b/>
          <w:bCs/>
          <w:color w:val="000000"/>
          <w:shd w:val="clear" w:color="auto" w:fill="FFFFFF"/>
        </w:rPr>
        <w:t>四、本项目预算金</w:t>
      </w:r>
      <w:r>
        <w:rPr>
          <w:rFonts w:hint="eastAsia" w:cs="宋体" w:asciiTheme="minorEastAsia" w:hAnsiTheme="minorEastAsia" w:eastAsiaTheme="minorEastAsia"/>
          <w:b/>
          <w:color w:val="000000"/>
          <w:kern w:val="0"/>
          <w:lang w:val="zh-CN"/>
        </w:rPr>
        <w:t>额¥</w:t>
      </w:r>
      <w:r>
        <w:rPr>
          <w:rFonts w:hint="eastAsia" w:cs="宋体" w:asciiTheme="minorEastAsia" w:hAnsiTheme="minorEastAsia" w:eastAsiaTheme="minorEastAsia"/>
          <w:b/>
          <w:color w:val="000000"/>
          <w:kern w:val="0"/>
          <w:lang w:val="en-US" w:eastAsia="zh-CN"/>
        </w:rPr>
        <w:t>187.9080</w:t>
      </w:r>
      <w:r>
        <w:rPr>
          <w:rFonts w:hint="eastAsia" w:cs="宋体" w:asciiTheme="minorEastAsia" w:hAnsiTheme="minorEastAsia" w:eastAsiaTheme="minorEastAsia"/>
          <w:b/>
          <w:color w:val="000000"/>
          <w:kern w:val="0"/>
          <w:lang w:val="zh-CN"/>
        </w:rPr>
        <w:t>万元。最高限价¥</w:t>
      </w:r>
      <w:r>
        <w:rPr>
          <w:rFonts w:hint="eastAsia" w:cs="宋体" w:asciiTheme="minorEastAsia" w:hAnsiTheme="minorEastAsia" w:eastAsiaTheme="minorEastAsia"/>
          <w:b/>
          <w:color w:val="000000"/>
          <w:kern w:val="0"/>
          <w:lang w:val="en-US" w:eastAsia="zh-CN"/>
        </w:rPr>
        <w:t>187.9080</w:t>
      </w:r>
      <w:r>
        <w:rPr>
          <w:rFonts w:hint="eastAsia" w:cs="宋体" w:asciiTheme="minorEastAsia" w:hAnsiTheme="minorEastAsia" w:eastAsiaTheme="minorEastAsia"/>
          <w:b/>
          <w:color w:val="000000"/>
          <w:kern w:val="0"/>
          <w:lang w:val="zh-CN"/>
        </w:rPr>
        <w:t>万元。超出最高限价的投标无效。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4"/>
          <w:szCs w:val="24"/>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五、资金支付</w:t>
      </w:r>
    </w:p>
    <w:p>
      <w:pPr>
        <w:wordWrap w:val="0"/>
        <w:topLinePunct/>
        <w:spacing w:line="360" w:lineRule="auto"/>
        <w:ind w:firstLine="480" w:firstLineChars="200"/>
        <w:rPr>
          <w:rFonts w:ascii="宋体" w:cs="宋体"/>
          <w:sz w:val="24"/>
          <w:lang w:val="zh-CN"/>
        </w:rPr>
      </w:pPr>
      <w:r>
        <w:rPr>
          <w:rFonts w:hint="eastAsia" w:cs="宋体" w:asciiTheme="minorEastAsia" w:hAnsiTheme="minorEastAsia"/>
          <w:color w:val="000000"/>
          <w:kern w:val="0"/>
          <w:sz w:val="24"/>
          <w:szCs w:val="24"/>
          <w:lang w:val="zh-CN"/>
        </w:rPr>
        <w:t>1、支付方式：</w:t>
      </w:r>
      <w:r>
        <w:rPr>
          <w:rFonts w:hint="eastAsia" w:ascii="宋体" w:cs="宋体"/>
          <w:sz w:val="24"/>
          <w:lang w:val="zh-CN"/>
        </w:rPr>
        <w:t>银行转账</w:t>
      </w:r>
    </w:p>
    <w:p>
      <w:pPr>
        <w:wordWrap w:val="0"/>
        <w:topLinePunct/>
        <w:spacing w:line="360" w:lineRule="auto"/>
        <w:ind w:firstLine="480" w:firstLineChars="200"/>
        <w:rPr>
          <w:rFonts w:ascii="宋体" w:cs="宋体"/>
          <w:sz w:val="24"/>
          <w:lang w:val="zh-CN"/>
        </w:rPr>
      </w:pPr>
      <w:r>
        <w:rPr>
          <w:rFonts w:hint="eastAsia" w:ascii="宋体" w:cs="宋体"/>
          <w:sz w:val="24"/>
          <w:lang w:val="zh-CN"/>
        </w:rPr>
        <w:t>2、支付时间及条件：服务期限叁年，按合同支付。</w:t>
      </w: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项目名称：长葛市机关事务管理局“</w:t>
            </w:r>
            <w:r>
              <w:rPr>
                <w:rFonts w:hint="eastAsia" w:cs="仿宋_GB2312" w:asciiTheme="minorEastAsia" w:hAnsiTheme="minorEastAsia"/>
                <w:szCs w:val="21"/>
                <w:lang w:eastAsia="zh-CN"/>
              </w:rPr>
              <w:t>质检大厦</w:t>
            </w:r>
            <w:r>
              <w:rPr>
                <w:rFonts w:hint="eastAsia" w:cs="仿宋_GB2312" w:asciiTheme="minorEastAsia" w:hAnsiTheme="minorEastAsia"/>
                <w:szCs w:val="21"/>
              </w:rPr>
              <w:t>物业服务项目”</w:t>
            </w:r>
            <w:r>
              <w:rPr>
                <w:rFonts w:cs="仿宋_GB2312" w:asciiTheme="minorEastAsia" w:hAnsiTheme="minorEastAsia"/>
                <w:szCs w:val="21"/>
              </w:rPr>
              <w:t xml:space="preserve"> </w:t>
            </w:r>
          </w:p>
          <w:p>
            <w:pPr>
              <w:widowControl/>
              <w:wordWrap w:val="0"/>
              <w:spacing w:line="360" w:lineRule="auto"/>
              <w:ind w:left="-1449" w:leftChars="-690" w:right="-334" w:rightChars="-159"/>
              <w:rPr>
                <w:rFonts w:cs="仿宋_GB2312" w:asciiTheme="minorEastAsia" w:hAnsiTheme="minorEastAsia"/>
                <w:szCs w:val="21"/>
              </w:rPr>
            </w:pPr>
            <w:r>
              <w:rPr>
                <w:rFonts w:hint="eastAsia" w:cs="仿宋_GB2312" w:asciiTheme="minorEastAsia" w:hAnsiTheme="minorEastAsia"/>
                <w:szCs w:val="21"/>
              </w:rPr>
              <w:t xml:space="preserve">              项目编号：长招采公字[2019]04</w:t>
            </w:r>
            <w:r>
              <w:rPr>
                <w:rFonts w:hint="eastAsia" w:cs="仿宋_GB2312" w:asciiTheme="minorEastAsia" w:hAnsiTheme="minorEastAsia"/>
                <w:szCs w:val="21"/>
                <w:lang w:val="en-US" w:eastAsia="zh-CN"/>
              </w:rPr>
              <w:t>9</w:t>
            </w:r>
            <w:r>
              <w:rPr>
                <w:rFonts w:hint="eastAsia" w:cs="仿宋_GB2312" w:asciiTheme="minorEastAsia" w:hAnsiTheme="minorEastAsia"/>
                <w:szCs w:val="21"/>
              </w:rPr>
              <w:t>号</w:t>
            </w:r>
          </w:p>
          <w:p>
            <w:pPr>
              <w:pStyle w:val="21"/>
              <w:widowControl/>
              <w:spacing w:line="360" w:lineRule="auto"/>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项目内容：长葛市机关事务管理局“</w:t>
            </w:r>
            <w:r>
              <w:rPr>
                <w:rFonts w:hint="eastAsia" w:cs="仿宋_GB2312" w:asciiTheme="minorEastAsia" w:hAnsiTheme="minorEastAsia" w:eastAsiaTheme="minorEastAsia"/>
                <w:sz w:val="21"/>
                <w:szCs w:val="21"/>
                <w:lang w:eastAsia="zh-CN"/>
              </w:rPr>
              <w:t>质检大厦</w:t>
            </w:r>
            <w:r>
              <w:rPr>
                <w:rFonts w:hint="eastAsia" w:cs="仿宋_GB2312" w:asciiTheme="minorEastAsia" w:hAnsiTheme="minorEastAsia" w:eastAsiaTheme="minorEastAsia"/>
                <w:sz w:val="21"/>
                <w:szCs w:val="21"/>
              </w:rPr>
              <w:t>物业服务项目”；详细要求见采购文件。</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w:t>
            </w:r>
            <w:r>
              <w:rPr>
                <w:rFonts w:hint="eastAsia" w:cs="仿宋_GB2312" w:asciiTheme="minorEastAsia" w:hAnsiTheme="minorEastAsia" w:eastAsiaTheme="minorEastAsia"/>
                <w:kern w:val="2"/>
                <w:sz w:val="21"/>
                <w:szCs w:val="21"/>
                <w:lang w:val="en-US" w:eastAsia="zh-CN" w:bidi="ar-SA"/>
              </w:rPr>
              <w:t xml:space="preserve">：长葛市张辽路与葛天大道交叉口向东200米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w:t>
            </w:r>
            <w:r>
              <w:rPr>
                <w:rFonts w:cs="仿宋_GB2312" w:asciiTheme="minorEastAsia" w:hAnsiTheme="minorEastAsia"/>
                <w:szCs w:val="21"/>
              </w:rPr>
              <w:t xml:space="preserve"> </w:t>
            </w:r>
            <w:r>
              <w:rPr>
                <w:rFonts w:hint="eastAsia" w:cs="仿宋_GB2312" w:asciiTheme="minorEastAsia" w:hAnsiTheme="minorEastAsia"/>
                <w:szCs w:val="21"/>
              </w:rPr>
              <w:t>长葛市机关事务管理局</w:t>
            </w:r>
          </w:p>
          <w:p>
            <w:pPr>
              <w:spacing w:line="360" w:lineRule="auto"/>
              <w:rPr>
                <w:rFonts w:cs="仿宋_GB2312" w:asciiTheme="minorEastAsia" w:hAnsiTheme="minorEastAsia"/>
                <w:szCs w:val="21"/>
              </w:rPr>
            </w:pPr>
            <w:r>
              <w:rPr>
                <w:rFonts w:hint="eastAsia" w:cs="仿宋_GB2312" w:asciiTheme="minorEastAsia" w:hAnsiTheme="minorEastAsia"/>
                <w:szCs w:val="21"/>
              </w:rPr>
              <w:t>地址：长葛市葛天大道中段</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联系人：侯先生                电话：13837421936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名称：长葛市公共资源交易中心</w:t>
            </w:r>
            <w:r>
              <w:rPr>
                <w:rFonts w:cs="仿宋_GB2312" w:asciiTheme="minorEastAsia" w:hAnsiTheme="minorEastAsia"/>
                <w:szCs w:val="21"/>
              </w:rPr>
              <w:t xml:space="preserve">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地址：长葛市商务区6号楼4楼   </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 xml:space="preserve"> 联系人：政府采购</w:t>
            </w:r>
            <w:r>
              <w:rPr>
                <w:rFonts w:hint="eastAsia" w:cs="仿宋_GB2312" w:asciiTheme="minorEastAsia" w:hAnsiTheme="minorEastAsia"/>
                <w:szCs w:val="21"/>
                <w:lang w:eastAsia="zh-CN"/>
              </w:rPr>
              <w:t>一</w:t>
            </w:r>
            <w:r>
              <w:rPr>
                <w:rFonts w:hint="eastAsia" w:cs="仿宋_GB2312" w:asciiTheme="minorEastAsia" w:hAnsiTheme="minorEastAsia"/>
                <w:szCs w:val="21"/>
              </w:rPr>
              <w:t>部          电话：0374-6189</w:t>
            </w:r>
            <w:r>
              <w:rPr>
                <w:rFonts w:hint="eastAsia" w:cs="仿宋_GB2312" w:asciiTheme="minorEastAsia" w:hAnsiTheme="minorEastAsia"/>
                <w:szCs w:val="21"/>
                <w:lang w:val="en-US" w:eastAsia="zh-CN"/>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1、相关设备的购置发票、专业技术人员职称证书、用工合同等；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投标人“</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(www.ccgp.gov.cn)政府采购严重违法失信行为记录名单的投标人</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）严重违法失信社会组织名单的投标人（</w:t>
            </w:r>
            <w:r>
              <w:rPr>
                <w:rFonts w:hint="eastAsia" w:cs="宋体" w:asciiTheme="minorEastAsia" w:hAnsiTheme="minorEastAsia"/>
                <w:kern w:val="0"/>
                <w:szCs w:val="21"/>
              </w:rPr>
              <w:t>联合体形式投标的，联合体成员存在不良信用记录，视同联合体存在不良信用记录）。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ind w:firstLine="422" w:firstLineChars="200"/>
              <w:rPr>
                <w:rFonts w:hint="eastAsia" w:cs="宋体" w:asciiTheme="minorEastAsia" w:hAnsiTheme="minorEastAsia"/>
                <w:b/>
                <w:bCs/>
                <w:szCs w:val="21"/>
                <w:lang w:val="zh-CN"/>
              </w:rPr>
            </w:pPr>
            <w:r>
              <w:rPr>
                <w:rFonts w:hint="eastAsia" w:cs="微软雅黑" w:asciiTheme="minorEastAsia" w:hAnsiTheme="minorEastAsia"/>
                <w:b/>
                <w:color w:val="FF0000"/>
                <w:szCs w:val="21"/>
                <w:lang w:val="zh-CN"/>
              </w:rPr>
              <w:t>★</w:t>
            </w:r>
            <w:r>
              <w:rPr>
                <w:rFonts w:hint="eastAsia" w:cs="宋体" w:asciiTheme="minorEastAsia" w:hAnsiTheme="minorEastAsia"/>
                <w:b w:val="0"/>
                <w:bCs w:val="0"/>
                <w:szCs w:val="21"/>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
                <w:bCs/>
                <w:szCs w:val="21"/>
                <w:lang w:val="zh-CN"/>
              </w:rPr>
            </w:pPr>
            <w:r>
              <w:rPr>
                <w:rFonts w:hint="eastAsia" w:cs="宋体" w:asciiTheme="minorEastAsia" w:hAnsiTheme="minorEastAsia"/>
                <w:b/>
                <w:bCs/>
                <w:szCs w:val="21"/>
                <w:lang w:val="zh-CN"/>
              </w:rPr>
              <w:t>¥</w:t>
            </w:r>
            <w:r>
              <w:rPr>
                <w:rFonts w:hint="eastAsia" w:cs="宋体" w:asciiTheme="minorEastAsia" w:hAnsiTheme="minorEastAsia"/>
                <w:b/>
                <w:bCs/>
                <w:szCs w:val="21"/>
                <w:lang w:val="en-US" w:eastAsia="zh-CN"/>
              </w:rPr>
              <w:t>187.9080</w:t>
            </w:r>
            <w:r>
              <w:rPr>
                <w:rFonts w:hint="eastAsia" w:cs="宋体" w:asciiTheme="minorEastAsia" w:hAnsiTheme="minorEastAsia"/>
                <w:b/>
                <w:bCs/>
                <w:szCs w:val="21"/>
                <w:lang w:val="zh-CN"/>
              </w:rPr>
              <w:t>万元，超出最高限价的投标无效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60天（自提交投标文件的截止之日起算），供应商应当在投标有效期内办理相关事宜。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仿宋_GB2312" w:asciiTheme="minorEastAsia" w:hAnsiTheme="minorEastAsia"/>
                <w:color w:val="FF0000"/>
                <w:szCs w:val="21"/>
              </w:rPr>
            </w:pPr>
            <w:r>
              <w:rPr>
                <w:rFonts w:hint="eastAsia" w:cs="仿宋_GB2312" w:asciiTheme="minorEastAsia" w:hAnsiTheme="minorEastAsia"/>
                <w:color w:val="FF0000"/>
                <w:szCs w:val="21"/>
              </w:rPr>
              <w:t>投标截止及开标时间</w:t>
            </w:r>
          </w:p>
        </w:tc>
        <w:tc>
          <w:tcPr>
            <w:tcW w:w="6813" w:type="dxa"/>
            <w:vAlign w:val="center"/>
          </w:tcPr>
          <w:p>
            <w:pPr>
              <w:autoSpaceDE w:val="0"/>
              <w:autoSpaceDN w:val="0"/>
              <w:adjustRightInd w:val="0"/>
              <w:spacing w:line="360" w:lineRule="auto"/>
              <w:ind w:firstLine="210" w:firstLineChars="100"/>
              <w:rPr>
                <w:rFonts w:cs="仿宋_GB2312" w:asciiTheme="minorEastAsia" w:hAnsiTheme="minorEastAsia"/>
                <w:color w:val="FF0000"/>
                <w:szCs w:val="21"/>
              </w:rPr>
            </w:pPr>
            <w:r>
              <w:rPr>
                <w:rFonts w:hint="eastAsia" w:cs="仿宋_GB2312" w:asciiTheme="minorEastAsia" w:hAnsiTheme="minorEastAsia"/>
                <w:color w:val="FF0000"/>
                <w:szCs w:val="21"/>
              </w:rPr>
              <w:t>2019年</w:t>
            </w:r>
            <w:r>
              <w:rPr>
                <w:rFonts w:hint="eastAsia" w:cs="仿宋_GB2312" w:asciiTheme="minorEastAsia" w:hAnsiTheme="minorEastAsia"/>
                <w:color w:val="FF0000"/>
                <w:szCs w:val="21"/>
                <w:lang w:val="en-US" w:eastAsia="zh-CN"/>
              </w:rPr>
              <w:t>10</w:t>
            </w:r>
            <w:r>
              <w:rPr>
                <w:rFonts w:hint="eastAsia" w:cs="仿宋_GB2312" w:asciiTheme="minorEastAsia" w:hAnsiTheme="minorEastAsia"/>
                <w:color w:val="FF0000"/>
                <w:szCs w:val="21"/>
              </w:rPr>
              <w:t>月</w:t>
            </w:r>
            <w:r>
              <w:rPr>
                <w:rFonts w:hint="eastAsia" w:cs="仿宋_GB2312" w:asciiTheme="minorEastAsia" w:hAnsiTheme="minorEastAsia"/>
                <w:color w:val="FF0000"/>
                <w:szCs w:val="21"/>
                <w:lang w:val="en-US" w:eastAsia="zh-CN"/>
              </w:rPr>
              <w:t>29</w:t>
            </w:r>
            <w:r>
              <w:rPr>
                <w:rFonts w:hint="eastAsia" w:cs="仿宋_GB2312" w:asciiTheme="minorEastAsia" w:hAnsiTheme="minorEastAsia"/>
                <w:color w:val="FF0000"/>
                <w:szCs w:val="21"/>
              </w:rPr>
              <w:t>日</w:t>
            </w:r>
            <w:r>
              <w:rPr>
                <w:rFonts w:hint="eastAsia" w:cs="仿宋_GB2312" w:asciiTheme="minorEastAsia" w:hAnsiTheme="minorEastAsia"/>
                <w:color w:val="FF0000"/>
                <w:szCs w:val="21"/>
                <w:lang w:val="en-US" w:eastAsia="zh-CN"/>
              </w:rPr>
              <w:t xml:space="preserve">9 </w:t>
            </w:r>
            <w:r>
              <w:rPr>
                <w:rFonts w:hint="eastAsia" w:cs="仿宋_GB2312" w:asciiTheme="minorEastAsia" w:hAnsiTheme="minorEastAsia"/>
                <w:color w:val="FF0000"/>
                <w:szCs w:val="21"/>
              </w:rPr>
              <w:t>时</w:t>
            </w:r>
            <w:r>
              <w:rPr>
                <w:rFonts w:hint="eastAsia" w:cs="仿宋_GB2312" w:asciiTheme="minorEastAsia" w:hAnsiTheme="minorEastAsia"/>
                <w:color w:val="FF0000"/>
                <w:szCs w:val="21"/>
                <w:lang w:val="en-US" w:eastAsia="zh-CN"/>
              </w:rPr>
              <w:t>00</w:t>
            </w:r>
            <w:r>
              <w:rPr>
                <w:rFonts w:hint="eastAsia" w:cs="仿宋_GB2312" w:asciiTheme="minorEastAsia" w:hAnsiTheme="minorEastAsia"/>
                <w:color w:val="FF0000"/>
                <w:szCs w:val="21"/>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仿宋_GB2312" w:asciiTheme="minorEastAsia" w:hAnsiTheme="minorEastAsia"/>
                <w:color w:val="FF0000"/>
                <w:szCs w:val="21"/>
              </w:rPr>
            </w:pPr>
            <w:r>
              <w:rPr>
                <w:rFonts w:hint="eastAsia" w:cs="仿宋_GB2312" w:asciiTheme="minorEastAsia" w:hAnsiTheme="minorEastAsia"/>
                <w:color w:val="FF0000"/>
                <w:szCs w:val="21"/>
              </w:rPr>
              <w:t>递交投标文件</w:t>
            </w:r>
          </w:p>
          <w:p>
            <w:pPr>
              <w:autoSpaceDE w:val="0"/>
              <w:autoSpaceDN w:val="0"/>
              <w:adjustRightInd w:val="0"/>
              <w:spacing w:line="360" w:lineRule="auto"/>
              <w:jc w:val="center"/>
              <w:rPr>
                <w:rFonts w:cs="仿宋_GB2312" w:asciiTheme="minorEastAsia" w:hAnsiTheme="minorEastAsia"/>
                <w:color w:val="FF0000"/>
                <w:szCs w:val="21"/>
              </w:rPr>
            </w:pPr>
            <w:r>
              <w:rPr>
                <w:rFonts w:hint="eastAsia" w:cs="仿宋_GB2312" w:asciiTheme="minorEastAsia" w:hAnsiTheme="minorEastAsia"/>
                <w:color w:val="FF0000"/>
                <w:szCs w:val="21"/>
              </w:rPr>
              <w:t>及开标地点</w:t>
            </w:r>
          </w:p>
        </w:tc>
        <w:tc>
          <w:tcPr>
            <w:tcW w:w="6813" w:type="dxa"/>
            <w:vAlign w:val="center"/>
          </w:tcPr>
          <w:p>
            <w:pPr>
              <w:autoSpaceDE w:val="0"/>
              <w:autoSpaceDN w:val="0"/>
              <w:adjustRightInd w:val="0"/>
              <w:spacing w:line="360" w:lineRule="auto"/>
              <w:rPr>
                <w:rFonts w:cs="仿宋_GB2312" w:asciiTheme="minorEastAsia" w:hAnsiTheme="minorEastAsia"/>
                <w:color w:val="FF0000"/>
                <w:szCs w:val="21"/>
              </w:rPr>
            </w:pPr>
            <w:r>
              <w:rPr>
                <w:rFonts w:hint="eastAsia" w:cs="仿宋_GB2312" w:asciiTheme="minorEastAsia" w:hAnsiTheme="minorEastAsia"/>
                <w:color w:val="FF0000"/>
                <w:szCs w:val="21"/>
              </w:rPr>
              <w:t>长葛市公共资源交易中心</w:t>
            </w:r>
            <w:r>
              <w:rPr>
                <w:rFonts w:hint="eastAsia" w:cs="仿宋_GB2312" w:asciiTheme="minorEastAsia" w:hAnsiTheme="minorEastAsia"/>
                <w:color w:val="FF0000"/>
                <w:szCs w:val="21"/>
                <w:lang w:val="en-US" w:eastAsia="zh-CN"/>
              </w:rPr>
              <w:t>4</w:t>
            </w:r>
            <w:r>
              <w:rPr>
                <w:rFonts w:hint="eastAsia" w:cs="仿宋_GB2312" w:asciiTheme="minorEastAsia" w:hAnsiTheme="minorEastAsia"/>
                <w:color w:val="FF0000"/>
                <w:szCs w:val="21"/>
              </w:rPr>
              <w:t>楼开标</w:t>
            </w:r>
            <w:r>
              <w:rPr>
                <w:rFonts w:hint="eastAsia" w:cs="仿宋_GB2312" w:asciiTheme="minorEastAsia" w:hAnsiTheme="minorEastAsia"/>
                <w:color w:val="FF0000"/>
                <w:szCs w:val="21"/>
                <w:lang w:val="en-US" w:eastAsia="zh-CN"/>
              </w:rPr>
              <w:t>二</w:t>
            </w:r>
            <w:r>
              <w:rPr>
                <w:rFonts w:hint="eastAsia" w:cs="仿宋_GB2312" w:asciiTheme="minorEastAsia" w:hAnsiTheme="minorEastAsia"/>
                <w:color w:val="FF0000"/>
                <w:szCs w:val="21"/>
              </w:rPr>
              <w:t>室</w:t>
            </w:r>
            <w:r>
              <w:rPr>
                <w:rFonts w:hint="eastAsia" w:cs="仿宋_GB2312" w:asciiTheme="minorEastAsia" w:hAnsiTheme="minorEastAsia"/>
                <w:color w:val="FF0000"/>
                <w:szCs w:val="21"/>
                <w:lang w:val="en-US" w:eastAsia="zh-CN"/>
              </w:rPr>
              <w:t>409室</w:t>
            </w:r>
            <w:r>
              <w:rPr>
                <w:rFonts w:hint="eastAsia" w:cs="仿宋_GB2312" w:asciiTheme="minorEastAsia" w:hAnsiTheme="minorEastAsia"/>
                <w:color w:val="FF0000"/>
                <w:szCs w:val="21"/>
              </w:rPr>
              <w:t>（长葛市葛天大道商务区6号楼）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rPr>
            </w:pPr>
            <w:r>
              <w:rPr>
                <w:rFonts w:hint="eastAsia" w:cs="仿宋_GB2312" w:asciiTheme="minorEastAsia" w:hAnsiTheme="minorEastAsia"/>
                <w:szCs w:val="21"/>
              </w:rPr>
              <w:t>本项目不收取。 但投标人应提供投标承诺函。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副本一份。使</w:t>
            </w:r>
            <w:r>
              <w:rPr>
                <w:rFonts w:hint="eastAsia" w:cs="仿宋_GB2312" w:asciiTheme="minorEastAsia" w:hAnsiTheme="minorEastAsia"/>
                <w:szCs w:val="21"/>
              </w:rPr>
              <w:t>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评审委员会的，须向采购代理机构出具授权函。除授权代表外，采购单位委派纪检监察人员对评标过程实施监督的须进入长葛市公共资源交易中心四楼监控大厅，并向采购代理机构出具授权函，且不得超过2人。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333333"/>
                <w:szCs w:val="21"/>
              </w:rPr>
            </w:pPr>
            <w:r>
              <w:rPr>
                <w:rFonts w:cs="宋体" w:asciiTheme="minorEastAsia" w:hAnsiTheme="minorEastAsia"/>
                <w:color w:val="333333"/>
                <w:szCs w:val="21"/>
              </w:rPr>
              <w:fldChar w:fldCharType="begin"/>
            </w:r>
            <w:r>
              <w:rPr>
                <w:rFonts w:hint="eastAsia" w:cs="宋体" w:asciiTheme="minorEastAsia" w:hAnsiTheme="minorEastAsia"/>
                <w:color w:val="333333"/>
                <w:szCs w:val="21"/>
              </w:rPr>
              <w:instrText xml:space="preserve">eq \o\ac(□,√)</w:instrText>
            </w:r>
            <w:r>
              <w:rPr>
                <w:rFonts w:cs="宋体" w:asciiTheme="minorEastAsia" w:hAnsiTheme="minorEastAsia"/>
                <w:color w:val="333333"/>
                <w:szCs w:val="21"/>
              </w:rPr>
              <w:fldChar w:fldCharType="end"/>
            </w:r>
            <w:r>
              <w:rPr>
                <w:rFonts w:hint="eastAsia" w:cs="宋体" w:asciiTheme="minorEastAsia" w:hAnsiTheme="minorEastAsia"/>
                <w:color w:val="333333"/>
                <w:szCs w:val="21"/>
              </w:rPr>
              <w:t>要求提交。履约保证金的数额为合同金额的10%。</w:t>
            </w:r>
          </w:p>
          <w:p>
            <w:pPr>
              <w:spacing w:line="400" w:lineRule="exact"/>
              <w:rPr>
                <w:rFonts w:cs="宋体" w:asciiTheme="minorEastAsia" w:hAnsiTheme="minorEastAsia"/>
                <w:color w:val="333333"/>
                <w:szCs w:val="21"/>
              </w:rPr>
            </w:pPr>
            <w:r>
              <w:rPr>
                <w:rFonts w:hint="eastAsia" w:cs="宋体" w:asciiTheme="minorEastAsia" w:hAnsiTheme="minorEastAsia"/>
                <w:color w:val="333333"/>
                <w:szCs w:val="21"/>
              </w:rPr>
              <w:t>开户行：河南长葛农村商业银行股份有限公司营业部</w:t>
            </w:r>
          </w:p>
          <w:p>
            <w:pPr>
              <w:spacing w:line="400" w:lineRule="exact"/>
              <w:rPr>
                <w:rFonts w:cs="宋体" w:asciiTheme="minorEastAsia" w:hAnsiTheme="minorEastAsia"/>
                <w:color w:val="333333"/>
                <w:szCs w:val="21"/>
              </w:rPr>
            </w:pPr>
            <w:r>
              <w:rPr>
                <w:rFonts w:hint="eastAsia" w:cs="宋体" w:asciiTheme="minorEastAsia" w:hAnsiTheme="minorEastAsia"/>
                <w:color w:val="333333"/>
                <w:szCs w:val="21"/>
              </w:rPr>
              <w:t>户  名：长葛市公共资源交易中心</w:t>
            </w:r>
          </w:p>
          <w:p>
            <w:pPr>
              <w:spacing w:line="400" w:lineRule="exact"/>
              <w:rPr>
                <w:rFonts w:cs="宋体" w:asciiTheme="minorEastAsia" w:hAnsiTheme="minorEastAsia"/>
                <w:color w:val="333333"/>
                <w:szCs w:val="21"/>
              </w:rPr>
            </w:pPr>
            <w:r>
              <w:rPr>
                <w:rFonts w:hint="eastAsia" w:cs="宋体" w:asciiTheme="minorEastAsia" w:hAnsiTheme="minorEastAsia"/>
                <w:color w:val="333333"/>
                <w:szCs w:val="21"/>
              </w:rPr>
              <w:t>账  号：13201001800000552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中标人在接到中标通知时，须</w:t>
            </w:r>
            <w:r>
              <w:rPr>
                <w:rFonts w:hint="eastAsia" w:ascii="新宋体" w:hAnsi="新宋体" w:eastAsia="新宋体"/>
                <w:szCs w:val="21"/>
              </w:rPr>
              <w:t>向长葛市公共资源交易中心政府采购二部发</w:t>
            </w:r>
            <w:r>
              <w:rPr>
                <w:rFonts w:hint="eastAsia" w:cs="宋体" w:asciiTheme="minorEastAsia" w:hAnsiTheme="minorEastAsia"/>
                <w:bCs/>
                <w:szCs w:val="21"/>
                <w:lang w:val="zh-CN"/>
              </w:rPr>
              <w:t xml:space="preserve">送投标报价及分项报价一览表（包含主要中标标的的名称、规格型号、数量、单价、服务要求等）电子文档，并同时通知政府采购二部。联系电话：0374-6189667；邮箱zfcgeb@126.com。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不同投标人电子投标文件记录的网卡MAC地址、CPU序号、硬盘序列号等硬件特征码均相同时，视为‘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8"/>
        <w:autoSpaceDE w:val="0"/>
        <w:autoSpaceDN w:val="0"/>
        <w:spacing w:line="360" w:lineRule="auto"/>
        <w:ind w:left="780"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“集中采购机构”：接受采购人委托，代理采购项目的集中采购机构。集中采购名称、地址、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集中采购机构及其分支机构不得在所代理的采购项目中投标或者代理投标，不得为所代理的采购项目的投标人参加本项目提供投标咨询。</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991" w:leftChars="472"/>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8"/>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3.3.1  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autoSpaceDE w:val="0"/>
        <w:autoSpaceDN w:val="0"/>
        <w:spacing w:line="360" w:lineRule="auto"/>
        <w:ind w:firstLine="945" w:firstLineChars="450"/>
        <w:contextualSpacing/>
        <w:rPr>
          <w:rFonts w:cs="宋体" w:asciiTheme="minorEastAsia" w:hAnsiTheme="minorEastAsia"/>
          <w:kern w:val="0"/>
          <w:szCs w:val="21"/>
        </w:rPr>
      </w:pPr>
      <w:r>
        <w:rPr>
          <w:rFonts w:hint="eastAsia" w:cs="宋体" w:asciiTheme="minorEastAsia" w:hAnsiTheme="minorEastAsia"/>
          <w:kern w:val="0"/>
          <w:szCs w:val="21"/>
        </w:rPr>
        <w:t>3.3.2  截止时间：同投标截止时间；</w:t>
      </w:r>
    </w:p>
    <w:p>
      <w:pPr>
        <w:pStyle w:val="38"/>
        <w:autoSpaceDE w:val="0"/>
        <w:autoSpaceDN w:val="0"/>
        <w:spacing w:line="360" w:lineRule="auto"/>
        <w:ind w:left="1700" w:leftChars="47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3.3.3  信用信息查询记录和证据留存具体方式：经采购人确认的查询结果网页截图作为查询记录和证据，与其他采购文件一并保存；</w:t>
      </w:r>
    </w:p>
    <w:p>
      <w:pPr>
        <w:pStyle w:val="38"/>
        <w:autoSpaceDE w:val="0"/>
        <w:autoSpaceDN w:val="0"/>
        <w:spacing w:line="360" w:lineRule="auto"/>
        <w:ind w:left="1698" w:leftChars="452" w:hanging="749" w:hangingChars="357"/>
        <w:contextualSpacing/>
        <w:rPr>
          <w:rFonts w:cs="宋体" w:asciiTheme="minorEastAsia" w:hAnsiTheme="minorEastAsia"/>
          <w:kern w:val="0"/>
          <w:szCs w:val="21"/>
        </w:rPr>
      </w:pPr>
      <w:r>
        <w:rPr>
          <w:rFonts w:hint="eastAsia" w:cs="宋体" w:asciiTheme="minorEastAsia" w:hAnsiTheme="minorEastAsia"/>
          <w:kern w:val="0"/>
          <w:szCs w:val="21"/>
        </w:rPr>
        <w:t>3.3.4  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严重违法失信社会组织名单的投标人，将拒绝其参与本次政府采购活动。</w:t>
      </w:r>
    </w:p>
    <w:p>
      <w:pPr>
        <w:pStyle w:val="38"/>
        <w:autoSpaceDE w:val="0"/>
        <w:autoSpaceDN w:val="0"/>
        <w:spacing w:line="360" w:lineRule="auto"/>
        <w:ind w:left="1698" w:leftChars="453" w:hanging="747" w:hangingChars="356"/>
        <w:contextualSpacing/>
        <w:rPr>
          <w:rFonts w:cs="宋体" w:asciiTheme="minorEastAsia" w:hAnsiTheme="minorEastAsia"/>
          <w:kern w:val="0"/>
          <w:szCs w:val="21"/>
        </w:rPr>
      </w:pPr>
      <w:r>
        <w:rPr>
          <w:rFonts w:hint="eastAsia" w:cs="宋体" w:asciiTheme="minorEastAsia" w:hAnsiTheme="minorEastAsia"/>
          <w:kern w:val="0"/>
          <w:szCs w:val="21"/>
        </w:rPr>
        <w:t>3.3.5  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cs="宋体" w:asciiTheme="minorEastAsia" w:hAnsiTheme="minorEastAsia"/>
          <w:kern w:val="0"/>
          <w:szCs w:val="21"/>
          <w:highlight w:val="cyan"/>
        </w:rPr>
      </w:pPr>
      <w:r>
        <w:rPr>
          <w:rFonts w:hint="eastAsia" w:cs="宋体" w:asciiTheme="minorEastAsia" w:hAnsiTheme="minorEastAsia"/>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cs="宋体" w:asciiTheme="minorEastAsia" w:hAnsiTheme="minorEastAsia"/>
          <w:kern w:val="0"/>
          <w:szCs w:val="21"/>
          <w:highlight w:val="cyan"/>
        </w:rPr>
      </w:pPr>
      <w:r>
        <w:rPr>
          <w:rFonts w:hint="eastAsia" w:cs="宋体" w:asciiTheme="minorEastAsia" w:hAnsiTheme="minorEastAsia"/>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3.6  “投标邀请”和“投标人须知前附表”规定接受联合体投标的，除应符合本章第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3.6.3  招标人根据采购项目的特殊要求规定投标人特定条件的，联合体各方中至少应当有一方符合采购规定的特定条件。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autoSpaceDE w:val="0"/>
        <w:autoSpaceDN w:val="0"/>
        <w:spacing w:line="360" w:lineRule="auto"/>
        <w:ind w:firstLine="424" w:firstLineChars="202"/>
        <w:contextualSpacing/>
        <w:rPr>
          <w:rFonts w:cs="宋体" w:asciiTheme="minorEastAsia" w:hAnsiTheme="minorEastAsia"/>
          <w:kern w:val="0"/>
          <w:szCs w:val="21"/>
        </w:rPr>
      </w:pPr>
      <w:r>
        <w:rPr>
          <w:rFonts w:hint="eastAsia" w:cs="宋体" w:asciiTheme="minorEastAsia" w:hAnsiTheme="minorEastAsia"/>
          <w:kern w:val="0"/>
          <w:szCs w:val="21"/>
        </w:rPr>
        <w:t>3.7  法律、行政法规规定的其他条件。</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8"/>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0" w:name="baidusnap0"/>
      <w:bookmarkEnd w:id="0"/>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本项目不收取代理费用。详见投标人须知前附表。</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8"/>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8"/>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8"/>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投标保证金及履约保证金</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本项目不收取投标保证金。</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投标人应提供投标承诺函。</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履约保证金按投标人须知前附表中要求的收取。</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8"/>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招标人收到投标文件后，应当如实记载投标文件的送达时间和密封情况，签收保存，。任何单位和个人不得在开标前开启投标文件。</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8"/>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8"/>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招标人将按招标文件规定的时间和地点组织公开开标。开标由集中采购机构主持，邀请投标人参加。评标委员会成员不得参加开标活动。</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24.3.1  电子投标文件的解密。全流程电子化交易项目电子投标文件采用双重加密。解密需分标段进行两次解密。</w:t>
      </w:r>
    </w:p>
    <w:p>
      <w:pPr>
        <w:autoSpaceDE w:val="0"/>
        <w:autoSpaceDN w:val="0"/>
        <w:spacing w:line="360" w:lineRule="auto"/>
        <w:ind w:left="2976" w:leftChars="876" w:hanging="1136" w:hangingChars="541"/>
        <w:contextualSpacing/>
        <w:rPr>
          <w:rFonts w:cs="宋体" w:asciiTheme="minorEastAsia" w:hAnsiTheme="minorEastAsia"/>
          <w:kern w:val="0"/>
          <w:szCs w:val="21"/>
        </w:rPr>
      </w:pPr>
      <w:r>
        <w:rPr>
          <w:rFonts w:hint="eastAsia" w:cs="宋体" w:asciiTheme="minorEastAsia" w:hAnsiTheme="minorEastAsia"/>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24.3.1.2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24.3.2   电子投标文件解密异常情况处理</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24.3.2.1 因电子交易系统异常无法解密电子投标文件的，使用纸质投标文件以人工方式进行。</w:t>
      </w:r>
    </w:p>
    <w:p>
      <w:pPr>
        <w:autoSpaceDE w:val="0"/>
        <w:autoSpaceDN w:val="0"/>
        <w:spacing w:line="360" w:lineRule="auto"/>
        <w:ind w:left="2835" w:leftChars="878" w:hanging="991" w:hangingChars="472"/>
        <w:contextualSpacing/>
        <w:rPr>
          <w:rFonts w:cs="宋体" w:asciiTheme="minorEastAsia" w:hAnsiTheme="minorEastAsia"/>
          <w:kern w:val="0"/>
          <w:szCs w:val="21"/>
        </w:rPr>
      </w:pPr>
      <w:r>
        <w:rPr>
          <w:rFonts w:hint="eastAsia" w:cs="宋体" w:asciiTheme="minorEastAsia" w:hAnsiTheme="minor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评标委员会的组成</w:t>
      </w:r>
    </w:p>
    <w:p>
      <w:pPr>
        <w:pStyle w:val="38"/>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cs="宋体" w:asciiTheme="minorEastAsia" w:hAnsiTheme="minorEastAsia"/>
          <w:kern w:val="0"/>
          <w:szCs w:val="21"/>
        </w:rPr>
      </w:pPr>
      <w:r>
        <w:rPr>
          <w:rFonts w:hint="eastAsia" w:cs="宋体" w:asciiTheme="minorEastAsia" w:hAnsiTheme="minorEastAsia"/>
          <w:kern w:val="0"/>
          <w:szCs w:val="21"/>
        </w:rPr>
        <w:t>26.1.2  采购项目符合下列情形之一的，评标委员会成员人数应当为7人以上单数：</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26.1.2.1  采购预算金额在1000万元以上；</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26.1.2.2  技术复杂；</w:t>
      </w:r>
    </w:p>
    <w:p>
      <w:pPr>
        <w:autoSpaceDE w:val="0"/>
        <w:autoSpaceDN w:val="0"/>
        <w:spacing w:line="360" w:lineRule="auto"/>
        <w:ind w:left="964" w:firstLine="877" w:firstLineChars="418"/>
        <w:contextualSpacing/>
        <w:rPr>
          <w:rFonts w:cs="宋体" w:asciiTheme="minorEastAsia" w:hAnsiTheme="minorEastAsia"/>
          <w:kern w:val="0"/>
          <w:szCs w:val="21"/>
        </w:rPr>
      </w:pPr>
      <w:r>
        <w:rPr>
          <w:rFonts w:hint="eastAsia" w:cs="宋体" w:asciiTheme="minorEastAsia" w:hAnsiTheme="minorEastAsia"/>
          <w:kern w:val="0"/>
          <w:szCs w:val="21"/>
        </w:rPr>
        <w:t>26.1.2.3  社会影响较大。</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评审专家对本单位的采购项目只能作为采购人代表参与评标。集中采购机构工作人员不得参加由本机构代理的政府采购项目的评标。</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26.3.2  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26.3.3  与供应商有其他可能影响政府采购活动公平、公正进行的关系。</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8"/>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8"/>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1133" w:leftChars="203" w:hanging="707" w:hangingChars="337"/>
        <w:contextualSpacing/>
        <w:rPr>
          <w:rFonts w:cs="宋体" w:asciiTheme="minorEastAsia" w:hAnsiTheme="minorEastAsia"/>
          <w:kern w:val="0"/>
          <w:szCs w:val="21"/>
        </w:rPr>
      </w:pPr>
      <w:r>
        <w:rPr>
          <w:rFonts w:hint="eastAsia" w:cs="宋体" w:asciiTheme="minorEastAsia" w:hAnsiTheme="minorEastAsia"/>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29.2  大写金额和小写金额不一致的，以大写金额为准；</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cs="宋体" w:asciiTheme="minorEastAsia" w:hAnsiTheme="minorEastAsia"/>
          <w:kern w:val="0"/>
          <w:szCs w:val="21"/>
        </w:rPr>
      </w:pPr>
      <w:r>
        <w:rPr>
          <w:rFonts w:hint="eastAsia" w:cs="宋体" w:asciiTheme="minorEastAsia" w:hAnsiTheme="minor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8"/>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30.1.1  未按照招标文件的规定提交投标承诺函的；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30.1.4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30.1.5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30.2.5   不同投标人的投标文件相互混装。</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按照《关于推进全流程电子化交易和在线监管工作有关问题的通知》（许公管办[2019]3号）规定，不同投标人电子投标文件记录的网卡MAC地址、CPU序号、硬盘序列号等硬件特征码均相同时，视为‘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8"/>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8"/>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33.1.1  最低评标价法</w:t>
      </w:r>
    </w:p>
    <w:p>
      <w:pPr>
        <w:autoSpaceDE w:val="0"/>
        <w:autoSpaceDN w:val="0"/>
        <w:spacing w:line="360" w:lineRule="auto"/>
        <w:ind w:left="2975" w:leftChars="878" w:hanging="1131" w:hangingChars="539"/>
        <w:contextualSpacing/>
        <w:rPr>
          <w:rFonts w:cs="宋体" w:asciiTheme="minorEastAsia" w:hAnsiTheme="minorEastAsia"/>
          <w:kern w:val="0"/>
          <w:szCs w:val="21"/>
        </w:rPr>
      </w:pPr>
      <w:r>
        <w:rPr>
          <w:rFonts w:hint="eastAsia" w:cs="宋体" w:asciiTheme="minorEastAsia" w:hAnsiTheme="minorEastAsia"/>
          <w:kern w:val="0"/>
          <w:szCs w:val="21"/>
        </w:rPr>
        <w:t>33.1.1.2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cs="宋体" w:asciiTheme="minorEastAsia" w:hAnsiTheme="minorEastAsia"/>
          <w:kern w:val="0"/>
          <w:szCs w:val="21"/>
        </w:rPr>
      </w:pPr>
      <w:r>
        <w:rPr>
          <w:rFonts w:hint="eastAsia" w:cs="宋体" w:asciiTheme="minorEastAsia" w:hAnsiTheme="minorEastAsia"/>
          <w:kern w:val="0"/>
          <w:szCs w:val="21"/>
        </w:rPr>
        <w:t>33.1.2  综合评分法，是指投标文件满足招标文件全部实质性要求，且按照评审因素的量化指标评审得分最高的投标人为中标候选人的评标方法。</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cs="宋体" w:asciiTheme="minorEastAsia" w:hAnsiTheme="minorEastAsia"/>
          <w:kern w:val="0"/>
          <w:szCs w:val="21"/>
        </w:rPr>
      </w:pPr>
      <w:r>
        <w:rPr>
          <w:rFonts w:hint="eastAsia" w:cs="宋体" w:asciiTheme="minorEastAsia" w:hAnsiTheme="minorEastAsia"/>
          <w:kern w:val="0"/>
          <w:szCs w:val="21"/>
        </w:rPr>
        <w:t>33.2.3  因落实政府采购政策进行价格调整的，以调整后的价格计算评标基准价和投标报价。</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8"/>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35.1  确定参与评标至评标结束前私自接触投标人；</w:t>
      </w:r>
    </w:p>
    <w:p>
      <w:pPr>
        <w:autoSpaceDE w:val="0"/>
        <w:autoSpaceDN w:val="0"/>
        <w:spacing w:line="360" w:lineRule="auto"/>
        <w:ind w:left="1558" w:leftChars="47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35.7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8"/>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8"/>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8"/>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8"/>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39.1.2  对采购过程提出质疑的，为各采购程序环节结束之日起七个工作日内，以书面形式向采购人和采购代理机构一次性提出；</w:t>
      </w:r>
    </w:p>
    <w:p>
      <w:pPr>
        <w:autoSpaceDE w:val="0"/>
        <w:autoSpaceDN w:val="0"/>
        <w:spacing w:line="360" w:lineRule="auto"/>
        <w:ind w:left="1841" w:leftChars="470" w:hanging="854" w:hangingChars="407"/>
        <w:contextualSpacing/>
        <w:rPr>
          <w:rFonts w:cs="宋体" w:asciiTheme="minorEastAsia" w:hAnsiTheme="minorEastAsia"/>
          <w:kern w:val="0"/>
          <w:szCs w:val="21"/>
        </w:rPr>
      </w:pPr>
      <w:r>
        <w:rPr>
          <w:rFonts w:hint="eastAsia" w:cs="宋体" w:asciiTheme="minorEastAsia" w:hAnsiTheme="minorEastAsia"/>
          <w:kern w:val="0"/>
          <w:szCs w:val="21"/>
        </w:rPr>
        <w:t>39.1.3  对中标结果提出质疑的，为中标结果公告期限届满之日起七个工作日内，以书面形式向采购人和采购代理机构一次性提出。</w:t>
      </w:r>
    </w:p>
    <w:p>
      <w:pPr>
        <w:pStyle w:val="38"/>
        <w:numPr>
          <w:ilvl w:val="1"/>
          <w:numId w:val="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cs="宋体" w:asciiTheme="minorEastAsia" w:hAnsiTheme="minorEastAsia"/>
          <w:kern w:val="0"/>
          <w:szCs w:val="21"/>
        </w:rPr>
      </w:pPr>
      <w:r>
        <w:rPr>
          <w:rFonts w:hint="eastAsia" w:cs="宋体" w:asciiTheme="minorEastAsia" w:hAnsiTheme="minorEastAsia"/>
          <w:kern w:val="0"/>
          <w:szCs w:val="21"/>
        </w:rPr>
        <w:t xml:space="preserve">39.2.2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kern w:val="0"/>
          <w:sz w:val="32"/>
          <w:szCs w:val="32"/>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宋体" w:asciiTheme="majorEastAsia" w:hAnsiTheme="majorEastAsia" w:eastAsiaTheme="majorEastAsia"/>
          <w:b/>
          <w:kern w:val="0"/>
          <w:sz w:val="32"/>
          <w:szCs w:val="32"/>
        </w:rPr>
        <w:t xml:space="preserve">          第五章 政府采购政策功能</w:t>
      </w:r>
    </w:p>
    <w:p>
      <w:pPr>
        <w:jc w:val="center"/>
        <w:rPr>
          <w:rFonts w:cs="宋体" w:asciiTheme="majorEastAsia" w:hAnsiTheme="majorEastAsia" w:eastAsiaTheme="majorEastAsia"/>
          <w:b/>
          <w:kern w:val="0"/>
          <w:sz w:val="36"/>
          <w:szCs w:val="36"/>
        </w:rPr>
      </w:pP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szCs w:val="21"/>
          <w:lang w:val="zh-CN"/>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rPr>
      </w:pPr>
      <w:r>
        <w:rPr>
          <w:rFonts w:hint="eastAsia" w:asciiTheme="minorEastAsia" w:hAnsiTheme="minorEastAsia"/>
          <w:bCs/>
          <w:szCs w:val="21"/>
        </w:rPr>
        <w:t>（一）</w:t>
      </w:r>
      <w:r>
        <w:rPr>
          <w:rFonts w:asciiTheme="minorEastAsia" w:hAnsiTheme="minorEastAsia"/>
          <w:bCs/>
          <w:szCs w:val="21"/>
        </w:rPr>
        <w:t>开标结束后，</w:t>
      </w:r>
      <w:r>
        <w:rPr>
          <w:rFonts w:hint="eastAsia" w:asciiTheme="minorEastAsia" w:hAnsiTheme="minorEastAsia"/>
          <w:bCs/>
          <w:szCs w:val="21"/>
        </w:rPr>
        <w:t>采购人依法对投标人资格进行审查</w:t>
      </w:r>
      <w:r>
        <w:rPr>
          <w:rFonts w:asciiTheme="minorEastAsia" w:hAnsiTheme="minorEastAsia"/>
          <w:bCs/>
          <w:szCs w:val="21"/>
        </w:rPr>
        <w:t>。</w:t>
      </w:r>
      <w:r>
        <w:rPr>
          <w:rFonts w:hint="eastAsia" w:asciiTheme="minorEastAsia" w:hAnsiTheme="minorEastAsia"/>
          <w:bCs/>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（三）资格审查中所涉及到的证书及材料，均须在电子投标文件中提供原件的扫描件（或图片）。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6"/>
                <w:rFonts w:hint="eastAsia" w:asciiTheme="minorEastAsia" w:hAnsiTheme="minorEastAsia"/>
                <w:bCs/>
                <w:szCs w:val="21"/>
              </w:rPr>
              <w:t>www.creditchina.gov.cn</w:t>
            </w:r>
            <w:r>
              <w:rPr>
                <w:rStyle w:val="26"/>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w:t>
            </w:r>
            <w:r>
              <w:rPr>
                <w:rFonts w:hint="eastAsia" w:cs="宋体" w:asciiTheme="minorEastAsia" w:hAnsiTheme="minorEastAsia"/>
                <w:kern w:val="0"/>
                <w:szCs w:val="21"/>
              </w:rPr>
              <w:t>失信被执行人、重大税收违法案件当事人名单、</w:t>
            </w:r>
            <w:r>
              <w:rPr>
                <w:rFonts w:cs="仿宋_GB2312" w:asciiTheme="minorEastAsia" w:hAnsiTheme="minorEastAsia"/>
                <w:color w:val="000000"/>
                <w:szCs w:val="21"/>
                <w:shd w:val="clear" w:color="auto" w:fill="FFFFFF"/>
              </w:rPr>
              <w:t>政府采购严重违法失信名单</w:t>
            </w:r>
            <w:r>
              <w:rPr>
                <w:rFonts w:hint="eastAsia" w:cs="宋体" w:asciiTheme="minorEastAsia" w:hAnsiTheme="minorEastAsia"/>
                <w:kern w:val="0"/>
                <w:szCs w:val="21"/>
              </w:rPr>
              <w:t>、</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2" w:name="baidusnap2"/>
            <w:bookmarkEnd w:id="2"/>
            <w:r>
              <w:rPr>
                <w:rFonts w:hint="eastAsia" w:cs="仿宋_GB2312" w:asciiTheme="minorEastAsia" w:hAnsiTheme="minorEastAsia"/>
                <w:szCs w:val="21"/>
                <w:lang w:val="zh-CN"/>
              </w:rPr>
              <w:t>提供未为本项目提供整体设计、</w:t>
            </w:r>
            <w:bookmarkStart w:id="3" w:name="baidusnap9"/>
            <w:bookmarkEnd w:id="3"/>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（3）强制采购节能产品和优先采购节能产品、优先采购环保产品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1）对《节能产品政府采购品目清单》所列的政府强制采购节能产品</w:t>
      </w:r>
      <w:r>
        <w:rPr>
          <w:rFonts w:hint="eastAsia"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投标人所投其他产品若属于《节能产品政府采购品目清单》优先采购产品，</w:t>
      </w:r>
      <w:r>
        <w:rPr>
          <w:rFonts w:hint="eastAsia" w:cs="仿宋_GB2312" w:asciiTheme="minorEastAsia" w:hAnsiTheme="minorEastAsia"/>
          <w:sz w:val="21"/>
          <w:szCs w:val="21"/>
          <w:lang w:val="zh-CN"/>
        </w:rPr>
        <w:t>投标文件中应提供</w:t>
      </w:r>
      <w:r>
        <w:rPr>
          <w:rFonts w:hint="eastAsia" w:cs="仿宋_GB2312" w:asciiTheme="minorEastAsia" w:hAnsiTheme="minorEastAsia" w:eastAsiaTheme="minorEastAsia"/>
          <w:sz w:val="21"/>
          <w:szCs w:val="21"/>
          <w:lang w:val="zh-CN"/>
        </w:rPr>
        <w:t>具有国家确定的认证机构出具的、处于有效期之内的节能产品认证证书</w:t>
      </w:r>
      <w:r>
        <w:rPr>
          <w:rFonts w:hint="eastAsia" w:cs="仿宋_GB2312" w:asciiTheme="minorEastAsia" w:hAnsiTheme="minorEastAsia"/>
          <w:sz w:val="21"/>
          <w:szCs w:val="21"/>
          <w:lang w:val="zh-CN"/>
        </w:rPr>
        <w:t>，评标委员会根据本项目评标标准予以判定并赋分。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w:t>
      </w:r>
      <w:r>
        <w:rPr>
          <w:rFonts w:hint="eastAsia" w:cs="仿宋_GB2312" w:asciiTheme="minorEastAsia" w:hAnsiTheme="minorEastAsia"/>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sz w:val="21"/>
          <w:szCs w:val="21"/>
          <w:lang w:val="zh-CN"/>
        </w:rPr>
        <w:t>具有国家确定的认证机构出具的、处于有效期之内的环境标志产品认证证书</w:t>
      </w:r>
      <w:r>
        <w:rPr>
          <w:rFonts w:hint="eastAsia" w:cs="仿宋_GB2312" w:asciiTheme="minorEastAsia" w:hAnsiTheme="minorEastAsia"/>
          <w:sz w:val="21"/>
          <w:szCs w:val="21"/>
          <w:lang w:val="zh-CN"/>
        </w:rPr>
        <w:t>，</w:t>
      </w:r>
      <w:r>
        <w:rPr>
          <w:rFonts w:hint="eastAsia" w:cs="仿宋_GB2312" w:asciiTheme="minorEastAsia" w:hAnsiTheme="minorEastAsia" w:eastAsiaTheme="minorEastAsia"/>
          <w:sz w:val="21"/>
          <w:szCs w:val="21"/>
          <w:lang w:val="zh-CN"/>
        </w:rPr>
        <w:t>评标委员会根据本项目评标标准予以判定并赋分。</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（4）关于强制性产品认证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（7）评标标准</w:t>
      </w:r>
    </w:p>
    <w:tbl>
      <w:tblPr>
        <w:tblStyle w:val="23"/>
        <w:tblpPr w:leftFromText="180" w:rightFromText="180" w:vertAnchor="text" w:horzAnchor="page" w:tblpX="1465" w:tblpY="682"/>
        <w:tblOverlap w:val="never"/>
        <w:tblW w:w="9729" w:type="dxa"/>
        <w:tblInd w:w="0" w:type="dxa"/>
        <w:tblLayout w:type="fixed"/>
        <w:tblCellMar>
          <w:top w:w="0" w:type="dxa"/>
          <w:left w:w="108" w:type="dxa"/>
          <w:bottom w:w="0" w:type="dxa"/>
          <w:right w:w="108" w:type="dxa"/>
        </w:tblCellMar>
      </w:tblPr>
      <w:tblGrid>
        <w:gridCol w:w="445"/>
        <w:gridCol w:w="494"/>
        <w:gridCol w:w="672"/>
        <w:gridCol w:w="1515"/>
        <w:gridCol w:w="6603"/>
      </w:tblGrid>
      <w:tr>
        <w:tblPrEx>
          <w:tblCellMar>
            <w:top w:w="0" w:type="dxa"/>
            <w:left w:w="108" w:type="dxa"/>
            <w:bottom w:w="0" w:type="dxa"/>
            <w:right w:w="108" w:type="dxa"/>
          </w:tblCellMar>
        </w:tblPrEx>
        <w:trPr>
          <w:cantSplit/>
          <w:trHeight w:val="280" w:hRule="atLeast"/>
        </w:trPr>
        <w:tc>
          <w:tcPr>
            <w:tcW w:w="445" w:type="dxa"/>
            <w:vMerge w:val="restart"/>
            <w:tcBorders>
              <w:top w:val="doub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序号</w:t>
            </w:r>
          </w:p>
        </w:tc>
        <w:tc>
          <w:tcPr>
            <w:tcW w:w="494" w:type="dxa"/>
            <w:vMerge w:val="restart"/>
            <w:tcBorders>
              <w:top w:val="doub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项目</w:t>
            </w:r>
          </w:p>
        </w:tc>
        <w:tc>
          <w:tcPr>
            <w:tcW w:w="8790" w:type="dxa"/>
            <w:gridSpan w:val="3"/>
            <w:tcBorders>
              <w:top w:val="doub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评分细则</w:t>
            </w:r>
          </w:p>
        </w:tc>
      </w:tr>
      <w:tr>
        <w:tblPrEx>
          <w:tblCellMar>
            <w:top w:w="0" w:type="dxa"/>
            <w:left w:w="108" w:type="dxa"/>
            <w:bottom w:w="0" w:type="dxa"/>
            <w:right w:w="108" w:type="dxa"/>
          </w:tblCellMar>
        </w:tblPrEx>
        <w:trPr>
          <w:cantSplit/>
          <w:trHeight w:val="382" w:hRule="atLeast"/>
        </w:trPr>
        <w:tc>
          <w:tcPr>
            <w:tcW w:w="445" w:type="dxa"/>
            <w:vMerge w:val="continue"/>
            <w:tcBorders>
              <w:top w:val="double" w:color="auto" w:sz="4" w:space="0"/>
              <w:left w:val="doub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494" w:type="dxa"/>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分值</w:t>
            </w:r>
          </w:p>
        </w:tc>
        <w:tc>
          <w:tcPr>
            <w:tcW w:w="8118" w:type="dxa"/>
            <w:gridSpan w:val="2"/>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评分标准</w:t>
            </w:r>
          </w:p>
        </w:tc>
      </w:tr>
      <w:tr>
        <w:tblPrEx>
          <w:tblCellMar>
            <w:top w:w="0" w:type="dxa"/>
            <w:left w:w="108" w:type="dxa"/>
            <w:bottom w:w="0" w:type="dxa"/>
            <w:right w:w="108" w:type="dxa"/>
          </w:tblCellMar>
        </w:tblPrEx>
        <w:trPr>
          <w:trHeight w:val="332" w:hRule="atLeast"/>
        </w:trPr>
        <w:tc>
          <w:tcPr>
            <w:tcW w:w="445" w:type="dxa"/>
            <w:tcBorders>
              <w:top w:val="sing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1</w:t>
            </w:r>
          </w:p>
        </w:tc>
        <w:tc>
          <w:tcPr>
            <w:tcW w:w="49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报价得分</w:t>
            </w:r>
          </w:p>
        </w:tc>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20</w:t>
            </w:r>
          </w:p>
        </w:tc>
        <w:tc>
          <w:tcPr>
            <w:tcW w:w="8118" w:type="dxa"/>
            <w:gridSpan w:val="2"/>
            <w:tcBorders>
              <w:top w:val="single" w:color="auto" w:sz="4" w:space="0"/>
              <w:left w:val="single" w:color="auto" w:sz="4" w:space="0"/>
              <w:bottom w:val="single" w:color="auto" w:sz="4" w:space="0"/>
              <w:right w:val="double" w:color="auto" w:sz="4" w:space="0"/>
            </w:tcBorders>
            <w:vAlign w:val="center"/>
          </w:tcPr>
          <w:p>
            <w:pPr>
              <w:pStyle w:val="58"/>
              <w:rPr>
                <w:rFonts w:ascii="宋体" w:hAnsi="宋体"/>
                <w:b/>
                <w:bCs/>
              </w:rPr>
            </w:pPr>
            <w:r>
              <w:rPr>
                <w:rFonts w:hint="eastAsia" w:ascii="宋体" w:hAnsi="宋体"/>
                <w:b/>
                <w:bCs/>
              </w:rPr>
              <w:t>有效投标价格最低的为评标基准价，其价格分为满分。</w:t>
            </w:r>
          </w:p>
          <w:p>
            <w:pPr>
              <w:pStyle w:val="58"/>
              <w:rPr>
                <w:rFonts w:ascii="宋体" w:hAnsi="宋体"/>
                <w:b/>
                <w:bCs/>
              </w:rPr>
            </w:pPr>
            <w:r>
              <w:rPr>
                <w:rFonts w:hint="eastAsia" w:ascii="宋体" w:hAnsi="宋体"/>
                <w:b/>
                <w:bCs/>
              </w:rPr>
              <w:t>其他供应商的价格分统一按照下列公式计算：</w:t>
            </w:r>
          </w:p>
          <w:p>
            <w:pPr>
              <w:pStyle w:val="58"/>
              <w:rPr>
                <w:rFonts w:ascii="宋体" w:hAnsi="宋体"/>
                <w:b/>
                <w:bCs/>
              </w:rPr>
            </w:pPr>
            <w:r>
              <w:rPr>
                <w:rFonts w:hint="eastAsia" w:ascii="宋体" w:hAnsi="宋体"/>
                <w:b/>
                <w:bCs/>
              </w:rPr>
              <w:t>投标报价得分=(评标基准价／投标报价)×20%×100。</w:t>
            </w:r>
          </w:p>
          <w:p>
            <w:pPr>
              <w:pStyle w:val="58"/>
              <w:rPr>
                <w:rFonts w:ascii="宋体" w:hAnsi="宋体"/>
                <w:b/>
                <w:bCs/>
              </w:rPr>
            </w:pPr>
            <w:r>
              <w:rPr>
                <w:rFonts w:hint="eastAsia" w:ascii="宋体" w:hAnsi="宋体"/>
                <w:b/>
                <w:bCs/>
              </w:rPr>
              <w:t>注：分值计算保留小数点后两位，小数点后第三位“四舍五入”。</w:t>
            </w:r>
            <w:r>
              <w:rPr>
                <w:rFonts w:hint="eastAsia" w:ascii="宋体" w:hAnsi="宋体"/>
                <w:b/>
                <w:bCs/>
              </w:rPr>
              <w:br w:type="textWrapping"/>
            </w:r>
            <w:r>
              <w:rPr>
                <w:rFonts w:hint="eastAsia" w:ascii="宋体" w:hAnsi="宋体"/>
                <w:b/>
                <w:bCs/>
              </w:rP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CellMar>
            <w:top w:w="0" w:type="dxa"/>
            <w:left w:w="108" w:type="dxa"/>
            <w:bottom w:w="0" w:type="dxa"/>
            <w:right w:w="108" w:type="dxa"/>
          </w:tblCellMar>
        </w:tblPrEx>
        <w:trPr>
          <w:trHeight w:val="360" w:hRule="atLeast"/>
        </w:trPr>
        <w:tc>
          <w:tcPr>
            <w:tcW w:w="4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2</w:t>
            </w:r>
          </w:p>
        </w:tc>
        <w:tc>
          <w:tcPr>
            <w:tcW w:w="49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商务部分</w:t>
            </w:r>
          </w:p>
        </w:tc>
        <w:tc>
          <w:tcPr>
            <w:tcW w:w="672"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szCs w:val="21"/>
              </w:rPr>
            </w:pPr>
            <w:r>
              <w:rPr>
                <w:rFonts w:hint="eastAsia" w:ascii="宋体" w:hAnsi="宋体" w:cs="宋体"/>
                <w:szCs w:val="21"/>
              </w:rPr>
              <w:t>40</w:t>
            </w:r>
          </w:p>
        </w:tc>
        <w:tc>
          <w:tcPr>
            <w:tcW w:w="811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szCs w:val="21"/>
              </w:rPr>
            </w:pPr>
            <w:r>
              <w:rPr>
                <w:rFonts w:hint="eastAsia" w:ascii="宋体" w:hAnsi="宋体" w:cs="宋体"/>
                <w:szCs w:val="21"/>
              </w:rPr>
              <w:t>1、业绩（15分）。供应商2016年以来具有合同金额在50万元/年以上的类似项目业绩（以合同签订时间为准），每份得3分，本项最多得15分。(以合同和银行出具的转账凭证为准，二者缺一不计分），投标文件中附完整的扫描件）。</w:t>
            </w:r>
          </w:p>
        </w:tc>
      </w:tr>
      <w:tr>
        <w:tblPrEx>
          <w:tblCellMar>
            <w:top w:w="0" w:type="dxa"/>
            <w:left w:w="108" w:type="dxa"/>
            <w:bottom w:w="0" w:type="dxa"/>
            <w:right w:w="108" w:type="dxa"/>
          </w:tblCellMar>
        </w:tblPrEx>
        <w:trPr>
          <w:trHeight w:val="535" w:hRule="atLeast"/>
        </w:trPr>
        <w:tc>
          <w:tcPr>
            <w:tcW w:w="4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szCs w:val="21"/>
              </w:rPr>
            </w:pPr>
          </w:p>
        </w:tc>
        <w:tc>
          <w:tcPr>
            <w:tcW w:w="8118" w:type="dxa"/>
            <w:gridSpan w:val="2"/>
            <w:tcBorders>
              <w:top w:val="single" w:color="auto" w:sz="4" w:space="0"/>
              <w:left w:val="single" w:color="auto" w:sz="4" w:space="0"/>
              <w:bottom w:val="single" w:color="auto" w:sz="4" w:space="0"/>
              <w:right w:val="single" w:color="auto" w:sz="4" w:space="0"/>
            </w:tcBorders>
            <w:vAlign w:val="center"/>
          </w:tcPr>
          <w:p>
            <w:pPr>
              <w:numPr>
                <w:ilvl w:val="0"/>
                <w:numId w:val="17"/>
              </w:numPr>
              <w:spacing w:line="300" w:lineRule="auto"/>
              <w:ind w:right="147" w:rightChars="70"/>
              <w:textAlignment w:val="center"/>
            </w:pPr>
            <w:r>
              <w:rPr>
                <w:rFonts w:hint="eastAsia"/>
              </w:rPr>
              <w:t>荣誉（9分）。</w:t>
            </w:r>
          </w:p>
          <w:p>
            <w:pPr>
              <w:spacing w:line="300" w:lineRule="auto"/>
              <w:ind w:right="147" w:rightChars="70"/>
              <w:textAlignment w:val="center"/>
            </w:pPr>
            <w:r>
              <w:rPr>
                <w:rFonts w:hint="eastAsia" w:ascii="宋体" w:hAnsi="宋体" w:cs="宋体"/>
                <w:szCs w:val="21"/>
                <w:lang w:val="en-US" w:eastAsia="zh-CN"/>
              </w:rPr>
              <w:t>投标企业获得过物业主管部门或政府有关部门颁发的荣誉的，省部级得6分，地市级得3分，本项最高得9分。以证书及奖励文件为准，二者缺一不计分，投标文件中附完整的扫描件。</w:t>
            </w:r>
          </w:p>
        </w:tc>
      </w:tr>
      <w:tr>
        <w:tblPrEx>
          <w:tblCellMar>
            <w:top w:w="0" w:type="dxa"/>
            <w:left w:w="108" w:type="dxa"/>
            <w:bottom w:w="0" w:type="dxa"/>
            <w:right w:w="108" w:type="dxa"/>
          </w:tblCellMar>
        </w:tblPrEx>
        <w:trPr>
          <w:trHeight w:val="535" w:hRule="atLeast"/>
        </w:trPr>
        <w:tc>
          <w:tcPr>
            <w:tcW w:w="4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szCs w:val="21"/>
              </w:rPr>
            </w:pPr>
          </w:p>
        </w:tc>
        <w:tc>
          <w:tcPr>
            <w:tcW w:w="811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kern w:val="0"/>
                <w:szCs w:val="21"/>
              </w:rPr>
            </w:pPr>
            <w:r>
              <w:rPr>
                <w:rFonts w:hint="eastAsia" w:ascii="宋体" w:hAnsi="宋体" w:cs="宋体"/>
                <w:kern w:val="0"/>
                <w:szCs w:val="21"/>
              </w:rPr>
              <w:t>3、信誉（5分）。2016年以来，企业获得过企业信用等级证书的，AAA级得5分，AA级得3分，A级得1分。以证书为准，</w:t>
            </w:r>
            <w:r>
              <w:rPr>
                <w:rFonts w:hint="eastAsia" w:ascii="宋体" w:hAnsi="宋体" w:cs="宋体"/>
                <w:szCs w:val="21"/>
              </w:rPr>
              <w:t>投标文件中附完整的扫描件</w:t>
            </w:r>
            <w:r>
              <w:rPr>
                <w:rFonts w:hint="eastAsia" w:ascii="宋体" w:hAnsi="宋体" w:cs="宋体"/>
                <w:kern w:val="0"/>
                <w:szCs w:val="21"/>
              </w:rPr>
              <w:t>。</w:t>
            </w:r>
          </w:p>
        </w:tc>
      </w:tr>
      <w:tr>
        <w:tblPrEx>
          <w:tblCellMar>
            <w:top w:w="0" w:type="dxa"/>
            <w:left w:w="108" w:type="dxa"/>
            <w:bottom w:w="0" w:type="dxa"/>
            <w:right w:w="108" w:type="dxa"/>
          </w:tblCellMar>
        </w:tblPrEx>
        <w:trPr>
          <w:trHeight w:val="535" w:hRule="atLeast"/>
        </w:trPr>
        <w:tc>
          <w:tcPr>
            <w:tcW w:w="4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szCs w:val="21"/>
              </w:rPr>
            </w:pPr>
          </w:p>
        </w:tc>
        <w:tc>
          <w:tcPr>
            <w:tcW w:w="811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kern w:val="0"/>
                <w:szCs w:val="21"/>
              </w:rPr>
            </w:pPr>
            <w:r>
              <w:rPr>
                <w:rFonts w:hint="eastAsia" w:ascii="宋体" w:hAnsi="宋体" w:cs="宋体"/>
                <w:kern w:val="0"/>
                <w:szCs w:val="21"/>
              </w:rPr>
              <w:t>4、体系认证（9分）。企业获得环境管理体系认证证书、职业健康安全管理体系认证证书、质量管理体系认证证书的，每个证书得3分，最高得9分。以证书为准，</w:t>
            </w:r>
            <w:r>
              <w:rPr>
                <w:rFonts w:hint="eastAsia" w:ascii="宋体" w:hAnsi="宋体" w:cs="宋体"/>
                <w:szCs w:val="21"/>
              </w:rPr>
              <w:t>投标文件中附完整的扫描件</w:t>
            </w:r>
            <w:r>
              <w:rPr>
                <w:rFonts w:hint="eastAsia" w:ascii="宋体" w:hAnsi="宋体" w:cs="宋体"/>
                <w:kern w:val="0"/>
                <w:szCs w:val="21"/>
              </w:rPr>
              <w:t>。</w:t>
            </w:r>
            <w:r>
              <w:rPr>
                <w:rFonts w:hint="eastAsia" w:ascii="宋体" w:hAnsi="宋体"/>
                <w:szCs w:val="21"/>
              </w:rPr>
              <w:t>【须提供认证证书和带网址的中国国家认证认可监督管理委员会网页查询截图】</w:t>
            </w:r>
          </w:p>
        </w:tc>
      </w:tr>
      <w:tr>
        <w:tblPrEx>
          <w:tblCellMar>
            <w:top w:w="0" w:type="dxa"/>
            <w:left w:w="108" w:type="dxa"/>
            <w:bottom w:w="0" w:type="dxa"/>
            <w:right w:w="108" w:type="dxa"/>
          </w:tblCellMar>
        </w:tblPrEx>
        <w:trPr>
          <w:trHeight w:val="535" w:hRule="atLeast"/>
        </w:trPr>
        <w:tc>
          <w:tcPr>
            <w:tcW w:w="4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szCs w:val="21"/>
              </w:rPr>
            </w:pPr>
          </w:p>
        </w:tc>
        <w:tc>
          <w:tcPr>
            <w:tcW w:w="8118"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kern w:val="0"/>
                <w:szCs w:val="21"/>
              </w:rPr>
            </w:pPr>
            <w:r>
              <w:rPr>
                <w:rFonts w:hint="eastAsia" w:ascii="宋体" w:hAnsi="宋体" w:cs="宋体"/>
                <w:kern w:val="0"/>
                <w:szCs w:val="21"/>
              </w:rPr>
              <w:t>5、</w:t>
            </w:r>
            <w:r>
              <w:rPr>
                <w:rFonts w:hint="eastAsia" w:ascii="宋体" w:hAnsi="宋体" w:cs="宋体"/>
                <w:b/>
                <w:bCs/>
                <w:kern w:val="0"/>
                <w:szCs w:val="21"/>
              </w:rPr>
              <w:t>员工保险（2分）。公司管理的物业服务项目，购买有雇主责任险（或团体人身意外险）的得2分。（如为团体人身险，人数不得低于20人）。以保险合同为准，</w:t>
            </w:r>
            <w:r>
              <w:rPr>
                <w:rFonts w:hint="eastAsia" w:ascii="宋体" w:hAnsi="宋体" w:cs="宋体"/>
                <w:b/>
                <w:bCs/>
                <w:szCs w:val="21"/>
              </w:rPr>
              <w:t>投标文件中附完整的扫描件</w:t>
            </w:r>
            <w:r>
              <w:rPr>
                <w:rFonts w:hint="eastAsia" w:ascii="宋体" w:hAnsi="宋体" w:cs="宋体"/>
                <w:kern w:val="0"/>
                <w:szCs w:val="21"/>
              </w:rPr>
              <w:t>。</w:t>
            </w:r>
          </w:p>
        </w:tc>
      </w:tr>
      <w:tr>
        <w:tblPrEx>
          <w:tblCellMar>
            <w:top w:w="0" w:type="dxa"/>
            <w:left w:w="108" w:type="dxa"/>
            <w:bottom w:w="0" w:type="dxa"/>
            <w:right w:w="108" w:type="dxa"/>
          </w:tblCellMar>
        </w:tblPrEx>
        <w:trPr>
          <w:cantSplit/>
          <w:trHeight w:val="187" w:hRule="atLeast"/>
        </w:trPr>
        <w:tc>
          <w:tcPr>
            <w:tcW w:w="445" w:type="dxa"/>
            <w:vMerge w:val="restart"/>
            <w:tcBorders>
              <w:top w:val="single" w:color="auto" w:sz="4" w:space="0"/>
              <w:left w:val="double" w:color="auto" w:sz="4" w:space="0"/>
              <w:right w:val="single" w:color="auto" w:sz="4" w:space="0"/>
            </w:tcBorders>
            <w:vAlign w:val="center"/>
          </w:tcPr>
          <w:p>
            <w:pPr>
              <w:rPr>
                <w:rFonts w:ascii="宋体" w:hAnsi="宋体"/>
                <w:kern w:val="0"/>
                <w:szCs w:val="21"/>
              </w:rPr>
            </w:pPr>
            <w:r>
              <w:rPr>
                <w:rFonts w:hint="eastAsia" w:ascii="宋体" w:hAnsi="宋体"/>
                <w:kern w:val="0"/>
                <w:szCs w:val="21"/>
              </w:rPr>
              <w:t>3</w:t>
            </w:r>
          </w:p>
        </w:tc>
        <w:tc>
          <w:tcPr>
            <w:tcW w:w="494" w:type="dxa"/>
            <w:vMerge w:val="restart"/>
            <w:tcBorders>
              <w:top w:val="single" w:color="auto" w:sz="4" w:space="0"/>
              <w:left w:val="single" w:color="auto" w:sz="4" w:space="0"/>
              <w:right w:val="single" w:color="auto" w:sz="4" w:space="0"/>
            </w:tcBorders>
            <w:vAlign w:val="center"/>
          </w:tcPr>
          <w:p>
            <w:pPr>
              <w:pStyle w:val="58"/>
              <w:rPr>
                <w:rFonts w:ascii="宋体" w:hAnsi="宋体"/>
              </w:rPr>
            </w:pPr>
            <w:r>
              <w:rPr>
                <w:rFonts w:hint="eastAsia" w:ascii="Arial" w:hAnsi="Arial" w:cs="Arial"/>
                <w:color w:val="333333"/>
                <w:shd w:val="clear" w:color="auto" w:fill="FFFFFF"/>
              </w:rPr>
              <w:t>物业管理方案</w:t>
            </w:r>
          </w:p>
        </w:tc>
        <w:tc>
          <w:tcPr>
            <w:tcW w:w="672" w:type="dxa"/>
            <w:vMerge w:val="restart"/>
            <w:tcBorders>
              <w:top w:val="single" w:color="auto" w:sz="4" w:space="0"/>
              <w:left w:val="single" w:color="auto" w:sz="4" w:space="0"/>
              <w:right w:val="single" w:color="auto" w:sz="4" w:space="0"/>
            </w:tcBorders>
            <w:vAlign w:val="center"/>
          </w:tcPr>
          <w:p>
            <w:pPr>
              <w:pStyle w:val="58"/>
              <w:rPr>
                <w:rFonts w:ascii="宋体" w:hAnsi="宋体"/>
              </w:rPr>
            </w:pPr>
            <w:r>
              <w:rPr>
                <w:rFonts w:hint="eastAsia" w:ascii="宋体" w:hAnsi="宋体"/>
              </w:rPr>
              <w:t>40</w:t>
            </w: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1、项目特点分析（3分）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根据投标人通过对本项目的特点、难点分析，并要根据难点提出相应的管理措施。（由评委分为三档打分，一档3分，二档2分，三档1分打分，缺项不得分）</w:t>
            </w:r>
          </w:p>
        </w:tc>
      </w:tr>
      <w:tr>
        <w:tblPrEx>
          <w:tblCellMar>
            <w:top w:w="0" w:type="dxa"/>
            <w:left w:w="108" w:type="dxa"/>
            <w:bottom w:w="0" w:type="dxa"/>
            <w:right w:w="108" w:type="dxa"/>
          </w:tblCellMar>
        </w:tblPrEx>
        <w:trPr>
          <w:cantSplit/>
          <w:trHeight w:val="145"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2、服务模式（3分）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投标人根据项目具体情况，设计服务模式、机制并提出服务的理念等。（由评委分为三档打分，一档3分，二档2分，三档1分打分，缺项不得分）</w:t>
            </w:r>
          </w:p>
        </w:tc>
      </w:tr>
      <w:tr>
        <w:tblPrEx>
          <w:tblCellMar>
            <w:top w:w="0" w:type="dxa"/>
            <w:left w:w="108" w:type="dxa"/>
            <w:bottom w:w="0" w:type="dxa"/>
            <w:right w:w="108" w:type="dxa"/>
          </w:tblCellMar>
        </w:tblPrEx>
        <w:trPr>
          <w:cantSplit/>
          <w:trHeight w:val="315"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3、服务目标及质量管理措施（5分）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投标人根据服务内容承诺各项管理目标，并提出质量管理措施。（由评委分为三档打分，一档5分，二档3分，三档1分打分，缺项不得分）</w:t>
            </w:r>
          </w:p>
        </w:tc>
      </w:tr>
      <w:tr>
        <w:tblPrEx>
          <w:tblCellMar>
            <w:top w:w="0" w:type="dxa"/>
            <w:left w:w="108" w:type="dxa"/>
            <w:bottom w:w="0" w:type="dxa"/>
            <w:right w:w="108" w:type="dxa"/>
          </w:tblCellMar>
        </w:tblPrEx>
        <w:trPr>
          <w:cantSplit/>
          <w:trHeight w:val="355"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4、设备设施维护方案（5分）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根据各投标人提供的设备设施管理运行与维护方案。（由评委分为三档打分，一档5分，二档3分，三档1分打分，缺项不得分）</w:t>
            </w:r>
          </w:p>
        </w:tc>
      </w:tr>
      <w:tr>
        <w:tblPrEx>
          <w:tblCellMar>
            <w:top w:w="0" w:type="dxa"/>
            <w:left w:w="108" w:type="dxa"/>
            <w:bottom w:w="0" w:type="dxa"/>
            <w:right w:w="108" w:type="dxa"/>
          </w:tblCellMar>
        </w:tblPrEx>
        <w:trPr>
          <w:cantSplit/>
          <w:trHeight w:val="329"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5、养护及保洁服务方案（5分）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根据各投标人提供的养护及保洁服务方案的针对性与合理性。（由评委分为三档打分，一档5分，二档3分，三档1分打分，缺项不得分）</w:t>
            </w:r>
          </w:p>
        </w:tc>
      </w:tr>
      <w:tr>
        <w:tblPrEx>
          <w:tblCellMar>
            <w:top w:w="0" w:type="dxa"/>
            <w:left w:w="108" w:type="dxa"/>
            <w:bottom w:w="0" w:type="dxa"/>
            <w:right w:w="108" w:type="dxa"/>
          </w:tblCellMar>
        </w:tblPrEx>
        <w:trPr>
          <w:cantSplit/>
          <w:trHeight w:val="710"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6、人员配置、管理方案（3分）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投标人根据服务内容.标准提出相应的人员配置方案的合理性，及人员管理方案的针对性与有效性（由评委分为三档打分，一档3分，二档2分，三档1分打分，缺项不得分）。</w:t>
            </w:r>
          </w:p>
        </w:tc>
      </w:tr>
      <w:tr>
        <w:tblPrEx>
          <w:tblCellMar>
            <w:top w:w="0" w:type="dxa"/>
            <w:left w:w="108" w:type="dxa"/>
            <w:bottom w:w="0" w:type="dxa"/>
            <w:right w:w="108" w:type="dxa"/>
          </w:tblCellMar>
        </w:tblPrEx>
        <w:trPr>
          <w:cantSplit/>
          <w:trHeight w:val="305"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7、物资装备计划（3分）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根据投标人提供的物资装备计划的针对性与合理性。（由评委分为三档打分，一档3分，二档2分，三档1分打分，缺项不得分）</w:t>
            </w:r>
          </w:p>
        </w:tc>
      </w:tr>
      <w:tr>
        <w:tblPrEx>
          <w:tblCellMar>
            <w:top w:w="0" w:type="dxa"/>
            <w:left w:w="108" w:type="dxa"/>
            <w:bottom w:w="0" w:type="dxa"/>
            <w:right w:w="108" w:type="dxa"/>
          </w:tblCellMar>
        </w:tblPrEx>
        <w:trPr>
          <w:cantSplit/>
          <w:trHeight w:val="504"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8、与采购人联动机制（3分）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根据投标人提供与采购人联动机制的全面性与实用性，（由评委分为三档打分，一档3分，二档2分，三档1分打分，缺项不得分）</w:t>
            </w:r>
          </w:p>
        </w:tc>
      </w:tr>
      <w:tr>
        <w:tblPrEx>
          <w:tblCellMar>
            <w:top w:w="0" w:type="dxa"/>
            <w:left w:w="108" w:type="dxa"/>
            <w:bottom w:w="0" w:type="dxa"/>
            <w:right w:w="108" w:type="dxa"/>
          </w:tblCellMar>
        </w:tblPrEx>
        <w:trPr>
          <w:cantSplit/>
          <w:trHeight w:val="193"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tcPr>
          <w:p>
            <w:pPr>
              <w:pStyle w:val="21"/>
              <w:widowControl/>
              <w:spacing w:line="440" w:lineRule="exact"/>
              <w:rPr>
                <w:rFonts w:ascii="宋体" w:hAnsi="宋体"/>
                <w:sz w:val="21"/>
                <w:szCs w:val="21"/>
              </w:rPr>
            </w:pPr>
            <w:r>
              <w:rPr>
                <w:rFonts w:hint="eastAsia" w:ascii="宋体" w:hAnsi="宋体"/>
                <w:sz w:val="21"/>
                <w:szCs w:val="21"/>
              </w:rPr>
              <w:t>9、应急预案（5分）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根据投标人提供各种应急预案的全面性与针对性。（由评委分为三档打分，一档5分，二档3分，三档1分打分，缺项不得分）</w:t>
            </w:r>
          </w:p>
        </w:tc>
      </w:tr>
      <w:tr>
        <w:tblPrEx>
          <w:tblCellMar>
            <w:top w:w="0" w:type="dxa"/>
            <w:left w:w="108" w:type="dxa"/>
            <w:bottom w:w="0" w:type="dxa"/>
            <w:right w:w="108" w:type="dxa"/>
          </w:tblCellMar>
        </w:tblPrEx>
        <w:trPr>
          <w:cantSplit/>
          <w:trHeight w:val="193"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58"/>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58"/>
              <w:rPr>
                <w:rFonts w:ascii="宋体" w:hAnsi="宋体"/>
              </w:rPr>
            </w:pPr>
          </w:p>
        </w:tc>
        <w:tc>
          <w:tcPr>
            <w:tcW w:w="151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10、服务承诺（5分）</w:t>
            </w:r>
          </w:p>
        </w:tc>
        <w:tc>
          <w:tcPr>
            <w:tcW w:w="6603" w:type="dxa"/>
            <w:tcBorders>
              <w:top w:val="single" w:color="auto" w:sz="4" w:space="0"/>
              <w:left w:val="single" w:color="auto" w:sz="4" w:space="0"/>
              <w:bottom w:val="single" w:color="auto" w:sz="4" w:space="0"/>
              <w:right w:val="double" w:color="auto" w:sz="4" w:space="0"/>
            </w:tcBorders>
          </w:tcPr>
          <w:p>
            <w:pPr>
              <w:pStyle w:val="21"/>
              <w:widowControl/>
              <w:spacing w:line="440" w:lineRule="exact"/>
              <w:rPr>
                <w:rFonts w:ascii="宋体" w:hAnsi="宋体"/>
                <w:sz w:val="21"/>
                <w:szCs w:val="21"/>
              </w:rPr>
            </w:pPr>
            <w:r>
              <w:rPr>
                <w:rFonts w:hint="eastAsia" w:ascii="宋体" w:hAnsi="宋体"/>
                <w:sz w:val="21"/>
                <w:szCs w:val="21"/>
              </w:rPr>
              <w:t>具有完善的服务计划，具有为采购人排忧解难的制度安排。由评委综合比较分为三档，一档5分，二档3分，三档1分打分，无服务计划不得分。</w:t>
            </w:r>
          </w:p>
        </w:tc>
      </w:tr>
      <w:tr>
        <w:tblPrEx>
          <w:tblCellMar>
            <w:top w:w="0" w:type="dxa"/>
            <w:left w:w="108" w:type="dxa"/>
            <w:bottom w:w="0" w:type="dxa"/>
            <w:right w:w="108" w:type="dxa"/>
          </w:tblCellMar>
        </w:tblPrEx>
        <w:trPr>
          <w:trHeight w:val="455" w:hRule="atLeast"/>
        </w:trPr>
        <w:tc>
          <w:tcPr>
            <w:tcW w:w="939" w:type="dxa"/>
            <w:gridSpan w:val="2"/>
            <w:tcBorders>
              <w:top w:val="single" w:color="auto" w:sz="4" w:space="0"/>
              <w:left w:val="double" w:color="auto" w:sz="4" w:space="0"/>
              <w:bottom w:val="double" w:color="auto" w:sz="4" w:space="0"/>
              <w:right w:val="single" w:color="auto" w:sz="4" w:space="0"/>
            </w:tcBorders>
            <w:vAlign w:val="center"/>
          </w:tcPr>
          <w:p>
            <w:pPr>
              <w:rPr>
                <w:rFonts w:ascii="宋体" w:hAnsi="宋体"/>
                <w:kern w:val="0"/>
                <w:sz w:val="22"/>
              </w:rPr>
            </w:pPr>
            <w:r>
              <w:rPr>
                <w:rFonts w:hint="eastAsia" w:ascii="宋体" w:hAnsi="宋体"/>
                <w:kern w:val="0"/>
                <w:sz w:val="22"/>
              </w:rPr>
              <w:t>合计</w:t>
            </w:r>
          </w:p>
        </w:tc>
        <w:tc>
          <w:tcPr>
            <w:tcW w:w="672" w:type="dxa"/>
            <w:tcBorders>
              <w:top w:val="single" w:color="auto" w:sz="4" w:space="0"/>
              <w:left w:val="single" w:color="auto" w:sz="4" w:space="0"/>
              <w:bottom w:val="double" w:color="auto" w:sz="4" w:space="0"/>
              <w:right w:val="single" w:color="auto" w:sz="4" w:space="0"/>
            </w:tcBorders>
            <w:vAlign w:val="center"/>
          </w:tcPr>
          <w:p>
            <w:pPr>
              <w:rPr>
                <w:rFonts w:ascii="宋体" w:hAnsi="宋体"/>
                <w:kern w:val="0"/>
                <w:sz w:val="22"/>
              </w:rPr>
            </w:pPr>
            <w:r>
              <w:rPr>
                <w:rFonts w:hint="eastAsia" w:ascii="宋体" w:hAnsi="宋体"/>
                <w:kern w:val="0"/>
                <w:sz w:val="22"/>
              </w:rPr>
              <w:t>100</w:t>
            </w:r>
          </w:p>
        </w:tc>
        <w:tc>
          <w:tcPr>
            <w:tcW w:w="8118" w:type="dxa"/>
            <w:gridSpan w:val="2"/>
            <w:tcBorders>
              <w:top w:val="single" w:color="auto" w:sz="4" w:space="0"/>
              <w:left w:val="single" w:color="auto" w:sz="4" w:space="0"/>
              <w:bottom w:val="double" w:color="auto" w:sz="4" w:space="0"/>
              <w:right w:val="double" w:color="auto" w:sz="4" w:space="0"/>
            </w:tcBorders>
            <w:vAlign w:val="center"/>
          </w:tcPr>
          <w:p>
            <w:pPr>
              <w:rPr>
                <w:rFonts w:ascii="宋体" w:hAnsi="宋体"/>
                <w:kern w:val="0"/>
                <w:sz w:val="22"/>
              </w:rPr>
            </w:pPr>
            <w:r>
              <w:rPr>
                <w:rFonts w:hint="eastAsia" w:ascii="宋体" w:hAnsi="宋体"/>
                <w:kern w:val="0"/>
                <w:sz w:val="22"/>
              </w:rPr>
              <w:t xml:space="preserve"> </w:t>
            </w:r>
          </w:p>
        </w:tc>
      </w:tr>
    </w:tbl>
    <w:p>
      <w:pPr>
        <w:spacing w:line="360" w:lineRule="auto"/>
        <w:ind w:firstLine="422" w:firstLineChars="200"/>
        <w:rPr>
          <w:rFonts w:cs="仿宋_GB2312" w:asciiTheme="minorEastAsia" w:hAnsiTheme="minorEastAsia"/>
          <w:b/>
          <w:szCs w:val="21"/>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1"/>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jc w:val="center"/>
        <w:rPr>
          <w:rFonts w:cs="黑体" w:asciiTheme="minorEastAsia" w:hAnsiTheme="minorEastAsia"/>
          <w:b/>
          <w:bCs/>
          <w:sz w:val="44"/>
          <w:szCs w:val="44"/>
          <w:lang w:val="zh-CN"/>
        </w:rPr>
      </w:pP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4" w:name="_Toc186274126"/>
      <w:bookmarkStart w:id="5" w:name="_Toc184023138"/>
      <w:bookmarkStart w:id="6" w:name="_Toc174185203"/>
      <w:r>
        <w:rPr>
          <w:rFonts w:hint="eastAsia" w:cs="黑体" w:asciiTheme="minorEastAsia" w:hAnsiTheme="minorEastAsia" w:eastAsiaTheme="minorEastAsia"/>
          <w:color w:val="auto"/>
          <w:kern w:val="2"/>
          <w:sz w:val="28"/>
          <w:szCs w:val="28"/>
          <w:lang w:val="zh-CN"/>
        </w:rPr>
        <w:t>一、投标人应答索引表</w:t>
      </w:r>
      <w:bookmarkEnd w:id="4"/>
      <w:bookmarkEnd w:id="5"/>
      <w:bookmarkEnd w:id="6"/>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致：采购人</w:t>
      </w:r>
      <w:r>
        <w:rPr>
          <w:rFonts w:asciiTheme="minorEastAsia" w:hAnsiTheme="minorEastAsia"/>
          <w:b/>
          <w:snapToGrid w:val="0"/>
          <w:kern w:val="0"/>
          <w:szCs w:val="21"/>
        </w:rPr>
        <w:t xml:space="preserve"> </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宋体" w:hAnsi="宋体"/>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宋体" w:hAnsi="宋体"/>
          <w:szCs w:val="21"/>
        </w:rPr>
      </w:pPr>
      <w:r>
        <w:rPr>
          <w:rFonts w:hint="eastAsia" w:ascii="宋体" w:hAnsi="宋体"/>
          <w:szCs w:val="21"/>
        </w:rPr>
        <w:t>在此提交的投标文件，正本一份，副本一份。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ascii="宋体" w:hAnsi="宋体"/>
          <w:szCs w:val="21"/>
        </w:rPr>
        <w:t>我方已完全明白招标文件的所有</w:t>
      </w:r>
      <w:r>
        <w:rPr>
          <w:rFonts w:hint="eastAsia" w:cs="Courier New" w:asciiTheme="minorEastAsia" w:hAnsiTheme="minorEastAsia"/>
          <w:szCs w:val="21"/>
        </w:rPr>
        <w:t>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我方同意在本项目招标文件中规定的开标日起60天内遵守本投标文件中的承诺且在此期限期满之前均具有约束力。我方同意并遵守本招标文件“投标人须知”中第十四条第三款关于延长投标有效期的规定。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三、我方明白并同意，在规定的开标日之后，投标有效期之内撤销投标的，则我方承担违背投标承诺的责任追究。</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asciiTheme="majorEastAsia" w:hAnsiTheme="majorEastAsia" w:eastAsiaTheme="majorEastAsia"/>
          <w:b/>
          <w:bCs/>
          <w:color w:val="000000"/>
          <w:sz w:val="24"/>
          <w:szCs w:val="24"/>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0"/>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0"/>
        <w:spacing w:line="480" w:lineRule="auto"/>
        <w:ind w:firstLine="472" w:firstLineChars="225"/>
        <w:jc w:val="left"/>
        <w:rPr>
          <w:rFonts w:asciiTheme="minorEastAsia" w:hAnsiTheme="minorEastAsia"/>
          <w:color w:val="000000"/>
          <w:sz w:val="21"/>
          <w:szCs w:val="21"/>
        </w:rPr>
      </w:pPr>
    </w:p>
    <w:p>
      <w:pPr>
        <w:pStyle w:val="40"/>
        <w:spacing w:line="480" w:lineRule="auto"/>
        <w:ind w:firstLine="472" w:firstLineChars="225"/>
        <w:jc w:val="left"/>
        <w:rPr>
          <w:rFonts w:asciiTheme="minorEastAsia" w:hAnsiTheme="minorEastAsia"/>
          <w:color w:val="000000"/>
          <w:sz w:val="21"/>
          <w:szCs w:val="21"/>
        </w:rPr>
      </w:pPr>
    </w:p>
    <w:p>
      <w:pPr>
        <w:pStyle w:val="40"/>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0"/>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3"/>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2"/>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7" w:name="_资格证明文件"/>
            <w:bookmarkEnd w:id="7"/>
            <w:bookmarkStart w:id="8"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8"/>
          </w:p>
        </w:tc>
        <w:tc>
          <w:tcPr>
            <w:tcW w:w="4492" w:type="dxa"/>
            <w:gridSpan w:val="2"/>
            <w:vAlign w:val="center"/>
          </w:tcPr>
          <w:p>
            <w:pPr>
              <w:jc w:val="center"/>
              <w:rPr>
                <w:rFonts w:asciiTheme="minorEastAsia" w:hAnsiTheme="minorEastAsia"/>
                <w:szCs w:val="21"/>
              </w:rPr>
            </w:pPr>
            <w:bookmarkStart w:id="9"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9"/>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投标人名称（盖章）：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采购人</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年____月日</w:t>
      </w:r>
      <w:r>
        <w:rPr>
          <w:rFonts w:ascii="宋体" w:hAnsi="宋体" w:eastAsia="宋体" w:cs="宋体"/>
          <w:szCs w:val="21"/>
          <w:u w:val="single"/>
          <w:lang w:val="zh-CN"/>
        </w:rPr>
        <w:t>_</w:t>
      </w:r>
      <w:r>
        <w:rPr>
          <w:rFonts w:hint="eastAsia" w:cs="宋体" w:asciiTheme="minorEastAsia" w:hAnsiTheme="minorEastAsia"/>
          <w:szCs w:val="21"/>
          <w:lang w:val="zh-CN"/>
        </w:rPr>
        <w:t>（招标编号、项目名称）的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投标人名称（盖章）：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说明：所投产品节能认证证书须附后。</w:t>
      </w: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7"/>
              <w:spacing w:line="360" w:lineRule="auto"/>
              <w:rPr>
                <w:rFonts w:ascii="宋体" w:hAnsi="宋体" w:eastAsia="宋体" w:cs="Times New Roman"/>
                <w:sz w:val="21"/>
                <w:szCs w:val="21"/>
              </w:rPr>
            </w:pPr>
          </w:p>
        </w:tc>
        <w:tc>
          <w:tcPr>
            <w:tcW w:w="1518" w:type="dxa"/>
            <w:vAlign w:val="center"/>
          </w:tcPr>
          <w:p>
            <w:pPr>
              <w:pStyle w:val="7"/>
              <w:spacing w:line="360" w:lineRule="auto"/>
              <w:rPr>
                <w:rFonts w:ascii="宋体" w:hAnsi="宋体" w:eastAsia="宋体" w:cs="Times New Roman"/>
                <w:sz w:val="21"/>
                <w:szCs w:val="21"/>
              </w:rPr>
            </w:pPr>
          </w:p>
        </w:tc>
        <w:tc>
          <w:tcPr>
            <w:tcW w:w="1240" w:type="dxa"/>
          </w:tcPr>
          <w:p>
            <w:pPr>
              <w:pStyle w:val="7"/>
              <w:spacing w:line="360" w:lineRule="auto"/>
              <w:rPr>
                <w:rFonts w:ascii="宋体" w:hAnsi="宋体" w:eastAsia="宋体" w:cs="Times New Roman"/>
                <w:sz w:val="21"/>
                <w:szCs w:val="21"/>
              </w:rPr>
            </w:pPr>
          </w:p>
        </w:tc>
        <w:tc>
          <w:tcPr>
            <w:tcW w:w="1648" w:type="dxa"/>
          </w:tcPr>
          <w:p>
            <w:pPr>
              <w:pStyle w:val="7"/>
              <w:spacing w:line="360" w:lineRule="auto"/>
              <w:rPr>
                <w:rFonts w:ascii="宋体" w:hAnsi="宋体" w:eastAsia="宋体" w:cs="Times New Roman"/>
                <w:sz w:val="21"/>
                <w:szCs w:val="21"/>
              </w:rPr>
            </w:pPr>
          </w:p>
        </w:tc>
        <w:tc>
          <w:tcPr>
            <w:tcW w:w="1600" w:type="dxa"/>
          </w:tcPr>
          <w:p>
            <w:pPr>
              <w:pStyle w:val="7"/>
              <w:spacing w:line="360" w:lineRule="auto"/>
              <w:rPr>
                <w:rFonts w:ascii="宋体" w:hAnsi="宋体" w:eastAsia="宋体" w:cs="Times New Roman"/>
                <w:sz w:val="21"/>
                <w:szCs w:val="21"/>
              </w:rPr>
            </w:pPr>
          </w:p>
        </w:tc>
        <w:tc>
          <w:tcPr>
            <w:tcW w:w="1417" w:type="dxa"/>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ind w:left="630" w:hanging="630" w:hangingChars="300"/>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投标人名称（盖章）：　　　　　　　　　</w:t>
      </w:r>
      <w:r>
        <w:rPr>
          <w:rFonts w:hint="eastAsia" w:cs="Arial" w:asciiTheme="minorEastAsia" w:hAnsiTheme="minorEastAsia"/>
          <w:color w:val="000000"/>
          <w:szCs w:val="21"/>
        </w:rPr>
        <w:br w:type="textWrapping"/>
      </w:r>
      <w:r>
        <w:rPr>
          <w:rFonts w:hint="eastAsia" w:cs="Arial" w:asciiTheme="minorEastAsia" w:hAnsiTheme="minorEastAsia"/>
          <w:color w:val="000000"/>
          <w:szCs w:val="21"/>
        </w:rPr>
        <w:t>日　  期：      年    月    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0" w:name="OLE_LINK14"/>
      <w:bookmarkStart w:id="11" w:name="OLE_LINK13"/>
      <w:r>
        <w:rPr>
          <w:rFonts w:hint="eastAsia" w:ascii="宋体" w:hAnsi="宋体"/>
          <w:b/>
          <w:bCs/>
          <w:color w:val="000000"/>
          <w:sz w:val="24"/>
          <w:szCs w:val="24"/>
        </w:rPr>
        <w:t>4.10 残疾人福利性单位声明函</w:t>
      </w:r>
    </w:p>
    <w:bookmarkEnd w:id="10"/>
    <w:bookmarkEnd w:id="11"/>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单位名称（盖章）：</w:t>
      </w:r>
    </w:p>
    <w:p>
      <w:pPr>
        <w:spacing w:line="480" w:lineRule="auto"/>
        <w:ind w:left="4358" w:leftChars="2075"/>
        <w:rPr>
          <w:rFonts w:cs="Arial" w:asciiTheme="minorEastAsia" w:hAnsiTheme="minorEastAsia"/>
          <w:color w:val="000000"/>
          <w:szCs w:val="21"/>
        </w:rPr>
      </w:pPr>
      <w:r>
        <w:rPr>
          <w:rFonts w:hint="eastAsia" w:cs="Arial" w:asciiTheme="minorEastAsia" w:hAnsiTheme="minorEastAsia"/>
          <w:color w:val="000000"/>
          <w:szCs w:val="21"/>
        </w:rPr>
        <w:t xml:space="preserve"> 日    期：      年    月    日</w:t>
      </w:r>
    </w:p>
    <w:p>
      <w:pPr>
        <w:spacing w:line="480" w:lineRule="auto"/>
        <w:ind w:left="4358" w:leftChars="2075"/>
        <w:rPr>
          <w:rFonts w:cs="Arial" w:asciiTheme="minorEastAsia" w:hAnsiTheme="minorEastAsia"/>
          <w:color w:val="000000"/>
          <w:szCs w:val="21"/>
        </w:rPr>
      </w:pPr>
    </w:p>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449F7"/>
    <w:multiLevelType w:val="singleLevel"/>
    <w:tmpl w:val="86E449F7"/>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C2"/>
    <w:multiLevelType w:val="singleLevel"/>
    <w:tmpl w:val="59F817C2"/>
    <w:lvl w:ilvl="0" w:tentative="0">
      <w:start w:val="2"/>
      <w:numFmt w:val="chineseCounting"/>
      <w:suff w:val="space"/>
      <w:lvlText w:val="第%1章"/>
      <w:lvlJc w:val="left"/>
    </w:lvl>
  </w:abstractNum>
  <w:abstractNum w:abstractNumId="13">
    <w:nsid w:val="59F817E8"/>
    <w:multiLevelType w:val="singleLevel"/>
    <w:tmpl w:val="59F817E8"/>
    <w:lvl w:ilvl="0" w:tentative="0">
      <w:start w:val="1"/>
      <w:numFmt w:val="chineseCounting"/>
      <w:pStyle w:val="49"/>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97BBD60"/>
    <w:multiLevelType w:val="singleLevel"/>
    <w:tmpl w:val="797BBD60"/>
    <w:lvl w:ilvl="0" w:tentative="0">
      <w:start w:val="2"/>
      <w:numFmt w:val="decimal"/>
      <w:suff w:val="nothing"/>
      <w:lvlText w:val="%1、"/>
      <w:lvlJc w:val="left"/>
    </w:lvl>
  </w:abstractNum>
  <w:abstractNum w:abstractNumId="17">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3"/>
  </w:num>
  <w:num w:numId="4">
    <w:abstractNumId w:val="12"/>
  </w:num>
  <w:num w:numId="5">
    <w:abstractNumId w:val="0"/>
  </w:num>
  <w:num w:numId="6">
    <w:abstractNumId w:val="8"/>
  </w:num>
  <w:num w:numId="7">
    <w:abstractNumId w:val="14"/>
  </w:num>
  <w:num w:numId="8">
    <w:abstractNumId w:val="5"/>
  </w:num>
  <w:num w:numId="9">
    <w:abstractNumId w:val="6"/>
  </w:num>
  <w:num w:numId="10">
    <w:abstractNumId w:val="17"/>
  </w:num>
  <w:num w:numId="11">
    <w:abstractNumId w:val="10"/>
  </w:num>
  <w:num w:numId="12">
    <w:abstractNumId w:val="15"/>
  </w:num>
  <w:num w:numId="13">
    <w:abstractNumId w:val="4"/>
  </w:num>
  <w:num w:numId="14">
    <w:abstractNumId w:val="7"/>
  </w:num>
  <w:num w:numId="15">
    <w:abstractNumId w:val="11"/>
  </w:num>
  <w:num w:numId="16">
    <w:abstractNumId w:val="9"/>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4C"/>
    <w:rsid w:val="0001370A"/>
    <w:rsid w:val="0002244E"/>
    <w:rsid w:val="00032E32"/>
    <w:rsid w:val="000332D6"/>
    <w:rsid w:val="000346ED"/>
    <w:rsid w:val="000576C2"/>
    <w:rsid w:val="00057F7C"/>
    <w:rsid w:val="00073D7B"/>
    <w:rsid w:val="00075D7D"/>
    <w:rsid w:val="000779E8"/>
    <w:rsid w:val="00077E62"/>
    <w:rsid w:val="00080F36"/>
    <w:rsid w:val="00085F8B"/>
    <w:rsid w:val="0008676F"/>
    <w:rsid w:val="000873AE"/>
    <w:rsid w:val="000928D7"/>
    <w:rsid w:val="00094EAD"/>
    <w:rsid w:val="000A4572"/>
    <w:rsid w:val="000A6110"/>
    <w:rsid w:val="000B34C4"/>
    <w:rsid w:val="000B5686"/>
    <w:rsid w:val="000C75A7"/>
    <w:rsid w:val="000D07EA"/>
    <w:rsid w:val="000D2DED"/>
    <w:rsid w:val="000D39AC"/>
    <w:rsid w:val="00100BEF"/>
    <w:rsid w:val="001013D9"/>
    <w:rsid w:val="0010571F"/>
    <w:rsid w:val="00117B60"/>
    <w:rsid w:val="00121E2F"/>
    <w:rsid w:val="00133EDE"/>
    <w:rsid w:val="00142DB6"/>
    <w:rsid w:val="0015237B"/>
    <w:rsid w:val="00152A00"/>
    <w:rsid w:val="00156EC1"/>
    <w:rsid w:val="00160E65"/>
    <w:rsid w:val="00162C1E"/>
    <w:rsid w:val="001669F3"/>
    <w:rsid w:val="00166E01"/>
    <w:rsid w:val="00181D66"/>
    <w:rsid w:val="0019038A"/>
    <w:rsid w:val="001B474D"/>
    <w:rsid w:val="001D2E1A"/>
    <w:rsid w:val="001D4207"/>
    <w:rsid w:val="001D68FA"/>
    <w:rsid w:val="001E7C2C"/>
    <w:rsid w:val="001F5571"/>
    <w:rsid w:val="00203BE3"/>
    <w:rsid w:val="00210C2B"/>
    <w:rsid w:val="00210FCB"/>
    <w:rsid w:val="00250C01"/>
    <w:rsid w:val="002863C2"/>
    <w:rsid w:val="00293C27"/>
    <w:rsid w:val="002945DA"/>
    <w:rsid w:val="002A5B82"/>
    <w:rsid w:val="002C1571"/>
    <w:rsid w:val="002C42F6"/>
    <w:rsid w:val="002C7916"/>
    <w:rsid w:val="002D494E"/>
    <w:rsid w:val="002D4951"/>
    <w:rsid w:val="002E2CED"/>
    <w:rsid w:val="002F3A7B"/>
    <w:rsid w:val="002F4123"/>
    <w:rsid w:val="00302F61"/>
    <w:rsid w:val="003033ED"/>
    <w:rsid w:val="003044A3"/>
    <w:rsid w:val="003161BC"/>
    <w:rsid w:val="00320DAC"/>
    <w:rsid w:val="00323356"/>
    <w:rsid w:val="003242B4"/>
    <w:rsid w:val="003305F9"/>
    <w:rsid w:val="00335F83"/>
    <w:rsid w:val="00337912"/>
    <w:rsid w:val="0034111D"/>
    <w:rsid w:val="003552A2"/>
    <w:rsid w:val="00372961"/>
    <w:rsid w:val="00380CFB"/>
    <w:rsid w:val="0038333D"/>
    <w:rsid w:val="00390295"/>
    <w:rsid w:val="003A03A0"/>
    <w:rsid w:val="003B2838"/>
    <w:rsid w:val="003B75ED"/>
    <w:rsid w:val="003C7F5A"/>
    <w:rsid w:val="003D6794"/>
    <w:rsid w:val="003F5CD2"/>
    <w:rsid w:val="00406170"/>
    <w:rsid w:val="00410B93"/>
    <w:rsid w:val="00414383"/>
    <w:rsid w:val="004207F8"/>
    <w:rsid w:val="00422114"/>
    <w:rsid w:val="0044305C"/>
    <w:rsid w:val="004438F4"/>
    <w:rsid w:val="00461483"/>
    <w:rsid w:val="00473ADD"/>
    <w:rsid w:val="00476C13"/>
    <w:rsid w:val="0048573C"/>
    <w:rsid w:val="00486FE2"/>
    <w:rsid w:val="004A1AF2"/>
    <w:rsid w:val="004A383B"/>
    <w:rsid w:val="004A4195"/>
    <w:rsid w:val="004B054D"/>
    <w:rsid w:val="004C01E2"/>
    <w:rsid w:val="004E07F6"/>
    <w:rsid w:val="004E0F6D"/>
    <w:rsid w:val="004E5765"/>
    <w:rsid w:val="004F121A"/>
    <w:rsid w:val="004F1C5F"/>
    <w:rsid w:val="004F32A0"/>
    <w:rsid w:val="004F7AD2"/>
    <w:rsid w:val="00501891"/>
    <w:rsid w:val="00515F85"/>
    <w:rsid w:val="00521623"/>
    <w:rsid w:val="0052728E"/>
    <w:rsid w:val="005316FF"/>
    <w:rsid w:val="0054649B"/>
    <w:rsid w:val="00550D0B"/>
    <w:rsid w:val="005579B6"/>
    <w:rsid w:val="00567B17"/>
    <w:rsid w:val="00575D26"/>
    <w:rsid w:val="0057676D"/>
    <w:rsid w:val="0058008A"/>
    <w:rsid w:val="0058369C"/>
    <w:rsid w:val="0058393C"/>
    <w:rsid w:val="0058525C"/>
    <w:rsid w:val="00595AE4"/>
    <w:rsid w:val="005A3857"/>
    <w:rsid w:val="005A39DD"/>
    <w:rsid w:val="005A4753"/>
    <w:rsid w:val="005B0C29"/>
    <w:rsid w:val="005B52B6"/>
    <w:rsid w:val="005C0CF5"/>
    <w:rsid w:val="005C3AE6"/>
    <w:rsid w:val="005C5F5B"/>
    <w:rsid w:val="005C67C8"/>
    <w:rsid w:val="005D7666"/>
    <w:rsid w:val="005E534D"/>
    <w:rsid w:val="005F225E"/>
    <w:rsid w:val="005F6F6A"/>
    <w:rsid w:val="00600306"/>
    <w:rsid w:val="006078AC"/>
    <w:rsid w:val="00614340"/>
    <w:rsid w:val="00617A3D"/>
    <w:rsid w:val="00620785"/>
    <w:rsid w:val="006303FC"/>
    <w:rsid w:val="00630CA6"/>
    <w:rsid w:val="00634FA0"/>
    <w:rsid w:val="00636AAD"/>
    <w:rsid w:val="00641150"/>
    <w:rsid w:val="00642CFC"/>
    <w:rsid w:val="006503D0"/>
    <w:rsid w:val="0066419E"/>
    <w:rsid w:val="00667B6D"/>
    <w:rsid w:val="0067302F"/>
    <w:rsid w:val="0067566A"/>
    <w:rsid w:val="0067738B"/>
    <w:rsid w:val="00680752"/>
    <w:rsid w:val="00680AFA"/>
    <w:rsid w:val="0068663A"/>
    <w:rsid w:val="0069025C"/>
    <w:rsid w:val="006907F7"/>
    <w:rsid w:val="00693F99"/>
    <w:rsid w:val="006A3D75"/>
    <w:rsid w:val="006B3D9A"/>
    <w:rsid w:val="006B4BB3"/>
    <w:rsid w:val="006B7982"/>
    <w:rsid w:val="006D10FD"/>
    <w:rsid w:val="006D4496"/>
    <w:rsid w:val="006D5FEB"/>
    <w:rsid w:val="006D7001"/>
    <w:rsid w:val="006D77A9"/>
    <w:rsid w:val="006E145E"/>
    <w:rsid w:val="006E1967"/>
    <w:rsid w:val="006E1AB0"/>
    <w:rsid w:val="006E3E32"/>
    <w:rsid w:val="006F5EBA"/>
    <w:rsid w:val="00702C35"/>
    <w:rsid w:val="0071006A"/>
    <w:rsid w:val="00717D9E"/>
    <w:rsid w:val="0072406E"/>
    <w:rsid w:val="00733882"/>
    <w:rsid w:val="00736FD5"/>
    <w:rsid w:val="00750835"/>
    <w:rsid w:val="00765BB6"/>
    <w:rsid w:val="00770487"/>
    <w:rsid w:val="00780EF2"/>
    <w:rsid w:val="00784A09"/>
    <w:rsid w:val="00794F26"/>
    <w:rsid w:val="0079532F"/>
    <w:rsid w:val="007A1275"/>
    <w:rsid w:val="007A5977"/>
    <w:rsid w:val="007B0A8C"/>
    <w:rsid w:val="007C3980"/>
    <w:rsid w:val="007D71A1"/>
    <w:rsid w:val="007E0E82"/>
    <w:rsid w:val="007F4CBA"/>
    <w:rsid w:val="007F6674"/>
    <w:rsid w:val="00807B25"/>
    <w:rsid w:val="00815A8A"/>
    <w:rsid w:val="00823F0C"/>
    <w:rsid w:val="00835490"/>
    <w:rsid w:val="0084403D"/>
    <w:rsid w:val="00845044"/>
    <w:rsid w:val="00845E73"/>
    <w:rsid w:val="00847441"/>
    <w:rsid w:val="008543A6"/>
    <w:rsid w:val="0087048A"/>
    <w:rsid w:val="00872B2B"/>
    <w:rsid w:val="00875AAF"/>
    <w:rsid w:val="0087617D"/>
    <w:rsid w:val="008828F3"/>
    <w:rsid w:val="00892943"/>
    <w:rsid w:val="00895D33"/>
    <w:rsid w:val="008A5A2E"/>
    <w:rsid w:val="008B01DC"/>
    <w:rsid w:val="008B132A"/>
    <w:rsid w:val="008B5CD5"/>
    <w:rsid w:val="008B7021"/>
    <w:rsid w:val="008C5D9C"/>
    <w:rsid w:val="008D0201"/>
    <w:rsid w:val="008D2D0F"/>
    <w:rsid w:val="008D76DD"/>
    <w:rsid w:val="008E276D"/>
    <w:rsid w:val="008E7B4D"/>
    <w:rsid w:val="008F0CB1"/>
    <w:rsid w:val="009164E8"/>
    <w:rsid w:val="00926299"/>
    <w:rsid w:val="009410BE"/>
    <w:rsid w:val="00951B07"/>
    <w:rsid w:val="00956A32"/>
    <w:rsid w:val="00960738"/>
    <w:rsid w:val="00961679"/>
    <w:rsid w:val="009623EE"/>
    <w:rsid w:val="00962400"/>
    <w:rsid w:val="009648EB"/>
    <w:rsid w:val="0097473D"/>
    <w:rsid w:val="00991EE9"/>
    <w:rsid w:val="009A0AC9"/>
    <w:rsid w:val="009B61E8"/>
    <w:rsid w:val="009C12AB"/>
    <w:rsid w:val="009D4208"/>
    <w:rsid w:val="009D76D2"/>
    <w:rsid w:val="009E01A6"/>
    <w:rsid w:val="009E0C30"/>
    <w:rsid w:val="00A04493"/>
    <w:rsid w:val="00A04AFF"/>
    <w:rsid w:val="00A14EEB"/>
    <w:rsid w:val="00A163C6"/>
    <w:rsid w:val="00A220EE"/>
    <w:rsid w:val="00A22272"/>
    <w:rsid w:val="00A24AAD"/>
    <w:rsid w:val="00A305AC"/>
    <w:rsid w:val="00A33B8B"/>
    <w:rsid w:val="00A55096"/>
    <w:rsid w:val="00A57B03"/>
    <w:rsid w:val="00A6683F"/>
    <w:rsid w:val="00A678FE"/>
    <w:rsid w:val="00A831DE"/>
    <w:rsid w:val="00A85979"/>
    <w:rsid w:val="00AA4948"/>
    <w:rsid w:val="00AA6AA0"/>
    <w:rsid w:val="00AA75E5"/>
    <w:rsid w:val="00AB190E"/>
    <w:rsid w:val="00AB1F1D"/>
    <w:rsid w:val="00AC4FB4"/>
    <w:rsid w:val="00AD282C"/>
    <w:rsid w:val="00AD4B46"/>
    <w:rsid w:val="00AE1360"/>
    <w:rsid w:val="00AE565E"/>
    <w:rsid w:val="00AF47D5"/>
    <w:rsid w:val="00AF6A4F"/>
    <w:rsid w:val="00AF712E"/>
    <w:rsid w:val="00B03A69"/>
    <w:rsid w:val="00B055BE"/>
    <w:rsid w:val="00B14B8C"/>
    <w:rsid w:val="00B15E4D"/>
    <w:rsid w:val="00B16D9F"/>
    <w:rsid w:val="00B237B5"/>
    <w:rsid w:val="00B310D0"/>
    <w:rsid w:val="00B40EF5"/>
    <w:rsid w:val="00B4490E"/>
    <w:rsid w:val="00B50E45"/>
    <w:rsid w:val="00B510F5"/>
    <w:rsid w:val="00B52ECB"/>
    <w:rsid w:val="00B54144"/>
    <w:rsid w:val="00B54904"/>
    <w:rsid w:val="00B622EF"/>
    <w:rsid w:val="00B67CBD"/>
    <w:rsid w:val="00B739DB"/>
    <w:rsid w:val="00B750A7"/>
    <w:rsid w:val="00B855ED"/>
    <w:rsid w:val="00B965F2"/>
    <w:rsid w:val="00BA5277"/>
    <w:rsid w:val="00BC0D9C"/>
    <w:rsid w:val="00BC0DFC"/>
    <w:rsid w:val="00BD1C8B"/>
    <w:rsid w:val="00BD1EE7"/>
    <w:rsid w:val="00BE0DFE"/>
    <w:rsid w:val="00BE45BC"/>
    <w:rsid w:val="00BF54FA"/>
    <w:rsid w:val="00C00BB2"/>
    <w:rsid w:val="00C01C37"/>
    <w:rsid w:val="00C061F0"/>
    <w:rsid w:val="00C1406D"/>
    <w:rsid w:val="00C21C83"/>
    <w:rsid w:val="00C22776"/>
    <w:rsid w:val="00C247A1"/>
    <w:rsid w:val="00C26656"/>
    <w:rsid w:val="00C4573C"/>
    <w:rsid w:val="00C457B9"/>
    <w:rsid w:val="00C556BC"/>
    <w:rsid w:val="00C5581B"/>
    <w:rsid w:val="00C561B4"/>
    <w:rsid w:val="00C62D22"/>
    <w:rsid w:val="00C6346F"/>
    <w:rsid w:val="00C63EF7"/>
    <w:rsid w:val="00C6500F"/>
    <w:rsid w:val="00C8034C"/>
    <w:rsid w:val="00C960E9"/>
    <w:rsid w:val="00CA0D3A"/>
    <w:rsid w:val="00CB10AE"/>
    <w:rsid w:val="00CB1C7E"/>
    <w:rsid w:val="00CB2B6A"/>
    <w:rsid w:val="00CC3D8E"/>
    <w:rsid w:val="00CC7610"/>
    <w:rsid w:val="00CD1D26"/>
    <w:rsid w:val="00CE2CF1"/>
    <w:rsid w:val="00D00C7D"/>
    <w:rsid w:val="00D0125C"/>
    <w:rsid w:val="00D023F6"/>
    <w:rsid w:val="00D050D2"/>
    <w:rsid w:val="00D379BE"/>
    <w:rsid w:val="00D40594"/>
    <w:rsid w:val="00D530CE"/>
    <w:rsid w:val="00D60CC8"/>
    <w:rsid w:val="00D60D1B"/>
    <w:rsid w:val="00D62B97"/>
    <w:rsid w:val="00D63CA1"/>
    <w:rsid w:val="00D678D3"/>
    <w:rsid w:val="00D76C9F"/>
    <w:rsid w:val="00D76FFA"/>
    <w:rsid w:val="00D95F07"/>
    <w:rsid w:val="00DA1077"/>
    <w:rsid w:val="00DA62F5"/>
    <w:rsid w:val="00DB5925"/>
    <w:rsid w:val="00DB7E57"/>
    <w:rsid w:val="00DC3848"/>
    <w:rsid w:val="00DC3E97"/>
    <w:rsid w:val="00DC4942"/>
    <w:rsid w:val="00DC67C5"/>
    <w:rsid w:val="00DD3287"/>
    <w:rsid w:val="00DD71B6"/>
    <w:rsid w:val="00DE0C54"/>
    <w:rsid w:val="00DE7D93"/>
    <w:rsid w:val="00DF0C77"/>
    <w:rsid w:val="00E20746"/>
    <w:rsid w:val="00E34F3B"/>
    <w:rsid w:val="00E4000B"/>
    <w:rsid w:val="00E432D5"/>
    <w:rsid w:val="00E574F2"/>
    <w:rsid w:val="00E5756C"/>
    <w:rsid w:val="00E650E5"/>
    <w:rsid w:val="00E804D5"/>
    <w:rsid w:val="00EA645B"/>
    <w:rsid w:val="00EA64C2"/>
    <w:rsid w:val="00EB1100"/>
    <w:rsid w:val="00EB7168"/>
    <w:rsid w:val="00EC7B35"/>
    <w:rsid w:val="00EC7F72"/>
    <w:rsid w:val="00ED0519"/>
    <w:rsid w:val="00EE78AB"/>
    <w:rsid w:val="00EF2ACD"/>
    <w:rsid w:val="00EF46ED"/>
    <w:rsid w:val="00EF573C"/>
    <w:rsid w:val="00EF7D19"/>
    <w:rsid w:val="00F065C6"/>
    <w:rsid w:val="00F11527"/>
    <w:rsid w:val="00F27FEA"/>
    <w:rsid w:val="00F31DEF"/>
    <w:rsid w:val="00F3490E"/>
    <w:rsid w:val="00F35E04"/>
    <w:rsid w:val="00F45937"/>
    <w:rsid w:val="00F50A79"/>
    <w:rsid w:val="00F5201D"/>
    <w:rsid w:val="00F5755B"/>
    <w:rsid w:val="00F609BF"/>
    <w:rsid w:val="00F826A6"/>
    <w:rsid w:val="00F9402A"/>
    <w:rsid w:val="00F96B77"/>
    <w:rsid w:val="00FA0B24"/>
    <w:rsid w:val="00FA256C"/>
    <w:rsid w:val="00FB1061"/>
    <w:rsid w:val="00FB2FC2"/>
    <w:rsid w:val="00FB3047"/>
    <w:rsid w:val="00FB7E42"/>
    <w:rsid w:val="00FC2988"/>
    <w:rsid w:val="00FC3B84"/>
    <w:rsid w:val="00FF11D2"/>
    <w:rsid w:val="00FF620F"/>
    <w:rsid w:val="00FF6F49"/>
    <w:rsid w:val="014C7EFB"/>
    <w:rsid w:val="023A2D30"/>
    <w:rsid w:val="04DE7147"/>
    <w:rsid w:val="04FB462D"/>
    <w:rsid w:val="05C47361"/>
    <w:rsid w:val="065F1C9F"/>
    <w:rsid w:val="0677308B"/>
    <w:rsid w:val="0869373C"/>
    <w:rsid w:val="0D65122C"/>
    <w:rsid w:val="0E946F1B"/>
    <w:rsid w:val="0F3A1B66"/>
    <w:rsid w:val="0FE0228A"/>
    <w:rsid w:val="15DB00B5"/>
    <w:rsid w:val="16C71C5A"/>
    <w:rsid w:val="16E82C47"/>
    <w:rsid w:val="175B0D1D"/>
    <w:rsid w:val="1BEF4168"/>
    <w:rsid w:val="1DBC43D0"/>
    <w:rsid w:val="220E0770"/>
    <w:rsid w:val="22BD171B"/>
    <w:rsid w:val="230D730F"/>
    <w:rsid w:val="2565328D"/>
    <w:rsid w:val="25763983"/>
    <w:rsid w:val="263D5209"/>
    <w:rsid w:val="265D320F"/>
    <w:rsid w:val="26FF383C"/>
    <w:rsid w:val="29F17957"/>
    <w:rsid w:val="2A67675B"/>
    <w:rsid w:val="2F0F3DD5"/>
    <w:rsid w:val="2F77302E"/>
    <w:rsid w:val="3156216B"/>
    <w:rsid w:val="35832E24"/>
    <w:rsid w:val="36F1239C"/>
    <w:rsid w:val="38546C94"/>
    <w:rsid w:val="3B5E512C"/>
    <w:rsid w:val="46D4672D"/>
    <w:rsid w:val="49371C54"/>
    <w:rsid w:val="537542FC"/>
    <w:rsid w:val="53AB43BE"/>
    <w:rsid w:val="55063038"/>
    <w:rsid w:val="581118B6"/>
    <w:rsid w:val="5B2B1F0F"/>
    <w:rsid w:val="5DAD6C18"/>
    <w:rsid w:val="5FBB1D03"/>
    <w:rsid w:val="60983233"/>
    <w:rsid w:val="614F212C"/>
    <w:rsid w:val="624E56B0"/>
    <w:rsid w:val="64822ECF"/>
    <w:rsid w:val="68AC6820"/>
    <w:rsid w:val="69F24350"/>
    <w:rsid w:val="6EA63EC8"/>
    <w:rsid w:val="6EF57651"/>
    <w:rsid w:val="6FB716E3"/>
    <w:rsid w:val="74980574"/>
    <w:rsid w:val="7528551A"/>
    <w:rsid w:val="76E840AD"/>
    <w:rsid w:val="77B934E7"/>
    <w:rsid w:val="7FD068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6"/>
    <w:qFormat/>
    <w:uiPriority w:val="0"/>
    <w:rPr>
      <w:rFonts w:ascii="Times New Roman" w:hAnsi="Times New Roman" w:eastAsia="宋体" w:cs="Times New Roman"/>
      <w:color w:val="FF0000"/>
      <w:sz w:val="24"/>
      <w:szCs w:val="24"/>
    </w:rPr>
  </w:style>
  <w:style w:type="paragraph" w:styleId="9">
    <w:name w:val="Body Text"/>
    <w:basedOn w:val="1"/>
    <w:link w:val="50"/>
    <w:semiHidden/>
    <w:unhideWhenUsed/>
    <w:qFormat/>
    <w:uiPriority w:val="99"/>
    <w:pPr>
      <w:spacing w:after="120"/>
    </w:pPr>
  </w:style>
  <w:style w:type="paragraph" w:styleId="10">
    <w:name w:val="Body Text Indent"/>
    <w:basedOn w:val="1"/>
    <w:link w:val="54"/>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1"/>
    <w:qFormat/>
    <w:uiPriority w:val="0"/>
    <w:rPr>
      <w:rFonts w:eastAsia="宋体"/>
      <w:sz w:val="24"/>
    </w:rPr>
  </w:style>
  <w:style w:type="paragraph" w:styleId="14">
    <w:name w:val="Date"/>
    <w:basedOn w:val="1"/>
    <w:next w:val="1"/>
    <w:link w:val="32"/>
    <w:unhideWhenUsed/>
    <w:qFormat/>
    <w:uiPriority w:val="0"/>
    <w:pPr>
      <w:ind w:left="100" w:leftChars="2500"/>
    </w:pPr>
  </w:style>
  <w:style w:type="paragraph" w:styleId="15">
    <w:name w:val="Balloon Text"/>
    <w:basedOn w:val="1"/>
    <w:link w:val="55"/>
    <w:semiHidden/>
    <w:unhideWhenUsed/>
    <w:qFormat/>
    <w:uiPriority w:val="99"/>
    <w:rPr>
      <w:sz w:val="18"/>
      <w:szCs w:val="18"/>
    </w:rPr>
  </w:style>
  <w:style w:type="paragraph" w:styleId="16">
    <w:name w:val="footer"/>
    <w:basedOn w:val="1"/>
    <w:link w:val="33"/>
    <w:unhideWhenUsed/>
    <w:qFormat/>
    <w:uiPriority w:val="99"/>
    <w:pPr>
      <w:tabs>
        <w:tab w:val="center" w:pos="4153"/>
        <w:tab w:val="right" w:pos="8306"/>
      </w:tabs>
      <w:snapToGrid w:val="0"/>
      <w:jc w:val="left"/>
    </w:pPr>
    <w:rPr>
      <w:sz w:val="18"/>
      <w:szCs w:val="18"/>
    </w:rPr>
  </w:style>
  <w:style w:type="paragraph" w:styleId="17">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Body Text Indent 3"/>
    <w:basedOn w:val="1"/>
    <w:qFormat/>
    <w:uiPriority w:val="0"/>
    <w:pPr>
      <w:spacing w:after="120"/>
      <w:ind w:left="420" w:leftChars="200"/>
    </w:pPr>
    <w:rPr>
      <w:sz w:val="16"/>
      <w:szCs w:val="16"/>
    </w:rPr>
  </w:style>
  <w:style w:type="paragraph" w:styleId="20">
    <w:name w:val="HTML Preformatted"/>
    <w:basedOn w:val="1"/>
    <w:link w:val="5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0"/>
    <w:rPr>
      <w:rFonts w:ascii="Calibri" w:hAnsi="Calibri" w:eastAsia="宋体" w:cs="Times New Roman"/>
      <w:sz w:val="24"/>
      <w:szCs w:val="24"/>
    </w:rPr>
  </w:style>
  <w:style w:type="paragraph" w:styleId="22">
    <w:name w:val="Body Text First Indent"/>
    <w:basedOn w:val="9"/>
    <w:link w:val="51"/>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Hyperlink"/>
    <w:basedOn w:val="24"/>
    <w:unhideWhenUsed/>
    <w:qFormat/>
    <w:uiPriority w:val="99"/>
    <w:rPr>
      <w:color w:val="0000FF"/>
      <w:u w:val="single"/>
    </w:rPr>
  </w:style>
  <w:style w:type="character" w:customStyle="1" w:styleId="27">
    <w:name w:val="标题 1 Char"/>
    <w:basedOn w:val="24"/>
    <w:link w:val="2"/>
    <w:qFormat/>
    <w:uiPriority w:val="0"/>
    <w:rPr>
      <w:rFonts w:ascii="Calibri" w:hAnsi="Calibri" w:eastAsia="宋体" w:cs="Times New Roman"/>
      <w:b/>
      <w:bCs/>
      <w:kern w:val="44"/>
      <w:sz w:val="44"/>
      <w:szCs w:val="44"/>
    </w:rPr>
  </w:style>
  <w:style w:type="character" w:customStyle="1" w:styleId="28">
    <w:name w:val="标题 2 Char"/>
    <w:basedOn w:val="24"/>
    <w:link w:val="3"/>
    <w:qFormat/>
    <w:uiPriority w:val="0"/>
    <w:rPr>
      <w:rFonts w:ascii="Arial" w:hAnsi="Arial" w:eastAsia="黑体" w:cs="Times New Roman"/>
      <w:b/>
      <w:bCs/>
      <w:kern w:val="0"/>
      <w:sz w:val="32"/>
      <w:szCs w:val="32"/>
    </w:rPr>
  </w:style>
  <w:style w:type="character" w:customStyle="1" w:styleId="29">
    <w:name w:val="标题 3 Char"/>
    <w:basedOn w:val="24"/>
    <w:link w:val="4"/>
    <w:qFormat/>
    <w:uiPriority w:val="0"/>
    <w:rPr>
      <w:rFonts w:ascii="宋体" w:hAnsi="宋体" w:eastAsia="宋体" w:cs="Times New Roman"/>
      <w:b/>
      <w:color w:val="000000"/>
      <w:kern w:val="0"/>
      <w:sz w:val="24"/>
      <w:szCs w:val="20"/>
      <w:lang w:val="en-GB"/>
    </w:rPr>
  </w:style>
  <w:style w:type="character" w:customStyle="1" w:styleId="30">
    <w:name w:val="标题 4 Char"/>
    <w:basedOn w:val="24"/>
    <w:link w:val="5"/>
    <w:qFormat/>
    <w:uiPriority w:val="0"/>
    <w:rPr>
      <w:rFonts w:ascii="Arial" w:hAnsi="Arial" w:eastAsia="黑体" w:cs="Times New Roman"/>
      <w:b/>
      <w:bCs/>
      <w:kern w:val="0"/>
      <w:sz w:val="28"/>
      <w:szCs w:val="28"/>
    </w:rPr>
  </w:style>
  <w:style w:type="character" w:customStyle="1" w:styleId="31">
    <w:name w:val="纯文本 Char"/>
    <w:basedOn w:val="24"/>
    <w:link w:val="13"/>
    <w:qFormat/>
    <w:uiPriority w:val="0"/>
    <w:rPr>
      <w:rFonts w:eastAsia="宋体"/>
      <w:sz w:val="24"/>
    </w:rPr>
  </w:style>
  <w:style w:type="character" w:customStyle="1" w:styleId="32">
    <w:name w:val="日期 Char"/>
    <w:basedOn w:val="24"/>
    <w:link w:val="14"/>
    <w:qFormat/>
    <w:uiPriority w:val="99"/>
  </w:style>
  <w:style w:type="character" w:customStyle="1" w:styleId="33">
    <w:name w:val="页脚 Char"/>
    <w:basedOn w:val="24"/>
    <w:link w:val="16"/>
    <w:qFormat/>
    <w:uiPriority w:val="99"/>
    <w:rPr>
      <w:sz w:val="18"/>
      <w:szCs w:val="18"/>
    </w:rPr>
  </w:style>
  <w:style w:type="character" w:customStyle="1" w:styleId="34">
    <w:name w:val="页眉 Char"/>
    <w:basedOn w:val="24"/>
    <w:link w:val="17"/>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7">
    <w:name w:val="列出段落1"/>
    <w:basedOn w:val="1"/>
    <w:qFormat/>
    <w:uiPriority w:val="34"/>
    <w:pPr>
      <w:ind w:firstLine="420" w:firstLineChars="200"/>
    </w:pPr>
  </w:style>
  <w:style w:type="paragraph" w:styleId="38">
    <w:name w:val="List Paragraph"/>
    <w:basedOn w:val="1"/>
    <w:unhideWhenUsed/>
    <w:qFormat/>
    <w:uiPriority w:val="34"/>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4"/>
    <w:link w:val="8"/>
    <w:qFormat/>
    <w:uiPriority w:val="0"/>
    <w:rPr>
      <w:rFonts w:ascii="Times New Roman" w:hAnsi="Times New Roman" w:eastAsia="宋体" w:cs="Times New Roman"/>
      <w:color w:val="FF0000"/>
      <w:sz w:val="24"/>
      <w:szCs w:val="24"/>
    </w:rPr>
  </w:style>
  <w:style w:type="character" w:customStyle="1" w:styleId="47">
    <w:name w:val="edittexttarea"/>
    <w:basedOn w:val="24"/>
    <w:qFormat/>
    <w:uiPriority w:val="0"/>
  </w:style>
  <w:style w:type="paragraph" w:customStyle="1" w:styleId="48">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4"/>
    <w:link w:val="9"/>
    <w:semiHidden/>
    <w:qFormat/>
    <w:uiPriority w:val="99"/>
  </w:style>
  <w:style w:type="character" w:customStyle="1" w:styleId="51">
    <w:name w:val="正文首行缩进 Char"/>
    <w:basedOn w:val="50"/>
    <w:link w:val="22"/>
    <w:qFormat/>
    <w:uiPriority w:val="0"/>
    <w:rPr>
      <w:rFonts w:ascii="宋体" w:hAnsi="Times New Roman" w:eastAsia="宋体" w:cs="Times New Roman"/>
      <w:kern w:val="0"/>
      <w:sz w:val="34"/>
      <w:szCs w:val="20"/>
    </w:rPr>
  </w:style>
  <w:style w:type="character" w:customStyle="1" w:styleId="52">
    <w:name w:val="HTML 预设格式 Char"/>
    <w:basedOn w:val="24"/>
    <w:link w:val="20"/>
    <w:semiHidden/>
    <w:qFormat/>
    <w:uiPriority w:val="99"/>
    <w:rPr>
      <w:rFonts w:ascii="宋体" w:hAnsi="宋体" w:eastAsia="宋体" w:cs="宋体"/>
      <w:kern w:val="0"/>
      <w:sz w:val="24"/>
      <w:szCs w:val="24"/>
    </w:rPr>
  </w:style>
  <w:style w:type="character" w:customStyle="1" w:styleId="53">
    <w:name w:val="正文文本缩进 Char"/>
    <w:link w:val="10"/>
    <w:qFormat/>
    <w:uiPriority w:val="0"/>
    <w:rPr>
      <w:sz w:val="24"/>
    </w:rPr>
  </w:style>
  <w:style w:type="character" w:customStyle="1" w:styleId="54">
    <w:name w:val="正文文本缩进 Char1"/>
    <w:basedOn w:val="24"/>
    <w:link w:val="10"/>
    <w:semiHidden/>
    <w:qFormat/>
    <w:uiPriority w:val="99"/>
  </w:style>
  <w:style w:type="character" w:customStyle="1" w:styleId="55">
    <w:name w:val="批注框文本 Char"/>
    <w:basedOn w:val="24"/>
    <w:link w:val="15"/>
    <w:semiHidden/>
    <w:qFormat/>
    <w:uiPriority w:val="99"/>
    <w:rPr>
      <w:sz w:val="18"/>
      <w:szCs w:val="18"/>
    </w:rPr>
  </w:style>
  <w:style w:type="paragraph" w:customStyle="1" w:styleId="56">
    <w:name w:val="xl24"/>
    <w:basedOn w:val="1"/>
    <w:qFormat/>
    <w:uiPriority w:val="0"/>
    <w:pPr>
      <w:widowControl/>
      <w:pBdr>
        <w:bottom w:val="single" w:color="auto" w:sz="4" w:space="0"/>
        <w:right w:val="single" w:color="auto" w:sz="8" w:space="0"/>
      </w:pBdr>
      <w:spacing w:before="100" w:beforeAutospacing="1" w:after="100" w:afterAutospacing="1"/>
      <w:jc w:val="center"/>
    </w:pPr>
    <w:rPr>
      <w:rFonts w:ascii="宋体" w:hAnsi="宋体" w:eastAsia="宋体" w:cs="Times New Roman"/>
      <w:kern w:val="0"/>
      <w:sz w:val="24"/>
      <w:szCs w:val="20"/>
    </w:rPr>
  </w:style>
  <w:style w:type="character" w:customStyle="1" w:styleId="57">
    <w:name w:val="font81"/>
    <w:uiPriority w:val="0"/>
    <w:rPr>
      <w:rFonts w:ascii="Symbol" w:hAnsi="Symbol" w:cs="Symbol"/>
      <w:color w:val="000000"/>
      <w:sz w:val="20"/>
      <w:szCs w:val="20"/>
      <w:u w:val="none"/>
    </w:rPr>
  </w:style>
  <w:style w:type="paragraph" w:customStyle="1" w:styleId="58">
    <w:name w:val="p0"/>
    <w:basedOn w:val="1"/>
    <w:uiPriority w:val="0"/>
    <w:pPr>
      <w:widowControl/>
    </w:pPr>
    <w:rPr>
      <w:rFonts w:ascii="Calibri" w:hAnsi="Calibri"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A4727-F211-4383-9223-C18F4486042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80</Pages>
  <Words>6174</Words>
  <Characters>35192</Characters>
  <Lines>293</Lines>
  <Paragraphs>82</Paragraphs>
  <TotalTime>9</TotalTime>
  <ScaleCrop>false</ScaleCrop>
  <LinksUpToDate>false</LinksUpToDate>
  <CharactersWithSpaces>41284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2019-08-01T02:27:00Z</dcterms:created>
  <dc:creator>许昌市公共资源交易中心:孟莉</dc:creator>
  <cp:lastModifiedBy>幸子</cp:lastModifiedBy>
  <cp:lastPrinted>2019-08-02T09:19:00Z</cp:lastPrinted>
  <dcterms:modified xsi:type="dcterms:W3CDTF">2019-10-22T08:39:11Z</dcterms:modified>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