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Lines="50" w:line="360" w:lineRule="auto"/>
        <w:contextualSpacing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项目编号：YZCG-G2019269</w:t>
      </w:r>
    </w:p>
    <w:p>
      <w:pPr>
        <w:spacing w:line="360" w:lineRule="auto"/>
        <w:contextualSpacing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项目名称： 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禹州市2019年农机深松整地项目第一标段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单位：元（人民币）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投标分项报价表</w:t>
      </w:r>
    </w:p>
    <w:p/>
    <w:tbl>
      <w:tblPr>
        <w:tblStyle w:val="6"/>
        <w:tblW w:w="9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89"/>
        <w:gridCol w:w="1142"/>
        <w:gridCol w:w="2001"/>
        <w:gridCol w:w="797"/>
        <w:gridCol w:w="908"/>
        <w:gridCol w:w="1156"/>
        <w:gridCol w:w="99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9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42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品牌规格及型号</w:t>
            </w:r>
          </w:p>
        </w:tc>
        <w:tc>
          <w:tcPr>
            <w:tcW w:w="2001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797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08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56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997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总价</w:t>
            </w:r>
          </w:p>
        </w:tc>
        <w:tc>
          <w:tcPr>
            <w:tcW w:w="1548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9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禹州市2019年农机深松整地项目第一标段第一标段</w:t>
            </w:r>
          </w:p>
        </w:tc>
        <w:tc>
          <w:tcPr>
            <w:tcW w:w="1142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农机深松整地服务</w:t>
            </w:r>
          </w:p>
        </w:tc>
        <w:tc>
          <w:tcPr>
            <w:tcW w:w="2001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zh-CN" w:eastAsia="zh-CN"/>
              </w:rPr>
              <w:t>（一）深松整地作业模式。根据我市各地土壤类型、耕作制度和机具配备情况，农机深松整地作业的主要模式是单一深松作业和旋耕+深松作业，同一地块三年深松一次。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zh-CN" w:eastAsia="zh-CN"/>
              </w:rPr>
              <w:t>（二）深松作业质量要求。深松作业应能打破犁底层，作业深度大于25厘米，不超过40厘米；如果采用凿（铲）式深松机，相邻两铲间距不得大于2.5倍深松深度；深松后要合墒弥平，做到田面平整，土壤细碎，没有漏耕，深浅基本一致，适宜播种作业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908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156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24.7元</w:t>
            </w:r>
          </w:p>
        </w:tc>
        <w:tc>
          <w:tcPr>
            <w:tcW w:w="997" w:type="dxa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494000元</w:t>
            </w:r>
          </w:p>
        </w:tc>
        <w:tc>
          <w:tcPr>
            <w:tcW w:w="1548" w:type="dxa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禹州市金穗农机专业合作社/禹州市郭连镇岗头李村</w:t>
            </w:r>
          </w:p>
        </w:tc>
      </w:tr>
    </w:tbl>
    <w:p>
      <w:pPr>
        <w:pStyle w:val="2"/>
        <w:ind w:firstLine="3373" w:firstLineChars="14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hAnsi="宋体" w:cs="宋体"/>
          <w:lang w:val="en-US" w:eastAsia="zh-CN"/>
        </w:rPr>
        <w:t>技术偏离表</w:t>
      </w:r>
    </w:p>
    <w:tbl>
      <w:tblPr>
        <w:tblStyle w:val="6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67"/>
        <w:gridCol w:w="2863"/>
        <w:gridCol w:w="2487"/>
        <w:gridCol w:w="12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分项名称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招标文件的技术指标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投标文件的技术指标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偏离程度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深松整地作业模式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深松整地作业模式。根据我市各地土壤类型、耕作制度和机具配备情况，农机深松整地作业的主要模式是单一深松作业和旋耕+深松作业，同一地块三年深松一次。</w:t>
            </w:r>
          </w:p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根据我市各地土壤类型、耕作制度和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我社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机具配备情况，农机深松整地作业的主要模式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单一深松作业和旋耕+深松作业，同一地块三年深松一次。</w:t>
            </w:r>
          </w:p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深松作业质量要求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松作业应能打破犁底层，作业深度大于25厘米，不超过40厘米；如果采用凿（铲）式深松机，相邻两铲间距不得大于2.5倍深松深度；深松后要合墒弥平，做到田面平整，土壤细碎，没有漏耕，深浅基本一致，适宜播种作业。</w:t>
            </w:r>
          </w:p>
          <w:p>
            <w:pPr>
              <w:pStyle w:val="3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/>
                <w:lang w:val="zh-CN" w:eastAsia="zh-CN"/>
              </w:rPr>
            </w:pPr>
          </w:p>
          <w:p>
            <w:pPr>
              <w:rPr>
                <w:rFonts w:hint="eastAsia"/>
                <w:lang w:val="zh-CN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深松作业能打破犁底层，作业深度大于25厘米，不超过40厘米；如果采用凿（铲）式深松机，相邻两铲间距不大于2.5倍深松深度；深松后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墒弥平，田面平整，土壤细碎，没有漏耕，深浅基本一致，适宜播种作业。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  <w:t>深松作业远程监测终端安装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投标人承担深松作业的农机具须安装在中国农业机械化协会发布的“农机深松作业远程监测系统选型推荐公告”所列产品中的远程终端监测设备。</w:t>
            </w:r>
          </w:p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我合作社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承担深松作业的农机具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由农机部门负责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安装在中国农业机械化协会发布的“农机深松作业远程监测系统选型推荐公告”所列产品中的远程终端监测设备。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（见五、其他资料“情况说明”）</w:t>
            </w:r>
          </w:p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服务标准、期限、效率等要求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2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服务标准、期限、效率等要求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按照禹州市2019年农机深松整地作业要求，在2019年12月31日完成。</w:t>
            </w:r>
          </w:p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完全响应禹州市2019年农机深松整地项目第一标段</w:t>
            </w:r>
            <w:r>
              <w:rPr>
                <w:rFonts w:hint="eastAsia" w:ascii="宋体" w:hAnsi="宋体" w:eastAsia="宋体" w:cs="宋体"/>
                <w:color w:val="auto"/>
              </w:rPr>
              <w:t>要求，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高标准高效率</w:t>
            </w:r>
            <w:r>
              <w:rPr>
                <w:rFonts w:hint="eastAsia" w:ascii="宋体" w:hAnsi="宋体" w:eastAsia="宋体" w:cs="宋体"/>
                <w:color w:val="auto"/>
              </w:rPr>
              <w:t>在2019年12月31日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之前完成深松作业服务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验收标准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11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contextualSpacing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验收标准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禹州市2019年农机深松整地作业继续全部实行信息化远程监测，以信息化监测数据作为兑付作业补助的主要依据。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1、按照国家相关标准、行业标准、地方标准或者其他标准、规范验收（与采购标的执行标准一致）；</w:t>
            </w:r>
          </w:p>
          <w:p>
            <w:pPr>
              <w:pStyle w:val="4"/>
              <w:rPr>
                <w:rFonts w:hint="eastAsia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2、按照招标文件要求、投标文件响应和承诺验收；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我合作社完全认同“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禹州市2019年农机深松整地作业继续全部实行信息化远程监测，以信息化监测数据作为兑付作业补助的主要依据。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1、按照国家相关标准、行业标准、地方标准或者其他标准、规范验收（与采购标的执行标准一致）；</w:t>
            </w:r>
          </w:p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afterAutospacing="0" w:line="36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2、按照招标文件要求、投标文件响应和承诺验收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hAnsi="宋体" w:cs="宋体"/>
                <w:color w:val="auto"/>
                <w:sz w:val="24"/>
                <w:szCs w:val="24"/>
                <w:lang w:eastAsia="zh-CN"/>
              </w:rPr>
              <w:t>的验收标准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2863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right="0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vertAlign w:val="baseline"/>
                <w:lang w:val="zh-CN" w:eastAsia="zh-CN"/>
              </w:rPr>
            </w:pPr>
          </w:p>
        </w:tc>
      </w:tr>
    </w:tbl>
    <w:p>
      <w:pPr>
        <w:pStyle w:val="2"/>
      </w:pPr>
    </w:p>
    <w:p>
      <w:pPr>
        <w:spacing w:line="500" w:lineRule="exact"/>
        <w:jc w:val="center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服务承诺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禹州市金穗农机专业合作社位于禹州市郭连镇岗头李村，成立于2013年12月26日，合作社管理机构为理事会，监督机构为监事会，2013年12月26日注册登记，注册资金壹佰伍拾万元。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目前合作社拥有农机（动力机械）总数量43台/套，包括大中型拖拉机23台/套（其中800型-1000型拖拉机6台/套，1204型拖拉机3台/套，1354型拖拉机4台/套1404型拖拉机4台/套1504型拖拉机6台/套），小麦收割机9台，玉米收割机8台，秸秆打捆机2台，自走式喷雾机1台，禹州市金穗农机专业合作社自成立以来在农业生产、社会服务中发挥了重要作用，效果十分显著，农机专业合作社机械多，服务能力强，能够承担大面积农机深耕作业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最后我合作社承诺：如果本次中标</w:t>
      </w: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禹州市2019年农机深松整地项目第一标段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的农机深松整地服务，将严格按照项目要求，服从招标方的组织管理，认真组织农机具，</w:t>
      </w: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主动安装</w:t>
      </w:r>
      <w:r>
        <w:rPr>
          <w:rFonts w:hint="eastAsia" w:hAnsi="宋体"/>
          <w:color w:val="000000"/>
          <w:sz w:val="24"/>
          <w:szCs w:val="24"/>
        </w:rPr>
        <w:t>在中国农业机械化协会发布的“农机深松作业远程监测系统选型推荐公告”所列产品中的远程终端监测设备</w:t>
      </w:r>
      <w:r>
        <w:rPr>
          <w:rFonts w:hint="eastAsia" w:hAnsi="宋体"/>
          <w:color w:val="000000"/>
          <w:sz w:val="24"/>
          <w:szCs w:val="24"/>
          <w:lang w:eastAsia="zh-CN"/>
        </w:rPr>
        <w:t>，积极与中标乡镇联系落实作业区域。与作业行政村签订作业合同，响应落实农机部门提出的深松作业整乡整村推进，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保质保量</w:t>
      </w: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在2019年12月31日之前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按时完成作业任务。</w:t>
      </w:r>
    </w:p>
    <w:p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00" w:lineRule="exact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法定代表人或者被委托人（签字或盖章)：</w:t>
      </w:r>
    </w:p>
    <w:p>
      <w:pPr>
        <w:spacing w:line="500" w:lineRule="exact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投标商名称(盖章)：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/>
        </w:rPr>
        <w:t>禹州市金穗农机专业合作社</w:t>
      </w:r>
    </w:p>
    <w:p>
      <w:pPr>
        <w:spacing w:line="500" w:lineRule="exact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日</w:t>
      </w:r>
    </w:p>
    <w:p>
      <w:pPr>
        <w:spacing w:line="500" w:lineRule="exact"/>
        <w:outlineLvl w:val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rPr>
          <w:rFonts w:hint="eastAsia" w:ascii="宋体" w:hAnsi="宋体" w:eastAsia="宋体" w:cs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047F"/>
    <w:rsid w:val="024801BD"/>
    <w:rsid w:val="04596620"/>
    <w:rsid w:val="7D6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2019-11-06T01:24:00Z</dcterms:created>
  <dc:creator>红城国际工程项目管理有限公司:红城国际工程项目管理有限公司</dc:creator>
  <cp:lastModifiedBy>红城国际工程项目管理有限公司:红城国际工程项目管理有限公司</cp:lastModifiedBy>
  <dcterms:modified xsi:type="dcterms:W3CDTF">2019-11-06T01:32:25Z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