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eastAsia="宋体" w:cs="宋体"/>
          <w:b/>
          <w:bCs/>
          <w:sz w:val="56"/>
          <w:szCs w:val="56"/>
        </w:rPr>
      </w:pPr>
      <w:r>
        <w:rPr>
          <w:rFonts w:hint="eastAsia" w:ascii="宋体" w:hAnsi="宋体" w:eastAsia="宋体" w:cs="宋体"/>
          <w:b/>
          <w:bCs/>
          <w:sz w:val="56"/>
          <w:szCs w:val="56"/>
        </w:rPr>
        <w:t>长葛市颍川路幼儿园安全及保教设施设备购置项目</w:t>
      </w:r>
    </w:p>
    <w:p>
      <w:pPr>
        <w:adjustRightInd w:val="0"/>
        <w:snapToGrid w:val="0"/>
        <w:spacing w:line="276" w:lineRule="auto"/>
        <w:jc w:val="center"/>
        <w:rPr>
          <w:rFonts w:ascii="宋体" w:hAnsi="宋体" w:eastAsia="宋体" w:cs="宋体"/>
          <w:b/>
          <w:bCs/>
          <w:sz w:val="56"/>
          <w:szCs w:val="56"/>
        </w:rPr>
      </w:pPr>
    </w:p>
    <w:p>
      <w:pPr>
        <w:rPr>
          <w:rFonts w:ascii="微软简隶书" w:eastAsia="微软简隶书"/>
        </w:rPr>
      </w:pPr>
    </w:p>
    <w:p>
      <w:pPr>
        <w:rPr>
          <w:rFonts w:ascii="微软简隶书" w:eastAsia="微软简隶书"/>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adjustRightInd w:val="0"/>
        <w:snapToGrid w:val="0"/>
        <w:spacing w:line="276" w:lineRule="auto"/>
        <w:jc w:val="center"/>
        <w:rPr>
          <w:rFonts w:ascii="新宋体" w:hAnsi="新宋体" w:eastAsia="新宋体" w:cs="新宋体"/>
          <w:b/>
          <w:bCs/>
          <w:sz w:val="30"/>
          <w:szCs w:val="30"/>
        </w:rPr>
      </w:pPr>
      <w:r>
        <w:rPr>
          <w:rFonts w:hint="eastAsia" w:ascii="新宋体" w:hAnsi="新宋体" w:eastAsia="新宋体" w:cs="新宋体"/>
          <w:b/>
          <w:bCs/>
          <w:sz w:val="30"/>
          <w:szCs w:val="30"/>
        </w:rPr>
        <w:t>项目编号：长招采竞字【2019】070号</w:t>
      </w:r>
    </w:p>
    <w:p>
      <w:pPr>
        <w:rPr>
          <w:rFonts w:ascii="微软简隶书" w:eastAsia="微软简隶书"/>
        </w:rPr>
      </w:pPr>
    </w:p>
    <w:p>
      <w:pPr>
        <w:rPr>
          <w:rFonts w:ascii="微软简隶书" w:eastAsia="微软简隶书"/>
        </w:rPr>
      </w:pPr>
      <w:r>
        <w:rPr>
          <w:rFonts w:hint="eastAsia"/>
          <w:b/>
          <w:bCs/>
        </w:rPr>
        <w:drawing>
          <wp:anchor distT="0" distB="0" distL="114300" distR="114300" simplePos="0" relativeHeight="251650048" behindDoc="0" locked="0" layoutInCell="1" allowOverlap="1">
            <wp:simplePos x="0" y="0"/>
            <wp:positionH relativeFrom="column">
              <wp:posOffset>1884680</wp:posOffset>
            </wp:positionH>
            <wp:positionV relativeFrom="paragraph">
              <wp:posOffset>83820</wp:posOffset>
            </wp:positionV>
            <wp:extent cx="2171700" cy="1856105"/>
            <wp:effectExtent l="0" t="0" r="7620" b="317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pic:cNvPicPr>
                  </pic:nvPicPr>
                  <pic:blipFill>
                    <a:blip r:embed="rId7" cstate="print"/>
                    <a:stretch>
                      <a:fillRect/>
                    </a:stretch>
                  </pic:blipFill>
                  <pic:spPr>
                    <a:xfrm>
                      <a:off x="0" y="0"/>
                      <a:ext cx="2171700" cy="1856105"/>
                    </a:xfrm>
                    <a:prstGeom prst="rect">
                      <a:avLst/>
                    </a:prstGeom>
                    <a:noFill/>
                    <a:ln>
                      <a:noFill/>
                    </a:ln>
                  </pic:spPr>
                </pic:pic>
              </a:graphicData>
            </a:graphic>
          </wp:anchor>
        </w:drawing>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276" w:lineRule="auto"/>
        <w:ind w:firstLine="1606" w:firstLineChars="500"/>
        <w:jc w:val="left"/>
        <w:rPr>
          <w:rFonts w:ascii="新宋体" w:hAnsi="新宋体" w:eastAsia="新宋体" w:cs="新宋体"/>
          <w:b/>
          <w:bCs/>
          <w:sz w:val="32"/>
          <w:szCs w:val="32"/>
        </w:rPr>
      </w:pPr>
      <w:r>
        <w:rPr>
          <w:rFonts w:hint="eastAsia" w:ascii="新宋体" w:hAnsi="新宋体" w:eastAsia="新宋体" w:cs="新宋体"/>
          <w:b/>
          <w:bCs/>
          <w:sz w:val="32"/>
          <w:szCs w:val="32"/>
        </w:rPr>
        <w:t>采 购 人：长葛市教育体育局</w:t>
      </w:r>
    </w:p>
    <w:p>
      <w:pPr>
        <w:pStyle w:val="2"/>
        <w:adjustRightInd w:val="0"/>
        <w:snapToGrid w:val="0"/>
        <w:spacing w:line="276" w:lineRule="auto"/>
        <w:ind w:firstLine="340"/>
      </w:pPr>
    </w:p>
    <w:p>
      <w:pPr>
        <w:adjustRightInd w:val="0"/>
        <w:snapToGrid w:val="0"/>
        <w:spacing w:line="276" w:lineRule="auto"/>
        <w:ind w:firstLine="1606" w:firstLineChars="500"/>
        <w:jc w:val="left"/>
        <w:rPr>
          <w:rFonts w:ascii="新宋体" w:hAnsi="新宋体" w:eastAsia="新宋体" w:cs="新宋体"/>
          <w:b/>
          <w:bCs/>
          <w:sz w:val="32"/>
          <w:szCs w:val="32"/>
        </w:rPr>
      </w:pPr>
      <w:r>
        <w:rPr>
          <w:rFonts w:hint="eastAsia" w:ascii="新宋体" w:hAnsi="新宋体" w:eastAsia="新宋体" w:cs="新宋体"/>
          <w:b/>
          <w:bCs/>
          <w:sz w:val="32"/>
          <w:szCs w:val="32"/>
        </w:rPr>
        <w:t>代理机构：河南宏业建设管理股份有限公司</w:t>
      </w:r>
    </w:p>
    <w:p>
      <w:pPr>
        <w:adjustRightInd w:val="0"/>
        <w:snapToGrid w:val="0"/>
        <w:spacing w:line="276" w:lineRule="auto"/>
        <w:ind w:firstLine="3357" w:firstLineChars="1045"/>
        <w:rPr>
          <w:rFonts w:ascii="新宋体" w:hAnsi="新宋体" w:eastAsia="新宋体" w:cs="新宋体"/>
          <w:b/>
          <w:bCs/>
          <w:sz w:val="32"/>
          <w:szCs w:val="32"/>
        </w:rPr>
      </w:pPr>
    </w:p>
    <w:p>
      <w:pPr>
        <w:adjustRightInd w:val="0"/>
        <w:snapToGrid w:val="0"/>
        <w:spacing w:line="276" w:lineRule="auto"/>
        <w:ind w:firstLine="3357" w:firstLineChars="1045"/>
        <w:rPr>
          <w:rFonts w:ascii="宋体" w:hAnsi="宋体" w:cs="宋体"/>
          <w:b/>
          <w:color w:val="333333"/>
          <w:kern w:val="0"/>
          <w:sz w:val="40"/>
          <w:szCs w:val="40"/>
        </w:rPr>
        <w:sectPr>
          <w:footerReference r:id="rId3" w:type="first"/>
          <w:pgSz w:w="11906" w:h="16838"/>
          <w:pgMar w:top="1440" w:right="1486" w:bottom="1167" w:left="1380" w:header="851" w:footer="992" w:gutter="0"/>
          <w:pgNumType w:start="1"/>
          <w:cols w:space="720" w:num="1"/>
          <w:docGrid w:type="lines" w:linePitch="312" w:charSpace="0"/>
        </w:sectPr>
      </w:pPr>
      <w:r>
        <w:rPr>
          <w:rFonts w:hint="eastAsia" w:ascii="新宋体" w:hAnsi="新宋体" w:eastAsia="新宋体" w:cs="新宋体"/>
          <w:b/>
          <w:bCs/>
          <w:sz w:val="32"/>
          <w:szCs w:val="32"/>
        </w:rPr>
        <w:t>二0一九年</w:t>
      </w:r>
      <w:r>
        <w:rPr>
          <w:rFonts w:hint="eastAsia" w:ascii="新宋体" w:hAnsi="新宋体" w:eastAsia="新宋体" w:cs="新宋体"/>
          <w:b/>
          <w:bCs/>
          <w:sz w:val="32"/>
          <w:szCs w:val="32"/>
          <w:lang w:val="en-US" w:eastAsia="zh-CN"/>
        </w:rPr>
        <w:t>十</w:t>
      </w:r>
      <w:r>
        <w:rPr>
          <w:rFonts w:hint="eastAsia" w:ascii="新宋体" w:hAnsi="新宋体" w:eastAsia="新宋体" w:cs="新宋体"/>
          <w:b/>
          <w:bCs/>
          <w:sz w:val="32"/>
          <w:szCs w:val="32"/>
        </w:rPr>
        <w:t>月</w:t>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autoSpaceDE w:val="0"/>
        <w:autoSpaceDN w:val="0"/>
        <w:adjustRightInd w:val="0"/>
        <w:spacing w:line="700" w:lineRule="exact"/>
        <w:jc w:val="center"/>
        <w:rPr>
          <w:rFonts w:cs="黑体" w:asciiTheme="minorEastAsia" w:hAnsiTheme="minorEastAsia"/>
          <w:b/>
          <w:bCs/>
          <w:sz w:val="44"/>
          <w:szCs w:val="44"/>
          <w:lang w:val="zh-CN"/>
        </w:rPr>
      </w:pPr>
    </w:p>
    <w:p>
      <w:pPr>
        <w:autoSpaceDE w:val="0"/>
        <w:autoSpaceDN w:val="0"/>
        <w:adjustRightInd w:val="0"/>
        <w:spacing w:line="700" w:lineRule="exact"/>
        <w:jc w:val="center"/>
        <w:rPr>
          <w:rFonts w:cs="黑体" w:asciiTheme="minorEastAsia" w:hAnsiTheme="minorEastAsia"/>
          <w:b/>
          <w:bCs/>
          <w:sz w:val="44"/>
          <w:szCs w:val="44"/>
          <w:lang w:val="zh-CN"/>
        </w:rPr>
        <w:sectPr>
          <w:footerReference r:id="rId4" w:type="default"/>
          <w:pgSz w:w="11906" w:h="16838"/>
          <w:pgMar w:top="2098" w:right="1474" w:bottom="1928" w:left="1588" w:header="851" w:footer="992" w:gutter="0"/>
          <w:pgNumType w:start="1"/>
          <w:cols w:space="0" w:num="1"/>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r>
        <w:rPr>
          <w:rFonts w:hint="eastAsia" w:ascii="宋体" w:hAnsi="宋体"/>
          <w:sz w:val="28"/>
          <w:szCs w:val="28"/>
        </w:rPr>
        <w:t>……………………………………………2</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第二章 采购需求</w:t>
      </w:r>
      <w:r>
        <w:rPr>
          <w:rFonts w:hint="eastAsia" w:ascii="宋体" w:hAnsi="宋体"/>
          <w:sz w:val="28"/>
          <w:szCs w:val="28"/>
        </w:rPr>
        <w:t>……………………………………………6</w:t>
      </w:r>
    </w:p>
    <w:p>
      <w:pPr>
        <w:autoSpaceDE w:val="0"/>
        <w:autoSpaceDN w:val="0"/>
        <w:adjustRightInd w:val="0"/>
        <w:spacing w:line="700" w:lineRule="exact"/>
        <w:ind w:firstLine="560"/>
        <w:rPr>
          <w:rFonts w:ascii="宋体" w:hAnsi="宋体"/>
          <w:sz w:val="28"/>
          <w:szCs w:val="28"/>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r>
        <w:rPr>
          <w:rFonts w:hint="eastAsia" w:ascii="宋体" w:hAnsi="宋体"/>
          <w:sz w:val="28"/>
          <w:szCs w:val="28"/>
        </w:rPr>
        <w:t>………………………………13</w:t>
      </w:r>
    </w:p>
    <w:p>
      <w:pPr>
        <w:autoSpaceDE w:val="0"/>
        <w:autoSpaceDN w:val="0"/>
        <w:adjustRightInd w:val="0"/>
        <w:spacing w:line="700" w:lineRule="exact"/>
        <w:ind w:firstLine="560"/>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r>
        <w:rPr>
          <w:rFonts w:hint="eastAsia" w:ascii="宋体" w:hAnsi="宋体"/>
          <w:sz w:val="28"/>
          <w:szCs w:val="28"/>
        </w:rPr>
        <w:t>…………………………………………15</w:t>
      </w:r>
    </w:p>
    <w:p>
      <w:pPr>
        <w:autoSpaceDE w:val="0"/>
        <w:autoSpaceDN w:val="0"/>
        <w:adjustRightInd w:val="0"/>
        <w:spacing w:line="700" w:lineRule="exact"/>
        <w:ind w:firstLine="560"/>
        <w:rPr>
          <w:rFonts w:asciiTheme="majorEastAsia" w:hAnsi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r>
        <w:rPr>
          <w:rFonts w:hint="eastAsia" w:ascii="宋体" w:hAnsi="宋体"/>
          <w:sz w:val="28"/>
          <w:szCs w:val="28"/>
        </w:rPr>
        <w:t>…………………………………………………19</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二、采购文件说明</w:t>
      </w:r>
      <w:r>
        <w:rPr>
          <w:rFonts w:hint="eastAsia" w:ascii="宋体" w:hAnsi="宋体"/>
          <w:sz w:val="28"/>
          <w:szCs w:val="28"/>
        </w:rPr>
        <w:t>……………………………………………22</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三、响应文件的编制</w:t>
      </w:r>
      <w:r>
        <w:rPr>
          <w:rFonts w:hint="eastAsia" w:ascii="宋体" w:hAnsi="宋体"/>
          <w:sz w:val="28"/>
          <w:szCs w:val="28"/>
        </w:rPr>
        <w:t>…………………………………………23</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四、响应文件的递交</w:t>
      </w:r>
      <w:r>
        <w:rPr>
          <w:rFonts w:hint="eastAsia" w:ascii="宋体" w:hAnsi="宋体"/>
          <w:sz w:val="28"/>
          <w:szCs w:val="28"/>
        </w:rPr>
        <w:t>…………………………………………26</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五、谈判和评审</w:t>
      </w:r>
      <w:r>
        <w:rPr>
          <w:rFonts w:hint="eastAsia" w:ascii="宋体" w:hAnsi="宋体"/>
          <w:sz w:val="28"/>
          <w:szCs w:val="28"/>
        </w:rPr>
        <w:t>………………………………………………27</w:t>
      </w:r>
    </w:p>
    <w:p>
      <w:pPr>
        <w:autoSpaceDE w:val="0"/>
        <w:autoSpaceDN w:val="0"/>
        <w:adjustRightInd w:val="0"/>
        <w:spacing w:line="700" w:lineRule="exact"/>
        <w:ind w:firstLine="551"/>
        <w:rPr>
          <w:rFonts w:asciiTheme="majorEastAsia" w:hAnsiTheme="majorEastAsia" w:cstheme="majorEastAsia"/>
          <w:b/>
          <w:bCs/>
          <w:sz w:val="30"/>
          <w:szCs w:val="30"/>
        </w:rPr>
      </w:pPr>
      <w:r>
        <w:rPr>
          <w:rFonts w:hint="eastAsia" w:asciiTheme="majorEastAsia" w:hAnsiTheme="majorEastAsia" w:eastAsiaTheme="majorEastAsia" w:cstheme="majorEastAsia"/>
          <w:sz w:val="30"/>
          <w:szCs w:val="30"/>
          <w:lang w:val="zh-CN"/>
        </w:rPr>
        <w:t>六、确认成交供应商和授予合同</w:t>
      </w:r>
      <w:r>
        <w:rPr>
          <w:rFonts w:hint="eastAsia" w:ascii="宋体" w:hAnsi="宋体"/>
          <w:sz w:val="28"/>
          <w:szCs w:val="28"/>
        </w:rPr>
        <w:t>……………………………32</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r>
        <w:rPr>
          <w:rFonts w:hint="eastAsia" w:ascii="宋体" w:hAnsi="宋体"/>
          <w:sz w:val="28"/>
          <w:szCs w:val="28"/>
        </w:rPr>
        <w:t>…………………………………35</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r>
        <w:rPr>
          <w:rFonts w:hint="eastAsia" w:ascii="宋体" w:hAnsi="宋体"/>
          <w:sz w:val="28"/>
          <w:szCs w:val="28"/>
        </w:rPr>
        <w:t>……………………………………37</w:t>
      </w:r>
    </w:p>
    <w:p>
      <w:pPr>
        <w:autoSpaceDE w:val="0"/>
        <w:autoSpaceDN w:val="0"/>
        <w:adjustRightInd w:val="0"/>
        <w:spacing w:line="700" w:lineRule="exact"/>
        <w:ind w:firstLine="551"/>
        <w:outlineLvl w:val="0"/>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r>
        <w:rPr>
          <w:rFonts w:hint="eastAsia" w:ascii="宋体" w:hAnsi="宋体"/>
          <w:sz w:val="28"/>
          <w:szCs w:val="28"/>
        </w:rPr>
        <w:t>……………………………44</w:t>
      </w:r>
    </w:p>
    <w:p>
      <w:pPr>
        <w:autoSpaceDE w:val="0"/>
        <w:autoSpaceDN w:val="0"/>
        <w:adjustRightInd w:val="0"/>
        <w:spacing w:line="700" w:lineRule="exact"/>
        <w:ind w:firstLine="551"/>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r>
        <w:rPr>
          <w:rFonts w:hint="eastAsia" w:ascii="宋体" w:hAnsi="宋体"/>
          <w:sz w:val="28"/>
          <w:szCs w:val="28"/>
        </w:rPr>
        <w:t>…………………………………48</w:t>
      </w:r>
    </w:p>
    <w:p>
      <w:pPr>
        <w:tabs>
          <w:tab w:val="left" w:pos="2604"/>
        </w:tabs>
        <w:autoSpaceDE w:val="0"/>
        <w:autoSpaceDN w:val="0"/>
        <w:adjustRightInd w:val="0"/>
        <w:spacing w:line="700" w:lineRule="exact"/>
        <w:ind w:firstLine="551"/>
        <w:rPr>
          <w:rFonts w:ascii="宋体" w:hAnsi="宋体" w:eastAsia="宋体" w:cs="宋体"/>
          <w:b/>
          <w:sz w:val="36"/>
          <w:szCs w:val="36"/>
          <w:shd w:val="clear" w:color="auto" w:fill="FFFFFF"/>
        </w:rPr>
      </w:pPr>
    </w:p>
    <w:p>
      <w:pP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p>
    <w:p>
      <w:pPr>
        <w:pStyle w:val="22"/>
        <w:widowControl/>
        <w:spacing w:line="360" w:lineRule="auto"/>
        <w:ind w:firstLine="420"/>
        <w:contextualSpacing/>
        <w:jc w:val="left"/>
        <w:rPr>
          <w:rFonts w:ascii="宋体" w:hAnsi="宋体" w:cs="仿宋_GB2312"/>
          <w:color w:val="000000"/>
          <w:sz w:val="21"/>
          <w:szCs w:val="21"/>
          <w:shd w:val="clear" w:color="auto" w:fill="FFFFFF"/>
          <w:lang w:val="zh-CN"/>
        </w:rPr>
      </w:pPr>
      <w:r>
        <w:rPr>
          <w:rFonts w:hint="eastAsia" w:ascii="宋体" w:hAnsi="宋体" w:cs="仿宋_GB2312"/>
          <w:color w:val="000000"/>
          <w:sz w:val="21"/>
          <w:szCs w:val="21"/>
          <w:shd w:val="clear" w:color="auto" w:fill="FFFFFF"/>
          <w:lang w:val="zh-CN"/>
        </w:rPr>
        <w:t>河南宏业建设管理股份有限公司(以下</w:t>
      </w:r>
      <w:r>
        <w:rPr>
          <w:rFonts w:hint="eastAsia" w:ascii="宋体" w:hAnsi="宋体" w:cs="仿宋_GB2312"/>
          <w:color w:val="000000"/>
          <w:sz w:val="21"/>
          <w:szCs w:val="21"/>
          <w:shd w:val="clear" w:color="auto" w:fill="FFFFFF"/>
        </w:rPr>
        <w:t>简称代理机构) 受长葛市教育体育局的委托，对长葛市颍川路幼儿园安全及保教设施设备购置项目</w:t>
      </w:r>
      <w:r>
        <w:rPr>
          <w:rFonts w:hint="eastAsia" w:ascii="宋体" w:hAnsi="宋体" w:cs="仿宋_GB2312"/>
          <w:color w:val="000000"/>
          <w:sz w:val="21"/>
          <w:szCs w:val="21"/>
          <w:shd w:val="clear" w:color="auto" w:fill="FFFFFF"/>
          <w:lang w:val="zh-CN"/>
        </w:rPr>
        <w:t>进行竞争性谈判采购。现邀请符合本谈判文件规定条件的供应商前来谈判。</w:t>
      </w:r>
    </w:p>
    <w:p>
      <w:pPr>
        <w:pStyle w:val="22"/>
        <w:widowControl/>
        <w:spacing w:line="360" w:lineRule="auto"/>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2"/>
        <w:widowControl/>
        <w:spacing w:line="360" w:lineRule="auto"/>
        <w:ind w:firstLine="420"/>
        <w:contextualSpacing/>
        <w:jc w:val="left"/>
        <w:rPr>
          <w:rFonts w:ascii="宋体" w:hAnsi="宋体" w:cs="仿宋_GB2312"/>
          <w:color w:val="000000"/>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（一）项目名称：</w:t>
      </w:r>
      <w:r>
        <w:rPr>
          <w:rFonts w:hint="eastAsia" w:ascii="宋体" w:hAnsi="宋体" w:cs="仿宋_GB2312"/>
          <w:color w:val="000000"/>
          <w:sz w:val="21"/>
          <w:szCs w:val="21"/>
          <w:shd w:val="clear" w:color="auto" w:fill="FFFFFF"/>
        </w:rPr>
        <w:t>长葛市颍川路幼儿园安全及保教设施设备购置项目</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（二）项目编号</w:t>
      </w:r>
      <w:r>
        <w:rPr>
          <w:rFonts w:hint="eastAsia" w:ascii="宋体" w:hAnsi="宋体" w:cs="仿宋_GB2312"/>
          <w:color w:val="000000"/>
          <w:sz w:val="21"/>
          <w:szCs w:val="21"/>
          <w:shd w:val="clear" w:color="auto" w:fill="FFFFFF"/>
          <w:lang w:val="zh-CN"/>
        </w:rPr>
        <w:t>：长招采竞字【</w:t>
      </w:r>
      <w:r>
        <w:rPr>
          <w:rFonts w:hint="eastAsia" w:ascii="宋体" w:hAnsi="宋体" w:cs="仿宋_GB2312"/>
          <w:color w:val="000000"/>
          <w:sz w:val="21"/>
          <w:szCs w:val="21"/>
          <w:shd w:val="clear" w:color="auto" w:fill="FFFFFF"/>
        </w:rPr>
        <w:t>2019</w:t>
      </w:r>
      <w:r>
        <w:rPr>
          <w:rFonts w:hint="eastAsia" w:ascii="宋体" w:hAnsi="宋体" w:cs="仿宋_GB2312"/>
          <w:color w:val="000000"/>
          <w:sz w:val="21"/>
          <w:szCs w:val="21"/>
          <w:shd w:val="clear" w:color="auto" w:fill="FFFFFF"/>
          <w:lang w:val="zh-CN"/>
        </w:rPr>
        <w:t>】</w:t>
      </w:r>
      <w:r>
        <w:rPr>
          <w:rFonts w:hint="eastAsia" w:ascii="宋体" w:hAnsi="宋体" w:cs="仿宋_GB2312"/>
          <w:color w:val="000000"/>
          <w:sz w:val="21"/>
          <w:szCs w:val="21"/>
          <w:shd w:val="clear" w:color="auto" w:fill="FFFFFF"/>
        </w:rPr>
        <w:t>070号</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（三）采购方式：竞争性谈判                                                                                                                         </w:t>
      </w:r>
    </w:p>
    <w:p>
      <w:pPr>
        <w:pStyle w:val="22"/>
        <w:widowControl/>
        <w:spacing w:line="360" w:lineRule="auto"/>
        <w:ind w:firstLine="420"/>
        <w:contextualSpacing/>
        <w:jc w:val="left"/>
        <w:rPr>
          <w:rFonts w:ascii="宋体" w:hAnsi="宋体" w:cs="仿宋_GB2312"/>
          <w:sz w:val="21"/>
          <w:szCs w:val="21"/>
          <w:shd w:val="clear" w:color="auto" w:fill="FFFFFF"/>
        </w:rPr>
      </w:pPr>
      <w:r>
        <w:rPr>
          <w:rFonts w:hint="eastAsia" w:cs="仿宋_GB2312" w:asciiTheme="minorEastAsia" w:hAnsiTheme="minorEastAsia" w:eastAsiaTheme="minorEastAsia"/>
          <w:sz w:val="21"/>
          <w:szCs w:val="21"/>
          <w:shd w:val="clear" w:color="auto" w:fill="FFFFFF"/>
        </w:rPr>
        <w:t>（四）项目主要内容、数量及简要规格描述或项目基本概况介绍：</w:t>
      </w:r>
      <w:r>
        <w:rPr>
          <w:rFonts w:hint="eastAsia" w:ascii="宋体" w:hAnsi="宋体" w:cs="仿宋_GB2312"/>
          <w:color w:val="000000"/>
          <w:sz w:val="21"/>
          <w:szCs w:val="21"/>
          <w:shd w:val="clear" w:color="auto" w:fill="FFFFFF"/>
        </w:rPr>
        <w:t>安全及保教设施设备购置</w:t>
      </w:r>
      <w:r>
        <w:rPr>
          <w:rFonts w:hint="eastAsia" w:ascii="宋体" w:hAnsi="宋体" w:cs="仿宋_GB2312"/>
          <w:sz w:val="21"/>
          <w:szCs w:val="21"/>
          <w:shd w:val="clear" w:color="auto" w:fill="FFFFFF"/>
        </w:rPr>
        <w:t>；详见谈判文件。</w:t>
      </w:r>
    </w:p>
    <w:p>
      <w:pPr>
        <w:pStyle w:val="22"/>
        <w:widowControl/>
        <w:spacing w:line="360" w:lineRule="auto"/>
        <w:ind w:firstLine="420" w:firstLineChars="200"/>
        <w:contextualSpacing/>
        <w:jc w:val="left"/>
        <w:rPr>
          <w:rFonts w:ascii="宋体" w:hAnsi="宋体" w:cs="仿宋_GB2312"/>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（五）预算金额（</w:t>
      </w:r>
      <w:r>
        <w:rPr>
          <w:rFonts w:hint="eastAsia" w:ascii="宋体" w:hAnsi="宋体" w:cs="仿宋_GB2312"/>
          <w:sz w:val="21"/>
          <w:szCs w:val="21"/>
          <w:shd w:val="clear" w:color="auto" w:fill="FFFFFF"/>
          <w:lang w:val="zh-CN"/>
        </w:rPr>
        <w:t>最高限价</w:t>
      </w:r>
      <w:r>
        <w:rPr>
          <w:rFonts w:hint="eastAsia" w:cs="仿宋_GB2312" w:asciiTheme="minorEastAsia" w:hAnsiTheme="minorEastAsia" w:eastAsiaTheme="minorEastAsia"/>
          <w:sz w:val="21"/>
          <w:szCs w:val="21"/>
          <w:shd w:val="clear" w:color="auto" w:fill="FFFFFF"/>
        </w:rPr>
        <w:t>）： 469200</w:t>
      </w:r>
      <w:r>
        <w:rPr>
          <w:rFonts w:hint="eastAsia" w:ascii="宋体" w:hAnsi="宋体" w:cs="仿宋_GB2312"/>
          <w:sz w:val="21"/>
          <w:szCs w:val="21"/>
          <w:shd w:val="clear" w:color="auto" w:fill="FFFFFF"/>
          <w:lang w:val="zh-CN"/>
        </w:rPr>
        <w:t>元。</w:t>
      </w:r>
    </w:p>
    <w:p>
      <w:pPr>
        <w:pStyle w:val="22"/>
        <w:autoSpaceDE w:val="0"/>
        <w:adjustRightInd w:val="0"/>
        <w:snapToGrid w:val="0"/>
        <w:spacing w:line="276" w:lineRule="auto"/>
        <w:ind w:firstLine="420" w:firstLineChars="200"/>
        <w:rPr>
          <w:rFonts w:ascii="仿宋" w:hAnsi="仿宋" w:eastAsia="仿宋" w:cs="仿宋"/>
          <w:sz w:val="32"/>
          <w:szCs w:val="32"/>
        </w:rPr>
      </w:pPr>
      <w:r>
        <w:rPr>
          <w:rFonts w:hint="eastAsia" w:cs="仿宋_GB2312" w:asciiTheme="minorEastAsia" w:hAnsiTheme="minorEastAsia" w:eastAsiaTheme="minorEastAsia"/>
          <w:sz w:val="21"/>
          <w:szCs w:val="21"/>
          <w:shd w:val="clear" w:color="auto" w:fill="FFFFFF"/>
        </w:rPr>
        <w:t>（六）交付（服务、完工）时间 ：</w:t>
      </w:r>
      <w:r>
        <w:rPr>
          <w:rFonts w:hint="eastAsia" w:ascii="宋体" w:hAnsi="宋体" w:cs="仿宋_GB2312"/>
          <w:sz w:val="21"/>
          <w:szCs w:val="21"/>
          <w:shd w:val="clear" w:color="auto" w:fill="FFFFFF"/>
        </w:rPr>
        <w:t>自合同签订之日起30日内完成</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（七）交付（服务、完工）地点：长葛市</w:t>
      </w:r>
      <w:r>
        <w:rPr>
          <w:rFonts w:hint="eastAsia" w:ascii="宋体" w:hAnsi="宋体" w:cs="仿宋_GB2312"/>
          <w:color w:val="000000"/>
          <w:sz w:val="21"/>
          <w:szCs w:val="21"/>
          <w:shd w:val="clear" w:color="auto" w:fill="FFFFFF"/>
        </w:rPr>
        <w:t>颍川路幼儿园</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（八）分包：不允许。</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二、需要落实的政府采购政策</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本项目落实中小微型企业、监狱企业、残疾人福利性单位扶持等相关政府采购政策。</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三、竞标人资格要求</w:t>
      </w:r>
    </w:p>
    <w:p>
      <w:pPr>
        <w:pStyle w:val="22"/>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1、符合《中华人民共和国政府采购法》第二十二条之规定；</w:t>
      </w:r>
    </w:p>
    <w:p>
      <w:pPr>
        <w:pStyle w:val="22"/>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2、在中华人民共和国境内注册的，投标人具有独立承担民事责任的能力，有提供本次采购货物的能力。</w:t>
      </w:r>
    </w:p>
    <w:p>
      <w:pPr>
        <w:pStyle w:val="22"/>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3、</w:t>
      </w:r>
      <w:r>
        <w:rPr>
          <w:rFonts w:hint="eastAsia" w:cs="仿宋_GB2312" w:asciiTheme="minorEastAsia" w:hAnsiTheme="minorEastAsia" w:eastAsiaTheme="minorEastAsia"/>
          <w:sz w:val="21"/>
          <w:szCs w:val="21"/>
          <w:shd w:val="clear" w:color="auto" w:fill="FFFFFF"/>
          <w:lang w:eastAsia="zh-CN"/>
        </w:rPr>
        <w:t>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(www.ccgp.gov.cn)网站的政府采购严重违法失信行为记录名单的供应商；“中国社会组织公共服务平台”网站（www.chinanpo.gov.cn）严重违法失信名单的社会组织。</w:t>
      </w:r>
    </w:p>
    <w:p>
      <w:pPr>
        <w:pStyle w:val="22"/>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4、与采购人存在利害关系可能影响招标公正性的法人、其他组织或者个人，不得参加投标；单位负责人为同一人或者存在控股、管理关系的不同单位，不得参加同一标段投标或者未划分标段的同一采购项目投标。</w:t>
      </w:r>
    </w:p>
    <w:p>
      <w:pPr>
        <w:pStyle w:val="22"/>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5、本项目不接受联合体投标。</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四、谈判文件的获取</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五、</w:t>
      </w:r>
      <w:r>
        <w:rPr>
          <w:rFonts w:hint="eastAsia" w:cs="仿宋_GB2312" w:asciiTheme="minorEastAsia" w:hAnsiTheme="minorEastAsia" w:eastAsiaTheme="minorEastAsia"/>
          <w:b/>
          <w:sz w:val="21"/>
          <w:szCs w:val="21"/>
          <w:shd w:val="clear" w:color="auto" w:fill="FFFFFF"/>
        </w:rPr>
        <w:t>响应文件提交截止时间</w:t>
      </w:r>
      <w:r>
        <w:rPr>
          <w:rFonts w:hint="eastAsia" w:cs="黑体" w:asciiTheme="minorEastAsia" w:hAnsiTheme="minorEastAsia" w:eastAsiaTheme="minorEastAsia"/>
          <w:b/>
          <w:bCs/>
          <w:sz w:val="21"/>
          <w:szCs w:val="21"/>
          <w:shd w:val="clear" w:color="auto" w:fill="FFFFFF"/>
        </w:rPr>
        <w:t>及谈判响应截止时间、谈判时间</w:t>
      </w:r>
    </w:p>
    <w:p>
      <w:pPr>
        <w:pStyle w:val="22"/>
        <w:widowControl/>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sz w:val="21"/>
          <w:szCs w:val="21"/>
          <w:shd w:val="clear" w:color="auto" w:fill="FFFFFF"/>
        </w:rPr>
        <w:t>（一）响应文件提交截止时间及</w:t>
      </w:r>
      <w:r>
        <w:rPr>
          <w:rFonts w:hint="eastAsia" w:cs="仿宋_GB2312" w:asciiTheme="minorEastAsia" w:hAnsiTheme="minorEastAsia" w:eastAsiaTheme="minorEastAsia"/>
          <w:sz w:val="21"/>
          <w:szCs w:val="21"/>
        </w:rPr>
        <w:t>谈判响应截止时间、谈判时间：2019年</w:t>
      </w:r>
      <w:r>
        <w:rPr>
          <w:rFonts w:hint="eastAsia" w:cs="仿宋_GB2312" w:asciiTheme="minorEastAsia" w:hAnsiTheme="minorEastAsia" w:eastAsiaTheme="minorEastAsia"/>
          <w:sz w:val="21"/>
          <w:szCs w:val="21"/>
          <w:lang w:val="en-US" w:eastAsia="zh-CN"/>
        </w:rPr>
        <w:t>10</w:t>
      </w:r>
      <w:r>
        <w:rPr>
          <w:rFonts w:hint="eastAsia" w:cs="仿宋_GB2312" w:asciiTheme="minorEastAsia" w:hAnsiTheme="minorEastAsia" w:eastAsiaTheme="minorEastAsia"/>
          <w:sz w:val="21"/>
          <w:szCs w:val="21"/>
        </w:rPr>
        <w:t>月</w:t>
      </w:r>
      <w:r>
        <w:rPr>
          <w:rFonts w:hint="eastAsia" w:cs="仿宋_GB2312" w:asciiTheme="minorEastAsia" w:hAnsiTheme="minorEastAsia" w:eastAsiaTheme="minorEastAsia"/>
          <w:sz w:val="21"/>
          <w:szCs w:val="21"/>
          <w:lang w:val="en-US" w:eastAsia="zh-CN"/>
        </w:rPr>
        <w:t>25</w:t>
      </w:r>
      <w:r>
        <w:rPr>
          <w:rFonts w:hint="eastAsia" w:cs="仿宋_GB2312" w:asciiTheme="minorEastAsia" w:hAnsiTheme="minorEastAsia" w:eastAsiaTheme="minorEastAsia"/>
          <w:sz w:val="21"/>
          <w:szCs w:val="21"/>
        </w:rPr>
        <w:t>日</w:t>
      </w:r>
      <w:r>
        <w:rPr>
          <w:rFonts w:hint="eastAsia" w:cs="仿宋_GB2312" w:asciiTheme="minorEastAsia" w:hAnsiTheme="minorEastAsia" w:eastAsiaTheme="minorEastAsia"/>
          <w:sz w:val="21"/>
          <w:szCs w:val="21"/>
          <w:lang w:val="en-US" w:eastAsia="zh-CN"/>
        </w:rPr>
        <w:t>09</w:t>
      </w:r>
      <w:r>
        <w:rPr>
          <w:rFonts w:hint="eastAsia" w:cs="仿宋_GB2312" w:asciiTheme="minorEastAsia" w:hAnsiTheme="minorEastAsia" w:eastAsiaTheme="minorEastAsia"/>
          <w:sz w:val="21"/>
          <w:szCs w:val="21"/>
        </w:rPr>
        <w:t>时</w:t>
      </w:r>
      <w:r>
        <w:rPr>
          <w:rFonts w:hint="eastAsia" w:cs="仿宋_GB2312" w:asciiTheme="minorEastAsia" w:hAnsiTheme="minorEastAsia" w:eastAsiaTheme="minorEastAsia"/>
          <w:sz w:val="21"/>
          <w:szCs w:val="21"/>
          <w:lang w:val="en-US" w:eastAsia="zh-CN"/>
        </w:rPr>
        <w:t>00</w:t>
      </w:r>
      <w:r>
        <w:rPr>
          <w:rFonts w:hint="eastAsia" w:cs="仿宋_GB2312" w:asciiTheme="minorEastAsia" w:hAnsiTheme="minorEastAsia" w:eastAsiaTheme="minorEastAsia"/>
          <w:sz w:val="21"/>
          <w:szCs w:val="21"/>
        </w:rPr>
        <w:t>分（北京时间），逾期送达或不符合规定的响应文件</w:t>
      </w:r>
      <w:r>
        <w:rPr>
          <w:rFonts w:hint="eastAsia" w:ascii="宋体" w:hAnsi="宋体" w:cs="微软雅黑"/>
          <w:sz w:val="21"/>
          <w:szCs w:val="21"/>
        </w:rPr>
        <w:t>恕不接受。</w:t>
      </w:r>
    </w:p>
    <w:p>
      <w:pPr>
        <w:pStyle w:val="22"/>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rPr>
        <w:t>（二）响应文件开启时间：</w:t>
      </w:r>
      <w:r>
        <w:rPr>
          <w:rFonts w:hint="eastAsia" w:cs="仿宋_GB2312" w:asciiTheme="minorEastAsia" w:hAnsiTheme="minorEastAsia" w:eastAsiaTheme="minorEastAsia"/>
          <w:sz w:val="21"/>
          <w:szCs w:val="21"/>
          <w:shd w:val="clear" w:color="auto" w:fill="FFFFFF"/>
        </w:rPr>
        <w:t>同响应文件提交截止时间。</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六、谈判响应文件递交及开启地点、谈判地点：</w:t>
      </w:r>
    </w:p>
    <w:p>
      <w:pPr>
        <w:pStyle w:val="22"/>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（一）谈判响应文件递交地点：</w:t>
      </w:r>
      <w:r>
        <w:rPr>
          <w:rFonts w:hint="eastAsia" w:ascii="宋体" w:hAnsi="宋体" w:cs="仿宋_GB2312"/>
          <w:sz w:val="21"/>
          <w:szCs w:val="21"/>
        </w:rPr>
        <w:t>长葛市公共资源交易中心开标</w:t>
      </w:r>
      <w:r>
        <w:rPr>
          <w:rFonts w:hint="eastAsia" w:ascii="宋体" w:hAnsi="宋体" w:cs="仿宋_GB2312"/>
          <w:sz w:val="21"/>
          <w:szCs w:val="21"/>
          <w:lang w:eastAsia="zh-CN"/>
        </w:rPr>
        <w:t>二</w:t>
      </w:r>
      <w:r>
        <w:rPr>
          <w:rFonts w:hint="eastAsia" w:ascii="宋体" w:hAnsi="宋体" w:cs="仿宋_GB2312"/>
          <w:sz w:val="21"/>
          <w:szCs w:val="21"/>
        </w:rPr>
        <w:t>室（长葛市葛天大道东段商务区6#楼</w:t>
      </w:r>
      <w:r>
        <w:rPr>
          <w:rFonts w:hint="eastAsia" w:ascii="宋体" w:hAnsi="宋体" w:cs="仿宋_GB2312"/>
          <w:sz w:val="21"/>
          <w:szCs w:val="21"/>
          <w:lang w:val="en-US" w:eastAsia="zh-CN"/>
        </w:rPr>
        <w:t>4</w:t>
      </w:r>
      <w:r>
        <w:rPr>
          <w:rFonts w:hint="eastAsia" w:ascii="宋体" w:hAnsi="宋体" w:cs="仿宋_GB2312"/>
          <w:sz w:val="21"/>
          <w:szCs w:val="21"/>
        </w:rPr>
        <w:t>楼</w:t>
      </w:r>
      <w:r>
        <w:rPr>
          <w:rFonts w:hint="eastAsia" w:ascii="宋体" w:hAnsi="宋体" w:cs="仿宋_GB2312"/>
          <w:sz w:val="21"/>
          <w:szCs w:val="21"/>
          <w:lang w:val="en-US" w:eastAsia="zh-CN"/>
        </w:rPr>
        <w:t>409</w:t>
      </w:r>
      <w:r>
        <w:rPr>
          <w:rFonts w:hint="eastAsia" w:ascii="宋体" w:hAnsi="宋体" w:cs="仿宋_GB2312"/>
          <w:sz w:val="21"/>
          <w:szCs w:val="21"/>
        </w:rPr>
        <w:t>室）</w:t>
      </w:r>
      <w:r>
        <w:rPr>
          <w:rFonts w:hint="eastAsia" w:cs="仿宋_GB2312" w:asciiTheme="minorEastAsia" w:hAnsiTheme="minorEastAsia" w:eastAsiaTheme="minorEastAsia"/>
          <w:sz w:val="21"/>
          <w:szCs w:val="21"/>
        </w:rPr>
        <w:t>。</w:t>
      </w:r>
    </w:p>
    <w:p>
      <w:pPr>
        <w:pStyle w:val="22"/>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（二）谈判响应文件开启及谈判地点：</w:t>
      </w:r>
      <w:r>
        <w:rPr>
          <w:rFonts w:hint="eastAsia" w:ascii="宋体" w:hAnsi="宋体" w:cs="仿宋_GB2312"/>
          <w:sz w:val="21"/>
          <w:szCs w:val="21"/>
        </w:rPr>
        <w:t>长葛市公共资源交易中心评标</w:t>
      </w:r>
      <w:r>
        <w:rPr>
          <w:rFonts w:hint="eastAsia" w:ascii="宋体" w:hAnsi="宋体" w:cs="仿宋_GB2312"/>
          <w:sz w:val="21"/>
          <w:szCs w:val="21"/>
          <w:lang w:eastAsia="zh-CN"/>
        </w:rPr>
        <w:t>三</w:t>
      </w:r>
      <w:r>
        <w:rPr>
          <w:rFonts w:hint="eastAsia" w:ascii="宋体" w:hAnsi="宋体" w:cs="仿宋_GB2312"/>
          <w:sz w:val="21"/>
          <w:szCs w:val="21"/>
        </w:rPr>
        <w:t>室（长葛市葛天大道东段商务区6#楼</w:t>
      </w:r>
      <w:r>
        <w:rPr>
          <w:rFonts w:hint="eastAsia" w:ascii="宋体" w:hAnsi="宋体" w:cs="仿宋_GB2312"/>
          <w:sz w:val="21"/>
          <w:szCs w:val="21"/>
          <w:lang w:val="en-US" w:eastAsia="zh-CN"/>
        </w:rPr>
        <w:t>5</w:t>
      </w:r>
      <w:r>
        <w:rPr>
          <w:rFonts w:hint="eastAsia" w:ascii="宋体" w:hAnsi="宋体" w:cs="仿宋_GB2312"/>
          <w:sz w:val="21"/>
          <w:szCs w:val="21"/>
        </w:rPr>
        <w:t>楼</w:t>
      </w:r>
      <w:r>
        <w:rPr>
          <w:rFonts w:hint="eastAsia" w:ascii="宋体" w:hAnsi="宋体" w:cs="仿宋_GB2312"/>
          <w:sz w:val="21"/>
          <w:szCs w:val="21"/>
          <w:lang w:val="en-US" w:eastAsia="zh-CN"/>
        </w:rPr>
        <w:t>510</w:t>
      </w:r>
      <w:r>
        <w:rPr>
          <w:rFonts w:hint="eastAsia" w:ascii="宋体" w:hAnsi="宋体" w:cs="仿宋_GB2312"/>
          <w:sz w:val="21"/>
          <w:szCs w:val="21"/>
        </w:rPr>
        <w:t>室）</w:t>
      </w:r>
      <w:r>
        <w:rPr>
          <w:rFonts w:hint="eastAsia" w:cs="仿宋_GB2312" w:asciiTheme="minorEastAsia" w:hAnsiTheme="minorEastAsia" w:eastAsiaTheme="minorEastAsia"/>
          <w:sz w:val="21"/>
          <w:szCs w:val="21"/>
        </w:rPr>
        <w:t>。</w:t>
      </w:r>
    </w:p>
    <w:p>
      <w:pPr>
        <w:pStyle w:val="22"/>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（三） 本项目为全流程电子化交易项目，供应商须提交电子响应文件和纸质响应文件。</w:t>
      </w:r>
    </w:p>
    <w:p>
      <w:pPr>
        <w:pStyle w:val="22"/>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1、加密电子响应文件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在谈判响应截止时间（谈判时间）前通过《全国公共资源交易平台(河南省</w:t>
      </w:r>
      <w:r>
        <w:rPr>
          <w:rFonts w:hint="eastAsia" w:ascii="MS Mincho" w:hAnsi="MS Mincho" w:eastAsia="MS Mincho" w:cs="MS Mincho"/>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2"/>
        <w:widowControl/>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2、纸质响应文件（正本、副本各1份）和备份文件1份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在响应谈判截止时间（谈判时间）前须一并递交。</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七、本次采购公告同时在《河南省政府采购网》、《全国公共资源交易平台（河南省·许昌市）》、</w:t>
      </w:r>
      <w:r>
        <w:rPr>
          <w:rFonts w:hint="eastAsia" w:ascii="宋体" w:hAnsi="宋体" w:cs="黑体"/>
          <w:b/>
          <w:bCs/>
          <w:color w:val="000000"/>
          <w:sz w:val="21"/>
          <w:szCs w:val="21"/>
          <w:shd w:val="clear" w:color="auto" w:fill="FFFFFF"/>
        </w:rPr>
        <w:t>《长葛市人民政府门户网站》</w:t>
      </w:r>
      <w:r>
        <w:rPr>
          <w:rFonts w:hint="eastAsia" w:cs="黑体" w:asciiTheme="minorEastAsia" w:hAnsiTheme="minorEastAsia" w:eastAsiaTheme="minorEastAsia"/>
          <w:b/>
          <w:bCs/>
          <w:sz w:val="21"/>
          <w:szCs w:val="21"/>
          <w:shd w:val="clear" w:color="auto" w:fill="FFFFFF"/>
        </w:rPr>
        <w:t>发布。</w:t>
      </w:r>
    </w:p>
    <w:p>
      <w:pPr>
        <w:pStyle w:val="22"/>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八、公告期限</w:t>
      </w:r>
    </w:p>
    <w:p>
      <w:pPr>
        <w:pStyle w:val="22"/>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本公告自发布之日起公告期限为3个工作日。</w:t>
      </w:r>
    </w:p>
    <w:p>
      <w:pPr>
        <w:pStyle w:val="22"/>
        <w:widowControl/>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九、联系方式</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采购人：长葛市教育体育局</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联系人：石科长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联系电话：03746110256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地址：长葛市八七路</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代理机构：河南宏业建设管理股份有限公司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代理机构联系方式：韩先生  13613749370</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代理机构地址：郑州市郑东新区商都路与中兴南路交叉口向北200米凯利国际中心A座28楼</w:t>
      </w:r>
    </w:p>
    <w:p>
      <w:pPr>
        <w:adjustRightInd w:val="0"/>
        <w:snapToGrid w:val="0"/>
        <w:spacing w:line="360" w:lineRule="auto"/>
        <w:ind w:firstLine="960" w:firstLineChars="400"/>
        <w:jc w:val="right"/>
        <w:rPr>
          <w:rFonts w:ascii="宋体" w:hAnsi="宋体"/>
          <w:szCs w:val="21"/>
        </w:rPr>
      </w:pPr>
      <w:r>
        <w:rPr>
          <w:rFonts w:hint="eastAsia" w:ascii="宋体" w:hAnsi="宋体" w:eastAsia="宋体" w:cs="宋体"/>
          <w:color w:val="000000"/>
          <w:kern w:val="0"/>
          <w:sz w:val="24"/>
          <w:szCs w:val="24"/>
          <w:shd w:val="clear" w:color="auto" w:fill="FFFFFF"/>
        </w:rPr>
        <w:t>二〇一九年</w:t>
      </w:r>
      <w:r>
        <w:rPr>
          <w:rFonts w:hint="eastAsia" w:ascii="宋体" w:hAnsi="宋体" w:eastAsia="宋体" w:cs="宋体"/>
          <w:color w:val="000000"/>
          <w:kern w:val="0"/>
          <w:sz w:val="24"/>
          <w:szCs w:val="24"/>
          <w:shd w:val="clear" w:color="auto" w:fill="FFFFFF"/>
          <w:lang w:eastAsia="zh-CN"/>
        </w:rPr>
        <w:t>十</w:t>
      </w:r>
      <w:r>
        <w:rPr>
          <w:rFonts w:hint="eastAsia" w:ascii="宋体" w:hAnsi="宋体" w:eastAsia="宋体" w:cs="宋体"/>
          <w:color w:val="000000"/>
          <w:kern w:val="0"/>
          <w:sz w:val="24"/>
          <w:szCs w:val="24"/>
          <w:shd w:val="clear" w:color="auto" w:fill="FFFFFF"/>
        </w:rPr>
        <w:t>月</w:t>
      </w:r>
    </w:p>
    <w:p>
      <w:pPr>
        <w:pStyle w:val="22"/>
        <w:widowControl/>
        <w:shd w:val="clear" w:color="auto"/>
        <w:spacing w:line="360" w:lineRule="auto"/>
        <w:ind w:firstLine="420"/>
        <w:contextualSpacing/>
        <w:jc w:val="left"/>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特别</w:t>
      </w:r>
      <w:r>
        <w:rPr>
          <w:rFonts w:hint="eastAsia" w:ascii="宋体" w:hAnsi="宋体" w:eastAsia="宋体" w:cs="宋体"/>
          <w:b/>
          <w:color w:val="000000"/>
          <w:sz w:val="24"/>
          <w:szCs w:val="24"/>
        </w:rPr>
        <w:t>提示：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hint="eastAsia" w:hAnsi="宋体"/>
          <w:b/>
          <w:sz w:val="28"/>
          <w:szCs w:val="28"/>
        </w:rPr>
      </w:pPr>
      <w:r>
        <w:rPr>
          <w:rFonts w:hint="eastAsia" w:ascii="宋体" w:hAnsi="宋体" w:eastAsia="宋体" w:cs="宋体"/>
          <w:color w:val="000000"/>
          <w:sz w:val="24"/>
          <w:szCs w:val="24"/>
        </w:rPr>
        <w:t>2、各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对代理公司提供的服务不满意，或认为代理公司在服务过程中有不当行为的，可致电长葛市公共资源交易管理委员会办公室监管股（0374-6189576），经查实后将按规定作出处理。</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电子文件下载、制作、提交期间和谈判响应文件递交（</w:t>
      </w:r>
      <w:r>
        <w:rPr>
          <w:rFonts w:hint="eastAsia" w:hAnsi="宋体"/>
          <w:szCs w:val="21"/>
        </w:rPr>
        <w:t>电子响应文件的解密</w:t>
      </w:r>
      <w:r>
        <w:rPr>
          <w:rFonts w:hint="eastAsia" w:hAnsi="宋体"/>
          <w:b/>
          <w:szCs w:val="21"/>
        </w:rPr>
        <w:t>）环节，供应商须使用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电子响应文件的制作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供应商登录《全国公共资源交易平台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szCs w:val="21"/>
        </w:rPr>
      </w:pPr>
      <w:r>
        <w:rPr>
          <w:rFonts w:hint="eastAsia" w:hAnsi="宋体"/>
          <w:szCs w:val="21"/>
        </w:rPr>
        <w:t>电子响应文件的制作，参考《全国公共资源交易平台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供应商对同一项目多个标段进行报价的，应分别下载所响应标段的谈判文件，按标段制作电子响应文件，并</w:t>
      </w:r>
      <w:r>
        <w:rPr>
          <w:rFonts w:hAnsi="宋体"/>
          <w:szCs w:val="21"/>
        </w:rPr>
        <w:t>按</w:t>
      </w:r>
      <w:r>
        <w:rPr>
          <w:rFonts w:hint="eastAsia" w:hAnsi="宋体"/>
          <w:szCs w:val="21"/>
        </w:rPr>
        <w:t>谈判</w:t>
      </w:r>
      <w:r>
        <w:rPr>
          <w:rFonts w:hAnsi="宋体"/>
          <w:szCs w:val="21"/>
        </w:rPr>
        <w:t>文件要求在相应位置加盖</w:t>
      </w:r>
      <w:r>
        <w:rPr>
          <w:rFonts w:hint="eastAsia" w:hAnsi="宋体"/>
          <w:szCs w:val="21"/>
        </w:rPr>
        <w:t>供应商</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电子响应文件的提交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电子响应文件应在谈判文件规定的谈判响应截止时间（谈判时间）之前成功提交至《全国公共资源交易平台(河南省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供应商应充分考虑并预留技术处理和上传数据所需时间。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 xml:space="preserve"> 加密</w:t>
      </w:r>
      <w:r>
        <w:rPr>
          <w:rFonts w:hint="eastAsia" w:hAnsi="宋体"/>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评审依据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采用全流程电子化交易评审时，谈判小组以电子响应文件为依据评审。</w:t>
      </w:r>
    </w:p>
    <w:p>
      <w:pPr>
        <w:autoSpaceDE w:val="0"/>
        <w:autoSpaceDN w:val="0"/>
        <w:adjustRightInd w:val="0"/>
        <w:spacing w:line="700" w:lineRule="exact"/>
        <w:ind w:firstLine="560"/>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rPr>
          <w:rFonts w:cs="宋体" w:asciiTheme="majorEastAsia" w:hAnsiTheme="majorEastAsia" w:eastAsiaTheme="majorEastAsia"/>
          <w:b/>
          <w:kern w:val="0"/>
          <w:sz w:val="32"/>
          <w:szCs w:val="32"/>
        </w:rPr>
        <w:sectPr>
          <w:footerReference r:id="rId5" w:type="default"/>
          <w:pgSz w:w="11906" w:h="16838"/>
          <w:pgMar w:top="2098" w:right="1474" w:bottom="1928" w:left="1588" w:header="851" w:footer="992" w:gutter="0"/>
          <w:pgNumType w:start="1"/>
          <w:cols w:space="0" w:num="1"/>
          <w:docGrid w:type="lines" w:linePitch="312" w:charSpace="0"/>
        </w:sectPr>
      </w:pPr>
    </w:p>
    <w:p>
      <w:pPr>
        <w:spacing w:line="48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tbl>
      <w:tblPr>
        <w:tblStyle w:val="23"/>
        <w:tblW w:w="13904" w:type="dxa"/>
        <w:tblInd w:w="0" w:type="dxa"/>
        <w:tblLayout w:type="fixed"/>
        <w:tblCellMar>
          <w:top w:w="0" w:type="dxa"/>
          <w:left w:w="0" w:type="dxa"/>
          <w:bottom w:w="0" w:type="dxa"/>
          <w:right w:w="0" w:type="dxa"/>
        </w:tblCellMar>
      </w:tblPr>
      <w:tblGrid>
        <w:gridCol w:w="579"/>
        <w:gridCol w:w="1418"/>
        <w:gridCol w:w="709"/>
        <w:gridCol w:w="283"/>
        <w:gridCol w:w="567"/>
        <w:gridCol w:w="284"/>
        <w:gridCol w:w="283"/>
        <w:gridCol w:w="4678"/>
        <w:gridCol w:w="425"/>
        <w:gridCol w:w="2538"/>
        <w:gridCol w:w="2140"/>
      </w:tblGrid>
      <w:tr>
        <w:tblPrEx>
          <w:tblLayout w:type="fixed"/>
          <w:tblCellMar>
            <w:top w:w="0" w:type="dxa"/>
            <w:left w:w="0" w:type="dxa"/>
            <w:bottom w:w="0" w:type="dxa"/>
            <w:right w:w="0" w:type="dxa"/>
          </w:tblCellMar>
        </w:tblPrEx>
        <w:trPr>
          <w:trHeight w:val="717" w:hRule="atLeast"/>
        </w:trPr>
        <w:tc>
          <w:tcPr>
            <w:tcW w:w="13904" w:type="dxa"/>
            <w:gridSpan w:val="11"/>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 w:val="40"/>
                <w:szCs w:val="21"/>
                <w14:textFill>
                  <w14:solidFill>
                    <w14:schemeClr w14:val="tx1"/>
                  </w14:solidFill>
                </w14:textFill>
              </w:rPr>
              <w:t>颍川路幼儿园安全及保教设施设备购置货物清单</w:t>
            </w:r>
          </w:p>
        </w:tc>
      </w:tr>
      <w:tr>
        <w:tblPrEx>
          <w:tblLayout w:type="fixed"/>
          <w:tblCellMar>
            <w:top w:w="0" w:type="dxa"/>
            <w:left w:w="0" w:type="dxa"/>
            <w:bottom w:w="0" w:type="dxa"/>
            <w:right w:w="0" w:type="dxa"/>
          </w:tblCellMar>
        </w:tblPrEx>
        <w:trPr>
          <w:trHeight w:val="511" w:hRule="atLeast"/>
        </w:trPr>
        <w:tc>
          <w:tcPr>
            <w:tcW w:w="579"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序号</w:t>
            </w:r>
          </w:p>
        </w:tc>
        <w:tc>
          <w:tcPr>
            <w:tcW w:w="1418"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物品名称</w:t>
            </w:r>
          </w:p>
        </w:tc>
        <w:tc>
          <w:tcPr>
            <w:tcW w:w="709"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单位</w:t>
            </w:r>
          </w:p>
        </w:tc>
        <w:tc>
          <w:tcPr>
            <w:tcW w:w="1134" w:type="dxa"/>
            <w:gridSpan w:val="3"/>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配备数量</w:t>
            </w:r>
          </w:p>
        </w:tc>
        <w:tc>
          <w:tcPr>
            <w:tcW w:w="5386" w:type="dxa"/>
            <w:gridSpan w:val="3"/>
            <w:tcBorders>
              <w:top w:val="single" w:color="000000" w:sz="4" w:space="0"/>
              <w:left w:val="single" w:color="000000" w:sz="4" w:space="0"/>
              <w:bottom w:val="nil"/>
              <w:right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备注</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参考图片</w:t>
            </w:r>
          </w:p>
        </w:tc>
      </w:tr>
      <w:tr>
        <w:tblPrEx>
          <w:tblLayout w:type="fixed"/>
          <w:tblCellMar>
            <w:top w:w="0" w:type="dxa"/>
            <w:left w:w="0" w:type="dxa"/>
            <w:bottom w:w="0" w:type="dxa"/>
            <w:right w:w="0" w:type="dxa"/>
          </w:tblCellMar>
        </w:tblPrEx>
        <w:trPr>
          <w:trHeight w:val="197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果壳箱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个</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23</w:t>
            </w:r>
          </w:p>
        </w:tc>
        <w:tc>
          <w:tcPr>
            <w:tcW w:w="538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不锈钢410外筒材质，脚踏两分类垃圾桶30升，防水内筒，液压缓降桶盖静音，耐脏易洁。</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51072" behindDoc="0" locked="0" layoutInCell="1" allowOverlap="1">
                  <wp:simplePos x="0" y="0"/>
                  <wp:positionH relativeFrom="column">
                    <wp:posOffset>113665</wp:posOffset>
                  </wp:positionH>
                  <wp:positionV relativeFrom="paragraph">
                    <wp:posOffset>40640</wp:posOffset>
                  </wp:positionV>
                  <wp:extent cx="1172845" cy="1169035"/>
                  <wp:effectExtent l="0" t="0" r="0" b="0"/>
                  <wp:wrapNone/>
                  <wp:docPr id="9" name="图片_11"/>
                  <wp:cNvGraphicFramePr/>
                  <a:graphic xmlns:a="http://schemas.openxmlformats.org/drawingml/2006/main">
                    <a:graphicData uri="http://schemas.openxmlformats.org/drawingml/2006/picture">
                      <pic:pic xmlns:pic="http://schemas.openxmlformats.org/drawingml/2006/picture">
                        <pic:nvPicPr>
                          <pic:cNvPr id="9" name="图片_11"/>
                          <pic:cNvPicPr/>
                        </pic:nvPicPr>
                        <pic:blipFill>
                          <a:blip r:embed="rId8"/>
                          <a:stretch>
                            <a:fillRect/>
                          </a:stretch>
                        </pic:blipFill>
                        <pic:spPr>
                          <a:xfrm>
                            <a:off x="0" y="0"/>
                            <a:ext cx="1172845" cy="1169035"/>
                          </a:xfrm>
                          <a:prstGeom prst="rect">
                            <a:avLst/>
                          </a:prstGeom>
                          <a:noFill/>
                          <a:ln>
                            <a:noFill/>
                          </a:ln>
                        </pic:spPr>
                      </pic:pic>
                    </a:graphicData>
                  </a:graphic>
                </wp:anchor>
              </w:drawing>
            </w:r>
          </w:p>
        </w:tc>
        <w:tc>
          <w:tcPr>
            <w:tcW w:w="2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52096" behindDoc="0" locked="0" layoutInCell="1" allowOverlap="1">
                  <wp:simplePos x="0" y="0"/>
                  <wp:positionH relativeFrom="column">
                    <wp:posOffset>97790</wp:posOffset>
                  </wp:positionH>
                  <wp:positionV relativeFrom="paragraph">
                    <wp:posOffset>122555</wp:posOffset>
                  </wp:positionV>
                  <wp:extent cx="1134110" cy="882015"/>
                  <wp:effectExtent l="19050" t="0" r="8890" b="0"/>
                  <wp:wrapNone/>
                  <wp:docPr id="8" name="图片_6"/>
                  <wp:cNvGraphicFramePr/>
                  <a:graphic xmlns:a="http://schemas.openxmlformats.org/drawingml/2006/main">
                    <a:graphicData uri="http://schemas.openxmlformats.org/drawingml/2006/picture">
                      <pic:pic xmlns:pic="http://schemas.openxmlformats.org/drawingml/2006/picture">
                        <pic:nvPicPr>
                          <pic:cNvPr id="8" name="图片_6"/>
                          <pic:cNvPicPr/>
                        </pic:nvPicPr>
                        <pic:blipFill>
                          <a:blip r:embed="rId9"/>
                          <a:stretch>
                            <a:fillRect/>
                          </a:stretch>
                        </pic:blipFill>
                        <pic:spPr>
                          <a:xfrm>
                            <a:off x="0" y="0"/>
                            <a:ext cx="1134110" cy="8820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7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垃圾箱</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个</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538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kern w:val="0"/>
                <w:szCs w:val="21"/>
                <w14:textFill>
                  <w14:solidFill>
                    <w14:schemeClr w14:val="tx1"/>
                  </w14:solidFill>
                </w14:textFill>
              </w:rPr>
            </w:pPr>
          </w:p>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室外放置，不锈钢框架，内筒不锈钢材质移出便捷，箱体外壁装饰防腐木条，外形美观，经久耐用</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99200" behindDoc="0" locked="0" layoutInCell="1" allowOverlap="1">
                  <wp:simplePos x="0" y="0"/>
                  <wp:positionH relativeFrom="column">
                    <wp:posOffset>419100</wp:posOffset>
                  </wp:positionH>
                  <wp:positionV relativeFrom="paragraph">
                    <wp:posOffset>3810</wp:posOffset>
                  </wp:positionV>
                  <wp:extent cx="1137285" cy="1052195"/>
                  <wp:effectExtent l="0" t="0" r="0" b="0"/>
                  <wp:wrapNone/>
                  <wp:docPr id="49" name="图片_10"/>
                  <wp:cNvGraphicFramePr/>
                  <a:graphic xmlns:a="http://schemas.openxmlformats.org/drawingml/2006/main">
                    <a:graphicData uri="http://schemas.openxmlformats.org/drawingml/2006/picture">
                      <pic:pic xmlns:pic="http://schemas.openxmlformats.org/drawingml/2006/picture">
                        <pic:nvPicPr>
                          <pic:cNvPr id="49" name="图片_10"/>
                          <pic:cNvPicPr/>
                        </pic:nvPicPr>
                        <pic:blipFill>
                          <a:blip r:embed="rId10"/>
                          <a:stretch>
                            <a:fillRect/>
                          </a:stretch>
                        </pic:blipFill>
                        <pic:spPr>
                          <a:xfrm>
                            <a:off x="0" y="0"/>
                            <a:ext cx="1137285" cy="105219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74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活动磁性双面用黑板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块</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w:t>
            </w:r>
          </w:p>
        </w:tc>
        <w:tc>
          <w:tcPr>
            <w:tcW w:w="538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 </w:t>
            </w:r>
            <w:r>
              <w:rPr>
                <w:rStyle w:val="58"/>
                <w:rFonts w:hint="default" w:asciiTheme="minorEastAsia" w:hAnsiTheme="minorEastAsia" w:eastAsiaTheme="minorEastAsia"/>
                <w:color w:val="000000" w:themeColor="text1"/>
                <w:sz w:val="21"/>
                <w:szCs w:val="21"/>
                <w14:textFill>
                  <w14:solidFill>
                    <w14:schemeClr w14:val="tx1"/>
                  </w14:solidFill>
                </w14:textFill>
              </w:rPr>
              <w:t xml:space="preserve"> </w:t>
            </w:r>
            <w:r>
              <w:rPr>
                <w:rStyle w:val="59"/>
                <w:rFonts w:hint="default" w:asciiTheme="minorEastAsia" w:hAnsiTheme="minorEastAsia" w:eastAsiaTheme="minorEastAsia"/>
                <w:color w:val="000000" w:themeColor="text1"/>
                <w:sz w:val="21"/>
                <w:szCs w:val="21"/>
                <w14:textFill>
                  <w14:solidFill>
                    <w14:schemeClr w14:val="tx1"/>
                  </w14:solidFill>
                </w14:textFill>
              </w:rPr>
              <w:t xml:space="preserve"> 0.9米</w:t>
            </w:r>
            <w:r>
              <w:rPr>
                <w:rStyle w:val="60"/>
                <w:rFonts w:asciiTheme="minorEastAsia" w:hAnsiTheme="minorEastAsia"/>
                <w:color w:val="000000" w:themeColor="text1"/>
                <w:sz w:val="21"/>
                <w:szCs w:val="21"/>
                <w14:textFill>
                  <w14:solidFill>
                    <w14:schemeClr w14:val="tx1"/>
                  </w14:solidFill>
                </w14:textFill>
              </w:rPr>
              <w:t>×1.2</w:t>
            </w:r>
            <w:r>
              <w:rPr>
                <w:rStyle w:val="59"/>
                <w:rFonts w:hint="default" w:asciiTheme="minorEastAsia" w:hAnsiTheme="minorEastAsia" w:eastAsiaTheme="minorEastAsia"/>
                <w:color w:val="000000" w:themeColor="text1"/>
                <w:sz w:val="21"/>
                <w:szCs w:val="21"/>
                <w14:textFill>
                  <w14:solidFill>
                    <w14:schemeClr w14:val="tx1"/>
                  </w14:solidFill>
                </w14:textFill>
              </w:rPr>
              <w:t>米10块</w:t>
            </w:r>
            <w:r>
              <w:rPr>
                <w:rStyle w:val="61"/>
                <w:rFonts w:hint="default" w:asciiTheme="minorEastAsia" w:hAnsiTheme="minorEastAsia" w:eastAsiaTheme="minorEastAsia"/>
                <w:color w:val="000000" w:themeColor="text1"/>
                <w:sz w:val="21"/>
                <w:szCs w:val="21"/>
                <w14:textFill>
                  <w14:solidFill>
                    <w14:schemeClr w14:val="tx1"/>
                  </w14:solidFill>
                </w14:textFill>
              </w:rPr>
              <w:t>，1米</w:t>
            </w:r>
            <w:r>
              <w:rPr>
                <w:rStyle w:val="60"/>
                <w:rFonts w:asciiTheme="minorEastAsia" w:hAnsiTheme="minorEastAsia"/>
                <w:color w:val="000000" w:themeColor="text1"/>
                <w:sz w:val="21"/>
                <w:szCs w:val="21"/>
                <w14:textFill>
                  <w14:solidFill>
                    <w14:schemeClr w14:val="tx1"/>
                  </w14:solidFill>
                </w14:textFill>
              </w:rPr>
              <w:t>×</w:t>
            </w:r>
            <w:r>
              <w:rPr>
                <w:rStyle w:val="60"/>
                <w:rFonts w:hint="eastAsia" w:asciiTheme="minorEastAsia" w:hAnsiTheme="minorEastAsia"/>
                <w:color w:val="000000" w:themeColor="text1"/>
                <w:sz w:val="21"/>
                <w:szCs w:val="21"/>
                <w14:textFill>
                  <w14:solidFill>
                    <w14:schemeClr w14:val="tx1"/>
                  </w14:solidFill>
                </w14:textFill>
              </w:rPr>
              <w:t>2米2块，</w:t>
            </w:r>
            <w:r>
              <w:rPr>
                <w:rStyle w:val="61"/>
                <w:rFonts w:hint="default" w:asciiTheme="minorEastAsia" w:hAnsiTheme="minorEastAsia" w:eastAsiaTheme="minorEastAsia"/>
                <w:color w:val="000000" w:themeColor="text1"/>
                <w:sz w:val="21"/>
                <w:szCs w:val="21"/>
                <w14:textFill>
                  <w14:solidFill>
                    <w14:schemeClr w14:val="tx1"/>
                  </w14:solidFill>
                </w14:textFill>
              </w:rPr>
              <w:t>双面可360度翻转磁性白绿板，H型加厚加粗钢管支架，可移动刹车式滑轮，坚固稳定，一面白板，一面绿板，烤漆面板</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701248" behindDoc="0" locked="0" layoutInCell="1" allowOverlap="1">
                  <wp:simplePos x="0" y="0"/>
                  <wp:positionH relativeFrom="column">
                    <wp:posOffset>174625</wp:posOffset>
                  </wp:positionH>
                  <wp:positionV relativeFrom="paragraph">
                    <wp:posOffset>139065</wp:posOffset>
                  </wp:positionV>
                  <wp:extent cx="1276985" cy="1329055"/>
                  <wp:effectExtent l="19050" t="0" r="0" b="0"/>
                  <wp:wrapNone/>
                  <wp:docPr id="50" name="Picture_36"/>
                  <wp:cNvGraphicFramePr/>
                  <a:graphic xmlns:a="http://schemas.openxmlformats.org/drawingml/2006/main">
                    <a:graphicData uri="http://schemas.openxmlformats.org/drawingml/2006/picture">
                      <pic:pic xmlns:pic="http://schemas.openxmlformats.org/drawingml/2006/picture">
                        <pic:nvPicPr>
                          <pic:cNvPr id="50" name="Picture_36"/>
                          <pic:cNvPicPr/>
                        </pic:nvPicPr>
                        <pic:blipFill>
                          <a:blip r:embed="rId11"/>
                          <a:srcRect l="14174" r="13767"/>
                          <a:stretch>
                            <a:fillRect/>
                          </a:stretch>
                        </pic:blipFill>
                        <pic:spPr>
                          <a:xfrm>
                            <a:off x="0" y="0"/>
                            <a:ext cx="1276985" cy="132905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8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消防水带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条</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24</w:t>
            </w:r>
          </w:p>
        </w:tc>
        <w:tc>
          <w:tcPr>
            <w:tcW w:w="5386" w:type="dxa"/>
            <w:gridSpan w:val="3"/>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消防水带以橡胶为内衬，外表面包裹着亚麻编织物。消防水带的两头都有金属接头，可以接上另一根水带以延长距离或是接上喷嘴以增大液体喷射压力</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299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消防柜及器械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5386" w:type="dxa"/>
            <w:gridSpan w:val="3"/>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仿宋" w:asciiTheme="minorEastAsia" w:hAnsiTheme="minorEastAsia"/>
                <w:color w:val="000000" w:themeColor="text1"/>
                <w:kern w:val="0"/>
                <w:szCs w:val="21"/>
                <w14:textFill>
                  <w14:solidFill>
                    <w14:schemeClr w14:val="tx1"/>
                  </w14:solidFill>
                </w14:textFill>
              </w:rPr>
              <w:t>柜子加器材：消防器械柜1个、配套消防头盔、2个、消防服2套、消防手套2套、消防面罩2套、手电、灭火毯、靴子、水带及接口、水枪、腰带、扳手、安全绳、喇叭各2个。其中：防爆柜尺寸：1200*1600*390（±20mm），采用一级加厚冷轧钢板，坚固耐用；漆膜采用阿克苏粉末静电喷涂工艺，环保健康无甲醛，柜体防腐、防锈、防潮；柜体玻璃采用优质钢化玻璃，强度高、耐高温；柜台内有不锈钢挂衣杆，用于悬挂衣物器械等物品，有可调节层板，全钢锁具，铝合金扣手。</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drawing>
                <wp:anchor distT="0" distB="0" distL="114300" distR="114300" simplePos="0" relativeHeight="251703296" behindDoc="0" locked="0" layoutInCell="1" allowOverlap="1">
                  <wp:simplePos x="0" y="0"/>
                  <wp:positionH relativeFrom="column">
                    <wp:posOffset>15240</wp:posOffset>
                  </wp:positionH>
                  <wp:positionV relativeFrom="paragraph">
                    <wp:posOffset>-92710</wp:posOffset>
                  </wp:positionV>
                  <wp:extent cx="1530985" cy="1701165"/>
                  <wp:effectExtent l="0" t="0" r="0" b="0"/>
                  <wp:wrapNone/>
                  <wp:docPr id="51" name="图片_2"/>
                  <wp:cNvGraphicFramePr/>
                  <a:graphic xmlns:a="http://schemas.openxmlformats.org/drawingml/2006/main">
                    <a:graphicData uri="http://schemas.openxmlformats.org/drawingml/2006/picture">
                      <pic:pic xmlns:pic="http://schemas.openxmlformats.org/drawingml/2006/picture">
                        <pic:nvPicPr>
                          <pic:cNvPr id="51" name="图片_2"/>
                          <pic:cNvPicPr/>
                        </pic:nvPicPr>
                        <pic:blipFill>
                          <a:blip r:embed="rId12"/>
                          <a:srcRect l="13762" t="9400" r="13337" b="4716"/>
                          <a:stretch>
                            <a:fillRect/>
                          </a:stretch>
                        </pic:blipFill>
                        <pic:spPr>
                          <a:xfrm>
                            <a:off x="0" y="0"/>
                            <a:ext cx="1530985" cy="17011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2668"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消防灭火器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w:t>
            </w:r>
          </w:p>
        </w:tc>
        <w:tc>
          <w:tcPr>
            <w:tcW w:w="1134" w:type="dxa"/>
            <w:gridSpan w:val="3"/>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50</w:t>
            </w:r>
          </w:p>
        </w:tc>
        <w:tc>
          <w:tcPr>
            <w:tcW w:w="538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4公斤干粉手提式灭火器</w:t>
            </w:r>
          </w:p>
        </w:tc>
        <w:tc>
          <w:tcPr>
            <w:tcW w:w="4678" w:type="dxa"/>
            <w:gridSpan w:val="2"/>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drawing>
                <wp:anchor distT="0" distB="0" distL="114300" distR="114300" simplePos="0" relativeHeight="251705344" behindDoc="0" locked="0" layoutInCell="1" allowOverlap="1">
                  <wp:simplePos x="0" y="0"/>
                  <wp:positionH relativeFrom="column">
                    <wp:posOffset>170815</wp:posOffset>
                  </wp:positionH>
                  <wp:positionV relativeFrom="paragraph">
                    <wp:posOffset>80645</wp:posOffset>
                  </wp:positionV>
                  <wp:extent cx="1466850" cy="1464310"/>
                  <wp:effectExtent l="19050" t="0" r="0" b="0"/>
                  <wp:wrapNone/>
                  <wp:docPr id="52" name="图片_16"/>
                  <wp:cNvGraphicFramePr/>
                  <a:graphic xmlns:a="http://schemas.openxmlformats.org/drawingml/2006/main">
                    <a:graphicData uri="http://schemas.openxmlformats.org/drawingml/2006/picture">
                      <pic:pic xmlns:pic="http://schemas.openxmlformats.org/drawingml/2006/picture">
                        <pic:nvPicPr>
                          <pic:cNvPr id="52" name="图片_16"/>
                          <pic:cNvPicPr/>
                        </pic:nvPicPr>
                        <pic:blipFill>
                          <a:blip r:embed="rId13"/>
                          <a:stretch>
                            <a:fillRect/>
                          </a:stretch>
                        </pic:blipFill>
                        <pic:spPr>
                          <a:xfrm>
                            <a:off x="0" y="0"/>
                            <a:ext cx="1466850" cy="14643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367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安全防暴器具（防暴叉、橡胶棍等）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5386" w:type="dxa"/>
            <w:gridSpan w:val="3"/>
            <w:tcBorders>
              <w:top w:val="single" w:color="auto"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柜子加器材：防爆器械柜1个、盾牌、防刺服、头盔、防割手套、钢叉、警棍、手电、脚插各2个。其中：防爆柜尺寸：1200*1600*390，采用一级加厚冷轧钢板，坚固耐用；漆膜采用阿克苏粉末静电喷涂工艺，环保健康无甲醛，柜体防腐、防锈、防潮；柜体玻璃采用优质钢化玻璃，强度高、耐高温；柜台内有不锈钢挂衣杆，用于悬挂衣物器械等物品，有可调节层板，全钢锁具，铝合金扣手。</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drawing>
                <wp:anchor distT="0" distB="0" distL="114300" distR="114300" simplePos="0" relativeHeight="251674624" behindDoc="0" locked="0" layoutInCell="1" allowOverlap="1">
                  <wp:simplePos x="0" y="0"/>
                  <wp:positionH relativeFrom="column">
                    <wp:posOffset>1937385</wp:posOffset>
                  </wp:positionH>
                  <wp:positionV relativeFrom="paragraph">
                    <wp:posOffset>46990</wp:posOffset>
                  </wp:positionV>
                  <wp:extent cx="965835" cy="1062990"/>
                  <wp:effectExtent l="19050" t="0" r="5715" b="0"/>
                  <wp:wrapNone/>
                  <wp:docPr id="23" name="图片_15"/>
                  <wp:cNvGraphicFramePr/>
                  <a:graphic xmlns:a="http://schemas.openxmlformats.org/drawingml/2006/main">
                    <a:graphicData uri="http://schemas.openxmlformats.org/drawingml/2006/picture">
                      <pic:pic xmlns:pic="http://schemas.openxmlformats.org/drawingml/2006/picture">
                        <pic:nvPicPr>
                          <pic:cNvPr id="23" name="图片_15"/>
                          <pic:cNvPicPr/>
                        </pic:nvPicPr>
                        <pic:blipFill>
                          <a:blip r:embed="rId14"/>
                          <a:stretch>
                            <a:fillRect/>
                          </a:stretch>
                        </pic:blipFill>
                        <pic:spPr>
                          <a:xfrm>
                            <a:off x="0" y="0"/>
                            <a:ext cx="965835" cy="1062990"/>
                          </a:xfrm>
                          <a:prstGeom prst="rect">
                            <a:avLst/>
                          </a:prstGeom>
                          <a:noFill/>
                          <a:ln>
                            <a:noFill/>
                          </a:ln>
                        </pic:spPr>
                      </pic:pic>
                    </a:graphicData>
                  </a:graphic>
                </wp:anchor>
              </w:drawing>
            </w: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73600" behindDoc="0" locked="0" layoutInCell="1" allowOverlap="1">
                  <wp:simplePos x="0" y="0"/>
                  <wp:positionH relativeFrom="column">
                    <wp:posOffset>8255</wp:posOffset>
                  </wp:positionH>
                  <wp:positionV relativeFrom="paragraph">
                    <wp:posOffset>34290</wp:posOffset>
                  </wp:positionV>
                  <wp:extent cx="1199515" cy="1076960"/>
                  <wp:effectExtent l="0" t="0" r="4445" b="5080"/>
                  <wp:wrapNone/>
                  <wp:docPr id="13" name="图片_1"/>
                  <wp:cNvGraphicFramePr/>
                  <a:graphic xmlns:a="http://schemas.openxmlformats.org/drawingml/2006/main">
                    <a:graphicData uri="http://schemas.openxmlformats.org/drawingml/2006/picture">
                      <pic:pic xmlns:pic="http://schemas.openxmlformats.org/drawingml/2006/picture">
                        <pic:nvPicPr>
                          <pic:cNvPr id="13" name="图片_1"/>
                          <pic:cNvPicPr/>
                        </pic:nvPicPr>
                        <pic:blipFill>
                          <a:blip r:embed="rId15"/>
                          <a:stretch>
                            <a:fillRect/>
                          </a:stretch>
                        </pic:blipFill>
                        <pic:spPr>
                          <a:xfrm>
                            <a:off x="0" y="0"/>
                            <a:ext cx="1199515" cy="1076960"/>
                          </a:xfrm>
                          <a:prstGeom prst="rect">
                            <a:avLst/>
                          </a:prstGeom>
                          <a:noFill/>
                          <a:ln>
                            <a:noFill/>
                          </a:ln>
                        </pic:spPr>
                      </pic:pic>
                    </a:graphicData>
                  </a:graphic>
                </wp:anchor>
              </w:drawing>
            </w:r>
          </w:p>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drawing>
                <wp:anchor distT="0" distB="0" distL="114300" distR="114300" simplePos="0" relativeHeight="251672576" behindDoc="0" locked="0" layoutInCell="1" allowOverlap="1">
                  <wp:simplePos x="0" y="0"/>
                  <wp:positionH relativeFrom="column">
                    <wp:posOffset>1201420</wp:posOffset>
                  </wp:positionH>
                  <wp:positionV relativeFrom="paragraph">
                    <wp:posOffset>848360</wp:posOffset>
                  </wp:positionV>
                  <wp:extent cx="873760" cy="1243965"/>
                  <wp:effectExtent l="19050" t="0" r="0" b="0"/>
                  <wp:wrapNone/>
                  <wp:docPr id="11" name="图片_14"/>
                  <wp:cNvGraphicFramePr/>
                  <a:graphic xmlns:a="http://schemas.openxmlformats.org/drawingml/2006/main">
                    <a:graphicData uri="http://schemas.openxmlformats.org/drawingml/2006/picture">
                      <pic:pic xmlns:pic="http://schemas.openxmlformats.org/drawingml/2006/picture">
                        <pic:nvPicPr>
                          <pic:cNvPr id="11" name="图片_14"/>
                          <pic:cNvPicPr/>
                        </pic:nvPicPr>
                        <pic:blipFill>
                          <a:blip r:embed="rId16"/>
                          <a:stretch>
                            <a:fillRect/>
                          </a:stretch>
                        </pic:blipFill>
                        <pic:spPr>
                          <a:xfrm>
                            <a:off x="0" y="0"/>
                            <a:ext cx="873760" cy="124396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16"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保健室配套设备及用品等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538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含小冰箱1台，尺寸：440*480*490mm，材质为预涂钢板；儿童电子秤尺寸：420*300*830mm，材质为不锈铁，加厚材质，称体更耐用；视力表尺寸：300*900mm，材质为高透耐磨塑脂膜，有机材质防刮不易碎；听诊器尺寸：长度720mm，材质导音管为医用橡胶管，听诊膜片为纤维膜片；药品柜1个，尺寸：1800*900*400mm，材质整体为不锈钢材质；档案柜1个，尺寸：1800*850*390mm，材质为加厚冷轧钢，表面粉末涂抹，环保零甲醛，耐用易清洁；幼儿诊断床1张，尺寸：1800*600*605mm，床面材质为优质皮革，柔软度好，耐磨性高，透气性强且防水，钢制结构；血压计1个，尺寸：145*106*68.5mm，材质为高亮度树脂外壳，轻巧、坚韧、不易变形，改良扇形臂带；可移动消毒灯一套，消毒灯利用臭氧或紫外线进行消毒，底部带滑轮；可携带诊疗箱一套，铝制箱体，内装急救医用材料一套；不锈钢消毒压力锅一个，可使用插电和明火火源；不锈钢治疗盘、消毒棉桶等两套</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含小冰箱、儿童电子秤、视力表、听诊器、药品柜、档案柜、幼儿诊断床、血压计等</w:t>
            </w:r>
          </w:p>
        </w:tc>
      </w:tr>
      <w:tr>
        <w:tblPrEx>
          <w:tblLayout w:type="fixed"/>
          <w:tblCellMar>
            <w:top w:w="0" w:type="dxa"/>
            <w:left w:w="0" w:type="dxa"/>
            <w:bottom w:w="0" w:type="dxa"/>
            <w:right w:w="0" w:type="dxa"/>
          </w:tblCellMar>
        </w:tblPrEx>
        <w:trPr>
          <w:trHeight w:val="134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9</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窗帘等装饰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21教学班，9个教师办公室全部窗户</w:t>
            </w:r>
          </w:p>
        </w:tc>
        <w:tc>
          <w:tcPr>
            <w:tcW w:w="5386"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 xml:space="preserve">  高级加厚遮光窗帘布，窗户宽度从2米-5米不等，因各窗户尺寸不一，不能提供具体尺寸明细，各报名供应商可实地测量窗户尺寸并测算所需金额，包含制作安装等费用</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134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环保壁挂香皂支架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支</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20</w:t>
            </w:r>
          </w:p>
        </w:tc>
        <w:tc>
          <w:tcPr>
            <w:tcW w:w="5386" w:type="dxa"/>
            <w:gridSpan w:val="3"/>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幼教专用，铝制（不锈钢）s型支架全套</w:t>
            </w:r>
          </w:p>
        </w:tc>
        <w:tc>
          <w:tcPr>
            <w:tcW w:w="4678" w:type="dxa"/>
            <w:gridSpan w:val="2"/>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76672" behindDoc="0" locked="0" layoutInCell="1" allowOverlap="1">
                  <wp:simplePos x="0" y="0"/>
                  <wp:positionH relativeFrom="column">
                    <wp:posOffset>799465</wp:posOffset>
                  </wp:positionH>
                  <wp:positionV relativeFrom="paragraph">
                    <wp:posOffset>85725</wp:posOffset>
                  </wp:positionV>
                  <wp:extent cx="1633855" cy="1583690"/>
                  <wp:effectExtent l="19050" t="0" r="4445" b="0"/>
                  <wp:wrapNone/>
                  <wp:docPr id="24" name="Picture_28"/>
                  <wp:cNvGraphicFramePr/>
                  <a:graphic xmlns:a="http://schemas.openxmlformats.org/drawingml/2006/main">
                    <a:graphicData uri="http://schemas.openxmlformats.org/drawingml/2006/picture">
                      <pic:pic xmlns:pic="http://schemas.openxmlformats.org/drawingml/2006/picture">
                        <pic:nvPicPr>
                          <pic:cNvPr id="24" name="Picture_28"/>
                          <pic:cNvPicPr/>
                        </pic:nvPicPr>
                        <pic:blipFill>
                          <a:blip r:embed="rId17"/>
                          <a:stretch>
                            <a:fillRect/>
                          </a:stretch>
                        </pic:blipFill>
                        <pic:spPr>
                          <a:xfrm>
                            <a:off x="0" y="0"/>
                            <a:ext cx="1633855" cy="15836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4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环保壁挂香皂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块</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500</w:t>
            </w:r>
          </w:p>
        </w:tc>
        <w:tc>
          <w:tcPr>
            <w:tcW w:w="5386" w:type="dxa"/>
            <w:gridSpan w:val="3"/>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幼教专用，环保美观，抑菌清洁</w:t>
            </w:r>
          </w:p>
        </w:tc>
        <w:tc>
          <w:tcPr>
            <w:tcW w:w="4678" w:type="dxa"/>
            <w:gridSpan w:val="2"/>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2232"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12</w:t>
            </w:r>
          </w:p>
        </w:tc>
        <w:tc>
          <w:tcPr>
            <w:tcW w:w="1418"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班级消毒柜</w:t>
            </w:r>
          </w:p>
        </w:tc>
        <w:tc>
          <w:tcPr>
            <w:tcW w:w="709"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18</w:t>
            </w:r>
          </w:p>
        </w:tc>
        <w:tc>
          <w:tcPr>
            <w:tcW w:w="5386" w:type="dxa"/>
            <w:gridSpan w:val="3"/>
            <w:tcBorders>
              <w:top w:val="nil"/>
              <w:left w:val="nil"/>
              <w:bottom w:val="single" w:color="auto"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消毒柜为壁挂式（含安装），双开门，长宽高大于等于80厘米*35厘米*40厘米</w:t>
            </w:r>
          </w:p>
        </w:tc>
        <w:tc>
          <w:tcPr>
            <w:tcW w:w="4678"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drawing>
                <wp:inline distT="0" distB="0" distL="0" distR="0">
                  <wp:extent cx="1756410" cy="1286510"/>
                  <wp:effectExtent l="19050" t="0" r="0" b="0"/>
                  <wp:docPr id="37" name="图片 1" descr="https://timgsa.baidu.com/timg?image&amp;quality=80&amp;size=b9999_10000&amp;sec=1570349424&amp;di=65e6cbb1b9d556d4098814e550ab6658&amp;imgtype=jpg&amp;er=1&amp;src=http%3A%2F%2Fwww.t-chs.com%2FtuhsJDEwLmFsaWNkbi5jb20vaTMvMjEwNzMwOTM5Mi9PMUNOMDEySkZhSnZPYWpzT0txdWZfISEyMTA3MzA5MzkyJ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descr="https://timgsa.baidu.com/timg?image&amp;quality=80&amp;size=b9999_10000&amp;sec=1570349424&amp;di=65e6cbb1b9d556d4098814e550ab6658&amp;imgtype=jpg&amp;er=1&amp;src=http%3A%2F%2Fwww.t-chs.com%2FtuhsJDEwLmFsaWNkbi5jb20vaTMvMjEwNzMwOTM5Mi9PMUNOMDEySkZhSnZPYWpzT0txdWZfISEyMTA3MzA5MzkyJD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61604" cy="1290215"/>
                          </a:xfrm>
                          <a:prstGeom prst="rect">
                            <a:avLst/>
                          </a:prstGeom>
                          <a:noFill/>
                          <a:ln>
                            <a:noFill/>
                          </a:ln>
                        </pic:spPr>
                      </pic:pic>
                    </a:graphicData>
                  </a:graphic>
                </wp:inline>
              </w:drawing>
            </w:r>
          </w:p>
        </w:tc>
      </w:tr>
      <w:tr>
        <w:tblPrEx>
          <w:tblLayout w:type="fixed"/>
          <w:tblCellMar>
            <w:top w:w="0" w:type="dxa"/>
            <w:left w:w="0" w:type="dxa"/>
            <w:bottom w:w="0" w:type="dxa"/>
            <w:right w:w="0" w:type="dxa"/>
          </w:tblCellMar>
        </w:tblPrEx>
        <w:trPr>
          <w:trHeight w:val="1396"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13</w:t>
            </w:r>
          </w:p>
        </w:tc>
        <w:tc>
          <w:tcPr>
            <w:tcW w:w="1418"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直饮水系统</w:t>
            </w:r>
          </w:p>
        </w:tc>
        <w:tc>
          <w:tcPr>
            <w:tcW w:w="709"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18</w:t>
            </w:r>
          </w:p>
        </w:tc>
        <w:tc>
          <w:tcPr>
            <w:tcW w:w="5386" w:type="dxa"/>
            <w:gridSpan w:val="3"/>
            <w:tcBorders>
              <w:top w:val="single" w:color="auto" w:sz="4" w:space="0"/>
              <w:left w:val="single" w:color="000000" w:sz="4" w:space="0"/>
              <w:bottom w:val="single" w:color="auto"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含400g净水1台，反渗透技术，自动控水控电，内置防漏电技术，速热管线机1台，可调温，可调水量</w:t>
            </w:r>
          </w:p>
        </w:tc>
        <w:tc>
          <w:tcPr>
            <w:tcW w:w="4678" w:type="dxa"/>
            <w:gridSpan w:val="2"/>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193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14</w:t>
            </w:r>
          </w:p>
        </w:tc>
        <w:tc>
          <w:tcPr>
            <w:tcW w:w="1418"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各功能室标牌</w:t>
            </w:r>
          </w:p>
        </w:tc>
        <w:tc>
          <w:tcPr>
            <w:tcW w:w="709"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15</w:t>
            </w:r>
          </w:p>
        </w:tc>
        <w:tc>
          <w:tcPr>
            <w:tcW w:w="5386" w:type="dxa"/>
            <w:gridSpan w:val="3"/>
            <w:tcBorders>
              <w:top w:val="single" w:color="auto" w:sz="4" w:space="0"/>
              <w:left w:val="single" w:color="000000" w:sz="4" w:space="0"/>
              <w:bottom w:val="single" w:color="auto"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PVC+UV打印/PVC+亚克力；写真亮膜+龙卡板</w:t>
            </w:r>
          </w:p>
        </w:tc>
        <w:tc>
          <w:tcPr>
            <w:tcW w:w="4678" w:type="dxa"/>
            <w:gridSpan w:val="2"/>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drawing>
                <wp:inline distT="0" distB="0" distL="0" distR="0">
                  <wp:extent cx="1266825" cy="1123950"/>
                  <wp:effectExtent l="19050" t="0" r="9525" b="0"/>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66825" cy="1123950"/>
                          </a:xfrm>
                          <a:prstGeom prst="rect">
                            <a:avLst/>
                          </a:prstGeom>
                          <a:noFill/>
                          <a:ln>
                            <a:noFill/>
                          </a:ln>
                          <a:effectLst/>
                        </pic:spPr>
                      </pic:pic>
                    </a:graphicData>
                  </a:graphic>
                </wp:inline>
              </w:drawing>
            </w:r>
          </w:p>
        </w:tc>
      </w:tr>
      <w:tr>
        <w:tblPrEx>
          <w:tblLayout w:type="fixed"/>
          <w:tblCellMar>
            <w:top w:w="0" w:type="dxa"/>
            <w:left w:w="0" w:type="dxa"/>
            <w:bottom w:w="0" w:type="dxa"/>
            <w:right w:w="0" w:type="dxa"/>
          </w:tblCellMar>
        </w:tblPrEx>
        <w:trPr>
          <w:trHeight w:val="859"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14</w:t>
            </w:r>
          </w:p>
        </w:tc>
        <w:tc>
          <w:tcPr>
            <w:tcW w:w="1418" w:type="dxa"/>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智慧消防</w:t>
            </w:r>
          </w:p>
        </w:tc>
        <w:tc>
          <w:tcPr>
            <w:tcW w:w="709"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1134" w:type="dxa"/>
            <w:gridSpan w:val="3"/>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5386" w:type="dxa"/>
            <w:gridSpan w:val="3"/>
            <w:tcBorders>
              <w:top w:val="single" w:color="auto" w:sz="4" w:space="0"/>
              <w:left w:val="single" w:color="000000" w:sz="4" w:space="0"/>
              <w:bottom w:val="single" w:color="auto" w:sz="4" w:space="0"/>
              <w:right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要求见下</w:t>
            </w:r>
          </w:p>
        </w:tc>
        <w:tc>
          <w:tcPr>
            <w:tcW w:w="4678" w:type="dxa"/>
            <w:gridSpan w:val="2"/>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662" w:hRule="atLeast"/>
        </w:trPr>
        <w:tc>
          <w:tcPr>
            <w:tcW w:w="13904" w:type="dxa"/>
            <w:gridSpan w:val="11"/>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b/>
                <w:color w:val="000000" w:themeColor="text1"/>
                <w:kern w:val="0"/>
                <w:szCs w:val="21"/>
                <w14:textFill>
                  <w14:solidFill>
                    <w14:schemeClr w14:val="tx1"/>
                  </w14:solidFill>
                </w14:textFill>
              </w:rPr>
            </w:pPr>
          </w:p>
          <w:p>
            <w:pPr>
              <w:widowControl/>
              <w:jc w:val="center"/>
              <w:textAlignment w:val="center"/>
              <w:rPr>
                <w:rFonts w:cs="宋体" w:asciiTheme="minorEastAsia" w:hAnsiTheme="minorEastAsia"/>
                <w:b/>
                <w:color w:val="000000" w:themeColor="text1"/>
                <w:kern w:val="0"/>
                <w:szCs w:val="21"/>
                <w14:textFill>
                  <w14:solidFill>
                    <w14:schemeClr w14:val="tx1"/>
                  </w14:solidFill>
                </w14:textFill>
              </w:rPr>
            </w:pPr>
          </w:p>
          <w:p>
            <w:pPr>
              <w:widowControl/>
              <w:jc w:val="center"/>
              <w:textAlignment w:val="center"/>
              <w:rPr>
                <w:rFonts w:cs="宋体" w:asciiTheme="minorEastAsia" w:hAnsiTheme="minorEastAsia"/>
                <w:b/>
                <w:color w:val="000000" w:themeColor="text1"/>
                <w:kern w:val="0"/>
                <w:szCs w:val="21"/>
                <w14:textFill>
                  <w14:solidFill>
                    <w14:schemeClr w14:val="tx1"/>
                  </w14:solidFill>
                </w14:textFill>
              </w:rPr>
            </w:pPr>
          </w:p>
          <w:p>
            <w:pPr>
              <w:pStyle w:val="15"/>
              <w:rPr>
                <w:rFonts w:asciiTheme="minorEastAsia" w:hAnsiTheme="minorEastAsia" w:eastAsiaTheme="minorEastAsia"/>
                <w:color w:val="000000" w:themeColor="text1"/>
                <w:sz w:val="21"/>
                <w:szCs w:val="21"/>
                <w14:textFill>
                  <w14:solidFill>
                    <w14:schemeClr w14:val="tx1"/>
                  </w14:solidFill>
                </w14:textFill>
              </w:rPr>
            </w:pPr>
          </w:p>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 w:val="48"/>
                <w:szCs w:val="21"/>
                <w14:textFill>
                  <w14:solidFill>
                    <w14:schemeClr w14:val="tx1"/>
                  </w14:solidFill>
                </w14:textFill>
              </w:rPr>
              <w:t>智慧消防具体参数及要求</w:t>
            </w:r>
          </w:p>
        </w:tc>
      </w:tr>
      <w:tr>
        <w:tblPrEx>
          <w:tblLayout w:type="fixed"/>
          <w:tblCellMar>
            <w:top w:w="0" w:type="dxa"/>
            <w:left w:w="0" w:type="dxa"/>
            <w:bottom w:w="0" w:type="dxa"/>
            <w:right w:w="0" w:type="dxa"/>
          </w:tblCellMar>
        </w:tblPrEx>
        <w:trPr>
          <w:trHeight w:val="787" w:hRule="atLeast"/>
        </w:trPr>
        <w:tc>
          <w:tcPr>
            <w:tcW w:w="579"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序号</w:t>
            </w:r>
          </w:p>
        </w:tc>
        <w:tc>
          <w:tcPr>
            <w:tcW w:w="2410" w:type="dxa"/>
            <w:gridSpan w:val="3"/>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产品名称</w:t>
            </w:r>
          </w:p>
        </w:tc>
        <w:tc>
          <w:tcPr>
            <w:tcW w:w="567"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单位</w:t>
            </w:r>
          </w:p>
        </w:tc>
        <w:tc>
          <w:tcPr>
            <w:tcW w:w="567"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数量</w:t>
            </w:r>
          </w:p>
        </w:tc>
        <w:tc>
          <w:tcPr>
            <w:tcW w:w="4678"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产品说明</w:t>
            </w:r>
          </w:p>
        </w:tc>
        <w:tc>
          <w:tcPr>
            <w:tcW w:w="5103" w:type="dxa"/>
            <w:gridSpan w:val="3"/>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Cs w:val="21"/>
                <w14:textFill>
                  <w14:solidFill>
                    <w14:schemeClr w14:val="tx1"/>
                  </w14:solidFill>
                </w14:textFill>
              </w:rPr>
              <w:t>示例图片</w:t>
            </w:r>
          </w:p>
        </w:tc>
      </w:tr>
      <w:tr>
        <w:tblPrEx>
          <w:tblLayout w:type="fixed"/>
          <w:tblCellMar>
            <w:top w:w="0" w:type="dxa"/>
            <w:left w:w="0" w:type="dxa"/>
            <w:bottom w:w="0" w:type="dxa"/>
            <w:right w:w="0" w:type="dxa"/>
          </w:tblCellMar>
        </w:tblPrEx>
        <w:trPr>
          <w:trHeight w:val="418" w:hRule="atLeast"/>
        </w:trPr>
        <w:tc>
          <w:tcPr>
            <w:tcW w:w="579" w:type="dxa"/>
            <w:vMerge w:val="restart"/>
            <w:tcBorders>
              <w:top w:val="nil"/>
              <w:left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2410" w:type="dxa"/>
            <w:gridSpan w:val="3"/>
            <w:vMerge w:val="restart"/>
            <w:tcBorders>
              <w:top w:val="nil"/>
              <w:left w:val="nil"/>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组合式电气火灾监控探测器</w:t>
            </w:r>
          </w:p>
        </w:tc>
        <w:tc>
          <w:tcPr>
            <w:tcW w:w="567" w:type="dxa"/>
            <w:vMerge w:val="restart"/>
            <w:tcBorders>
              <w:top w:val="nil"/>
              <w:left w:val="nil"/>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台</w:t>
            </w:r>
          </w:p>
        </w:tc>
        <w:tc>
          <w:tcPr>
            <w:tcW w:w="567" w:type="dxa"/>
            <w:gridSpan w:val="2"/>
            <w:vMerge w:val="restart"/>
            <w:tcBorders>
              <w:top w:val="nil"/>
              <w:left w:val="nil"/>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467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检测对象：剩余电流、温度；检测范围：0mA～</w:t>
            </w:r>
          </w:p>
        </w:tc>
        <w:tc>
          <w:tcPr>
            <w:tcW w:w="5103" w:type="dxa"/>
            <w:gridSpan w:val="3"/>
            <w:vMerge w:val="restart"/>
            <w:tcBorders>
              <w:top w:val="nil"/>
              <w:left w:val="nil"/>
              <w:right w:val="single" w:color="000000" w:sz="8"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drawing>
                <wp:anchor distT="0" distB="0" distL="114300" distR="114300" simplePos="0" relativeHeight="251697152" behindDoc="0" locked="0" layoutInCell="1" allowOverlap="1">
                  <wp:simplePos x="0" y="0"/>
                  <wp:positionH relativeFrom="column">
                    <wp:posOffset>339725</wp:posOffset>
                  </wp:positionH>
                  <wp:positionV relativeFrom="paragraph">
                    <wp:posOffset>123825</wp:posOffset>
                  </wp:positionV>
                  <wp:extent cx="1016000" cy="1060450"/>
                  <wp:effectExtent l="19050" t="0" r="0" b="0"/>
                  <wp:wrapNone/>
                  <wp:docPr id="48" name="Picture_1"/>
                  <wp:cNvGraphicFramePr/>
                  <a:graphic xmlns:a="http://schemas.openxmlformats.org/drawingml/2006/main">
                    <a:graphicData uri="http://schemas.openxmlformats.org/drawingml/2006/picture">
                      <pic:pic xmlns:pic="http://schemas.openxmlformats.org/drawingml/2006/picture">
                        <pic:nvPicPr>
                          <pic:cNvPr id="48" name="Picture_1"/>
                          <pic:cNvPicPr/>
                        </pic:nvPicPr>
                        <pic:blipFill>
                          <a:blip r:embed="rId20"/>
                          <a:srcRect l="6555" t="9247" r="18572" b="10221"/>
                          <a:stretch>
                            <a:fillRect/>
                          </a:stretch>
                        </pic:blipFill>
                        <pic:spPr>
                          <a:xfrm>
                            <a:off x="0" y="0"/>
                            <a:ext cx="1016000" cy="1060450"/>
                          </a:xfrm>
                          <a:prstGeom prst="rect">
                            <a:avLst/>
                          </a:prstGeom>
                          <a:noFill/>
                          <a:ln>
                            <a:noFill/>
                          </a:ln>
                        </pic:spPr>
                      </pic:pic>
                    </a:graphicData>
                  </a:graphic>
                </wp:anchor>
              </w:drawing>
            </w:r>
          </w:p>
          <w:p>
            <w:pPr>
              <w:widowControl/>
              <w:jc w:val="left"/>
              <w:textAlignment w:val="center"/>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2339" w:hRule="atLeast"/>
        </w:trPr>
        <w:tc>
          <w:tcPr>
            <w:tcW w:w="579" w:type="dxa"/>
            <w:vMerge w:val="continue"/>
            <w:tcBorders>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p>
        </w:tc>
        <w:tc>
          <w:tcPr>
            <w:tcW w:w="2410" w:type="dxa"/>
            <w:gridSpan w:val="3"/>
            <w:vMerge w:val="continue"/>
            <w:tcBorders>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p>
        </w:tc>
        <w:tc>
          <w:tcPr>
            <w:tcW w:w="567" w:type="dxa"/>
            <w:vMerge w:val="continue"/>
            <w:tcBorders>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p>
        </w:tc>
        <w:tc>
          <w:tcPr>
            <w:tcW w:w="567" w:type="dxa"/>
            <w:gridSpan w:val="2"/>
            <w:vMerge w:val="continue"/>
            <w:tcBorders>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p>
        </w:tc>
        <w:tc>
          <w:tcPr>
            <w:tcW w:w="4678"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1000mA（剩余电流）0 ℃～160℃（温度）；额定电压： AC220V/50Hz；功耗：≤0.2W；执行标准：GB 14287.2-2014、 GB 14287.3-2014</w:t>
            </w:r>
          </w:p>
        </w:tc>
        <w:tc>
          <w:tcPr>
            <w:tcW w:w="5103" w:type="dxa"/>
            <w:gridSpan w:val="3"/>
            <w:vMerge w:val="continue"/>
            <w:tcBorders>
              <w:left w:val="nil"/>
              <w:bottom w:val="nil"/>
              <w:right w:val="single" w:color="000000" w:sz="8" w:space="0"/>
            </w:tcBorders>
            <w:shd w:val="clear" w:color="auto" w:fill="auto"/>
            <w:tcMar>
              <w:top w:w="12" w:type="dxa"/>
              <w:left w:w="12" w:type="dxa"/>
              <w:right w:w="12" w:type="dxa"/>
            </w:tcMar>
            <w:vAlign w:val="center"/>
          </w:tcPr>
          <w:p>
            <w:pPr>
              <w:jc w:val="left"/>
              <w:rPr>
                <w:rFonts w:cs="宋体" w:asciiTheme="minorEastAsia" w:hAnsiTheme="minorEastAsia"/>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154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剩余电流互感器</w:t>
            </w:r>
          </w:p>
          <w:p>
            <w:pPr>
              <w:widowControl/>
              <w:jc w:val="center"/>
              <w:textAlignment w:val="center"/>
              <w:rPr>
                <w:rFonts w:cs="宋体" w:asciiTheme="minorEastAsia" w:hAnsiTheme="minorEastAsia"/>
                <w:color w:val="000000" w:themeColor="text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只</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线缆，可检测400A以下电流回路,与TE1100组合式探测器配接使用，外径110mm×116mm×32mm，内径φ56mm</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drawing>
                <wp:anchor distT="0" distB="0" distL="114300" distR="114300" simplePos="0" relativeHeight="251668480" behindDoc="0" locked="0" layoutInCell="1" allowOverlap="1">
                  <wp:simplePos x="0" y="0"/>
                  <wp:positionH relativeFrom="column">
                    <wp:posOffset>179070</wp:posOffset>
                  </wp:positionH>
                  <wp:positionV relativeFrom="paragraph">
                    <wp:posOffset>158115</wp:posOffset>
                  </wp:positionV>
                  <wp:extent cx="1326515" cy="601980"/>
                  <wp:effectExtent l="19050" t="0" r="6985" b="0"/>
                  <wp:wrapNone/>
                  <wp:docPr id="20" name="Picture_3"/>
                  <wp:cNvGraphicFramePr/>
                  <a:graphic xmlns:a="http://schemas.openxmlformats.org/drawingml/2006/main">
                    <a:graphicData uri="http://schemas.openxmlformats.org/drawingml/2006/picture">
                      <pic:pic xmlns:pic="http://schemas.openxmlformats.org/drawingml/2006/picture">
                        <pic:nvPicPr>
                          <pic:cNvPr id="20" name="Picture_3"/>
                          <pic:cNvPicPr/>
                        </pic:nvPicPr>
                        <pic:blipFill>
                          <a:blip r:embed="rId21"/>
                          <a:stretch>
                            <a:fillRect/>
                          </a:stretch>
                        </pic:blipFill>
                        <pic:spPr>
                          <a:xfrm>
                            <a:off x="0" y="0"/>
                            <a:ext cx="1326515" cy="6019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1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电流互感器</w:t>
            </w:r>
          </w:p>
          <w:p>
            <w:pPr>
              <w:widowControl/>
              <w:jc w:val="center"/>
              <w:textAlignment w:val="center"/>
              <w:rPr>
                <w:rFonts w:cs="宋体" w:asciiTheme="minorEastAsia" w:hAnsiTheme="minorEastAsia"/>
                <w:color w:val="000000" w:themeColor="text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只</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9</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线缆，可检测50A以下电流回路,与TE1100组合式探测器配接使用，外径70mm×50mm×32mm，内径φ30mm。</w:t>
            </w:r>
          </w:p>
        </w:tc>
        <w:tc>
          <w:tcPr>
            <w:tcW w:w="51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bdr w:val="single" w:color="000000" w:sz="4" w:space="0"/>
                <w14:textFill>
                  <w14:solidFill>
                    <w14:schemeClr w14:val="tx1"/>
                  </w14:solidFill>
                </w14:textFill>
              </w:rPr>
              <w:drawing>
                <wp:anchor distT="0" distB="0" distL="114300" distR="114300" simplePos="0" relativeHeight="251669504" behindDoc="0" locked="0" layoutInCell="1" allowOverlap="1">
                  <wp:simplePos x="0" y="0"/>
                  <wp:positionH relativeFrom="column">
                    <wp:posOffset>179070</wp:posOffset>
                  </wp:positionH>
                  <wp:positionV relativeFrom="paragraph">
                    <wp:posOffset>13970</wp:posOffset>
                  </wp:positionV>
                  <wp:extent cx="1178560" cy="767715"/>
                  <wp:effectExtent l="19050" t="0" r="2540" b="0"/>
                  <wp:wrapNone/>
                  <wp:docPr id="21" name="Picture_2"/>
                  <wp:cNvGraphicFramePr/>
                  <a:graphic xmlns:a="http://schemas.openxmlformats.org/drawingml/2006/main">
                    <a:graphicData uri="http://schemas.openxmlformats.org/drawingml/2006/picture">
                      <pic:pic xmlns:pic="http://schemas.openxmlformats.org/drawingml/2006/picture">
                        <pic:nvPicPr>
                          <pic:cNvPr id="21" name="Picture_2"/>
                          <pic:cNvPicPr/>
                        </pic:nvPicPr>
                        <pic:blipFill>
                          <a:blip r:embed="rId22"/>
                          <a:stretch>
                            <a:fillRect/>
                          </a:stretch>
                        </pic:blipFill>
                        <pic:spPr>
                          <a:xfrm>
                            <a:off x="0" y="0"/>
                            <a:ext cx="1178560" cy="7677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966" w:hRule="atLeast"/>
        </w:trPr>
        <w:tc>
          <w:tcPr>
            <w:tcW w:w="57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241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温度传感器</w:t>
            </w:r>
          </w:p>
          <w:p>
            <w:pPr>
              <w:widowControl/>
              <w:jc w:val="center"/>
              <w:textAlignment w:val="center"/>
              <w:rPr>
                <w:rFonts w:cs="宋体" w:asciiTheme="minorEastAsia" w:hAnsiTheme="minorEastAsia"/>
                <w:color w:val="000000" w:themeColor="text1"/>
                <w:szCs w:val="21"/>
                <w14:textFill>
                  <w14:solidFill>
                    <w14:schemeClr w14:val="tx1"/>
                  </w14:solidFill>
                </w14:textFill>
              </w:rPr>
            </w:pP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只</w:t>
            </w:r>
          </w:p>
        </w:tc>
        <w:tc>
          <w:tcPr>
            <w:tcW w:w="567" w:type="dxa"/>
            <w:gridSpan w:val="2"/>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9</w:t>
            </w:r>
          </w:p>
        </w:tc>
        <w:tc>
          <w:tcPr>
            <w:tcW w:w="467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与测温式电气火灾监控探测器或组合式电气火灾监控探测器配接使用，测量UA,UB,UC,N电缆温度</w:t>
            </w:r>
          </w:p>
        </w:tc>
        <w:tc>
          <w:tcPr>
            <w:tcW w:w="5103"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drawing>
                <wp:anchor distT="0" distB="0" distL="114300" distR="114300" simplePos="0" relativeHeight="251670528" behindDoc="0" locked="0" layoutInCell="1" allowOverlap="1">
                  <wp:simplePos x="0" y="0"/>
                  <wp:positionH relativeFrom="column">
                    <wp:posOffset>179070</wp:posOffset>
                  </wp:positionH>
                  <wp:positionV relativeFrom="paragraph">
                    <wp:posOffset>237490</wp:posOffset>
                  </wp:positionV>
                  <wp:extent cx="1407160" cy="845185"/>
                  <wp:effectExtent l="19050" t="0" r="2540" b="0"/>
                  <wp:wrapNone/>
                  <wp:docPr id="22" name="Picture_4"/>
                  <wp:cNvGraphicFramePr/>
                  <a:graphic xmlns:a="http://schemas.openxmlformats.org/drawingml/2006/main">
                    <a:graphicData uri="http://schemas.openxmlformats.org/drawingml/2006/picture">
                      <pic:pic xmlns:pic="http://schemas.openxmlformats.org/drawingml/2006/picture">
                        <pic:nvPicPr>
                          <pic:cNvPr id="22" name="Picture_4"/>
                          <pic:cNvPicPr/>
                        </pic:nvPicPr>
                        <pic:blipFill>
                          <a:blip r:embed="rId23"/>
                          <a:stretch>
                            <a:fillRect/>
                          </a:stretch>
                        </pic:blipFill>
                        <pic:spPr>
                          <a:xfrm>
                            <a:off x="0" y="0"/>
                            <a:ext cx="1407160" cy="84518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162" w:hRule="atLeast"/>
        </w:trPr>
        <w:tc>
          <w:tcPr>
            <w:tcW w:w="579"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2410"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消防物联网系统（客户端）</w:t>
            </w:r>
          </w:p>
          <w:p>
            <w:pPr>
              <w:widowControl/>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用电安全监控</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套</w:t>
            </w:r>
          </w:p>
        </w:tc>
        <w:tc>
          <w:tcPr>
            <w:tcW w:w="567" w:type="dxa"/>
            <w:gridSpan w:val="2"/>
            <w:tcBorders>
              <w:top w:val="nil"/>
              <w:left w:val="nil"/>
              <w:bottom w:val="single" w:color="auto" w:sz="4"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4678"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widowControl/>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手机APP客户端监控软件</w:t>
            </w:r>
          </w:p>
        </w:tc>
        <w:tc>
          <w:tcPr>
            <w:tcW w:w="5103" w:type="dxa"/>
            <w:gridSpan w:val="3"/>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textAlignment w:val="center"/>
              <w:rPr>
                <w:rFonts w:cs="宋体" w:asciiTheme="minorEastAsia" w:hAnsiTheme="minorEastAsia"/>
                <w:color w:val="000000" w:themeColor="text1"/>
                <w:szCs w:val="21"/>
                <w14:textFill>
                  <w14:solidFill>
                    <w14:schemeClr w14:val="tx1"/>
                  </w14:solidFill>
                </w14:textFill>
              </w:rPr>
            </w:pPr>
          </w:p>
        </w:tc>
      </w:tr>
    </w:tbl>
    <w:p>
      <w:pPr>
        <w:spacing w:line="360" w:lineRule="auto"/>
        <w:rPr>
          <w:rFonts w:ascii="宋体"/>
          <w:bCs/>
          <w:sz w:val="24"/>
          <w:szCs w:val="24"/>
        </w:rPr>
      </w:pPr>
      <w:r>
        <w:rPr>
          <w:rFonts w:hint="eastAsia" w:ascii="宋体"/>
          <w:bCs/>
          <w:sz w:val="24"/>
          <w:szCs w:val="24"/>
        </w:rPr>
        <w:t>2、其它要求</w:t>
      </w:r>
    </w:p>
    <w:p>
      <w:pPr>
        <w:spacing w:line="360" w:lineRule="auto"/>
        <w:ind w:firstLine="480" w:firstLineChars="200"/>
        <w:rPr>
          <w:rFonts w:ascii="宋体"/>
          <w:bCs/>
          <w:sz w:val="24"/>
          <w:szCs w:val="24"/>
        </w:rPr>
      </w:pPr>
      <w:r>
        <w:rPr>
          <w:rFonts w:hint="eastAsia" w:ascii="宋体"/>
          <w:bCs/>
          <w:sz w:val="24"/>
          <w:szCs w:val="24"/>
        </w:rPr>
        <w:t>2.1本采购清单中所列技术规格或参数为最低要求，供应商所投产品应相当于或者高于，否则将承担其投标被视为非实质性响应的投标风险。</w:t>
      </w:r>
    </w:p>
    <w:p>
      <w:pPr>
        <w:spacing w:line="360" w:lineRule="auto"/>
        <w:ind w:firstLine="480" w:firstLineChars="200"/>
        <w:rPr>
          <w:rFonts w:ascii="宋体"/>
          <w:bCs/>
          <w:sz w:val="24"/>
          <w:szCs w:val="24"/>
        </w:rPr>
      </w:pPr>
      <w:r>
        <w:rPr>
          <w:rFonts w:hint="eastAsia" w:ascii="宋体"/>
          <w:bCs/>
          <w:sz w:val="24"/>
          <w:szCs w:val="24"/>
        </w:rPr>
        <w:t>2.2供应商须明确报价产品的厂家、产地、品牌、型号、详细参数、功能和满足技术参数详细响应内容</w:t>
      </w:r>
      <w:r>
        <w:rPr>
          <w:rFonts w:ascii="宋体"/>
          <w:bCs/>
          <w:sz w:val="24"/>
          <w:szCs w:val="24"/>
        </w:rPr>
        <w:t>，否则为无效报价。</w:t>
      </w:r>
    </w:p>
    <w:p>
      <w:pPr>
        <w:spacing w:line="360" w:lineRule="auto"/>
        <w:ind w:firstLine="480" w:firstLineChars="200"/>
        <w:rPr>
          <w:rFonts w:ascii="宋体"/>
          <w:bCs/>
          <w:sz w:val="24"/>
          <w:szCs w:val="24"/>
        </w:rPr>
      </w:pPr>
      <w:r>
        <w:rPr>
          <w:rFonts w:hint="eastAsia" w:ascii="宋体"/>
          <w:bCs/>
          <w:sz w:val="24"/>
          <w:szCs w:val="24"/>
        </w:rPr>
        <w:t>2.3货物必须符合国家质量检测标准，符合本采购文件规定标准的全新产品，提供所投产品的相关质量证明文件。如本采购需求中所采购的产为国家强制认证，供应商应当承诺所投产品为强制认证产品。</w:t>
      </w:r>
    </w:p>
    <w:p>
      <w:pPr>
        <w:spacing w:line="360" w:lineRule="auto"/>
        <w:ind w:firstLine="480" w:firstLineChars="200"/>
        <w:rPr>
          <w:rFonts w:ascii="宋体"/>
          <w:bCs/>
          <w:sz w:val="24"/>
          <w:szCs w:val="24"/>
        </w:rPr>
      </w:pPr>
      <w:r>
        <w:rPr>
          <w:rFonts w:hint="eastAsia" w:ascii="宋体"/>
          <w:bCs/>
          <w:sz w:val="24"/>
          <w:szCs w:val="24"/>
        </w:rPr>
        <w:t>2.4专利权：供应商应保证用户在使用该货物或其任何一部分时不受第三方提出侵犯其专利权、商标权和工业设计权等的起诉。</w:t>
      </w:r>
    </w:p>
    <w:p>
      <w:pPr>
        <w:spacing w:line="360" w:lineRule="auto"/>
        <w:ind w:firstLine="480" w:firstLineChars="200"/>
        <w:rPr>
          <w:rFonts w:ascii="宋体"/>
          <w:bCs/>
          <w:sz w:val="24"/>
          <w:szCs w:val="24"/>
        </w:rPr>
      </w:pPr>
      <w:r>
        <w:rPr>
          <w:rFonts w:hint="eastAsia" w:ascii="宋体"/>
          <w:bCs/>
          <w:sz w:val="24"/>
          <w:szCs w:val="24"/>
        </w:rPr>
        <w:t>2.5质保</w:t>
      </w:r>
      <w:r>
        <w:rPr>
          <w:rFonts w:ascii="宋体"/>
          <w:bCs/>
          <w:sz w:val="24"/>
          <w:szCs w:val="24"/>
        </w:rPr>
        <w:t>期</w:t>
      </w:r>
      <w:r>
        <w:rPr>
          <w:rFonts w:hint="eastAsia" w:ascii="宋体"/>
          <w:bCs/>
          <w:sz w:val="24"/>
          <w:szCs w:val="24"/>
        </w:rPr>
        <w:t>：</w:t>
      </w:r>
      <w:r>
        <w:rPr>
          <w:rFonts w:ascii="宋体"/>
          <w:bCs/>
          <w:sz w:val="24"/>
          <w:szCs w:val="24"/>
        </w:rPr>
        <w:t>12</w:t>
      </w:r>
      <w:r>
        <w:rPr>
          <w:rFonts w:hint="eastAsia" w:ascii="宋体"/>
          <w:bCs/>
          <w:sz w:val="24"/>
          <w:szCs w:val="24"/>
        </w:rPr>
        <w:t>个月，质保期内非人为原因出现质量问题包退换。</w:t>
      </w:r>
    </w:p>
    <w:p>
      <w:pPr>
        <w:spacing w:line="360" w:lineRule="auto"/>
        <w:ind w:firstLine="480" w:firstLineChars="200"/>
        <w:jc w:val="left"/>
        <w:rPr>
          <w:rFonts w:ascii="宋体"/>
          <w:bCs/>
          <w:sz w:val="24"/>
          <w:szCs w:val="24"/>
        </w:rPr>
        <w:sectPr>
          <w:pgSz w:w="16838" w:h="11906" w:orient="landscape"/>
          <w:pgMar w:top="1587" w:right="2098" w:bottom="1474" w:left="1928" w:header="851" w:footer="992" w:gutter="0"/>
          <w:cols w:space="0" w:num="1"/>
          <w:docGrid w:type="lines" w:linePitch="315" w:charSpace="0"/>
        </w:sectPr>
      </w:pPr>
      <w:r>
        <w:rPr>
          <w:rFonts w:hint="eastAsia" w:ascii="宋体"/>
          <w:bCs/>
          <w:sz w:val="24"/>
          <w:szCs w:val="24"/>
        </w:rPr>
        <w:t>2.6</w:t>
      </w:r>
      <w:r>
        <w:rPr>
          <w:rFonts w:ascii="宋体"/>
          <w:bCs/>
          <w:sz w:val="24"/>
          <w:szCs w:val="24"/>
        </w:rPr>
        <w:t>本项目报价为总</w:t>
      </w:r>
      <w:r>
        <w:rPr>
          <w:rFonts w:hint="eastAsia" w:ascii="宋体"/>
          <w:bCs/>
          <w:sz w:val="24"/>
          <w:szCs w:val="24"/>
        </w:rPr>
        <w:t>报</w:t>
      </w:r>
      <w:r>
        <w:rPr>
          <w:rFonts w:ascii="宋体"/>
          <w:bCs/>
          <w:sz w:val="24"/>
          <w:szCs w:val="24"/>
        </w:rPr>
        <w:t>价，</w:t>
      </w:r>
      <w:r>
        <w:rPr>
          <w:rFonts w:hint="eastAsia" w:ascii="宋体"/>
          <w:bCs/>
          <w:sz w:val="24"/>
          <w:szCs w:val="24"/>
        </w:rPr>
        <w:t>本项目所涉及的</w:t>
      </w:r>
      <w:r>
        <w:rPr>
          <w:rFonts w:ascii="宋体"/>
          <w:bCs/>
          <w:sz w:val="24"/>
          <w:szCs w:val="24"/>
        </w:rPr>
        <w:t>制造、包装、</w:t>
      </w:r>
      <w:r>
        <w:rPr>
          <w:rFonts w:hint="eastAsia" w:ascii="宋体"/>
          <w:bCs/>
          <w:sz w:val="24"/>
          <w:szCs w:val="24"/>
        </w:rPr>
        <w:t>运输、施工、安装、集成、调试、验收、</w:t>
      </w:r>
      <w:r>
        <w:rPr>
          <w:rFonts w:ascii="宋体"/>
          <w:bCs/>
          <w:sz w:val="24"/>
          <w:szCs w:val="24"/>
        </w:rPr>
        <w:t>税金、</w:t>
      </w:r>
      <w:r>
        <w:rPr>
          <w:rFonts w:hint="eastAsia" w:ascii="宋体"/>
          <w:bCs/>
          <w:sz w:val="24"/>
          <w:szCs w:val="24"/>
        </w:rPr>
        <w:t>备品、售后</w:t>
      </w:r>
      <w:r>
        <w:rPr>
          <w:rFonts w:ascii="宋体"/>
          <w:bCs/>
          <w:sz w:val="24"/>
          <w:szCs w:val="24"/>
        </w:rPr>
        <w:t>服务等</w:t>
      </w:r>
      <w:r>
        <w:rPr>
          <w:rFonts w:hint="eastAsia" w:ascii="宋体"/>
          <w:bCs/>
          <w:sz w:val="24"/>
          <w:szCs w:val="24"/>
        </w:rPr>
        <w:t>和工具等</w:t>
      </w:r>
      <w:r>
        <w:rPr>
          <w:rFonts w:ascii="宋体"/>
          <w:bCs/>
          <w:sz w:val="24"/>
          <w:szCs w:val="24"/>
        </w:rPr>
        <w:t>一切</w:t>
      </w:r>
      <w:r>
        <w:rPr>
          <w:rFonts w:hint="eastAsia" w:ascii="宋体"/>
          <w:bCs/>
          <w:sz w:val="24"/>
          <w:szCs w:val="24"/>
        </w:rPr>
        <w:t>费</w:t>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3"/>
        <w:tblpPr w:leftFromText="180" w:rightFromText="180" w:vertAnchor="text" w:horzAnchor="page" w:tblpX="2108" w:tblpY="893"/>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72"/>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70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97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592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5926" w:type="dxa"/>
          </w:tcPr>
          <w:p>
            <w:pPr>
              <w:autoSpaceDE w:val="0"/>
              <w:autoSpaceDN w:val="0"/>
              <w:adjustRightInd w:val="0"/>
              <w:spacing w:line="360" w:lineRule="auto"/>
              <w:jc w:val="left"/>
              <w:rPr>
                <w:rFonts w:ascii="宋体" w:hAnsi="宋体" w:cs="仿宋_GB2312"/>
                <w:szCs w:val="21"/>
              </w:rPr>
            </w:pPr>
            <w:r>
              <w:rPr>
                <w:rFonts w:hint="eastAsia" w:cs="仿宋_GB2312" w:asciiTheme="minorEastAsia" w:hAnsiTheme="minorEastAsia"/>
                <w:szCs w:val="21"/>
              </w:rPr>
              <w:t>项目名称：长葛市颍川路幼儿园安全及保教设施设备购置项目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ascii="宋体" w:hAnsi="宋体" w:cs="仿宋_GB2312"/>
                <w:szCs w:val="21"/>
              </w:rPr>
              <w:t>长招采竞字【2019】0</w:t>
            </w:r>
            <w:r>
              <w:rPr>
                <w:rFonts w:hint="eastAsia" w:ascii="宋体" w:hAnsi="宋体" w:cs="仿宋_GB2312"/>
                <w:szCs w:val="21"/>
                <w:lang w:val="en-US" w:eastAsia="zh-CN"/>
              </w:rPr>
              <w:t>70</w:t>
            </w:r>
            <w:r>
              <w:rPr>
                <w:rFonts w:hint="eastAsia" w:ascii="宋体" w:hAnsi="宋体" w:cs="仿宋_GB2312"/>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项目内容：安全及保教设施设备购置；详见招标文件。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采购人</w:t>
            </w:r>
          </w:p>
        </w:tc>
        <w:tc>
          <w:tcPr>
            <w:tcW w:w="5926"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采购人：长葛市教育体育局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联系人：石科长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联系电话：03746110256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5926"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代理机构：河南宏业建设管理股份有限公司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代理机构联系方式：韩先生  13613749370</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代理机构地址：郑州市郑东新区商都路与中兴南路交叉口向北200米凯利国际中心A座28楼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5926"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w:t>
            </w:r>
            <w:r>
              <w:rPr>
                <w:rFonts w:hint="eastAsia" w:cs="宋体" w:asciiTheme="minorEastAsia" w:hAnsiTheme="minorEastAsia"/>
                <w:b/>
                <w:bCs/>
                <w:szCs w:val="21"/>
                <w:lang w:val="zh-CN"/>
              </w:rPr>
              <w:t>、</w:t>
            </w:r>
            <w:r>
              <w:rPr>
                <w:rFonts w:cs="宋体" w:asciiTheme="minorEastAsia" w:hAnsiTheme="minorEastAsia"/>
                <w:b/>
                <w:bCs/>
                <w:szCs w:val="21"/>
                <w:lang w:val="zh-CN"/>
              </w:rPr>
              <w:t>自然人的身份证明，</w:t>
            </w:r>
            <w:r>
              <w:rPr>
                <w:rFonts w:hint="eastAsia" w:cs="宋体" w:asciiTheme="minorEastAsia" w:hAnsiTheme="minorEastAsia"/>
                <w:b/>
                <w:bCs/>
                <w:szCs w:val="21"/>
                <w:lang w:val="zh-CN"/>
              </w:rPr>
              <w:t>资质</w:t>
            </w:r>
            <w:r>
              <w:rPr>
                <w:rFonts w:cs="宋体" w:asciiTheme="minorEastAsia" w:hAnsiTheme="minorEastAsia"/>
                <w:b/>
                <w:bCs/>
                <w:szCs w:val="21"/>
                <w:lang w:val="zh-CN"/>
              </w:rPr>
              <w:t>等证明文件</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pStyle w:val="3"/>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pStyle w:val="3"/>
              <w:rPr>
                <w:rFonts w:cs="宋体" w:asciiTheme="minorEastAsia" w:hAnsiTheme="minorEastAsia"/>
                <w:bCs/>
                <w:szCs w:val="21"/>
                <w:lang w:val="zh-CN"/>
              </w:rPr>
            </w:pPr>
            <w:r>
              <w:rPr>
                <w:rFonts w:hint="eastAsia" w:ascii="Times New Roman" w:hAnsi="Times New Roman" w:cs="宋体"/>
                <w:szCs w:val="21"/>
              </w:rPr>
              <w:t>（新注册公司从注册起计算，不足的视为满足)</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hint="eastAsia" w:cs="仿宋_GB2312" w:asciiTheme="minorEastAsia" w:hAnsiTheme="minorEastAsia"/>
                <w:b/>
                <w:szCs w:val="21"/>
                <w:lang w:val="zh-CN"/>
              </w:rPr>
            </w:pPr>
            <w:r>
              <w:rPr>
                <w:rFonts w:hint="eastAsia" w:cs="仿宋_GB2312" w:asciiTheme="minorEastAsia" w:hAnsiTheme="minorEastAsia"/>
                <w:b/>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3"/>
              <w:rPr>
                <w:lang w:val="zh-CN"/>
              </w:rPr>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en-US" w:eastAsia="zh-CN"/>
              </w:rPr>
              <w:t>7</w:t>
            </w:r>
            <w:r>
              <w:rPr>
                <w:rFonts w:hint="eastAsia" w:cs="宋体" w:asciiTheme="minorEastAsia" w:hAnsiTheme="minorEastAsia"/>
                <w:b/>
                <w:bCs/>
                <w:szCs w:val="21"/>
                <w:lang w:val="zh-CN"/>
              </w:rPr>
              <w:t>、</w:t>
            </w:r>
            <w:r>
              <w:rPr>
                <w:rFonts w:cs="宋体" w:asciiTheme="minorEastAsia" w:hAnsiTheme="minorEastAsia"/>
                <w:b/>
                <w:bCs/>
                <w:szCs w:val="21"/>
                <w:lang w:val="zh-CN"/>
              </w:rPr>
              <w:t>未被列入“信用中国”网站(www.creditchina.gov.cn)失信被执行人、重大税收违法案件当事人名单的</w:t>
            </w:r>
            <w:r>
              <w:rPr>
                <w:rFonts w:hint="eastAsia" w:cs="宋体" w:asciiTheme="minorEastAsia" w:hAnsiTheme="minorEastAsia"/>
                <w:b/>
                <w:bCs/>
                <w:szCs w:val="21"/>
                <w:lang w:val="zh-CN"/>
              </w:rPr>
              <w:t>供应商</w:t>
            </w:r>
            <w:r>
              <w:rPr>
                <w:rFonts w:cs="宋体" w:asciiTheme="minorEastAsia" w:hAnsiTheme="minorEastAsia"/>
                <w:b/>
                <w:bCs/>
                <w:szCs w:val="21"/>
                <w:lang w:val="zh-CN"/>
              </w:rPr>
              <w:t>；</w:t>
            </w:r>
            <w:r>
              <w:rPr>
                <w:rFonts w:hint="eastAsia" w:cs="宋体" w:asciiTheme="minorEastAsia" w:hAnsiTheme="minorEastAsia"/>
                <w:b/>
                <w:bCs/>
                <w:szCs w:val="21"/>
                <w:lang w:val="zh-CN"/>
              </w:rPr>
              <w:t>“</w:t>
            </w:r>
            <w:r>
              <w:rPr>
                <w:rFonts w:cs="宋体" w:asciiTheme="minorEastAsia" w:hAnsiTheme="minorEastAsia"/>
                <w:b/>
                <w:bCs/>
                <w:szCs w:val="21"/>
                <w:lang w:val="zh-CN"/>
              </w:rPr>
              <w:t>中国政府采购网</w:t>
            </w:r>
            <w:r>
              <w:rPr>
                <w:rFonts w:hint="eastAsia" w:cs="宋体" w:asciiTheme="minorEastAsia" w:hAnsiTheme="minorEastAsia"/>
                <w:b/>
                <w:bCs/>
                <w:szCs w:val="21"/>
                <w:lang w:val="zh-CN"/>
              </w:rPr>
              <w:t>”</w:t>
            </w:r>
            <w:r>
              <w:rPr>
                <w:rFonts w:cs="宋体" w:asciiTheme="minorEastAsia" w:hAnsiTheme="minorEastAsia"/>
                <w:b/>
                <w:bCs/>
                <w:szCs w:val="21"/>
                <w:lang w:val="zh-CN"/>
              </w:rPr>
              <w:t xml:space="preserve"> (www.ccgp.gov.cn)政府采购严重违法失信行为记录名单的</w:t>
            </w:r>
            <w:r>
              <w:rPr>
                <w:rFonts w:hint="eastAsia" w:cs="宋体" w:asciiTheme="minorEastAsia" w:hAnsiTheme="minorEastAsia"/>
                <w:b/>
                <w:bCs/>
                <w:szCs w:val="21"/>
                <w:lang w:val="zh-CN"/>
              </w:rPr>
              <w:t>供应商；“中国社会组织公共服务平台”网站（</w:t>
            </w:r>
            <w:r>
              <w:rPr>
                <w:rFonts w:cs="宋体" w:asciiTheme="minorEastAsia" w:hAnsiTheme="minorEastAsia"/>
                <w:b/>
                <w:bCs/>
                <w:szCs w:val="21"/>
                <w:lang w:val="zh-CN"/>
              </w:rPr>
              <w:t>www.chinanpo.gov.cn</w:t>
            </w:r>
            <w:r>
              <w:rPr>
                <w:rFonts w:hint="eastAsia" w:cs="宋体" w:asciiTheme="minorEastAsia" w:hAnsiTheme="minorEastAsia"/>
                <w:b/>
                <w:bCs/>
                <w:szCs w:val="21"/>
                <w:lang w:val="zh-CN"/>
              </w:rPr>
              <w:t>）严重违法失信名单的社会组织。（联合体形式响应的，联合体成员存在不良信用记录，视同联合体存在不良信用记录）。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①“信用中国”网站（</w:t>
            </w:r>
            <w:r>
              <w:rPr>
                <w:rFonts w:cs="宋体" w:asciiTheme="minorEastAsia" w:hAnsiTheme="minorEastAsia"/>
                <w:kern w:val="0"/>
                <w:szCs w:val="21"/>
              </w:rPr>
              <w:fldChar w:fldCharType="begin"/>
            </w:r>
            <w:r>
              <w:rPr>
                <w:rFonts w:cs="宋体" w:asciiTheme="minorEastAsia" w:hAnsiTheme="minorEastAsia"/>
                <w:kern w:val="0"/>
                <w:szCs w:val="21"/>
              </w:rPr>
              <w:instrText xml:space="preserve"> HYPERLINK "http://www.creditchina.gov.cn" </w:instrText>
            </w:r>
            <w:r>
              <w:rPr>
                <w:rFonts w:cs="宋体" w:asciiTheme="minorEastAsia" w:hAnsiTheme="minorEastAsia"/>
                <w:kern w:val="0"/>
                <w:szCs w:val="21"/>
              </w:rPr>
              <w:fldChar w:fldCharType="separate"/>
            </w:r>
            <w:r>
              <w:rPr>
                <w:rFonts w:hint="eastAsia" w:cs="宋体" w:asciiTheme="minorEastAsia" w:hAnsiTheme="minorEastAsia"/>
                <w:kern w:val="0"/>
                <w:szCs w:val="21"/>
              </w:rPr>
              <w:t>www.creditchina.gov.cn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②“中国政府采购网”（</w:t>
            </w:r>
            <w:r>
              <w:rPr>
                <w:rFonts w:cs="宋体" w:asciiTheme="minorEastAsia" w:hAnsiTheme="minorEastAsia"/>
                <w:kern w:val="0"/>
                <w:szCs w:val="21"/>
              </w:rPr>
              <w:fldChar w:fldCharType="begin"/>
            </w:r>
            <w:r>
              <w:rPr>
                <w:rFonts w:cs="宋体" w:asciiTheme="minorEastAsia" w:hAnsiTheme="minorEastAsia"/>
                <w:kern w:val="0"/>
                <w:szCs w:val="21"/>
              </w:rPr>
              <w:instrText xml:space="preserve"> HYPERLINK "http://www.ccgp.gov.cn" </w:instrText>
            </w:r>
            <w:r>
              <w:rPr>
                <w:rFonts w:cs="宋体" w:asciiTheme="minorEastAsia" w:hAnsiTheme="minorEastAsia"/>
                <w:kern w:val="0"/>
                <w:szCs w:val="21"/>
              </w:rPr>
              <w:fldChar w:fldCharType="separate"/>
            </w:r>
            <w:r>
              <w:rPr>
                <w:rFonts w:hint="eastAsia" w:cs="宋体" w:asciiTheme="minorEastAsia" w:hAnsiTheme="minorEastAsia"/>
                <w:kern w:val="0"/>
                <w:szCs w:val="21"/>
              </w:rPr>
              <w:t>www.ccgp.gov.cn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w:t>
            </w:r>
            <w:r>
              <w:rPr>
                <w:rFonts w:hint="eastAsia" w:cs="宋体" w:asciiTheme="minorEastAsia" w:hAnsiTheme="minorEastAsia"/>
                <w:kern w:val="0"/>
                <w:szCs w:val="21"/>
                <w:lang w:eastAsia="zh-CN"/>
              </w:rPr>
              <w:t>、</w:t>
            </w:r>
            <w:r>
              <w:rPr>
                <w:rFonts w:hint="eastAsia" w:cs="宋体" w:asciiTheme="minorEastAsia" w:hAnsiTheme="minorEastAsia"/>
                <w:kern w:val="0"/>
                <w:szCs w:val="21"/>
              </w:rPr>
              <w:t>严重违法失信名单的社会组织。将拒绝其参与本次政府采购活动。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仿宋_GB2312" w:asciiTheme="minorEastAsia" w:hAnsiTheme="minorEastAsia"/>
                <w:szCs w:val="21"/>
                <w:shd w:val="clear" w:color="auto" w:fill="FFFFFF"/>
              </w:rPr>
              <w:t>469200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5926"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5926"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972"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5926"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5926" w:type="dxa"/>
            <w:vAlign w:val="center"/>
          </w:tcPr>
          <w:p>
            <w:pPr>
              <w:autoSpaceDE w:val="0"/>
              <w:autoSpaceDN w:val="0"/>
              <w:adjustRightInd w:val="0"/>
              <w:spacing w:line="360" w:lineRule="auto"/>
              <w:ind w:firstLine="241" w:firstLineChars="100"/>
              <w:rPr>
                <w:rFonts w:cs="宋体" w:asciiTheme="minorEastAsia" w:hAnsiTheme="minorEastAsia"/>
                <w:bCs/>
                <w:szCs w:val="21"/>
                <w:lang w:val="zh-CN"/>
              </w:rPr>
            </w:pPr>
            <w:r>
              <w:rPr>
                <w:rFonts w:hint="eastAsia" w:cs="宋体" w:asciiTheme="minorEastAsia" w:hAnsiTheme="minorEastAsia"/>
                <w:b/>
                <w:bCs w:val="0"/>
                <w:sz w:val="24"/>
                <w:szCs w:val="24"/>
                <w:lang w:val="zh-CN"/>
              </w:rPr>
              <w:t>2019年</w:t>
            </w:r>
            <w:r>
              <w:rPr>
                <w:rFonts w:hint="eastAsia" w:cs="宋体" w:asciiTheme="minorEastAsia" w:hAnsiTheme="minorEastAsia"/>
                <w:b/>
                <w:bCs w:val="0"/>
                <w:sz w:val="24"/>
                <w:szCs w:val="24"/>
                <w:lang w:val="en-US" w:eastAsia="zh-CN"/>
              </w:rPr>
              <w:t>10</w:t>
            </w:r>
            <w:r>
              <w:rPr>
                <w:rFonts w:hint="eastAsia" w:cs="宋体" w:asciiTheme="minorEastAsia" w:hAnsiTheme="minorEastAsia"/>
                <w:b/>
                <w:bCs w:val="0"/>
                <w:sz w:val="24"/>
                <w:szCs w:val="24"/>
                <w:lang w:val="zh-CN"/>
              </w:rPr>
              <w:t>月</w:t>
            </w:r>
            <w:r>
              <w:rPr>
                <w:rFonts w:hint="eastAsia" w:cs="宋体" w:asciiTheme="minorEastAsia" w:hAnsiTheme="minorEastAsia"/>
                <w:b/>
                <w:bCs w:val="0"/>
                <w:sz w:val="24"/>
                <w:szCs w:val="24"/>
                <w:lang w:val="en-US" w:eastAsia="zh-CN"/>
              </w:rPr>
              <w:t>25</w:t>
            </w:r>
            <w:r>
              <w:rPr>
                <w:rFonts w:hint="eastAsia" w:cs="宋体" w:asciiTheme="minorEastAsia" w:hAnsiTheme="minorEastAsia"/>
                <w:b/>
                <w:bCs w:val="0"/>
                <w:sz w:val="24"/>
                <w:szCs w:val="24"/>
                <w:lang w:val="zh-CN"/>
              </w:rPr>
              <w:t>日</w:t>
            </w:r>
            <w:r>
              <w:rPr>
                <w:rFonts w:hint="eastAsia" w:cs="宋体" w:asciiTheme="minorEastAsia" w:hAnsiTheme="minorEastAsia"/>
                <w:b/>
                <w:bCs w:val="0"/>
                <w:sz w:val="24"/>
                <w:szCs w:val="24"/>
                <w:lang w:val="en-US" w:eastAsia="zh-CN"/>
              </w:rPr>
              <w:t>09</w:t>
            </w:r>
            <w:r>
              <w:rPr>
                <w:rFonts w:hint="eastAsia" w:cs="宋体" w:asciiTheme="minorEastAsia" w:hAnsiTheme="minorEastAsia"/>
                <w:b/>
                <w:bCs w:val="0"/>
                <w:sz w:val="24"/>
                <w:szCs w:val="24"/>
                <w:lang w:val="zh-CN"/>
              </w:rPr>
              <w:t>时</w:t>
            </w:r>
            <w:r>
              <w:rPr>
                <w:rFonts w:hint="eastAsia" w:cs="宋体" w:asciiTheme="minorEastAsia" w:hAnsiTheme="minorEastAsia"/>
                <w:b/>
                <w:bCs w:val="0"/>
                <w:sz w:val="24"/>
                <w:szCs w:val="24"/>
                <w:lang w:val="en-US" w:eastAsia="zh-CN"/>
              </w:rPr>
              <w:t>00</w:t>
            </w:r>
            <w:r>
              <w:rPr>
                <w:rFonts w:hint="eastAsia" w:cs="宋体" w:asciiTheme="minorEastAsia" w:hAnsiTheme="minorEastAsia"/>
                <w:b/>
                <w:bCs w:val="0"/>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5926" w:type="dxa"/>
            <w:vAlign w:val="center"/>
          </w:tcPr>
          <w:p>
            <w:pPr>
              <w:autoSpaceDE w:val="0"/>
              <w:autoSpaceDN w:val="0"/>
              <w:adjustRightInd w:val="0"/>
              <w:spacing w:line="360" w:lineRule="auto"/>
              <w:rPr>
                <w:rFonts w:cs="仿宋_GB2312" w:asciiTheme="minorEastAsia" w:hAnsiTheme="minorEastAsia"/>
                <w:szCs w:val="21"/>
                <w:lang w:val="zh-CN"/>
              </w:rPr>
            </w:pPr>
            <w:r>
              <w:rPr>
                <w:rFonts w:hint="eastAsia" w:cs="宋体" w:asciiTheme="minorEastAsia" w:hAnsiTheme="minorEastAsia"/>
                <w:bCs/>
                <w:szCs w:val="21"/>
                <w:lang w:val="zh-CN"/>
              </w:rPr>
              <w:t>1</w:t>
            </w:r>
            <w:r>
              <w:rPr>
                <w:rFonts w:hint="eastAsia" w:cs="仿宋_GB2312" w:asciiTheme="minorEastAsia" w:hAnsiTheme="minorEastAsia"/>
                <w:szCs w:val="21"/>
                <w:lang w:val="zh-CN"/>
              </w:rPr>
              <w:t>、</w:t>
            </w:r>
            <w:r>
              <w:rPr>
                <w:rFonts w:hint="eastAsia" w:cs="仿宋_GB2312" w:asciiTheme="minorEastAsia" w:hAnsiTheme="minorEastAsia"/>
                <w:szCs w:val="21"/>
              </w:rPr>
              <w:t>响应文件递交地点：长葛市公共资源交易中心开标</w:t>
            </w:r>
            <w:r>
              <w:rPr>
                <w:rFonts w:hint="eastAsia" w:cs="仿宋_GB2312" w:asciiTheme="minorEastAsia" w:hAnsiTheme="minorEastAsia"/>
                <w:szCs w:val="21"/>
                <w:lang w:eastAsia="zh-CN"/>
              </w:rPr>
              <w:t>二</w:t>
            </w:r>
            <w:r>
              <w:rPr>
                <w:rFonts w:hint="eastAsia" w:cs="仿宋_GB2312" w:asciiTheme="minorEastAsia" w:hAnsiTheme="minorEastAsia"/>
                <w:szCs w:val="21"/>
              </w:rPr>
              <w:t>室（长葛市葛天大道东段商务区6#楼</w:t>
            </w:r>
            <w:r>
              <w:rPr>
                <w:rFonts w:hint="eastAsia" w:cs="仿宋_GB2312" w:asciiTheme="minorEastAsia" w:hAnsiTheme="minorEastAsia"/>
                <w:szCs w:val="21"/>
                <w:lang w:val="en-US" w:eastAsia="zh-CN"/>
              </w:rPr>
              <w:t>4</w:t>
            </w:r>
            <w:r>
              <w:rPr>
                <w:rFonts w:hint="eastAsia" w:cs="仿宋_GB2312" w:asciiTheme="minorEastAsia" w:hAnsiTheme="minorEastAsia"/>
                <w:szCs w:val="21"/>
              </w:rPr>
              <w:t>楼</w:t>
            </w:r>
            <w:r>
              <w:rPr>
                <w:rFonts w:hint="eastAsia" w:cs="仿宋_GB2312" w:asciiTheme="minorEastAsia" w:hAnsiTheme="minorEastAsia"/>
                <w:szCs w:val="21"/>
                <w:lang w:val="en-US" w:eastAsia="zh-CN"/>
              </w:rPr>
              <w:t>409</w:t>
            </w:r>
            <w:r>
              <w:rPr>
                <w:rFonts w:hint="eastAsia" w:cs="仿宋_GB2312" w:asciiTheme="minorEastAsia" w:hAnsiTheme="minorEastAsia"/>
                <w:szCs w:val="21"/>
              </w:rPr>
              <w:t>室）</w:t>
            </w:r>
            <w:r>
              <w:rPr>
                <w:rFonts w:hint="eastAsia" w:cs="仿宋_GB2312" w:asciiTheme="minorEastAsia" w:hAnsiTheme="minorEastAsia"/>
                <w:szCs w:val="21"/>
                <w:lang w:val="zh-CN"/>
              </w:rPr>
              <w:t>；</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rPr>
              <w:t>2、开启及谈判地点：长葛市公共资源交易中心评标</w:t>
            </w:r>
            <w:r>
              <w:rPr>
                <w:rFonts w:hint="eastAsia" w:cs="仿宋_GB2312" w:asciiTheme="minorEastAsia" w:hAnsiTheme="minorEastAsia"/>
                <w:szCs w:val="21"/>
                <w:lang w:eastAsia="zh-CN"/>
              </w:rPr>
              <w:t>三</w:t>
            </w:r>
            <w:r>
              <w:rPr>
                <w:rFonts w:hint="eastAsia" w:cs="仿宋_GB2312" w:asciiTheme="minorEastAsia" w:hAnsiTheme="minorEastAsia"/>
                <w:szCs w:val="21"/>
              </w:rPr>
              <w:t>室（长葛市葛天大道东段商务区6#楼</w:t>
            </w:r>
            <w:r>
              <w:rPr>
                <w:rFonts w:hint="eastAsia" w:cs="仿宋_GB2312" w:asciiTheme="minorEastAsia" w:hAnsiTheme="minorEastAsia"/>
                <w:szCs w:val="21"/>
                <w:lang w:val="en-US" w:eastAsia="zh-CN"/>
              </w:rPr>
              <w:t>5</w:t>
            </w:r>
            <w:r>
              <w:rPr>
                <w:rFonts w:hint="eastAsia" w:cs="仿宋_GB2312" w:asciiTheme="minorEastAsia" w:hAnsiTheme="minorEastAsia"/>
                <w:szCs w:val="21"/>
              </w:rPr>
              <w:t>楼</w:t>
            </w:r>
            <w:r>
              <w:rPr>
                <w:rFonts w:hint="eastAsia" w:cs="仿宋_GB2312" w:asciiTheme="minorEastAsia" w:hAnsiTheme="minorEastAsia"/>
                <w:szCs w:val="21"/>
                <w:lang w:val="en-US" w:eastAsia="zh-CN"/>
              </w:rPr>
              <w:t>510</w:t>
            </w:r>
            <w:r>
              <w:rPr>
                <w:rFonts w:hint="eastAsia" w:cs="仿宋_GB2312" w:asciiTheme="minorEastAsia" w:hAnsiTheme="minorEastAsia"/>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5926" w:type="dxa"/>
            <w:vAlign w:val="center"/>
          </w:tcPr>
          <w:p>
            <w:pPr>
              <w:tabs>
                <w:tab w:val="left" w:pos="1260"/>
              </w:tabs>
              <w:autoSpaceDE w:val="0"/>
              <w:autoSpaceDN w:val="0"/>
              <w:spacing w:line="360" w:lineRule="auto"/>
              <w:contextualSpacing/>
              <w:rPr>
                <w:rFonts w:cs="宋体" w:asciiTheme="minorEastAsia" w:hAnsiTheme="minorEastAsia"/>
                <w:bCs/>
                <w:szCs w:val="21"/>
              </w:rPr>
            </w:pPr>
            <w:r>
              <w:rPr>
                <w:rFonts w:hint="eastAsia" w:cs="仿宋_GB2312" w:asciiTheme="minorEastAsia" w:hAnsiTheme="minorEastAsia"/>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5926"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cs="宋体"/>
                <w:bCs/>
                <w:szCs w:val="21"/>
                <w:lang w:val="zh-CN"/>
              </w:rPr>
              <w:t>谈判响应截止时间前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5926"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5926"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5926"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5926"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972"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招标人代表及监督人员出席开标会议</w:t>
            </w:r>
          </w:p>
        </w:tc>
        <w:tc>
          <w:tcPr>
            <w:tcW w:w="5926"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972" w:type="dxa"/>
            <w:vAlign w:val="center"/>
          </w:tcPr>
          <w:p>
            <w:pPr>
              <w:autoSpaceDE w:val="0"/>
              <w:autoSpaceDN w:val="0"/>
              <w:adjustRightInd w:val="0"/>
              <w:spacing w:line="360" w:lineRule="auto"/>
              <w:jc w:val="center"/>
              <w:rPr>
                <w:rFonts w:hint="eastAsia" w:cs="宋体" w:asciiTheme="minorEastAsia" w:hAnsiTheme="minorEastAsia" w:eastAsiaTheme="minorEastAsia"/>
                <w:bCs/>
                <w:color w:val="FF0000"/>
                <w:szCs w:val="21"/>
                <w:lang w:val="zh-CN" w:eastAsia="zh-CN"/>
              </w:rPr>
            </w:pPr>
            <w:r>
              <w:rPr>
                <w:rFonts w:hint="eastAsia" w:cs="宋体" w:asciiTheme="minorEastAsia" w:hAnsiTheme="minorEastAsia"/>
                <w:bCs/>
                <w:color w:val="000000" w:themeColor="text1"/>
                <w:szCs w:val="21"/>
                <w:lang w:val="zh-CN"/>
                <w14:textFill>
                  <w14:solidFill>
                    <w14:schemeClr w14:val="tx1"/>
                  </w14:solidFill>
                </w14:textFill>
              </w:rPr>
              <w:t>履约</w:t>
            </w:r>
            <w:r>
              <w:rPr>
                <w:rFonts w:hint="eastAsia" w:cs="宋体" w:asciiTheme="minorEastAsia" w:hAnsiTheme="minorEastAsia"/>
                <w:bCs/>
                <w:color w:val="000000" w:themeColor="text1"/>
                <w:szCs w:val="21"/>
                <w:lang w:val="en-US" w:eastAsia="zh-CN"/>
                <w14:textFill>
                  <w14:solidFill>
                    <w14:schemeClr w14:val="tx1"/>
                  </w14:solidFill>
                </w14:textFill>
              </w:rPr>
              <w:t>担保</w:t>
            </w:r>
          </w:p>
        </w:tc>
        <w:tc>
          <w:tcPr>
            <w:tcW w:w="5926" w:type="dxa"/>
            <w:vAlign w:val="center"/>
          </w:tcPr>
          <w:p>
            <w:pPr>
              <w:autoSpaceDE w:val="0"/>
              <w:autoSpaceDN w:val="0"/>
              <w:adjustRightInd w:val="0"/>
              <w:spacing w:line="360" w:lineRule="auto"/>
              <w:rPr>
                <w:rFonts w:cs="宋体" w:asciiTheme="minorEastAsia" w:hAnsiTheme="minorEastAsia"/>
                <w:b/>
                <w:bCs w:val="0"/>
                <w:color w:val="000000" w:themeColor="text1"/>
                <w:kern w:val="0"/>
                <w:szCs w:val="21"/>
                <w:lang w:val="zh-CN"/>
                <w14:textFill>
                  <w14:solidFill>
                    <w14:schemeClr w14:val="tx1"/>
                  </w14:solidFill>
                </w14:textFill>
              </w:rPr>
            </w:pPr>
            <w:r>
              <w:rPr>
                <w:rFonts w:cs="宋体" w:asciiTheme="minorEastAsia" w:hAnsiTheme="minorEastAsia"/>
                <w:b/>
                <w:bCs w:val="0"/>
                <w:color w:val="000000" w:themeColor="text1"/>
                <w:kern w:val="0"/>
                <w:szCs w:val="21"/>
                <w:lang w:val="zh-CN"/>
                <w14:textFill>
                  <w14:solidFill>
                    <w14:schemeClr w14:val="tx1"/>
                  </w14:solidFill>
                </w14:textFill>
              </w:rPr>
              <w:fldChar w:fldCharType="begin"/>
            </w:r>
            <w:r>
              <w:rPr>
                <w:rFonts w:hint="eastAsia" w:cs="宋体" w:asciiTheme="minorEastAsia" w:hAnsiTheme="minorEastAsia"/>
                <w:b/>
                <w:bCs w:val="0"/>
                <w:color w:val="000000" w:themeColor="text1"/>
                <w:kern w:val="0"/>
                <w:szCs w:val="21"/>
                <w:lang w:val="zh-CN"/>
                <w14:textFill>
                  <w14:solidFill>
                    <w14:schemeClr w14:val="tx1"/>
                  </w14:solidFill>
                </w14:textFill>
              </w:rPr>
              <w:instrText xml:space="preserve">eq \o\ac(□)</w:instrText>
            </w:r>
            <w:r>
              <w:rPr>
                <w:rFonts w:cs="宋体" w:asciiTheme="minorEastAsia" w:hAnsiTheme="minorEastAsia"/>
                <w:b/>
                <w:bCs w:val="0"/>
                <w:color w:val="000000" w:themeColor="text1"/>
                <w:kern w:val="0"/>
                <w:szCs w:val="21"/>
                <w:lang w:val="zh-CN"/>
                <w14:textFill>
                  <w14:solidFill>
                    <w14:schemeClr w14:val="tx1"/>
                  </w14:solidFill>
                </w14:textFill>
              </w:rPr>
              <w:fldChar w:fldCharType="end"/>
            </w:r>
            <w:r>
              <w:rPr>
                <w:rFonts w:hint="eastAsia" w:cs="宋体" w:asciiTheme="minorEastAsia" w:hAnsiTheme="minorEastAsia"/>
                <w:b/>
                <w:bCs w:val="0"/>
                <w:color w:val="000000" w:themeColor="text1"/>
                <w:szCs w:val="21"/>
                <w:lang w:val="zh-CN"/>
                <w14:textFill>
                  <w14:solidFill>
                    <w14:schemeClr w14:val="tx1"/>
                  </w14:solidFill>
                </w14:textFill>
              </w:rPr>
              <w:t>无要求</w:t>
            </w:r>
          </w:p>
          <w:p>
            <w:pPr>
              <w:autoSpaceDE w:val="0"/>
              <w:autoSpaceDN w:val="0"/>
              <w:spacing w:line="360" w:lineRule="auto"/>
              <w:contextualSpacing/>
              <w:rPr>
                <w:rFonts w:cs="宋体" w:asciiTheme="minorEastAsia" w:hAnsiTheme="minorEastAsia"/>
                <w:b/>
                <w:bCs w:val="0"/>
                <w:color w:val="000000" w:themeColor="text1"/>
                <w:szCs w:val="21"/>
                <w14:textFill>
                  <w14:solidFill>
                    <w14:schemeClr w14:val="tx1"/>
                  </w14:solidFill>
                </w14:textFill>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宋体" w:asciiTheme="minorEastAsia" w:hAnsiTheme="minorEastAsia"/>
                <w:b/>
                <w:bCs w:val="0"/>
                <w:color w:val="000000" w:themeColor="text1"/>
                <w:szCs w:val="21"/>
                <w14:textFill>
                  <w14:solidFill>
                    <w14:schemeClr w14:val="tx1"/>
                  </w14:solidFill>
                </w14:textFill>
              </w:rPr>
              <w:t>要求提交。</w:t>
            </w:r>
          </w:p>
          <w:p>
            <w:pPr>
              <w:autoSpaceDE w:val="0"/>
              <w:autoSpaceDN w:val="0"/>
              <w:spacing w:line="360" w:lineRule="auto"/>
              <w:contextualSpacing/>
              <w:rPr>
                <w:rFonts w:hint="eastAsia" w:ascii="宋体" w:hAnsi="宋体" w:eastAsia="宋体" w:cs="宋体"/>
                <w:b/>
                <w:bCs w:val="0"/>
                <w:color w:val="000000" w:themeColor="text1"/>
                <w:lang w:val="zh-CN"/>
                <w14:textFill>
                  <w14:solidFill>
                    <w14:schemeClr w14:val="tx1"/>
                  </w14:solidFill>
                </w14:textFill>
              </w:rPr>
            </w:pPr>
            <w:r>
              <w:rPr>
                <w:rFonts w:hint="eastAsia" w:ascii="宋体" w:hAnsi="宋体" w:eastAsia="宋体" w:cs="宋体"/>
                <w:b/>
                <w:bCs w:val="0"/>
                <w:color w:val="000000" w:themeColor="text1"/>
                <w:lang w:val="zh-CN"/>
                <w14:textFill>
                  <w14:solidFill>
                    <w14:schemeClr w14:val="tx1"/>
                  </w14:solidFill>
                </w14:textFill>
              </w:rPr>
              <w:t>开户银行：中国工商银行股份有限公司长葛支行</w:t>
            </w:r>
          </w:p>
          <w:p>
            <w:pPr>
              <w:autoSpaceDE w:val="0"/>
              <w:autoSpaceDN w:val="0"/>
              <w:spacing w:line="360" w:lineRule="auto"/>
              <w:contextualSpacing/>
              <w:rPr>
                <w:rFonts w:hint="eastAsia" w:ascii="宋体" w:hAnsi="宋体" w:eastAsia="宋体" w:cs="宋体"/>
                <w:b/>
                <w:bCs w:val="0"/>
                <w:color w:val="000000" w:themeColor="text1"/>
                <w:lang w:val="zh-CN"/>
                <w14:textFill>
                  <w14:solidFill>
                    <w14:schemeClr w14:val="tx1"/>
                  </w14:solidFill>
                </w14:textFill>
              </w:rPr>
            </w:pPr>
            <w:r>
              <w:rPr>
                <w:rFonts w:hint="eastAsia" w:ascii="宋体" w:hAnsi="宋体" w:eastAsia="宋体" w:cs="宋体"/>
                <w:b/>
                <w:bCs w:val="0"/>
                <w:color w:val="000000" w:themeColor="text1"/>
                <w:lang w:val="zh-CN"/>
                <w14:textFill>
                  <w14:solidFill>
                    <w14:schemeClr w14:val="tx1"/>
                  </w14:solidFill>
                </w14:textFill>
              </w:rPr>
              <w:t>帐户名称：长葛市公共资源交易中心</w:t>
            </w:r>
          </w:p>
          <w:p>
            <w:pPr>
              <w:autoSpaceDE w:val="0"/>
              <w:autoSpaceDN w:val="0"/>
              <w:spacing w:line="360" w:lineRule="auto"/>
              <w:contextualSpacing/>
              <w:rPr>
                <w:rFonts w:hint="eastAsia" w:ascii="宋体" w:hAnsi="宋体" w:eastAsia="宋体" w:cs="宋体"/>
                <w:b/>
                <w:bCs w:val="0"/>
                <w:color w:val="000000" w:themeColor="text1"/>
                <w:lang w:val="zh-CN"/>
                <w14:textFill>
                  <w14:solidFill>
                    <w14:schemeClr w14:val="tx1"/>
                  </w14:solidFill>
                </w14:textFill>
              </w:rPr>
            </w:pPr>
            <w:r>
              <w:rPr>
                <w:rFonts w:hint="eastAsia" w:ascii="宋体" w:hAnsi="宋体" w:eastAsia="宋体" w:cs="宋体"/>
                <w:b/>
                <w:bCs w:val="0"/>
                <w:color w:val="000000" w:themeColor="text1"/>
                <w:lang w:val="zh-CN"/>
                <w14:textFill>
                  <w14:solidFill>
                    <w14:schemeClr w14:val="tx1"/>
                  </w14:solidFill>
                </w14:textFill>
              </w:rPr>
              <w:t>帐号1708026029200151795</w:t>
            </w:r>
          </w:p>
          <w:p>
            <w:pPr>
              <w:spacing w:line="400" w:lineRule="exact"/>
              <w:rPr>
                <w:rFonts w:hint="eastAsia" w:ascii="宋体" w:hAnsi="宋体" w:eastAsia="宋体" w:cs="宋体"/>
                <w:b/>
                <w:bCs w:val="0"/>
                <w:color w:val="000000" w:themeColor="text1"/>
                <w:lang w:val="zh-CN"/>
                <w14:textFill>
                  <w14:solidFill>
                    <w14:schemeClr w14:val="tx1"/>
                  </w14:solidFill>
                </w14:textFill>
              </w:rPr>
            </w:pPr>
            <w:r>
              <w:rPr>
                <w:rFonts w:hint="eastAsia" w:ascii="宋体" w:hAnsi="宋体" w:eastAsia="宋体" w:cs="宋体"/>
                <w:b/>
                <w:bCs w:val="0"/>
                <w:color w:val="000000" w:themeColor="text1"/>
                <w:lang w:val="zh-CN"/>
                <w14:textFill>
                  <w14:solidFill>
                    <w14:schemeClr w14:val="tx1"/>
                  </w14:solidFill>
                </w14:textFill>
              </w:rPr>
              <w:t>履约</w:t>
            </w:r>
            <w:r>
              <w:rPr>
                <w:rFonts w:hint="eastAsia" w:ascii="宋体" w:hAnsi="宋体" w:eastAsia="宋体" w:cs="宋体"/>
                <w:b/>
                <w:bCs w:val="0"/>
                <w:color w:val="000000" w:themeColor="text1"/>
                <w:lang w:val="en-US" w:eastAsia="zh-CN"/>
                <w14:textFill>
                  <w14:solidFill>
                    <w14:schemeClr w14:val="tx1"/>
                  </w14:solidFill>
                </w14:textFill>
              </w:rPr>
              <w:t>担保</w:t>
            </w:r>
            <w:r>
              <w:rPr>
                <w:rFonts w:hint="eastAsia" w:ascii="宋体" w:hAnsi="宋体" w:eastAsia="宋体" w:cs="宋体"/>
                <w:b/>
                <w:bCs w:val="0"/>
                <w:color w:val="000000" w:themeColor="text1"/>
                <w:lang w:val="zh-CN"/>
                <w14:textFill>
                  <w14:solidFill>
                    <w14:schemeClr w14:val="tx1"/>
                  </w14:solidFill>
                </w14:textFill>
              </w:rPr>
              <w:t>的金额：中标金额的10%。</w:t>
            </w:r>
          </w:p>
          <w:p>
            <w:pPr>
              <w:autoSpaceDE w:val="0"/>
              <w:autoSpaceDN w:val="0"/>
              <w:spacing w:line="360" w:lineRule="auto"/>
              <w:contextualSpacing/>
              <w:rPr>
                <w:rFonts w:hint="eastAsia" w:ascii="宋体" w:hAnsi="宋体" w:eastAsia="宋体" w:cs="宋体"/>
                <w:b/>
                <w:bCs w:val="0"/>
                <w:color w:val="000000" w:themeColor="text1"/>
                <w:lang w:val="zh-CN"/>
                <w14:textFill>
                  <w14:solidFill>
                    <w14:schemeClr w14:val="tx1"/>
                  </w14:solidFill>
                </w14:textFill>
              </w:rPr>
            </w:pPr>
            <w:r>
              <w:rPr>
                <w:rFonts w:hint="eastAsia" w:ascii="宋体" w:hAnsi="宋体" w:eastAsia="宋体" w:cs="宋体"/>
                <w:b/>
                <w:bCs w:val="0"/>
                <w:color w:val="000000" w:themeColor="text1"/>
                <w:lang w:val="zh-CN"/>
                <w14:textFill>
                  <w14:solidFill>
                    <w14:schemeClr w14:val="tx1"/>
                  </w14:solidFill>
                </w14:textFill>
              </w:rPr>
              <w:t>供应商在汇款单备注部分注明：此款为</w:t>
            </w:r>
            <w:r>
              <w:rPr>
                <w:rFonts w:hint="eastAsia" w:ascii="宋体" w:hAnsi="宋体" w:eastAsia="宋体" w:cs="宋体"/>
                <w:b/>
                <w:bCs w:val="0"/>
                <w:color w:val="000000" w:themeColor="text1"/>
                <w:u w:val="single"/>
                <w:lang w:val="zh-CN"/>
                <w14:textFill>
                  <w14:solidFill>
                    <w14:schemeClr w14:val="tx1"/>
                  </w14:solidFill>
                </w14:textFill>
              </w:rPr>
              <w:t>长招采竞字[2019]</w:t>
            </w:r>
            <w:r>
              <w:rPr>
                <w:rFonts w:hint="eastAsia" w:ascii="宋体" w:hAnsi="宋体" w:eastAsia="宋体" w:cs="宋体"/>
                <w:b/>
                <w:bCs w:val="0"/>
                <w:color w:val="000000" w:themeColor="text1"/>
                <w:u w:val="single"/>
                <w:lang w:val="en-US" w:eastAsia="zh-CN"/>
                <w14:textFill>
                  <w14:solidFill>
                    <w14:schemeClr w14:val="tx1"/>
                  </w14:solidFill>
                </w14:textFill>
              </w:rPr>
              <w:t xml:space="preserve">070 </w:t>
            </w:r>
            <w:r>
              <w:rPr>
                <w:rFonts w:hint="eastAsia" w:ascii="宋体" w:hAnsi="宋体" w:eastAsia="宋体" w:cs="宋体"/>
                <w:b/>
                <w:bCs w:val="0"/>
                <w:color w:val="000000" w:themeColor="text1"/>
                <w:u w:val="single"/>
                <w:lang w:val="zh-CN"/>
                <w14:textFill>
                  <w14:solidFill>
                    <w14:schemeClr w14:val="tx1"/>
                  </w14:solidFill>
                </w14:textFill>
              </w:rPr>
              <w:t>号项目</w:t>
            </w:r>
            <w:r>
              <w:rPr>
                <w:rFonts w:hint="eastAsia" w:ascii="宋体" w:hAnsi="宋体" w:eastAsia="宋体" w:cs="宋体"/>
                <w:b/>
                <w:bCs w:val="0"/>
                <w:color w:val="000000" w:themeColor="text1"/>
                <w:lang w:val="zh-CN"/>
                <w14:textFill>
                  <w14:solidFill>
                    <w14:schemeClr w14:val="tx1"/>
                  </w14:solidFill>
                </w14:textFill>
              </w:rPr>
              <w:t>履约</w:t>
            </w:r>
            <w:r>
              <w:rPr>
                <w:rFonts w:hint="eastAsia" w:ascii="宋体" w:hAnsi="宋体" w:eastAsia="宋体" w:cs="宋体"/>
                <w:b/>
                <w:bCs w:val="0"/>
                <w:color w:val="000000" w:themeColor="text1"/>
                <w:lang w:val="en-US" w:eastAsia="zh-CN"/>
                <w14:textFill>
                  <w14:solidFill>
                    <w14:schemeClr w14:val="tx1"/>
                  </w14:solidFill>
                </w14:textFill>
              </w:rPr>
              <w:t>担保</w:t>
            </w:r>
            <w:r>
              <w:rPr>
                <w:rFonts w:hint="eastAsia" w:ascii="宋体" w:hAnsi="宋体" w:eastAsia="宋体" w:cs="宋体"/>
                <w:b/>
                <w:bCs w:val="0"/>
                <w:color w:val="000000" w:themeColor="text1"/>
                <w:lang w:val="zh-CN"/>
                <w14:textFill>
                  <w14:solidFill>
                    <w14:schemeClr w14:val="tx1"/>
                  </w14:solidFill>
                </w14:textFill>
              </w:rPr>
              <w:t>。</w:t>
            </w:r>
          </w:p>
          <w:p>
            <w:pPr>
              <w:autoSpaceDE w:val="0"/>
              <w:autoSpaceDN w:val="0"/>
              <w:spacing w:line="360" w:lineRule="auto"/>
              <w:contextualSpacing/>
              <w:rPr>
                <w:rFonts w:cs="宋体" w:asciiTheme="minorEastAsia" w:hAnsiTheme="minorEastAsia"/>
                <w:bCs/>
                <w:color w:val="FF0000"/>
                <w:szCs w:val="21"/>
                <w:lang w:val="zh-CN"/>
              </w:rPr>
            </w:pPr>
            <w:r>
              <w:rPr>
                <w:rFonts w:hint="eastAsia" w:ascii="宋体" w:hAnsi="宋体" w:eastAsia="宋体" w:cs="宋体"/>
                <w:b/>
                <w:bCs w:val="0"/>
                <w:color w:val="000000" w:themeColor="text1"/>
                <w:lang w:val="zh-CN"/>
                <w14:textFill>
                  <w14:solidFill>
                    <w14:schemeClr w14:val="tx1"/>
                  </w14:solidFill>
                </w14:textFill>
              </w:rPr>
              <w:t>验收合格后5个工作日内，自行到长葛市公共资源交易中心办理退还业务。中标人无正当理由不与招标人订立合同，在签订合同时向招标人提出附加条件，或者不按照招标文件要求提交履约</w:t>
            </w:r>
            <w:r>
              <w:rPr>
                <w:rFonts w:hint="eastAsia" w:ascii="宋体" w:hAnsi="宋体" w:eastAsia="宋体" w:cs="宋体"/>
                <w:b/>
                <w:bCs w:val="0"/>
                <w:color w:val="000000" w:themeColor="text1"/>
                <w:lang w:val="en-US" w:eastAsia="zh-CN"/>
                <w14:textFill>
                  <w14:solidFill>
                    <w14:schemeClr w14:val="tx1"/>
                  </w14:solidFill>
                </w14:textFill>
              </w:rPr>
              <w:t>担保</w:t>
            </w:r>
            <w:r>
              <w:rPr>
                <w:rFonts w:hint="eastAsia" w:ascii="宋体" w:hAnsi="宋体" w:eastAsia="宋体" w:cs="宋体"/>
                <w:b/>
                <w:bCs w:val="0"/>
                <w:color w:val="000000" w:themeColor="text1"/>
                <w:lang w:val="zh-CN"/>
                <w14:textFill>
                  <w14:solidFill>
                    <w14:schemeClr w14:val="tx1"/>
                  </w14:solidFill>
                </w14:textFill>
              </w:rPr>
              <w:t>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5926" w:type="dxa"/>
            <w:vAlign w:val="center"/>
          </w:tcPr>
          <w:p>
            <w:pPr>
              <w:autoSpaceDE w:val="0"/>
              <w:autoSpaceDN w:val="0"/>
              <w:spacing w:line="360" w:lineRule="auto"/>
              <w:contextualSpacing/>
              <w:rPr>
                <w:rFonts w:cs="宋体" w:asciiTheme="minorEastAsia" w:hAnsiTheme="minorEastAsia"/>
                <w:szCs w:val="21"/>
                <w:lang w:val="zh-CN"/>
              </w:rPr>
            </w:pPr>
            <w:r>
              <w:rPr>
                <w:rFonts w:hint="eastAsia" w:cs="宋体" w:asciiTheme="minorEastAsia" w:hAnsiTheme="minorEastAsia"/>
                <w:szCs w:val="21"/>
                <w:lang w:val="zh-CN"/>
              </w:rPr>
              <w:fldChar w:fldCharType="begin"/>
            </w:r>
            <w:r>
              <w:rPr>
                <w:rFonts w:hint="eastAsia" w:cs="宋体" w:asciiTheme="minorEastAsia" w:hAnsiTheme="minorEastAsia"/>
                <w:szCs w:val="21"/>
                <w:lang w:val="zh-CN"/>
              </w:rPr>
              <w:instrText xml:space="preserve">eq \o\ac(□)</w:instrText>
            </w:r>
            <w:r>
              <w:rPr>
                <w:rFonts w:hint="eastAsia" w:cs="宋体" w:asciiTheme="minorEastAsia" w:hAnsiTheme="minorEastAsia"/>
                <w:szCs w:val="21"/>
                <w:lang w:val="zh-CN"/>
              </w:rPr>
              <w:fldChar w:fldCharType="end"/>
            </w:r>
            <w:r>
              <w:rPr>
                <w:rFonts w:hint="eastAsia" w:cs="宋体" w:asciiTheme="minorEastAsia" w:hAnsiTheme="minorEastAsia"/>
                <w:szCs w:val="21"/>
                <w:lang w:val="zh-CN"/>
              </w:rPr>
              <w:t>不收取</w:t>
            </w:r>
          </w:p>
          <w:p>
            <w:pPr>
              <w:autoSpaceDE w:val="0"/>
              <w:autoSpaceDN w:val="0"/>
              <w:spacing w:line="360" w:lineRule="auto"/>
              <w:contextualSpacing/>
              <w:rPr>
                <w:rFonts w:cs="宋体"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宋体" w:asciiTheme="minorEastAsia" w:hAnsiTheme="minorEastAsia"/>
                <w:szCs w:val="21"/>
                <w:lang w:val="zh-CN"/>
              </w:rPr>
              <w:t>收取</w:t>
            </w:r>
          </w:p>
          <w:p>
            <w:pPr>
              <w:pStyle w:val="3"/>
              <w:rPr>
                <w:rFonts w:cs="宋体" w:asciiTheme="minorEastAsia" w:hAnsiTheme="minorEastAsia"/>
                <w:bCs/>
                <w:szCs w:val="21"/>
                <w:lang w:val="zh-CN"/>
              </w:rPr>
            </w:pPr>
            <w:r>
              <w:rPr>
                <w:rFonts w:hint="eastAsia" w:ascii="宋体" w:hAnsi="宋体" w:eastAsia="宋体" w:cs="宋体"/>
                <w:lang w:val="zh-CN"/>
              </w:rPr>
              <w:t>代理服务费由成交供应商支付，按照成交金额的1.5%计算。中标通知书发出前，以现金或转账形式交纳。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向代理机构发</w:t>
            </w:r>
            <w:r>
              <w:rPr>
                <w:rFonts w:hint="eastAsia" w:cs="宋体" w:asciiTheme="minorEastAsia" w:hAnsiTheme="minorEastAsia"/>
                <w:bCs/>
                <w:szCs w:val="21"/>
                <w:lang w:val="zh-CN"/>
              </w:rPr>
              <w:t>送响应报价及分项报价一览表（包含主要成交标的的名称、规格型号、数量、单价、服务要求等）电子文档，并同时电话代理机构。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5926"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atLeast"/>
        </w:trPr>
        <w:tc>
          <w:tcPr>
            <w:tcW w:w="702"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ascii="宋体" w:hAnsi="宋体" w:cs="黑体"/>
                <w:szCs w:val="21"/>
                <w:lang w:val="en-US" w:eastAsia="zh-CN"/>
              </w:rPr>
              <w:t>27</w:t>
            </w:r>
          </w:p>
        </w:tc>
        <w:tc>
          <w:tcPr>
            <w:tcW w:w="1972" w:type="dxa"/>
            <w:vAlign w:val="center"/>
          </w:tcPr>
          <w:p>
            <w:pPr>
              <w:autoSpaceDE w:val="0"/>
              <w:autoSpaceDN w:val="0"/>
              <w:adjustRightInd w:val="0"/>
              <w:spacing w:line="360" w:lineRule="exact"/>
              <w:jc w:val="center"/>
              <w:rPr>
                <w:rFonts w:hint="eastAsia" w:cs="宋体" w:asciiTheme="minorEastAsia" w:hAnsiTheme="minorEastAsia"/>
                <w:bCs/>
                <w:szCs w:val="21"/>
                <w:lang w:val="zh-CN"/>
              </w:rPr>
            </w:pPr>
            <w:r>
              <w:rPr>
                <w:rFonts w:hint="eastAsia" w:ascii="宋体" w:hAnsi="宋体" w:cs="宋体"/>
                <w:bCs/>
                <w:szCs w:val="21"/>
                <w:lang w:val="zh-CN"/>
              </w:rPr>
              <w:t>供应商代表出席开标会</w:t>
            </w:r>
          </w:p>
        </w:tc>
        <w:tc>
          <w:tcPr>
            <w:tcW w:w="5926" w:type="dxa"/>
            <w:vAlign w:val="center"/>
          </w:tcPr>
          <w:p>
            <w:pPr>
              <w:autoSpaceDE w:val="0"/>
              <w:autoSpaceDN w:val="0"/>
              <w:adjustRightInd w:val="0"/>
              <w:spacing w:line="360" w:lineRule="exact"/>
              <w:contextualSpacing/>
              <w:rPr>
                <w:rFonts w:ascii="宋体" w:hAnsi="宋体" w:cs="宋体"/>
                <w:bCs/>
                <w:kern w:val="0"/>
                <w:szCs w:val="21"/>
                <w:lang w:val="zh-CN"/>
              </w:rPr>
            </w:pPr>
            <w:r>
              <w:rPr>
                <w:rFonts w:hint="eastAsia" w:ascii="宋体" w:hAnsi="宋体" w:cs="宋体"/>
                <w:bCs/>
                <w:kern w:val="0"/>
                <w:szCs w:val="21"/>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exact"/>
              <w:contextualSpacing/>
              <w:rPr>
                <w:rFonts w:hint="eastAsia" w:hAnsi="宋体" w:cs="宋体"/>
                <w:szCs w:val="21"/>
                <w:lang w:val="zh-CN"/>
              </w:rPr>
            </w:pPr>
            <w:r>
              <w:rPr>
                <w:rFonts w:hint="eastAsia" w:ascii="宋体" w:hAnsi="宋体" w:cs="宋体"/>
                <w:bCs/>
                <w:kern w:val="0"/>
                <w:szCs w:val="21"/>
                <w:lang w:val="zh-CN"/>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9" w:hRule="atLeast"/>
        </w:trPr>
        <w:tc>
          <w:tcPr>
            <w:tcW w:w="702"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5926"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不同供应商电子响应文件记录的网卡MAC地址、CPU序号、硬盘序列号等硬件特征码均一致时，视为‘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评审专家应严格按照要求查看“硬件特征码”相关信息并进行评审，在评审报告中显示“不同供应商电子响应文件制作硬件特征码”是否均一致的分析及判定结果。</w:t>
            </w:r>
          </w:p>
        </w:tc>
      </w:tr>
    </w:tbl>
    <w:p>
      <w:pPr>
        <w:bidi w:val="0"/>
        <w:sectPr>
          <w:pgSz w:w="11906" w:h="16838"/>
          <w:pgMar w:top="2098" w:right="1474" w:bottom="1928" w:left="1587" w:header="851" w:footer="992" w:gutter="0"/>
          <w:cols w:space="0" w:num="1"/>
          <w:docGrid w:type="lines" w:linePitch="315" w:charSpace="0"/>
        </w:sectPr>
      </w:pPr>
    </w:p>
    <w:p>
      <w:pPr>
        <w:widowControl/>
        <w:jc w:val="left"/>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所述的采购人、采购代理机构。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w:t>
      </w:r>
      <w:r>
        <w:rPr>
          <w:rFonts w:hint="eastAsia" w:ascii="宋体" w:hAnsi="宋体"/>
          <w:szCs w:val="21"/>
        </w:rPr>
        <w:t>系指“供应商须知前附表”中所述的组织本次采购的采购代理机构和采购人。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“供应商”系指从采购人、采购代理机构处按规定获取谈判文件，并按照谈判文件向采购人、采购代理机构提交响应文件的供应商。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numId w:val="0"/>
        </w:numPr>
        <w:autoSpaceDE w:val="0"/>
        <w:autoSpaceDN w:val="0"/>
        <w:spacing w:line="360" w:lineRule="auto"/>
        <w:ind w:firstLine="420" w:firstLineChars="200"/>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3.3 政府采购活动中查询及使用供应商信用记录的具体要求为：供应商未被列入失信被执行人、重大税收违法案件当事人名单的供应商；政府采购严重违法失信行为记录名单的供应商；严重违法失信名单的社会组织。（联合体形式响应的，联合体成员存在不良信用记录，视同联合体存在不良信用记录）。(本项目投标截止时间前三年内供应商信用记录情况)</w:t>
      </w:r>
    </w:p>
    <w:p>
      <w:pPr>
        <w:pStyle w:val="44"/>
        <w:autoSpaceDE w:val="0"/>
        <w:autoSpaceDN w:val="0"/>
        <w:spacing w:line="360" w:lineRule="auto"/>
        <w:ind w:left="420"/>
        <w:contextualSpacing/>
        <w:rPr>
          <w:rFonts w:hint="eastAsia" w:cs="宋体" w:asciiTheme="minorEastAsia" w:hAnsiTheme="minorEastAsia"/>
          <w:kern w:val="0"/>
          <w:szCs w:val="21"/>
        </w:rPr>
      </w:pPr>
      <w:r>
        <w:rPr>
          <w:rFonts w:hint="eastAsia" w:cs="宋体" w:asciiTheme="minorEastAsia" w:hAnsiTheme="minorEastAsia"/>
          <w:kern w:val="0"/>
          <w:szCs w:val="21"/>
        </w:rPr>
        <w:t>（1）查询渠道：“信用中国”网站（www.creditchina.gov.cn）、“中国政府采购网”（www.ccgp.gov.cn）、“中国社会组织公共服务平台”网站（www.chinanpo.gov.cn）；</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3.4  </w:t>
      </w: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3.5  </w:t>
      </w: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3.6  </w:t>
      </w: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不论采购的结果如何，供应商均应自行承担所有与谈判有关的全部费用，采购人、采购代理机构在任何情况下均无义务和责任承担这些费用。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采购代理机构均将通过在河南省政府采购网》、《全国公共资源交易平台（河南省·许昌市）》、《长葛市人民政府门户网站》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采购代理机构代理费用收取标准和方式</w:t>
      </w:r>
    </w:p>
    <w:p>
      <w:pPr>
        <w:pStyle w:val="44"/>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收取标准：收取。详见投标人须知前附表。</w:t>
      </w:r>
    </w:p>
    <w:p>
      <w:pPr>
        <w:pStyle w:val="44"/>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收取方式：</w:t>
      </w:r>
      <w:r>
        <w:rPr>
          <w:rFonts w:hint="eastAsia" w:ascii="宋体" w:hAnsi="宋体" w:cs="宋体"/>
          <w:kern w:val="0"/>
          <w:szCs w:val="21"/>
          <w:lang w:val="zh-CN"/>
        </w:rPr>
        <w:t>中标通知书发出前，以现金或转账形式交纳</w:t>
      </w:r>
      <w:r>
        <w:rPr>
          <w:rFonts w:hint="eastAsia" w:ascii="宋体" w:hAnsi="宋体" w:cs="宋体"/>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如果澄清或者修改发出的时间距规定的谈判响应截止时间不足3个工作日的，采购人、采购代理机构将顺延提交响应文件的截止时间。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本项目所涉及的制造、包装、运输、施工、安装、集成、调试、验收、税金、备品、售后服务等和工具等一切费用均包含在响应报价中。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不收取</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18.1 </w:t>
      </w: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响应文件如果未按规定密封，采购人、采购代理机构将拒绝接收。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19.1 </w:t>
      </w: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采购人、采购机构</w:t>
      </w:r>
      <w:r>
        <w:rPr>
          <w:rFonts w:hint="eastAsia" w:cs="微软雅黑"/>
        </w:rPr>
        <w:t>将予以拒绝。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谈判响应文件截止时间之后送达/上传的响应文件，采购人、采购代理机构将将拒绝接收。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供应商在谈判响应截止时间前，对所递交的纸质响应文件进行补充、修改或者撤回的，须书面通知采购人和采购代理机构。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供应商不得在投标有效期内撤销响应文件，否则供应商将承担相应责任。</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0"/>
        </w:numPr>
        <w:autoSpaceDE w:val="0"/>
        <w:autoSpaceDN w:val="0"/>
        <w:spacing w:line="360" w:lineRule="auto"/>
        <w:ind w:firstLineChars="0"/>
        <w:contextualSpacing/>
        <w:rPr>
          <w:rFonts w:cs="宋体"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谈判响应截止时间</w:t>
      </w:r>
      <w:r>
        <w:rPr>
          <w:rFonts w:hint="eastAsia" w:cs="宋体" w:asciiTheme="minorEastAsia" w:hAnsiTheme="minorEastAsia"/>
          <w:color w:val="000000" w:themeColor="text1"/>
          <w:kern w:val="0"/>
          <w:szCs w:val="21"/>
          <w14:textFill>
            <w14:solidFill>
              <w14:schemeClr w14:val="tx1"/>
            </w14:solidFill>
          </w14:textFill>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（1）电子谈判文件的解密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a. 供应商解密：供应商使用本单位CA数字证书远程或现场进行解密。需递交响应文件现场使用一体机进行解密的，请在采购代理机构引导下进行。</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b. 采购代理机构解密：采购代理机构</w:t>
      </w:r>
      <w:r>
        <w:rPr>
          <w:rFonts w:cs="宋体" w:asciiTheme="minorEastAsia" w:hAnsiTheme="minorEastAsia"/>
          <w:color w:val="000000" w:themeColor="text1"/>
          <w:kern w:val="0"/>
          <w:szCs w:val="21"/>
          <w14:textFill>
            <w14:solidFill>
              <w14:schemeClr w14:val="tx1"/>
            </w14:solidFill>
          </w14:textFill>
        </w:rPr>
        <w:t>按</w:t>
      </w:r>
      <w:r>
        <w:rPr>
          <w:rFonts w:hint="eastAsia" w:cs="宋体" w:asciiTheme="minorEastAsia" w:hAnsiTheme="minorEastAsia"/>
          <w:color w:val="000000" w:themeColor="text1"/>
          <w:kern w:val="0"/>
          <w:szCs w:val="21"/>
          <w14:textFill>
            <w14:solidFill>
              <w14:schemeClr w14:val="tx1"/>
            </w14:solidFill>
          </w14:textFill>
        </w:rPr>
        <w:t>电子响应文件到达交易系统</w:t>
      </w:r>
      <w:r>
        <w:rPr>
          <w:rFonts w:cs="宋体" w:asciiTheme="minorEastAsia" w:hAnsiTheme="minorEastAsia"/>
          <w:color w:val="000000" w:themeColor="text1"/>
          <w:kern w:val="0"/>
          <w:szCs w:val="21"/>
          <w14:textFill>
            <w14:solidFill>
              <w14:schemeClr w14:val="tx1"/>
            </w14:solidFill>
          </w14:textFill>
        </w:rPr>
        <w:t>的先后顺序</w:t>
      </w:r>
      <w:r>
        <w:rPr>
          <w:rFonts w:hint="eastAsia" w:cs="宋体" w:asciiTheme="minorEastAsia" w:hAnsiTheme="minorEastAsia"/>
          <w:color w:val="000000" w:themeColor="text1"/>
          <w:kern w:val="0"/>
          <w:szCs w:val="21"/>
          <w14:textFill>
            <w14:solidFill>
              <w14:schemeClr w14:val="tx1"/>
            </w14:solidFill>
          </w14:textFill>
        </w:rPr>
        <w:t>，使用本单位CA数字证书进行再次解密。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 电子响应文件解密异常情况处理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0"/>
        </w:numPr>
        <w:autoSpaceDE w:val="0"/>
        <w:autoSpaceDN w:val="0"/>
        <w:spacing w:line="360" w:lineRule="auto"/>
        <w:ind w:firstLineChars="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w:t>
      </w:r>
      <w:r>
        <w:rPr>
          <w:rFonts w:hint="eastAsia" w:ascii="ˎ̥" w:hAnsi="ˎ̥"/>
        </w:rPr>
        <w:t>1人</w:t>
      </w:r>
      <w:r>
        <w:rPr>
          <w:rFonts w:ascii="ˎ̥" w:hAnsi="ˎ̥"/>
        </w:rPr>
        <w:t>和评审专家</w:t>
      </w:r>
      <w:r>
        <w:rPr>
          <w:rFonts w:hint="eastAsia" w:ascii="ˎ̥" w:hAnsi="ˎ̥"/>
        </w:rPr>
        <w:t>2人</w:t>
      </w:r>
      <w:r>
        <w:rPr>
          <w:rFonts w:ascii="ˎ̥" w:hAnsi="ˎ̥"/>
        </w:rPr>
        <w:t>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ˎ̥" w:hAnsi="ˎ̥"/>
          <w:vanish/>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.3     </w:t>
      </w:r>
      <w:r>
        <w:rPr>
          <w:rFonts w:hint="eastAsia" w:ascii="ˎ̥" w:hAnsi="ˎ̥"/>
        </w:rPr>
        <w:t>与供应商有其他可能影响政府采购活动公平、公正进行的关系。</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评审专家发现本人与参加采购活动的供应商有利害关系的,应当主动提出回避。采购人或者采购代理机构发现评审专家与参加采购活动的供应商有利害关系的,应当要求其回避。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25.2 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0"/>
        </w:numPr>
        <w:autoSpaceDE w:val="0"/>
        <w:autoSpaceDN w:val="0"/>
        <w:spacing w:line="360" w:lineRule="auto"/>
        <w:ind w:firstLineChars="0"/>
        <w:contextualSpacing/>
        <w:rPr>
          <w:rFonts w:hint="eastAsia"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lang w:val="zh-CN"/>
          <w14:textFill>
            <w14:solidFill>
              <w14:schemeClr w14:val="tx1"/>
            </w14:solidFill>
          </w14:textFill>
        </w:rPr>
        <w:t>响应文件中开标一览表(报价表)内容与响应文件中相应内容不一致的，以开标一览表(报价表)为准；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w:t>
      </w:r>
      <w:r>
        <w:rPr>
          <w:rFonts w:hint="eastAsia" w:cs="宋体" w:asciiTheme="minorEastAsia" w:hAnsiTheme="minorEastAsia"/>
          <w:color w:val="FF0000"/>
          <w:kern w:val="0"/>
          <w:szCs w:val="21"/>
        </w:rPr>
        <w:t>”26.2规</w:t>
      </w:r>
      <w:r>
        <w:rPr>
          <w:rFonts w:hint="eastAsia" w:cs="宋体" w:asciiTheme="minorEastAsia" w:hAnsiTheme="minorEastAsia"/>
          <w:kern w:val="0"/>
          <w:szCs w:val="21"/>
        </w:rPr>
        <w:t>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ascii="ˎ̥" w:hAnsi="ˎ̥"/>
          <w:b/>
          <w:bCs/>
          <w:color w:val="000000" w:themeColor="text1"/>
          <w14:textFill>
            <w14:solidFill>
              <w14:schemeClr w14:val="tx1"/>
            </w14:solidFill>
          </w14:textFill>
        </w:rPr>
        <w:t>按照《关于推进全流程电子化交易和在线监管工作有关问题的通知》（许公管办[2019]3号）规定，不同供应商电子响应文件制作硬件特征码（网卡MAC地址、CPU序号、硬盘序列号等）雷同时，视为‘</w:t>
      </w:r>
      <w:r>
        <w:rPr>
          <w:rFonts w:ascii="ˎ̥" w:hAnsi="ˎ̥"/>
          <w:b/>
          <w:bCs/>
          <w:color w:val="000000" w:themeColor="text1"/>
          <w14:textFill>
            <w14:solidFill>
              <w14:schemeClr w14:val="tx1"/>
            </w14:solidFill>
          </w14:textFill>
        </w:rPr>
        <w:t>不同</w:t>
      </w:r>
      <w:r>
        <w:rPr>
          <w:rFonts w:hint="eastAsia" w:ascii="ˎ̥" w:hAnsi="ˎ̥"/>
          <w:b/>
          <w:bCs/>
          <w:color w:val="000000" w:themeColor="text1"/>
          <w14:textFill>
            <w14:solidFill>
              <w14:schemeClr w14:val="tx1"/>
            </w14:solidFill>
          </w14:textFill>
        </w:rPr>
        <w:t>供应商</w:t>
      </w:r>
      <w:r>
        <w:rPr>
          <w:rFonts w:ascii="ˎ̥" w:hAnsi="ˎ̥"/>
          <w:b/>
          <w:bCs/>
          <w:color w:val="000000" w:themeColor="text1"/>
          <w14:textFill>
            <w14:solidFill>
              <w14:schemeClr w14:val="tx1"/>
            </w14:solidFill>
          </w14:textFill>
        </w:rPr>
        <w:t>的</w:t>
      </w:r>
      <w:r>
        <w:rPr>
          <w:rFonts w:hint="eastAsia" w:ascii="ˎ̥" w:hAnsi="ˎ̥"/>
          <w:b/>
          <w:bCs/>
          <w:color w:val="000000" w:themeColor="text1"/>
          <w14:textFill>
            <w14:solidFill>
              <w14:schemeClr w14:val="tx1"/>
            </w14:solidFill>
          </w14:textFill>
        </w:rPr>
        <w:t>响应</w:t>
      </w:r>
      <w:r>
        <w:rPr>
          <w:rFonts w:ascii="ˎ̥" w:hAnsi="ˎ̥"/>
          <w:b/>
          <w:bCs/>
          <w:color w:val="000000" w:themeColor="text1"/>
          <w14:textFill>
            <w14:solidFill>
              <w14:schemeClr w14:val="tx1"/>
            </w14:solidFill>
          </w14:textFill>
        </w:rPr>
        <w:t>文件由同一单位或者个人编制</w:t>
      </w:r>
      <w:r>
        <w:rPr>
          <w:rFonts w:hint="eastAsia" w:ascii="ˎ̥" w:hAnsi="ˎ̥"/>
          <w:b/>
          <w:bCs/>
          <w:color w:val="000000" w:themeColor="text1"/>
          <w14:textFill>
            <w14:solidFill>
              <w14:schemeClr w14:val="tx1"/>
            </w14:solidFill>
          </w14:textFill>
        </w:rPr>
        <w:t>’或‘</w:t>
      </w:r>
      <w:r>
        <w:rPr>
          <w:rFonts w:ascii="ˎ̥" w:hAnsi="ˎ̥"/>
          <w:b/>
          <w:bCs/>
          <w:color w:val="000000" w:themeColor="text1"/>
          <w14:textFill>
            <w14:solidFill>
              <w14:schemeClr w14:val="tx1"/>
            </w14:solidFill>
          </w14:textFill>
        </w:rPr>
        <w:t>不同</w:t>
      </w:r>
      <w:r>
        <w:rPr>
          <w:rFonts w:hint="eastAsia" w:ascii="ˎ̥" w:hAnsi="ˎ̥"/>
          <w:b/>
          <w:bCs/>
          <w:color w:val="000000" w:themeColor="text1"/>
          <w14:textFill>
            <w14:solidFill>
              <w14:schemeClr w14:val="tx1"/>
            </w14:solidFill>
          </w14:textFill>
        </w:rPr>
        <w:t>供应商</w:t>
      </w:r>
      <w:r>
        <w:rPr>
          <w:rFonts w:ascii="ˎ̥" w:hAnsi="ˎ̥"/>
          <w:b/>
          <w:bCs/>
          <w:color w:val="000000" w:themeColor="text1"/>
          <w14:textFill>
            <w14:solidFill>
              <w14:schemeClr w14:val="tx1"/>
            </w14:solidFill>
          </w14:textFill>
        </w:rPr>
        <w:t>委托同一单位或者个人办理</w:t>
      </w:r>
      <w:r>
        <w:rPr>
          <w:rFonts w:hint="eastAsia" w:ascii="ˎ̥" w:hAnsi="ˎ̥"/>
          <w:b/>
          <w:bCs/>
          <w:color w:val="000000" w:themeColor="text1"/>
          <w14:textFill>
            <w14:solidFill>
              <w14:schemeClr w14:val="tx1"/>
            </w14:solidFill>
          </w14:textFill>
        </w:rPr>
        <w:t>响应</w:t>
      </w:r>
      <w:r>
        <w:rPr>
          <w:rFonts w:ascii="ˎ̥" w:hAnsi="ˎ̥"/>
          <w:b/>
          <w:bCs/>
          <w:color w:val="000000" w:themeColor="text1"/>
          <w14:textFill>
            <w14:solidFill>
              <w14:schemeClr w14:val="tx1"/>
            </w14:solidFill>
          </w14:textFill>
        </w:rPr>
        <w:t>事宜</w:t>
      </w:r>
      <w:r>
        <w:rPr>
          <w:rFonts w:hint="eastAsia" w:ascii="ˎ̥" w:hAnsi="ˎ̥"/>
          <w:b/>
          <w:bCs/>
          <w:color w:val="000000" w:themeColor="text1"/>
          <w14:textFill>
            <w14:solidFill>
              <w14:schemeClr w14:val="tx1"/>
            </w14:solidFill>
          </w14:textFill>
        </w:rPr>
        <w:t>’，其谈判响应无效。</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cs="宋体" w:asciiTheme="minorEastAsia" w:hAnsiTheme="minorEastAsia"/>
          <w:b/>
          <w:bCs/>
          <w:color w:val="000000" w:themeColor="text1"/>
          <w:kern w:val="0"/>
          <w:szCs w:val="21"/>
          <w14:textFill>
            <w14:solidFill>
              <w14:schemeClr w14:val="tx1"/>
            </w14:solidFill>
          </w14:textFill>
        </w:rPr>
        <w:t>法律、法规和</w:t>
      </w:r>
      <w:r>
        <w:rPr>
          <w:rFonts w:hint="eastAsia" w:cs="宋体" w:asciiTheme="minorEastAsia" w:hAnsiTheme="minorEastAsia"/>
          <w:b/>
          <w:bCs/>
          <w:color w:val="000000" w:themeColor="text1"/>
          <w:kern w:val="0"/>
          <w:szCs w:val="21"/>
          <w14:textFill>
            <w14:solidFill>
              <w14:schemeClr w14:val="tx1"/>
            </w14:solidFill>
          </w14:textFill>
        </w:rPr>
        <w:t>响应</w:t>
      </w:r>
      <w:r>
        <w:rPr>
          <w:rFonts w:cs="宋体" w:asciiTheme="minorEastAsia" w:hAnsiTheme="minorEastAsia"/>
          <w:b/>
          <w:bCs/>
          <w:color w:val="000000" w:themeColor="text1"/>
          <w:kern w:val="0"/>
          <w:szCs w:val="21"/>
          <w14:textFill>
            <w14:solidFill>
              <w14:schemeClr w14:val="tx1"/>
            </w14:solidFill>
          </w14:textFill>
        </w:rPr>
        <w:t>文件规定的其他无效情形。</w:t>
      </w:r>
    </w:p>
    <w:p>
      <w:pPr>
        <w:pStyle w:val="44"/>
        <w:autoSpaceDE w:val="0"/>
        <w:autoSpaceDN w:val="0"/>
        <w:spacing w:line="360" w:lineRule="auto"/>
        <w:ind w:left="964" w:firstLine="0" w:firstLineChars="0"/>
        <w:contextualSpacing/>
        <w:rPr>
          <w:rFonts w:cs="宋体" w:asciiTheme="minorEastAsia" w:hAnsiTheme="minorEastAsia"/>
          <w:b/>
          <w:bCs/>
          <w:color w:val="000000" w:themeColor="text1"/>
          <w:kern w:val="0"/>
          <w:szCs w:val="21"/>
          <w14:textFill>
            <w14:solidFill>
              <w14:schemeClr w14:val="tx1"/>
            </w14:solidFill>
          </w14:textFill>
        </w:rPr>
      </w:pPr>
    </w:p>
    <w:p>
      <w:pPr>
        <w:pStyle w:val="44"/>
        <w:numPr>
          <w:ilvl w:val="0"/>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响应文件评审与谈判</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cs="宋体" w:asciiTheme="minorEastAsia" w:hAnsiTheme="minorEastAsia"/>
          <w:b/>
          <w:bCs/>
          <w:color w:val="000000" w:themeColor="text1"/>
          <w:kern w:val="0"/>
          <w:szCs w:val="21"/>
          <w14:textFill>
            <w14:solidFill>
              <w14:schemeClr w14:val="tx1"/>
            </w14:solidFill>
          </w14:textFill>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b/>
          <w:bCs/>
          <w:color w:val="000000" w:themeColor="text1"/>
          <w:kern w:val="0"/>
          <w:szCs w:val="21"/>
          <w14:textFill>
            <w14:solidFill>
              <w14:schemeClr w14:val="tx1"/>
            </w14:solidFill>
          </w14:textFill>
        </w:rPr>
        <w:t>。</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ascii="ˎ̥" w:hAnsi="ˎ̥"/>
          <w:b/>
          <w:bCs/>
          <w:color w:val="000000" w:themeColor="text1"/>
          <w14:textFill>
            <w14:solidFill>
              <w14:schemeClr w14:val="tx1"/>
            </w14:solidFill>
          </w14:textFill>
        </w:rPr>
        <w:t>谈判小组所有成员应当集中与单一供应商分别进行谈判，并给予所有参加谈判的供应商平等的谈判机会</w:t>
      </w:r>
      <w:r>
        <w:rPr>
          <w:rFonts w:hint="eastAsia" w:ascii="ˎ̥" w:hAnsi="ˎ̥"/>
          <w:b/>
          <w:bCs/>
          <w:color w:val="000000" w:themeColor="text1"/>
          <w14:textFill>
            <w14:solidFill>
              <w14:schemeClr w14:val="tx1"/>
            </w14:solidFill>
          </w14:textFill>
        </w:rPr>
        <w:t>。</w:t>
      </w:r>
    </w:p>
    <w:p>
      <w:pPr>
        <w:pStyle w:val="50"/>
        <w:numPr>
          <w:ilvl w:val="1"/>
          <w:numId w:val="10"/>
        </w:numPr>
        <w:spacing w:line="400" w:lineRule="exact"/>
        <w:rPr>
          <w:rFonts w:cs="微软雅黑"/>
          <w:b/>
          <w:bCs/>
          <w:color w:val="000000" w:themeColor="text1"/>
          <w14:textFill>
            <w14:solidFill>
              <w14:schemeClr w14:val="tx1"/>
            </w14:solidFill>
          </w14:textFill>
        </w:rPr>
      </w:pPr>
      <w:r>
        <w:rPr>
          <w:rFonts w:hint="eastAsia" w:cs="微软雅黑"/>
          <w:b/>
          <w:bCs/>
          <w:color w:val="000000" w:themeColor="text1"/>
          <w14:textFill>
            <w14:solidFill>
              <w14:schemeClr w14:val="tx1"/>
            </w14:solidFill>
          </w14:textFill>
        </w:rPr>
        <w:t>在谈判中，谈判的任何一方不得透露与谈判有关的其他供应商的技术资料、价格和其他信息。</w:t>
      </w:r>
    </w:p>
    <w:p>
      <w:pPr>
        <w:pStyle w:val="44"/>
        <w:numPr>
          <w:ilvl w:val="1"/>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ascii="ˎ̥" w:hAnsi="ˎ̥"/>
          <w:b/>
          <w:bCs/>
          <w:color w:val="000000" w:themeColor="text1"/>
          <w14:textFill>
            <w14:solidFill>
              <w14:schemeClr w14:val="tx1"/>
            </w14:solidFill>
          </w14:textFill>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对谈判文件作出的实质性变动是谈判文件的有效组成部分，谈判小组应当及时以书面形式同时通知所有参加谈判的供应商</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b/>
          <w:bCs/>
          <w:color w:val="000000" w:themeColor="text1"/>
          <w14:textFill>
            <w14:solidFill>
              <w14:schemeClr w14:val="tx1"/>
            </w14:solidFill>
          </w14:textFill>
        </w:rPr>
        <w:t>。</w:t>
      </w:r>
    </w:p>
    <w:p>
      <w:pPr>
        <w:pStyle w:val="44"/>
        <w:numPr>
          <w:ilvl w:val="1"/>
          <w:numId w:val="10"/>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b/>
          <w:bCs/>
          <w:color w:val="000000" w:themeColor="text1"/>
          <w14:textFill>
            <w14:solidFill>
              <w14:schemeClr w14:val="tx1"/>
            </w14:solidFill>
          </w14:textFill>
        </w:rPr>
        <w:t>。</w:t>
      </w:r>
    </w:p>
    <w:p>
      <w:pPr>
        <w:pStyle w:val="44"/>
        <w:numPr>
          <w:ilvl w:val="1"/>
          <w:numId w:val="10"/>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最后报价是供应商响应文件的有效组成部分。</w:t>
      </w:r>
    </w:p>
    <w:p>
      <w:pPr>
        <w:pStyle w:val="44"/>
        <w:numPr>
          <w:ilvl w:val="1"/>
          <w:numId w:val="10"/>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已提交响应文件的供应商，在提交最后报价之前，可以根据谈判情况退出谈判。</w:t>
      </w:r>
    </w:p>
    <w:p>
      <w:pPr>
        <w:pStyle w:val="44"/>
        <w:numPr>
          <w:ilvl w:val="1"/>
          <w:numId w:val="10"/>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hint="eastAsia" w:ascii="ˎ̥" w:hAnsi="ˎ̥"/>
          <w:b/>
          <w:bCs/>
          <w:color w:val="000000" w:themeColor="text1"/>
          <w14:textFill>
            <w14:solidFill>
              <w14:schemeClr w14:val="tx1"/>
            </w14:solidFill>
          </w14:textFill>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b/>
          <w:bCs/>
          <w:color w:val="000000" w:themeColor="text1"/>
          <w14:textFill>
            <w14:solidFill>
              <w14:schemeClr w14:val="tx1"/>
            </w14:solidFill>
          </w14:textFill>
        </w:rPr>
      </w:pPr>
    </w:p>
    <w:p>
      <w:pPr>
        <w:pStyle w:val="44"/>
        <w:numPr>
          <w:ilvl w:val="0"/>
          <w:numId w:val="10"/>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b w:val="0"/>
          <w:bCs w:val="0"/>
          <w:color w:val="000000" w:themeColor="text1"/>
          <w:kern w:val="0"/>
          <w:szCs w:val="21"/>
          <w14:textFill>
            <w14:solidFill>
              <w14:schemeClr w14:val="tx1"/>
            </w14:solidFill>
          </w14:textFill>
        </w:rPr>
      </w:pPr>
      <w:r>
        <w:rPr>
          <w:rFonts w:ascii="ˎ̥" w:hAnsi="ˎ̥"/>
          <w:b w:val="0"/>
          <w:bCs w:val="0"/>
          <w:color w:val="000000" w:themeColor="text1"/>
          <w14:textFill>
            <w14:solidFill>
              <w14:schemeClr w14:val="tx1"/>
            </w14:solidFill>
          </w14:textFill>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履约担保</w:t>
      </w:r>
    </w:p>
    <w:p>
      <w:pPr>
        <w:spacing w:line="400" w:lineRule="exact"/>
        <w:ind w:firstLine="840" w:firstLineChars="400"/>
        <w:rPr>
          <w:rFonts w:hint="eastAsia" w:ascii="宋体" w:hAnsi="宋体" w:eastAsiaTheme="minorEastAsia"/>
          <w:szCs w:val="21"/>
          <w:lang w:eastAsia="zh-CN"/>
        </w:rPr>
      </w:pPr>
      <w:r>
        <w:rPr>
          <w:rFonts w:hint="eastAsia" w:ascii="宋体" w:hAnsi="宋体"/>
          <w:szCs w:val="21"/>
        </w:rPr>
        <w:t>在签订合同前，中标人应按供应商“ 投标人须知前附表”提交履约</w:t>
      </w:r>
      <w:r>
        <w:rPr>
          <w:rFonts w:hint="eastAsia" w:ascii="宋体" w:hAnsi="宋体"/>
          <w:szCs w:val="21"/>
          <w:lang w:val="en-US" w:eastAsia="zh-CN"/>
        </w:rPr>
        <w:t>担保</w:t>
      </w:r>
    </w:p>
    <w:p>
      <w:pPr>
        <w:spacing w:line="400" w:lineRule="exact"/>
        <w:rPr>
          <w:szCs w:val="21"/>
        </w:rPr>
      </w:pPr>
      <w:r>
        <w:rPr>
          <w:rFonts w:hint="eastAsia" w:ascii="宋体" w:hAnsi="宋体"/>
          <w:szCs w:val="21"/>
        </w:rPr>
        <w:t>中标人不能“ 投标人须知前附表”提交履约</w:t>
      </w:r>
      <w:r>
        <w:rPr>
          <w:rFonts w:hint="eastAsia" w:ascii="宋体" w:hAnsi="宋体"/>
          <w:szCs w:val="21"/>
          <w:lang w:val="en-US" w:eastAsia="zh-CN"/>
        </w:rPr>
        <w:t>担保</w:t>
      </w:r>
      <w:r>
        <w:rPr>
          <w:rFonts w:hint="eastAsia" w:ascii="宋体" w:hAnsi="宋体"/>
          <w:szCs w:val="21"/>
        </w:rPr>
        <w:t>的，视为放弃中标，给采购人造成的损失的，中标人还应当予以赔偿。</w:t>
      </w:r>
    </w:p>
    <w:p>
      <w:pPr>
        <w:spacing w:line="400" w:lineRule="exact"/>
        <w:rPr>
          <w:rFonts w:hint="eastAsia" w:ascii="宋体" w:hAnsi="宋体"/>
          <w:b/>
          <w:bCs/>
          <w:szCs w:val="21"/>
        </w:rPr>
      </w:pPr>
      <w:r>
        <w:rPr>
          <w:rFonts w:hint="eastAsia" w:ascii="宋体" w:hAnsi="宋体"/>
          <w:b/>
          <w:bCs/>
          <w:szCs w:val="21"/>
          <w:lang w:val="en-US" w:eastAsia="zh-CN"/>
        </w:rPr>
        <w:t>37</w:t>
      </w:r>
      <w:r>
        <w:rPr>
          <w:rFonts w:hint="eastAsia" w:ascii="宋体" w:hAnsi="宋体"/>
          <w:b/>
          <w:bCs/>
          <w:szCs w:val="21"/>
        </w:rPr>
        <w:t>. 其他</w:t>
      </w:r>
    </w:p>
    <w:p>
      <w:pPr>
        <w:spacing w:line="400" w:lineRule="exact"/>
        <w:rPr>
          <w:rFonts w:hint="eastAsia" w:ascii="宋体" w:hAnsi="宋体"/>
          <w:szCs w:val="21"/>
        </w:rPr>
      </w:pPr>
      <w:r>
        <w:rPr>
          <w:rFonts w:hint="eastAsia" w:ascii="宋体" w:hAnsi="宋体"/>
          <w:szCs w:val="21"/>
        </w:rPr>
        <w:t>本次采购文件未尽事项，以法律法规规定的为准。</w:t>
      </w:r>
    </w:p>
    <w:p>
      <w:pPr>
        <w:autoSpaceDE w:val="0"/>
        <w:autoSpaceDN w:val="0"/>
        <w:spacing w:line="360" w:lineRule="auto"/>
        <w:contextualSpacing/>
        <w:jc w:val="left"/>
        <w:rPr>
          <w:rFonts w:cs="宋体" w:asciiTheme="majorEastAsia" w:hAnsiTheme="majorEastAsia" w:eastAsiaTheme="majorEastAsia"/>
          <w:b/>
          <w:kern w:val="0"/>
          <w:sz w:val="36"/>
          <w:szCs w:val="36"/>
        </w:rPr>
      </w:pP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pStyle w:val="15"/>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eastAsiaTheme="minorEastAsia"/>
          <w:color w:val="auto"/>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5"/>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5"/>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color w:val="auto"/>
          <w:sz w:val="21"/>
          <w:szCs w:val="21"/>
        </w:rPr>
        <w:t>财政部、生态环境部</w:t>
      </w:r>
      <w:r>
        <w:rPr>
          <w:rFonts w:hint="eastAsia" w:cs="仿宋_GB2312" w:asciiTheme="minorEastAsia" w:hAnsiTheme="minorEastAsia" w:eastAsiaTheme="minorEastAsia"/>
          <w:color w:val="auto"/>
          <w:sz w:val="21"/>
          <w:szCs w:val="21"/>
          <w:lang w:val="zh-CN"/>
        </w:rPr>
        <w:t>《关于印发环境标志产品政府采购品目清单的通知》</w:t>
      </w:r>
      <w:r>
        <w:rPr>
          <w:rFonts w:hint="eastAsia" w:cs="仿宋_GB2312" w:asciiTheme="minorEastAsia" w:hAnsiTheme="minorEastAsia" w:eastAsiaTheme="minorEastAsia"/>
          <w:color w:val="auto"/>
          <w:sz w:val="21"/>
          <w:szCs w:val="21"/>
        </w:rPr>
        <w:t>（财库[2019]18号）以及</w:t>
      </w:r>
      <w:r>
        <w:rPr>
          <w:rFonts w:hint="eastAsia" w:cs="仿宋_GB2312" w:asciiTheme="minorEastAsia" w:hAnsiTheme="minorEastAsia" w:eastAsiaTheme="minorEastAsia"/>
          <w:color w:val="auto"/>
          <w:sz w:val="21"/>
          <w:szCs w:val="21"/>
          <w:lang w:val="zh-CN"/>
        </w:rPr>
        <w:t>财政部、发展改革委</w:t>
      </w:r>
      <w:r>
        <w:rPr>
          <w:rFonts w:hint="eastAsia" w:cs="仿宋_GB2312" w:asciiTheme="minorEastAsia" w:hAnsiTheme="minorEastAsia" w:eastAsiaTheme="minorEastAsia"/>
          <w:color w:val="auto"/>
          <w:sz w:val="21"/>
          <w:szCs w:val="21"/>
        </w:rPr>
        <w:t>《关于印发节能产品政府采购品目清单的通知》（财库[2019]19号）</w:t>
      </w:r>
      <w:r>
        <w:rPr>
          <w:rFonts w:hint="eastAsia" w:cs="仿宋_GB2312" w:asciiTheme="minorEastAsia" w:hAnsiTheme="minorEastAsia" w:eastAsiaTheme="minorEastAsia"/>
          <w:color w:val="auto"/>
          <w:sz w:val="21"/>
          <w:szCs w:val="21"/>
          <w:lang w:val="zh-CN"/>
        </w:rPr>
        <w:t>，</w:t>
      </w:r>
      <w:r>
        <w:rPr>
          <w:rFonts w:hint="eastAsia" w:cs="仿宋_GB2312" w:asciiTheme="minorEastAsia" w:hAnsiTheme="minorEastAsia" w:eastAsiaTheme="minorEastAsia"/>
          <w:color w:val="auto"/>
          <w:sz w:val="21"/>
          <w:szCs w:val="21"/>
        </w:rPr>
        <w:t>采购属于政府强</w:t>
      </w:r>
      <w:r>
        <w:rPr>
          <w:rFonts w:hint="eastAsia" w:cs="仿宋_GB2312" w:asciiTheme="minorEastAsia" w:hAnsiTheme="minorEastAsia" w:eastAsiaTheme="minorEastAsia"/>
          <w:color w:val="auto"/>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5"/>
        <w:spacing w:line="360" w:lineRule="auto"/>
        <w:ind w:firstLine="422" w:firstLineChars="200"/>
        <w:contextualSpacing/>
        <w:rPr>
          <w:rFonts w:cs="仿宋_GB2312" w:asciiTheme="minorEastAsia" w:hAnsi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hint="eastAsia" w:cs="仿宋_GB2312" w:asciiTheme="minorEastAsia" w:hAnsiTheme="minorEastAsia"/>
          <w:b/>
          <w:color w:val="auto"/>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0" w:name="OLE_LINK6"/>
      <w:r>
        <w:rPr>
          <w:rFonts w:hint="eastAsia" w:cs="仿宋_GB2312" w:asciiTheme="minorEastAsia" w:hAnsiTheme="minorEastAsia"/>
          <w:color w:val="auto"/>
          <w:szCs w:val="21"/>
          <w:lang w:val="zh-CN"/>
        </w:rPr>
        <w:t>财库[2014]68号</w:t>
      </w:r>
      <w:bookmarkEnd w:id="0"/>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5"/>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五、支持脱贫攻坚（物业服务采购）</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5"/>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法人或者其他组织的营业执照、资质证等证明文件，自然人的身份证明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pPr>
              <w:pStyle w:val="3"/>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jc w:val="left"/>
              <w:rPr>
                <w:rFonts w:hint="eastAsia"/>
              </w:rPr>
            </w:pPr>
            <w:r>
              <w:rPr>
                <w:rFonts w:hint="eastAsia"/>
              </w:rPr>
              <w:t>政府采购活动中查询及使用供应商信用记录的具体要求为：供应商</w:t>
            </w:r>
            <w:r>
              <w:rPr>
                <w:rFonts w:hint="eastAsia"/>
                <w:lang w:eastAsia="zh-CN"/>
              </w:rPr>
              <w:t>未</w:t>
            </w:r>
            <w:r>
              <w:rPr>
                <w:rFonts w:hint="eastAsia"/>
              </w:rPr>
              <w:t>列入“信用中国”网站失信被执行人、重大税收违法案件当事人名单的供应商；“中国政府采购网” 政府采购严重违法失信行为记录名单的供应商；“中国社会组织公共服务平台”网站严重违法失信名单的社会组织。</w:t>
            </w:r>
          </w:p>
          <w:p>
            <w:pPr>
              <w:spacing w:line="360" w:lineRule="auto"/>
              <w:jc w:val="left"/>
              <w:rPr>
                <w:rFonts w:hint="eastAsia"/>
              </w:rPr>
            </w:pPr>
            <w:r>
              <w:rPr>
                <w:rFonts w:hint="eastAsia"/>
              </w:rPr>
              <w:t>（1）查询渠道：</w:t>
            </w:r>
          </w:p>
          <w:p>
            <w:pPr>
              <w:spacing w:line="360" w:lineRule="auto"/>
              <w:jc w:val="left"/>
              <w:rPr>
                <w:rFonts w:hint="eastAsia"/>
              </w:rPr>
            </w:pPr>
            <w:r>
              <w:rPr>
                <w:rFonts w:hint="eastAsia"/>
              </w:rPr>
              <w:t>①“信用中国”网站（</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spacing w:line="360" w:lineRule="auto"/>
              <w:jc w:val="left"/>
              <w:rPr>
                <w:rFonts w:hint="eastAsia"/>
              </w:rPr>
            </w:pPr>
            <w:r>
              <w:rPr>
                <w:rFonts w:hint="eastAsia"/>
              </w:rPr>
              <w:t>②“中国政府采购网”（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w:t>
            </w:r>
          </w:p>
          <w:p>
            <w:pPr>
              <w:spacing w:line="360" w:lineRule="auto"/>
              <w:jc w:val="left"/>
              <w:rPr>
                <w:rFonts w:hint="eastAsia"/>
              </w:rPr>
            </w:pPr>
            <w:r>
              <w:rPr>
                <w:rFonts w:hint="eastAsia"/>
              </w:rPr>
              <w:t>③“中国社会组织公共服务平台”网站（www.chinanpo.gov.cn）（仅查询社会组织）；</w:t>
            </w:r>
          </w:p>
          <w:p>
            <w:pPr>
              <w:spacing w:line="360" w:lineRule="auto"/>
              <w:jc w:val="left"/>
              <w:rPr>
                <w:rFonts w:hint="eastAsia"/>
              </w:rPr>
            </w:pPr>
            <w:r>
              <w:rPr>
                <w:rFonts w:hint="eastAsia"/>
              </w:rPr>
              <w:t>（2）截止时间：同投标截止时间；</w:t>
            </w:r>
          </w:p>
          <w:p>
            <w:pPr>
              <w:spacing w:line="360" w:lineRule="auto"/>
              <w:jc w:val="left"/>
              <w:rPr>
                <w:rFonts w:hint="eastAsia"/>
              </w:rPr>
            </w:pPr>
            <w:r>
              <w:rPr>
                <w:rFonts w:hint="eastAsia"/>
              </w:rPr>
              <w:t>（3）信用信息查询记录和证据留存具体方式：经谈判小组确认确认的查询结果网页截图作为查询记录和证据，与其他采购文件一并保存；</w:t>
            </w:r>
          </w:p>
          <w:p>
            <w:pPr>
              <w:spacing w:line="360" w:lineRule="auto"/>
              <w:jc w:val="left"/>
              <w:rPr>
                <w:rFonts w:hint="eastAsia"/>
              </w:rPr>
            </w:pPr>
            <w:r>
              <w:rPr>
                <w:rFonts w:hint="eastAsia"/>
              </w:rPr>
              <w:t>（4）信用信息的使用原则：经谈判小组确认认定</w:t>
            </w:r>
            <w:r>
              <w:rPr>
                <w:rFonts w:hint="eastAsia"/>
                <w:lang w:val="en-US" w:eastAsia="zh-CN"/>
              </w:rPr>
              <w:t>被列入失信被执行人、重大税收违法案件当事人名单的供应商；政府采购严重违法失信行为记录名单的供应商；严重违法失信名单的社会组织</w:t>
            </w:r>
            <w:r>
              <w:rPr>
                <w:rFonts w:hint="eastAsia"/>
              </w:rPr>
              <w:t>，将拒绝其参与本次政府采购活动。</w:t>
            </w:r>
          </w:p>
          <w:p>
            <w:pPr>
              <w:spacing w:line="360" w:lineRule="auto"/>
              <w:jc w:val="left"/>
              <w:rPr>
                <w:rFonts w:hint="eastAsia" w:eastAsia="宋体"/>
                <w:lang w:eastAsia="zh-CN"/>
              </w:rPr>
            </w:pPr>
            <w:r>
              <w:rPr>
                <w:rFonts w:hint="eastAsia"/>
                <w:lang w:val="en-US" w:eastAsia="zh-CN"/>
              </w:rPr>
              <w:t>（5）供应商不良信用记录以谈判小组查询结果为准，谈判小组查询之后，网站信息发生的任何变更不再作为评审依据，供应商自行提供的与网站信息不一致的其他证明材料亦不作为评审依据</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b/>
                <w:szCs w:val="21"/>
              </w:rPr>
            </w:pPr>
            <w:r>
              <w:rPr>
                <w:rFonts w:hint="eastAsia" w:asciiTheme="minorEastAsia" w:hAnsiTheme="minorEastAsia"/>
                <w:b/>
                <w:szCs w:val="21"/>
              </w:rPr>
              <w:t>10</w:t>
            </w:r>
          </w:p>
        </w:tc>
        <w:tc>
          <w:tcPr>
            <w:tcW w:w="2410" w:type="dxa"/>
            <w:vAlign w:val="center"/>
          </w:tcPr>
          <w:p>
            <w:pPr>
              <w:spacing w:line="360" w:lineRule="auto"/>
              <w:rPr>
                <w:rFonts w:hint="eastAsia"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lang w:eastAsia="zh-CN"/>
                <w14:textFill>
                  <w14:solidFill>
                    <w14:schemeClr w14:val="tx1"/>
                  </w14:solidFill>
                </w14:textFill>
              </w:rPr>
              <w:t>交货日期</w:t>
            </w:r>
          </w:p>
        </w:tc>
        <w:tc>
          <w:tcPr>
            <w:tcW w:w="5954" w:type="dxa"/>
            <w:vAlign w:val="center"/>
          </w:tcPr>
          <w:p>
            <w:pPr>
              <w:spacing w:line="360" w:lineRule="auto"/>
              <w:jc w:val="left"/>
              <w:rPr>
                <w:rFonts w:hint="eastAsia"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签订合同之日起</w:t>
            </w:r>
            <w:r>
              <w:rPr>
                <w:rFonts w:hint="eastAsia" w:asciiTheme="minorEastAsia" w:hAnsiTheme="minorEastAsia"/>
                <w:bCs/>
                <w:color w:val="000000" w:themeColor="text1"/>
                <w:szCs w:val="21"/>
                <w:lang w:val="en-US" w:eastAsia="zh-CN"/>
                <w14:textFill>
                  <w14:solidFill>
                    <w14:schemeClr w14:val="tx1"/>
                  </w14:solidFill>
                </w14:textFill>
              </w:rPr>
              <w:t>30</w:t>
            </w:r>
            <w:r>
              <w:rPr>
                <w:rFonts w:hint="eastAsia" w:asciiTheme="minorEastAsia" w:hAnsiTheme="minorEastAsia"/>
                <w:bCs/>
                <w:color w:val="000000" w:themeColor="text1"/>
                <w:szCs w:val="21"/>
                <w14:textFill>
                  <w14:solidFill>
                    <w14:schemeClr w14:val="tx1"/>
                  </w14:solidFill>
                </w14:textFill>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hint="eastAsia" w:asciiTheme="minorEastAsia" w:hAnsiTheme="minorEastAsia"/>
                <w:b/>
                <w:szCs w:val="21"/>
              </w:rPr>
            </w:pPr>
            <w:r>
              <w:rPr>
                <w:rFonts w:hint="eastAsia" w:asciiTheme="minorEastAsia" w:hAnsiTheme="minorEastAsia"/>
                <w:b/>
                <w:szCs w:val="21"/>
              </w:rPr>
              <w:t>11</w:t>
            </w:r>
          </w:p>
        </w:tc>
        <w:tc>
          <w:tcPr>
            <w:tcW w:w="2410" w:type="dxa"/>
            <w:vAlign w:val="center"/>
          </w:tcPr>
          <w:p>
            <w:pPr>
              <w:spacing w:line="360" w:lineRule="auto"/>
              <w:rPr>
                <w:rFonts w:hint="eastAsia"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投标承诺函</w:t>
            </w:r>
          </w:p>
        </w:tc>
        <w:tc>
          <w:tcPr>
            <w:tcW w:w="5954" w:type="dxa"/>
            <w:vAlign w:val="center"/>
          </w:tcPr>
          <w:p>
            <w:pPr>
              <w:spacing w:line="360" w:lineRule="auto"/>
              <w:jc w:val="left"/>
              <w:rPr>
                <w:rFonts w:hint="eastAsia"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5"/>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（二）谈判小组负责具体评标事务，并独立履行下列职责</w:t>
      </w:r>
    </w:p>
    <w:p>
      <w:pPr>
        <w:pStyle w:val="15"/>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1、审查、评价响应文件是否符合采购文件的商务、技术等实质性要求；</w:t>
      </w:r>
    </w:p>
    <w:p>
      <w:pPr>
        <w:pStyle w:val="15"/>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谈判小组对符合资格的供应商的响应文件进行符合性审查，以确定其是否满足采购文件的商务、技术等实质性要求。</w:t>
      </w:r>
    </w:p>
    <w:p>
      <w:pPr>
        <w:pStyle w:val="15"/>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注：符合性审查中所涉及到的证书及材料，均须在电子响应文件中提供原件扫描件（或图片）。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5"/>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评审价格＝响应最终报价—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评审价格＝响应最终报价×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评审价格＝响应最终报价—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utoSpaceDE w:val="0"/>
        <w:autoSpaceDN w:val="0"/>
        <w:adjustRightInd w:val="0"/>
        <w:spacing w:line="360" w:lineRule="auto"/>
        <w:contextualSpacing/>
        <w:rPr>
          <w:rFonts w:ascii="ˎ̥" w:hAnsi="ˎ̥"/>
        </w:rPr>
      </w:pPr>
      <w:r>
        <w:rPr>
          <w:rFonts w:hint="eastAsia" w:ascii="楷体" w:hAnsi="楷体" w:eastAsia="楷体" w:cs="仿宋_GB2312"/>
          <w:sz w:val="24"/>
          <w:szCs w:val="24"/>
          <w:lang w:val="zh-CN"/>
        </w:rPr>
        <w:t>注：按照《关于推进全流程电子化交易和在线监管工作有关问题的通知》（许公管办[2019]3号）规定：不同供应商电子响应文件记录的网卡MAC地址、CPU序号、硬盘序列号等硬件特征码均一致时，视为‘不同供应商的响应文件由同一单位或者个人编制’或‘不同供应商委托同一单位或者个人办理响应事宜’，其谈判响应无效。</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评审专家应严格按照要求查看“硬件特征码” 相关信息并进行评审，在评审报告中显示“不同供应商电子响应文件制作硬件特征码”是否均一致的分析及判定结果。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3"/>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2"/>
        <w:spacing w:before="75" w:after="75"/>
        <w:rPr>
          <w:rFonts w:ascii="微软雅黑" w:hAnsi="微软雅黑" w:eastAsia="微软雅黑"/>
          <w:sz w:val="27"/>
          <w:szCs w:val="27"/>
        </w:rPr>
      </w:pPr>
      <w:r>
        <w:rPr>
          <w:rFonts w:ascii="宋体" w:hAnsi="宋体" w:eastAsia="微软雅黑"/>
          <w:u w:val="single"/>
        </w:rPr>
        <w:t> </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2"/>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2"/>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2"/>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2"/>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2"/>
        <w:spacing w:before="75" w:after="75"/>
        <w:rPr>
          <w:rFonts w:asciiTheme="minorEastAsia" w:hAnsiTheme="minorEastAsia" w:eastAsiaTheme="minorEastAsia"/>
          <w:sz w:val="21"/>
          <w:szCs w:val="21"/>
        </w:rPr>
      </w:pP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2"/>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2"/>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2"/>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bookmarkStart w:id="1" w:name="_GoBack"/>
      <w:bookmarkEnd w:id="1"/>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rPr>
          <w:lang w:val="zh-CN"/>
        </w:rPr>
      </w:pPr>
      <w:r>
        <w:rPr>
          <w:rFonts w:hint="eastAsia"/>
          <w:lang w:val="zh-CN"/>
        </w:rPr>
        <w:t>一、投标人应答索引表</w:t>
      </w:r>
    </w:p>
    <w:tbl>
      <w:tblPr>
        <w:tblStyle w:val="23"/>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569"/>
        <w:gridCol w:w="427"/>
        <w:gridCol w:w="284"/>
        <w:gridCol w:w="2274"/>
        <w:gridCol w:w="1563"/>
        <w:gridCol w:w="1564"/>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序号</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项  目</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投标人应答</w:t>
            </w:r>
          </w:p>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（有/没有）</w:t>
            </w: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hAnsi="宋体" w:cs="宋体"/>
                <w:sz w:val="24"/>
                <w:szCs w:val="24"/>
                <w:lang w:val="zh-CN"/>
              </w:rPr>
              <w:t>响应</w:t>
            </w:r>
            <w:r>
              <w:rPr>
                <w:rFonts w:hint="eastAsia" w:cs="黑体" w:asciiTheme="minorEastAsia" w:hAnsiTheme="minorEastAsia" w:eastAsiaTheme="minorEastAsia"/>
                <w:bCs/>
                <w:kern w:val="2"/>
                <w:sz w:val="21"/>
                <w:szCs w:val="21"/>
              </w:rPr>
              <w:t>文件中所在页码</w:t>
            </w: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投标人应答索引表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开标一览表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谈判响应函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4</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法定代表人（单位负责人）</w:t>
            </w:r>
            <w:r>
              <w:rPr>
                <w:rFonts w:cs="黑体" w:asciiTheme="minorEastAsia" w:hAnsiTheme="minorEastAsia" w:eastAsiaTheme="minorEastAsia"/>
                <w:bCs/>
                <w:kern w:val="2"/>
                <w:sz w:val="21"/>
                <w:szCs w:val="21"/>
                <w:lang w:val="zh-CN"/>
              </w:rPr>
              <w:t>资</w:t>
            </w:r>
            <w:r>
              <w:rPr>
                <w:rFonts w:hint="eastAsia" w:cs="黑体" w:asciiTheme="minorEastAsia" w:hAnsiTheme="minorEastAsia" w:eastAsiaTheme="minorEastAsia"/>
                <w:bCs/>
                <w:kern w:val="2"/>
                <w:sz w:val="21"/>
                <w:szCs w:val="21"/>
                <w:lang w:val="zh-CN"/>
              </w:rPr>
              <w:t>格</w:t>
            </w:r>
            <w:r>
              <w:rPr>
                <w:rFonts w:cs="黑体" w:asciiTheme="minorEastAsia" w:hAnsiTheme="minorEastAsia" w:eastAsiaTheme="minorEastAsia"/>
                <w:bCs/>
                <w:kern w:val="2"/>
                <w:sz w:val="21"/>
                <w:szCs w:val="21"/>
                <w:lang w:val="zh-CN"/>
              </w:rPr>
              <w:t>证</w:t>
            </w:r>
            <w:r>
              <w:rPr>
                <w:rFonts w:hint="eastAsia" w:cs="黑体" w:asciiTheme="minorEastAsia" w:hAnsiTheme="minorEastAsia" w:eastAsiaTheme="minorEastAsia"/>
                <w:bCs/>
                <w:kern w:val="2"/>
                <w:sz w:val="21"/>
                <w:szCs w:val="21"/>
                <w:lang w:val="zh-CN"/>
              </w:rPr>
              <w:t>明</w:t>
            </w:r>
            <w:r>
              <w:rPr>
                <w:rFonts w:cs="黑体" w:asciiTheme="minorEastAsia" w:hAnsiTheme="minorEastAsia" w:eastAsiaTheme="minorEastAsia"/>
                <w:bCs/>
                <w:kern w:val="2"/>
                <w:sz w:val="21"/>
                <w:szCs w:val="21"/>
                <w:lang w:val="zh-CN"/>
              </w:rPr>
              <w:t>书</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5</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法定代表人（单位负责人）授权书</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6</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营业执照等证明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7</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依法纳税凭据</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经审计财务报告</w:t>
            </w: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资产负债表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利润表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现金流量表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所有者权益变动表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附注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985"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基本开户银行资信证明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985"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银行资信证明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985"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政府采购投标担保函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9</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依法缴纳社会保险凭据</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证明材料</w:t>
            </w: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设备购置发票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技术人员职称证书</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274" w:type="dxa"/>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用工合同</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numPr>
                <w:ilvl w:val="0"/>
                <w:numId w:val="18"/>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985" w:type="dxa"/>
            <w:gridSpan w:val="3"/>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投标人相关承诺函或声明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11</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没有重大违法记录的声明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12</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投标人须具备的特殊资质证书</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13</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投标承诺函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14</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联合体协议</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15</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投标人与参加本项目投标的其他供应商之间，单位负责人不为同一人并且不存在直接控股、管理关系承诺函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16</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投标人未为本项目提供整体设计、规范编制或者项目管理、监理、检测等服务承诺函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17</w:t>
            </w:r>
          </w:p>
        </w:tc>
        <w:tc>
          <w:tcPr>
            <w:tcW w:w="3554" w:type="dxa"/>
            <w:gridSpan w:val="4"/>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投标分项报价表</w:t>
            </w:r>
          </w:p>
        </w:tc>
        <w:tc>
          <w:tcPr>
            <w:tcW w:w="1563"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18</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技术规格偏离表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19</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技术方案（实施方案）</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20</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售后服务方案</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21</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业绩情况表</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22</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政府强制采购节能产品品目清单情况</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23</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优先采购节能产品政府采购品目清单情况</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24</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优先采购环境标志产品政府采购品目清单情况</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25</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中小企业声明函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26</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残疾人福利性单位声明函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27</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监狱企业证明文件</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CCC强制性产品认证</w:t>
            </w:r>
          </w:p>
        </w:tc>
        <w:tc>
          <w:tcPr>
            <w:tcW w:w="2558" w:type="dxa"/>
            <w:gridSpan w:val="2"/>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所投产品符合国家强制性要求承诺函</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cs="黑体" w:asciiTheme="minorEastAsia" w:hAnsiTheme="minorEastAsia" w:eastAsiaTheme="minorEastAsia"/>
                <w:bCs/>
                <w:kern w:val="2"/>
                <w:sz w:val="21"/>
                <w:szCs w:val="21"/>
              </w:rPr>
              <w:t>信息安全产品强制性认证</w:t>
            </w:r>
          </w:p>
        </w:tc>
        <w:tc>
          <w:tcPr>
            <w:tcW w:w="2558" w:type="dxa"/>
            <w:gridSpan w:val="2"/>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rPr>
              <w:t>认证机构颁发的认证证书</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Merge w:val="continue"/>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p>
        </w:tc>
        <w:tc>
          <w:tcPr>
            <w:tcW w:w="2558" w:type="dxa"/>
            <w:gridSpan w:val="2"/>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rPr>
              <w:t>中国信息安全认证中心官网产品查询结果截图</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30</w:t>
            </w:r>
          </w:p>
        </w:tc>
        <w:tc>
          <w:tcPr>
            <w:tcW w:w="3554" w:type="dxa"/>
            <w:gridSpan w:val="4"/>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国家级贫困县域注册地证明材料</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31</w:t>
            </w:r>
          </w:p>
        </w:tc>
        <w:tc>
          <w:tcPr>
            <w:tcW w:w="3554"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扶贫部门出具的聘用建档立卡贫困人员身份证明</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32</w:t>
            </w:r>
          </w:p>
        </w:tc>
        <w:tc>
          <w:tcPr>
            <w:tcW w:w="3554" w:type="dxa"/>
            <w:gridSpan w:val="4"/>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建档立卡贫困人员社保材料</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33</w:t>
            </w:r>
          </w:p>
        </w:tc>
        <w:tc>
          <w:tcPr>
            <w:tcW w:w="3554"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其它资料</w:t>
            </w:r>
          </w:p>
        </w:tc>
        <w:tc>
          <w:tcPr>
            <w:tcW w:w="156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sz w:val="28"/>
          <w:szCs w:val="28"/>
        </w:rPr>
        <w:t>报价一览表</w:t>
      </w:r>
    </w:p>
    <w:p>
      <w:pPr>
        <w:pStyle w:val="15"/>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3"/>
        <w:tblW w:w="8328" w:type="dxa"/>
        <w:tblInd w:w="0" w:type="dxa"/>
        <w:tblLayout w:type="fixed"/>
        <w:tblCellMar>
          <w:top w:w="0" w:type="dxa"/>
          <w:left w:w="108" w:type="dxa"/>
          <w:bottom w:w="0" w:type="dxa"/>
          <w:right w:w="108" w:type="dxa"/>
        </w:tblCellMar>
      </w:tblPr>
      <w:tblGrid>
        <w:gridCol w:w="959"/>
        <w:gridCol w:w="1442"/>
        <w:gridCol w:w="2718"/>
        <w:gridCol w:w="1784"/>
        <w:gridCol w:w="1425"/>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pPr>
            <w:r>
              <w:rPr>
                <w:rFonts w:hint="eastAsia" w:cs="宋体" w:asciiTheme="minorEastAsia" w:hAnsiTheme="minorEastAsia"/>
                <w:b/>
                <w:sz w:val="24"/>
                <w:szCs w:val="24"/>
                <w:lang w:val="zh-CN"/>
              </w:rPr>
              <w:t>标段</w:t>
            </w:r>
          </w:p>
        </w:tc>
        <w:tc>
          <w:tcPr>
            <w:tcW w:w="14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27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78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交货期</w:t>
            </w:r>
          </w:p>
        </w:tc>
        <w:tc>
          <w:tcPr>
            <w:tcW w:w="14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firstLineChars="0"/>
            </w:pP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小写：</w:t>
            </w: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firstLineChars="0"/>
            </w:pPr>
            <w:r>
              <w:rPr>
                <w:rFonts w:cs="Arial" w:asciiTheme="minorEastAsia" w:hAnsiTheme="minorEastAsia"/>
                <w:szCs w:val="21"/>
              </w:rPr>
              <w:t>…</w:t>
            </w: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供应商名称：</w:t>
      </w:r>
      <w:r>
        <w:rPr>
          <w:rFonts w:hint="eastAsia" w:cs="宋体" w:asciiTheme="minorEastAsia" w:hAnsiTheme="minorEastAsia" w:eastAsiaTheme="minorEastAsia"/>
          <w:kern w:val="2"/>
          <w:sz w:val="21"/>
          <w:szCs w:val="21"/>
          <w:u w:val="single"/>
          <w:lang w:val="zh-CN"/>
        </w:rPr>
        <w:t xml:space="preserve">     （全称）   </w:t>
      </w:r>
      <w:r>
        <w:rPr>
          <w:rFonts w:hint="eastAsia" w:cs="宋体" w:asciiTheme="minorEastAsia" w:hAnsiTheme="minorEastAsia" w:eastAsiaTheme="minorEastAsia"/>
          <w:kern w:val="2"/>
          <w:sz w:val="21"/>
          <w:szCs w:val="21"/>
          <w:lang w:val="zh-CN"/>
        </w:rPr>
        <w:t>（公章）：</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供应商法定代表人（单位负责人）或授权代表签字：</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日期：</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年</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月</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日</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2、如谈判公告明确项目交付日期以年为单位，本表应填写完成该项目的年限。</w:t>
      </w:r>
    </w:p>
    <w:p>
      <w:pPr>
        <w:pStyle w:val="15"/>
        <w:spacing w:line="360" w:lineRule="auto"/>
        <w:jc w:val="center"/>
        <w:rPr>
          <w:rFonts w:hint="eastAsia" w:asciiTheme="majorEastAsia" w:hAnsiTheme="majorEastAsia" w:eastAsiaTheme="majorEastAsia"/>
          <w:b/>
          <w:snapToGrid w:val="0"/>
          <w:sz w:val="28"/>
          <w:szCs w:val="28"/>
        </w:rPr>
      </w:pPr>
    </w:p>
    <w:p>
      <w:pPr>
        <w:pStyle w:val="15"/>
        <w:spacing w:line="360" w:lineRule="auto"/>
        <w:jc w:val="center"/>
        <w:rPr>
          <w:rFonts w:hint="eastAsia" w:asciiTheme="majorEastAsia" w:hAnsiTheme="majorEastAsia" w:eastAsiaTheme="majorEastAsia"/>
          <w:b/>
          <w:snapToGrid w:val="0"/>
          <w:sz w:val="28"/>
          <w:szCs w:val="28"/>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center"/>
        <w:rPr>
          <w:rFonts w:asciiTheme="majorEastAsia" w:hAnsiTheme="majorEastAsia" w:eastAsiaTheme="majorEastAsia"/>
          <w:b/>
          <w:snapToGrid w:val="0"/>
          <w:sz w:val="28"/>
          <w:szCs w:val="28"/>
        </w:rPr>
      </w:pPr>
    </w:p>
    <w:p>
      <w:pPr>
        <w:pStyle w:val="15"/>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Cs w:val="24"/>
          <w:lang w:val="en-US" w:eastAsia="zh-CN"/>
        </w:rPr>
        <w:t xml:space="preserve">3.1  </w:t>
      </w:r>
      <w:r>
        <w:rPr>
          <w:rFonts w:hint="eastAsia" w:asciiTheme="majorEastAsia" w:hAnsiTheme="majorEastAsia" w:eastAsiaTheme="majorEastAsia"/>
          <w:b/>
          <w:snapToGrid w:val="0"/>
          <w:sz w:val="24"/>
          <w:szCs w:val="24"/>
        </w:rPr>
        <w:t>谈判响应函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我方已完全明白采购文件的所有条款要求，并申明如下：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一、按采购文件提供的全部货物与相关服务的投标总价大写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六、我方如果成交，将保证履行采购文件及其澄清、修改文件（如果有）中的全部责任和义务，按质、按量、按期完成《项目需求》及《合同书》中的全部任务。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p>
    <w:p>
      <w:pPr>
        <w:rPr>
          <w:rFonts w:asciiTheme="majorEastAsia" w:hAnsiTheme="majorEastAsia" w:eastAsiaTheme="majorEastAsia"/>
          <w:b/>
          <w:bCs/>
          <w:color w:val="000000"/>
          <w:sz w:val="28"/>
          <w:szCs w:val="22"/>
        </w:rPr>
      </w:pPr>
      <w:r>
        <w:rPr>
          <w:rFonts w:hint="eastAsia" w:asciiTheme="majorEastAsia" w:hAnsiTheme="majorEastAsia" w:eastAsiaTheme="majorEastAsia"/>
          <w:b/>
          <w:snapToGrid w:val="0"/>
          <w:sz w:val="28"/>
          <w:szCs w:val="28"/>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单位名称：</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地址：</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 xml:space="preserve">姓名：       性别：     年龄：     职务：        </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 xml:space="preserve">本人系 </w:t>
      </w:r>
      <w:r>
        <w:rPr>
          <w:rFonts w:hint="eastAsia" w:eastAsia="宋体" w:cs="Arial" w:asciiTheme="minorEastAsia" w:hAnsiTheme="minorEastAsia"/>
          <w:i w:val="0"/>
          <w:iCs w:val="0"/>
          <w:sz w:val="24"/>
          <w:szCs w:val="24"/>
          <w:u w:val="single"/>
          <w:lang w:val="en-US" w:eastAsia="zh-CN" w:bidi="ar-SA"/>
        </w:rPr>
        <w:t xml:space="preserve"> 供应商名称 </w:t>
      </w:r>
      <w:r>
        <w:rPr>
          <w:rFonts w:hint="eastAsia" w:eastAsia="宋体" w:cs="Arial" w:asciiTheme="minorEastAsia" w:hAnsiTheme="minorEastAsia"/>
          <w:sz w:val="24"/>
          <w:szCs w:val="24"/>
          <w:lang w:val="en-US" w:eastAsia="zh-CN" w:bidi="ar-SA"/>
        </w:rPr>
        <w:t xml:space="preserve"> 的法定代表人（单位负责人）。就参加贵方招标编号为 </w:t>
      </w:r>
      <w:r>
        <w:rPr>
          <w:rFonts w:hint="eastAsia" w:eastAsia="宋体" w:cs="Arial" w:asciiTheme="minorEastAsia" w:hAnsiTheme="minorEastAsia"/>
          <w:sz w:val="24"/>
          <w:szCs w:val="24"/>
          <w:u w:val="single"/>
          <w:lang w:val="en-US" w:eastAsia="zh-CN" w:bidi="ar-SA"/>
        </w:rPr>
        <w:t xml:space="preserve"> 项目编号   </w:t>
      </w:r>
      <w:r>
        <w:rPr>
          <w:rFonts w:hint="eastAsia" w:eastAsia="宋体" w:cs="Arial" w:asciiTheme="minorEastAsia" w:hAnsiTheme="minorEastAsia"/>
          <w:sz w:val="24"/>
          <w:szCs w:val="24"/>
          <w:lang w:val="en-US" w:eastAsia="zh-CN" w:bidi="ar-SA"/>
        </w:rPr>
        <w:t>的</w:t>
      </w:r>
      <w:r>
        <w:rPr>
          <w:rFonts w:hint="eastAsia" w:eastAsia="宋体" w:cs="Arial" w:asciiTheme="minorEastAsia" w:hAnsiTheme="minorEastAsia"/>
          <w:sz w:val="24"/>
          <w:szCs w:val="24"/>
          <w:u w:val="single"/>
          <w:lang w:val="en-US" w:eastAsia="zh-CN" w:bidi="ar-SA"/>
        </w:rPr>
        <w:t xml:space="preserve">  项目名称  </w:t>
      </w:r>
      <w:r>
        <w:rPr>
          <w:rFonts w:hint="eastAsia" w:eastAsia="宋体" w:cs="Arial" w:asciiTheme="minorEastAsia" w:hAnsiTheme="minorEastAsia"/>
          <w:sz w:val="24"/>
          <w:szCs w:val="24"/>
          <w:lang w:val="en-US" w:eastAsia="zh-CN" w:bidi="ar-SA"/>
        </w:rPr>
        <w:t xml:space="preserve">  竞争性谈判项目的响应报价，签署上述项目的响应文件及合同的执行、完成、服务和保修，签署合同和处理与之有关的一切事务。</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特此证明。</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p>
    <w:p>
      <w:pPr>
        <w:pStyle w:val="46"/>
        <w:spacing w:line="480" w:lineRule="auto"/>
        <w:ind w:left="-538" w:leftChars="-256" w:firstLine="616" w:firstLineChars="257"/>
        <w:jc w:val="center"/>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【此处请粘贴法定代表人（单位负责人）身份证复印件，需清晰反映身份证有效期限】</w:t>
      </w:r>
    </w:p>
    <w:p>
      <w:pPr>
        <w:spacing w:line="480" w:lineRule="exact"/>
        <w:jc w:val="center"/>
        <w:rPr>
          <w:rFonts w:hAnsi="宋体"/>
          <w:b/>
          <w:bCs/>
          <w:color w:val="000000"/>
          <w:sz w:val="24"/>
          <w:szCs w:val="24"/>
        </w:rPr>
      </w:pPr>
    </w:p>
    <w:p>
      <w:pPr>
        <w:spacing w:line="480" w:lineRule="auto"/>
        <w:ind w:firstLine="3937" w:firstLineChars="1875"/>
        <w:rPr>
          <w:rFonts w:hint="eastAsia" w:cs="Arial" w:asciiTheme="minorEastAsia" w:hAnsiTheme="minorEastAsia" w:eastAsiaTheme="minorEastAsia"/>
          <w:color w:val="000000"/>
          <w:kern w:val="2"/>
          <w:sz w:val="21"/>
          <w:szCs w:val="21"/>
        </w:rPr>
      </w:pPr>
    </w:p>
    <w:p>
      <w:pPr>
        <w:spacing w:line="480" w:lineRule="auto"/>
        <w:ind w:firstLine="3937" w:firstLineChars="1875"/>
        <w:rPr>
          <w:rFonts w:hint="eastAsia" w:cs="Arial" w:asciiTheme="minorEastAsia" w:hAnsiTheme="minorEastAsia" w:eastAsiaTheme="minorEastAsia"/>
          <w:color w:val="000000"/>
          <w:kern w:val="2"/>
          <w:sz w:val="21"/>
          <w:szCs w:val="21"/>
        </w:rPr>
      </w:pPr>
    </w:p>
    <w:p>
      <w:pPr>
        <w:spacing w:line="480" w:lineRule="auto"/>
        <w:rPr>
          <w:rFonts w:hint="eastAsia" w:cs="Arial" w:asciiTheme="minorEastAsia" w:hAnsiTheme="minorEastAsia" w:eastAsiaTheme="minorEastAsia"/>
          <w:color w:val="000000"/>
          <w:kern w:val="2"/>
          <w:sz w:val="21"/>
          <w:szCs w:val="21"/>
        </w:rPr>
      </w:pPr>
    </w:p>
    <w:p>
      <w:pPr>
        <w:spacing w:line="480" w:lineRule="auto"/>
        <w:ind w:firstLine="3937" w:firstLineChars="1875"/>
        <w:rPr>
          <w:rFonts w:hint="eastAsia" w:cs="Arial" w:asciiTheme="minorEastAsia" w:hAnsiTheme="minorEastAsia" w:eastAsiaTheme="minorEastAsia"/>
          <w:color w:val="000000"/>
          <w:kern w:val="2"/>
          <w:sz w:val="21"/>
          <w:szCs w:val="21"/>
        </w:rPr>
      </w:pPr>
    </w:p>
    <w:p>
      <w:pPr>
        <w:adjustRightInd w:val="0"/>
        <w:spacing w:line="360" w:lineRule="auto"/>
        <w:ind w:firstLine="504" w:firstLineChars="210"/>
        <w:contextualSpacing/>
        <w:jc w:val="right"/>
        <w:rPr>
          <w:rFonts w:hint="eastAsia" w:cs="Arial" w:asciiTheme="minorEastAsia" w:hAnsiTheme="minorEastAsia"/>
          <w:sz w:val="24"/>
          <w:szCs w:val="24"/>
        </w:rPr>
      </w:pPr>
      <w:r>
        <w:rPr>
          <w:rFonts w:hint="eastAsia" w:cs="Arial" w:asciiTheme="minorEastAsia" w:hAnsiTheme="minorEastAsia"/>
          <w:sz w:val="24"/>
          <w:szCs w:val="24"/>
        </w:rPr>
        <w:t>供应商名称（并加盖公章）：</w:t>
      </w:r>
    </w:p>
    <w:p>
      <w:pPr>
        <w:adjustRightInd w:val="0"/>
        <w:spacing w:line="360" w:lineRule="auto"/>
        <w:ind w:firstLine="504" w:firstLineChars="210"/>
        <w:contextualSpacing/>
        <w:jc w:val="right"/>
        <w:rPr>
          <w:rFonts w:hint="eastAsia" w:cs="Arial" w:asciiTheme="minorEastAsia" w:hAnsiTheme="minorEastAsia"/>
          <w:sz w:val="24"/>
          <w:szCs w:val="24"/>
          <w:lang w:val="en-US" w:eastAsia="zh-CN"/>
        </w:rPr>
      </w:pPr>
      <w:r>
        <w:rPr>
          <w:rFonts w:hint="eastAsia" w:cs="Arial" w:asciiTheme="minorEastAsia" w:hAnsiTheme="minorEastAsia"/>
          <w:sz w:val="24"/>
          <w:szCs w:val="24"/>
          <w:lang w:val="en-US" w:eastAsia="zh-CN"/>
        </w:rPr>
        <w:t>签署日期：   年   月  日</w:t>
      </w:r>
    </w:p>
    <w:p>
      <w:pPr>
        <w:widowControl w:val="0"/>
        <w:spacing w:line="480" w:lineRule="auto"/>
        <w:jc w:val="both"/>
        <w:rPr>
          <w:rFonts w:cs="Arial" w:asciiTheme="minorEastAsia" w:hAnsiTheme="minorEastAsia" w:eastAsiaTheme="minorEastAsia"/>
          <w:color w:val="000000"/>
          <w:kern w:val="2"/>
          <w:sz w:val="21"/>
          <w:szCs w:val="21"/>
          <w:lang w:val="en-US" w:eastAsia="zh-CN" w:bidi="ar-SA"/>
        </w:rPr>
      </w:pPr>
    </w:p>
    <w:p>
      <w:pPr>
        <w:rPr>
          <w:rFonts w:asciiTheme="minorHAnsi" w:hAnsiTheme="minorHAnsi" w:eastAsiaTheme="minorEastAsia" w:cstheme="minorBidi"/>
          <w:kern w:val="2"/>
          <w:sz w:val="21"/>
          <w:szCs w:val="21"/>
        </w:rPr>
      </w:pPr>
    </w:p>
    <w:p>
      <w:pPr>
        <w:adjustRightInd w:val="0"/>
        <w:spacing w:line="360" w:lineRule="auto"/>
        <w:contextualSpacing/>
        <w:rPr>
          <w:rFonts w:hint="eastAsia" w:cs="Arial" w:asciiTheme="minorEastAsia" w:hAnsiTheme="minorEastAsia"/>
          <w:sz w:val="24"/>
          <w:szCs w:val="24"/>
        </w:rPr>
      </w:pPr>
      <w:r>
        <w:rPr>
          <w:rFonts w:hint="eastAsia" w:cs="Arial" w:asciiTheme="minorEastAsia" w:hAnsiTheme="minorEastAsia"/>
          <w:sz w:val="24"/>
          <w:szCs w:val="24"/>
        </w:rPr>
        <w:t>说明：法定代表人（单位负责人）参加本竞争性谈判项目响应的，仅须出具此证明书。</w:t>
      </w: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Style w:val="25"/>
          <w:rFonts w:hint="eastAsia"/>
          <w:color w:val="333333"/>
          <w:spacing w:val="8"/>
          <w:sz w:val="28"/>
          <w:szCs w:val="28"/>
          <w:shd w:val="clear" w:color="auto" w:fill="FFFFFF"/>
        </w:rPr>
      </w:pPr>
    </w:p>
    <w:p>
      <w:pPr>
        <w:pStyle w:val="2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ascii="微软雅黑" w:hAnsi="微软雅黑" w:eastAsia="微软雅黑" w:cs="微软雅黑"/>
          <w:color w:val="333333"/>
          <w:spacing w:val="8"/>
          <w:sz w:val="28"/>
          <w:szCs w:val="28"/>
        </w:rPr>
      </w:pPr>
      <w:r>
        <w:rPr>
          <w:rStyle w:val="25"/>
          <w:rFonts w:hint="eastAsia"/>
          <w:color w:val="333333"/>
          <w:spacing w:val="8"/>
          <w:sz w:val="28"/>
          <w:szCs w:val="28"/>
          <w:shd w:val="clear" w:color="auto" w:fill="FFFFFF"/>
        </w:rPr>
        <w:t>3.5投标承诺函</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本企业郑重承诺：</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一、将遵循公开、公平、公正和诚实信用的原则参加</w:t>
      </w:r>
      <w:r>
        <w:rPr>
          <w:rFonts w:hint="eastAsia" w:asciiTheme="minorEastAsia" w:hAnsiTheme="minorEastAsia" w:eastAsiaTheme="minorEastAsia" w:cstheme="minorEastAsia"/>
          <w:color w:val="000000"/>
          <w:u w:val="single"/>
          <w:shd w:val="clear" w:color="auto" w:fill="FFFFFF"/>
        </w:rPr>
        <w:t xml:space="preserve">      </w:t>
      </w:r>
      <w:r>
        <w:rPr>
          <w:rFonts w:hint="eastAsia" w:asciiTheme="minorEastAsia" w:hAnsiTheme="minorEastAsia" w:eastAsiaTheme="minorEastAsia" w:cstheme="minorEastAsia"/>
          <w:u w:val="single"/>
          <w:shd w:val="clear" w:color="auto" w:fill="FFFFFF"/>
        </w:rPr>
        <w:t xml:space="preserve">  (具体政府采购项目名称）</w:t>
      </w:r>
      <w:r>
        <w:rPr>
          <w:rFonts w:hint="eastAsia" w:asciiTheme="minorEastAsia" w:hAnsiTheme="minorEastAsia" w:eastAsiaTheme="minorEastAsia" w:cstheme="minorEastAsia"/>
          <w:color w:val="000000"/>
          <w:shd w:val="clear" w:color="auto" w:fill="FFFFFF"/>
        </w:rPr>
        <w:t>的投标;</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二、本次投标所提供的一切材料都是真实、有效、合法的; </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三、不与其他供应商相互串通投标报价，不排挤其他供应商的公平竞争，不损害采购人或其他供应商的合法权益;</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四、不与采购人或采购代理机构串通投标，不损害国家利益、社会公共利益或者他人的合法权益;</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评标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中标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六、不以他人名义投标或者以其他方式弄虚作假，骗取中标;</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七、不扰乱长葛市政府采购市场秩序;</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开标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后进行虚假恶意投诉;</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招标文件</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规定不予转包、分包的项目转包、分包于他人。</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360" w:lineRule="auto"/>
        <w:ind w:firstLine="4080" w:firstLineChars="17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法定代表人或者被委托人（签字)：</w:t>
      </w:r>
    </w:p>
    <w:p>
      <w:pPr>
        <w:pStyle w:val="22"/>
        <w:keepNext w:val="0"/>
        <w:keepLines w:val="0"/>
        <w:pageBreakBefore w:val="0"/>
        <w:widowControl w:val="0"/>
        <w:shd w:val="clear" w:color="auto" w:fill="FFFFFF"/>
        <w:kinsoku/>
        <w:wordWrap/>
        <w:overflowPunct/>
        <w:topLinePunct w:val="0"/>
        <w:autoSpaceDE/>
        <w:autoSpaceDN/>
        <w:bidi w:val="0"/>
        <w:adjustRightInd/>
        <w:snapToGrid/>
        <w:spacing w:after="300" w:line="360" w:lineRule="auto"/>
        <w:ind w:firstLine="4080" w:firstLineChars="17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投标商名称(盖章)：</w:t>
      </w:r>
    </w:p>
    <w:p>
      <w:pPr>
        <w:pStyle w:val="22"/>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eastAsia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br w:type="page"/>
      </w:r>
      <w:r>
        <w:rPr>
          <w:rFonts w:hint="eastAsia" w:hAnsi="宋体"/>
          <w:b/>
          <w:bCs/>
          <w:color w:val="000000"/>
          <w:sz w:val="28"/>
          <w:szCs w:val="28"/>
        </w:rPr>
        <w:t>3.6供应商自觉抵制政府采购领域商业贿赂行为承诺书</w:t>
      </w:r>
    </w:p>
    <w:p>
      <w:pPr>
        <w:spacing w:afterLines="50" w:line="320" w:lineRule="exact"/>
        <w:rPr>
          <w:rFonts w:hAnsi="宋体"/>
          <w:b/>
          <w:bCs/>
          <w:color w:val="000000"/>
          <w:sz w:val="24"/>
        </w:rPr>
      </w:pPr>
      <w:r>
        <w:rPr>
          <w:rFonts w:hint="eastAsia" w:hAnsi="宋体"/>
          <w:b/>
          <w:color w:val="000000"/>
          <w:sz w:val="24"/>
        </w:rPr>
        <w:t>致</w:t>
      </w:r>
      <w:r>
        <w:rPr>
          <w:rFonts w:hint="eastAsia" w:hAnsi="宋体"/>
          <w:b/>
          <w:color w:val="000000"/>
          <w:sz w:val="24"/>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9"/>
        <w:spacing w:before="60"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供应商法定代表人或法定代表人授权代表签字或盖章：</w:t>
      </w:r>
    </w:p>
    <w:p>
      <w:pPr>
        <w:pStyle w:val="9"/>
        <w:spacing w:before="60"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left"/>
        <w:outlineLvl w:val="0"/>
        <w:rPr>
          <w:rFonts w:hint="eastAsia" w:ascii="宋体" w:hAnsi="宋体"/>
          <w:b/>
          <w:bCs/>
          <w:color w:val="000000"/>
          <w:sz w:val="24"/>
          <w:szCs w:val="24"/>
        </w:rPr>
      </w:pPr>
      <w:r>
        <w:rPr>
          <w:rFonts w:hint="eastAsia" w:ascii="宋体" w:hAnsi="宋体"/>
          <w:b/>
          <w:bCs/>
          <w:color w:val="000000"/>
          <w:sz w:val="24"/>
          <w:szCs w:val="24"/>
        </w:rPr>
        <w:t>项目编号：</w:t>
      </w:r>
    </w:p>
    <w:p>
      <w:pPr>
        <w:autoSpaceDE w:val="0"/>
        <w:autoSpaceDN w:val="0"/>
        <w:adjustRightInd w:val="0"/>
        <w:spacing w:line="360" w:lineRule="auto"/>
        <w:jc w:val="left"/>
        <w:outlineLvl w:val="0"/>
        <w:rPr>
          <w:rFonts w:hAnsi="宋体" w:eastAsia="宋体"/>
          <w:b/>
          <w:snapToGrid w:val="0"/>
          <w:kern w:val="0"/>
          <w:szCs w:val="21"/>
        </w:rPr>
      </w:pPr>
      <w:r>
        <w:rPr>
          <w:rFonts w:hint="eastAsia" w:ascii="宋体" w:hAnsi="宋体"/>
          <w:b/>
          <w:bCs/>
          <w:color w:val="000000"/>
          <w:sz w:val="24"/>
          <w:szCs w:val="24"/>
        </w:rPr>
        <w:t xml:space="preserve">项目名称： </w:t>
      </w:r>
      <w:r>
        <w:rPr>
          <w:rFonts w:hint="eastAsia" w:asciiTheme="minorEastAsia" w:hAnsiTheme="minorEastAsia"/>
          <w:color w:val="000000"/>
          <w:szCs w:val="21"/>
        </w:rPr>
        <w:t xml:space="preserve">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名 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技术</w:t>
            </w:r>
          </w:p>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单 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数 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产地及</w:t>
            </w:r>
          </w:p>
          <w:p>
            <w:pPr>
              <w:autoSpaceDE w:val="0"/>
              <w:autoSpaceDN w:val="0"/>
              <w:adjustRightInd w:val="0"/>
              <w:spacing w:line="360" w:lineRule="auto"/>
              <w:ind w:left="120" w:hanging="120"/>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厂家</w:t>
            </w:r>
          </w:p>
        </w:tc>
      </w:tr>
      <w:tr>
        <w:tblPrEx>
          <w:tblLayout w:type="fixed"/>
          <w:tblCellMar>
            <w:top w:w="0" w:type="dxa"/>
            <w:left w:w="108" w:type="dxa"/>
            <w:bottom w:w="0" w:type="dxa"/>
            <w:right w:w="108" w:type="dxa"/>
          </w:tblCellMar>
        </w:tblPrEx>
        <w:trPr>
          <w:trHeight w:val="436"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353"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hint="eastAsia" w:ascii="宋体" w:hAnsi="宋体"/>
                <w:b w:val="0"/>
                <w:bCs w:val="0"/>
                <w:color w:val="000000"/>
                <w:sz w:val="24"/>
                <w:szCs w:val="24"/>
              </w:rPr>
            </w:pPr>
            <w:r>
              <w:rPr>
                <w:rFonts w:hint="eastAsia" w:ascii="宋体" w:hAnsi="宋体"/>
                <w:b w:val="0"/>
                <w:bCs w:val="0"/>
                <w:color w:val="000000"/>
                <w:sz w:val="24"/>
                <w:szCs w:val="24"/>
                <w:lang w:val="zh-CN"/>
              </w:rPr>
              <w:t>合</w:t>
            </w:r>
            <w:r>
              <w:rPr>
                <w:rFonts w:hint="eastAsia" w:ascii="宋体" w:hAnsi="宋体"/>
                <w:b w:val="0"/>
                <w:bCs w:val="0"/>
                <w:color w:val="000000"/>
                <w:sz w:val="24"/>
                <w:szCs w:val="24"/>
              </w:rPr>
              <w:t xml:space="preserve">  </w:t>
            </w:r>
            <w:r>
              <w:rPr>
                <w:rFonts w:hint="eastAsia" w:ascii="宋体" w:hAnsi="宋体"/>
                <w:b w:val="0"/>
                <w:bCs w:val="0"/>
                <w:color w:val="000000"/>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大写：　　　　　　</w:t>
            </w:r>
            <w:r>
              <w:rPr>
                <w:rFonts w:hint="eastAsia" w:ascii="宋体" w:hAnsi="宋体"/>
                <w:b w:val="0"/>
                <w:bCs w:val="0"/>
                <w:color w:val="000000"/>
                <w:sz w:val="24"/>
                <w:szCs w:val="24"/>
              </w:rPr>
              <w:t xml:space="preserve">              </w:t>
            </w:r>
            <w:r>
              <w:rPr>
                <w:rFonts w:hint="eastAsia" w:ascii="宋体" w:hAnsi="宋体"/>
                <w:b w:val="0"/>
                <w:bCs w:val="0"/>
                <w:color w:val="000000"/>
                <w:sz w:val="24"/>
                <w:szCs w:val="24"/>
                <w:lang w:val="zh-CN"/>
              </w:rPr>
              <w:t>小写：</w:t>
            </w:r>
          </w:p>
        </w:tc>
      </w:tr>
    </w:tbl>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供应商（公章）：</w:t>
      </w:r>
    </w:p>
    <w:p>
      <w:pPr>
        <w:autoSpaceDE w:val="0"/>
        <w:autoSpaceDN w:val="0"/>
        <w:adjustRightInd w:val="0"/>
        <w:spacing w:line="360" w:lineRule="auto"/>
        <w:jc w:val="left"/>
        <w:outlineLvl w:val="0"/>
        <w:rPr>
          <w:rFonts w:cs="宋体" w:asciiTheme="minorEastAsia" w:hAnsiTheme="minorEastAsia"/>
          <w:szCs w:val="21"/>
          <w:lang w:val="zh-CN"/>
        </w:rPr>
      </w:pPr>
      <w:r>
        <w:rPr>
          <w:rFonts w:hint="eastAsia" w:ascii="宋体" w:hAnsi="宋体"/>
          <w:b w:val="0"/>
          <w:bCs w:val="0"/>
          <w:color w:val="000000"/>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0"/>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0"/>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kern w:val="2"/>
                <w:sz w:val="21"/>
                <w:szCs w:val="21"/>
                <w:lang w:val="en-US" w:eastAsia="zh-CN" w:bidi="ar-SA"/>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0"/>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686"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7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供应商（公章）：</w:t>
      </w:r>
    </w:p>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 xml:space="preserve">供应商法定代表人（单位负责人）或授权代表签字： </w:t>
      </w: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w:t>
      </w:r>
      <w:r>
        <w:rPr>
          <w:rFonts w:hint="eastAsia" w:hAnsi="宋体"/>
          <w:b/>
          <w:bCs/>
          <w:color w:val="000000"/>
          <w:sz w:val="28"/>
          <w:szCs w:val="28"/>
          <w:lang w:val="en-US" w:eastAsia="zh-CN"/>
        </w:rPr>
        <w:t>3</w:t>
      </w:r>
      <w:r>
        <w:rPr>
          <w:rFonts w:hint="eastAsia" w:hAnsi="宋体"/>
          <w:b/>
          <w:bCs/>
          <w:color w:val="000000"/>
          <w:sz w:val="28"/>
          <w:szCs w:val="28"/>
          <w:lang w:eastAsia="zh-CN"/>
        </w:rPr>
        <w:t>技术</w:t>
      </w:r>
      <w:r>
        <w:rPr>
          <w:rFonts w:hint="eastAsia" w:hAnsi="宋体"/>
          <w:b/>
          <w:bCs/>
          <w:color w:val="000000"/>
          <w:sz w:val="28"/>
          <w:szCs w:val="28"/>
        </w:rPr>
        <w:t>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（投标人根据谈判文件要求自行编制）</w:t>
      </w:r>
    </w:p>
    <w:p>
      <w:pPr>
        <w:autoSpaceDE w:val="0"/>
        <w:autoSpaceDN w:val="0"/>
        <w:adjustRightInd w:val="0"/>
        <w:spacing w:line="360" w:lineRule="auto"/>
        <w:jc w:val="both"/>
        <w:outlineLvl w:val="0"/>
        <w:rPr>
          <w:rFonts w:hAnsi="宋体"/>
          <w:b/>
          <w:bCs/>
          <w:color w:val="000000"/>
          <w:sz w:val="24"/>
          <w:szCs w:val="24"/>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4</w:t>
      </w:r>
      <w:r>
        <w:rPr>
          <w:rFonts w:hint="eastAsia" w:hAnsi="宋体"/>
          <w:b/>
          <w:bCs/>
          <w:color w:val="000000"/>
          <w:sz w:val="28"/>
          <w:szCs w:val="28"/>
        </w:rPr>
        <w:t>业绩情况表</w:t>
      </w:r>
    </w:p>
    <w:p>
      <w:pPr>
        <w:autoSpaceDE w:val="0"/>
        <w:autoSpaceDN w:val="0"/>
        <w:adjustRightInd w:val="0"/>
        <w:spacing w:line="360" w:lineRule="auto"/>
        <w:jc w:val="center"/>
        <w:outlineLvl w:val="0"/>
        <w:rPr>
          <w:rFonts w:hAnsi="宋体"/>
          <w:b/>
          <w:bCs/>
          <w:color w:val="000000"/>
          <w:sz w:val="22"/>
          <w:szCs w:val="28"/>
        </w:rPr>
      </w:pPr>
    </w:p>
    <w:p>
      <w:pPr>
        <w:spacing w:before="50"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r>
        <w:rPr>
          <w:rFonts w:hint="eastAsia" w:asciiTheme="minorEastAsia" w:hAnsiTheme="minorEastAsia"/>
          <w:color w:val="000000"/>
          <w:szCs w:val="21"/>
        </w:rPr>
        <w:t xml:space="preserve">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0"/>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（投标人根据谈判文件要求自行编制）</w:t>
      </w:r>
    </w:p>
    <w:p>
      <w:pPr>
        <w:autoSpaceDE w:val="0"/>
        <w:autoSpaceDN w:val="0"/>
        <w:adjustRightInd w:val="0"/>
        <w:spacing w:line="360" w:lineRule="auto"/>
        <w:jc w:val="center"/>
        <w:rPr>
          <w:rFonts w:hint="eastAsia" w:cs="宋体" w:asciiTheme="minorEastAsia" w:hAnsiTheme="minorEastAsia"/>
          <w:sz w:val="28"/>
          <w:szCs w:val="28"/>
          <w:lang w:val="zh-CN"/>
        </w:rPr>
      </w:pPr>
    </w:p>
    <w:p>
      <w:pPr>
        <w:autoSpaceDE w:val="0"/>
        <w:autoSpaceDN w:val="0"/>
        <w:adjustRightInd w:val="0"/>
        <w:spacing w:line="360" w:lineRule="auto"/>
        <w:jc w:val="center"/>
        <w:rPr>
          <w:rFonts w:hint="eastAsia" w:cs="宋体" w:asciiTheme="minorEastAsia" w:hAnsiTheme="minorEastAsia"/>
          <w:sz w:val="28"/>
          <w:szCs w:val="28"/>
          <w:lang w:val="zh-CN"/>
        </w:rPr>
      </w:pPr>
    </w:p>
    <w:p>
      <w:pPr>
        <w:autoSpaceDE w:val="0"/>
        <w:autoSpaceDN w:val="0"/>
        <w:adjustRightInd w:val="0"/>
        <w:spacing w:line="360" w:lineRule="auto"/>
        <w:jc w:val="center"/>
        <w:rPr>
          <w:rFonts w:hint="eastAsia" w:cs="宋体" w:asciiTheme="minorEastAsia" w:hAnsiTheme="minorEastAsia"/>
          <w:sz w:val="28"/>
          <w:szCs w:val="28"/>
          <w:lang w:val="zh-CN"/>
        </w:rPr>
      </w:pPr>
    </w:p>
    <w:p>
      <w:pPr>
        <w:autoSpaceDE w:val="0"/>
        <w:autoSpaceDN w:val="0"/>
        <w:adjustRightInd w:val="0"/>
        <w:spacing w:line="360" w:lineRule="auto"/>
        <w:jc w:val="center"/>
        <w:rPr>
          <w:rFonts w:hAnsi="宋体"/>
          <w:b/>
          <w:bCs/>
          <w:color w:val="000000"/>
          <w:sz w:val="28"/>
          <w:szCs w:val="28"/>
        </w:rPr>
      </w:pPr>
      <w:r>
        <w:rPr>
          <w:rFonts w:hint="eastAsia" w:hAnsi="宋体"/>
          <w:b/>
          <w:bCs/>
          <w:color w:val="000000"/>
          <w:sz w:val="28"/>
          <w:szCs w:val="28"/>
          <w:lang w:val="en-US" w:eastAsia="zh-CN"/>
        </w:rPr>
        <w:t>4</w:t>
      </w:r>
      <w:r>
        <w:rPr>
          <w:rFonts w:hint="eastAsia" w:hAnsi="宋体"/>
          <w:b/>
          <w:bCs/>
          <w:color w:val="000000"/>
          <w:sz w:val="28"/>
          <w:szCs w:val="28"/>
        </w:rPr>
        <w:t>.</w:t>
      </w:r>
      <w:r>
        <w:rPr>
          <w:rFonts w:hint="eastAsia" w:hAnsi="宋体"/>
          <w:b/>
          <w:bCs/>
          <w:color w:val="000000"/>
          <w:sz w:val="28"/>
          <w:szCs w:val="28"/>
          <w:lang w:val="en-US" w:eastAsia="zh-CN"/>
        </w:rPr>
        <w:t>6</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2425"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7</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r>
        <w:rPr>
          <w:rFonts w:hint="eastAsia" w:hAnsi="宋体"/>
          <w:b/>
          <w:bCs/>
          <w:color w:val="000000"/>
          <w:sz w:val="30"/>
          <w:szCs w:val="30"/>
        </w:rPr>
        <w:t xml:space="preserve">4.8 所投产品符合国家强制性要求承诺函 </w:t>
      </w:r>
    </w:p>
    <w:p/>
    <w:p>
      <w:pPr>
        <w:spacing w:line="360" w:lineRule="auto"/>
        <w:ind w:firstLine="480" w:firstLineChars="200"/>
        <w:jc w:val="center"/>
        <w:rPr>
          <w:rFonts w:hint="eastAsia" w:hAnsi="宋体"/>
          <w:sz w:val="24"/>
          <w:szCs w:val="28"/>
        </w:rPr>
      </w:pPr>
      <w:r>
        <w:rPr>
          <w:rFonts w:hint="eastAsia" w:hAnsi="宋体"/>
          <w:sz w:val="24"/>
          <w:szCs w:val="28"/>
          <w:lang w:eastAsia="zh-CN"/>
        </w:rPr>
        <w:t>投标人</w:t>
      </w:r>
      <w:r>
        <w:rPr>
          <w:rFonts w:hint="eastAsia" w:hAnsi="宋体"/>
          <w:sz w:val="24"/>
          <w:szCs w:val="28"/>
        </w:rPr>
        <w:t>所投产品涉及国家有属强制性规定的，须承诺其所投产品符合国家强制性要求（如CCC认证，格式自拟）</w:t>
      </w:r>
    </w:p>
    <w:p/>
    <w:p/>
    <w:p/>
    <w:p/>
    <w:p/>
    <w:p>
      <w:pPr>
        <w:autoSpaceDE w:val="0"/>
        <w:autoSpaceDN w:val="0"/>
        <w:adjustRightInd w:val="0"/>
        <w:spacing w:line="360" w:lineRule="auto"/>
        <w:jc w:val="center"/>
        <w:outlineLvl w:val="0"/>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p/>
    <w:sectPr>
      <w:pgSz w:w="11906" w:h="16838"/>
      <w:pgMar w:top="2098" w:right="1474" w:bottom="1928"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pXHEcAgAAIg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PaVxxHAIAACIEAAAO&#10;AAAAAAAAAAEAIAAAAB8BAABkcnMvZTJvRG9jLnhtbFBLBQYAAAAABgAGAFkBAACt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5"/>
      <w:suff w:val="nothing"/>
      <w:lvlText w:val="第%1部分"/>
      <w:lvlJc w:val="center"/>
      <w:pPr>
        <w:ind w:left="-288" w:firstLine="288"/>
      </w:pPr>
      <w:rPr>
        <w:rFonts w:hint="eastAsia"/>
        <w:sz w:val="28"/>
        <w:szCs w:val="28"/>
      </w:rPr>
    </w:lvl>
    <w:lvl w:ilvl="1" w:tentative="0">
      <w:start w:val="1"/>
      <w:numFmt w:val="chineseCountingThousand"/>
      <w:pStyle w:val="6"/>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8"/>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4"/>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9"/>
  </w:num>
  <w:num w:numId="5">
    <w:abstractNumId w:val="14"/>
  </w:num>
  <w:num w:numId="6">
    <w:abstractNumId w:val="11"/>
  </w:num>
  <w:num w:numId="7">
    <w:abstractNumId w:val="7"/>
  </w:num>
  <w:num w:numId="8">
    <w:abstractNumId w:val="2"/>
  </w:num>
  <w:num w:numId="9">
    <w:abstractNumId w:val="8"/>
  </w:num>
  <w:num w:numId="10">
    <w:abstractNumId w:val="10"/>
  </w:num>
  <w:num w:numId="11">
    <w:abstractNumId w:val="16"/>
  </w:num>
  <w:num w:numId="12">
    <w:abstractNumId w:val="6"/>
  </w:num>
  <w:num w:numId="13">
    <w:abstractNumId w:val="3"/>
  </w:num>
  <w:num w:numId="14">
    <w:abstractNumId w:val="12"/>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hideSpellingErrors/>
  <w:documentProtection w:enforcement="0"/>
  <w:defaultTabStop w:val="420"/>
  <w:drawingGridHorizontalSpacing w:val="105"/>
  <w:drawingGridVerticalSpacing w:val="158"/>
  <w:displayVerticalDrawingGridEvery w:val="2"/>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BA2"/>
    <w:rsid w:val="00043FBC"/>
    <w:rsid w:val="000463C9"/>
    <w:rsid w:val="00047B44"/>
    <w:rsid w:val="00052D94"/>
    <w:rsid w:val="000530F0"/>
    <w:rsid w:val="000609FD"/>
    <w:rsid w:val="00061CC7"/>
    <w:rsid w:val="00063640"/>
    <w:rsid w:val="0007075F"/>
    <w:rsid w:val="00073DCF"/>
    <w:rsid w:val="00075875"/>
    <w:rsid w:val="00075CB1"/>
    <w:rsid w:val="000763D3"/>
    <w:rsid w:val="00077FF3"/>
    <w:rsid w:val="0008053A"/>
    <w:rsid w:val="00081733"/>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4196"/>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A7220"/>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728"/>
    <w:rsid w:val="00217EDF"/>
    <w:rsid w:val="002232E0"/>
    <w:rsid w:val="002237C7"/>
    <w:rsid w:val="00223E42"/>
    <w:rsid w:val="002274E5"/>
    <w:rsid w:val="0023037F"/>
    <w:rsid w:val="00233C86"/>
    <w:rsid w:val="00233CCF"/>
    <w:rsid w:val="00235E0B"/>
    <w:rsid w:val="00237179"/>
    <w:rsid w:val="00237336"/>
    <w:rsid w:val="00241A73"/>
    <w:rsid w:val="00243B01"/>
    <w:rsid w:val="00245322"/>
    <w:rsid w:val="00246580"/>
    <w:rsid w:val="00247570"/>
    <w:rsid w:val="00247938"/>
    <w:rsid w:val="0025018F"/>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5046"/>
    <w:rsid w:val="002C78F6"/>
    <w:rsid w:val="002D0D13"/>
    <w:rsid w:val="002D11F7"/>
    <w:rsid w:val="002D6B1C"/>
    <w:rsid w:val="002E1FAE"/>
    <w:rsid w:val="002E3055"/>
    <w:rsid w:val="002E60F6"/>
    <w:rsid w:val="002E66EB"/>
    <w:rsid w:val="002E744B"/>
    <w:rsid w:val="002E777E"/>
    <w:rsid w:val="002E7B60"/>
    <w:rsid w:val="002F06BA"/>
    <w:rsid w:val="002F7C32"/>
    <w:rsid w:val="00300CAD"/>
    <w:rsid w:val="00302A87"/>
    <w:rsid w:val="0030425C"/>
    <w:rsid w:val="00304C45"/>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0353"/>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5F"/>
    <w:rsid w:val="003F635C"/>
    <w:rsid w:val="003F758F"/>
    <w:rsid w:val="003F7D93"/>
    <w:rsid w:val="00400336"/>
    <w:rsid w:val="00401875"/>
    <w:rsid w:val="00402250"/>
    <w:rsid w:val="00402428"/>
    <w:rsid w:val="004037DB"/>
    <w:rsid w:val="00403A82"/>
    <w:rsid w:val="004040EC"/>
    <w:rsid w:val="00405309"/>
    <w:rsid w:val="00405C0B"/>
    <w:rsid w:val="00410A25"/>
    <w:rsid w:val="004117D0"/>
    <w:rsid w:val="00411D64"/>
    <w:rsid w:val="004127E5"/>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57161"/>
    <w:rsid w:val="00460FA6"/>
    <w:rsid w:val="00461772"/>
    <w:rsid w:val="0046214B"/>
    <w:rsid w:val="0046220D"/>
    <w:rsid w:val="004661DD"/>
    <w:rsid w:val="004661DE"/>
    <w:rsid w:val="00467546"/>
    <w:rsid w:val="004675C8"/>
    <w:rsid w:val="004676F5"/>
    <w:rsid w:val="004713E9"/>
    <w:rsid w:val="00472D4C"/>
    <w:rsid w:val="00474781"/>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4A63"/>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57FE7"/>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17D"/>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A0545"/>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B788A"/>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5905"/>
    <w:rsid w:val="009462A9"/>
    <w:rsid w:val="009471BE"/>
    <w:rsid w:val="00947FB1"/>
    <w:rsid w:val="00950BCD"/>
    <w:rsid w:val="0095149E"/>
    <w:rsid w:val="00951507"/>
    <w:rsid w:val="00951A0E"/>
    <w:rsid w:val="00951B79"/>
    <w:rsid w:val="00951C8E"/>
    <w:rsid w:val="0095351D"/>
    <w:rsid w:val="009574C6"/>
    <w:rsid w:val="00960DEF"/>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00A5"/>
    <w:rsid w:val="009B3ABA"/>
    <w:rsid w:val="009B3B64"/>
    <w:rsid w:val="009B4ECF"/>
    <w:rsid w:val="009B773A"/>
    <w:rsid w:val="009C12AB"/>
    <w:rsid w:val="009C35AA"/>
    <w:rsid w:val="009C46D1"/>
    <w:rsid w:val="009C5462"/>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B"/>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AF53C4"/>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76151"/>
    <w:rsid w:val="00B80243"/>
    <w:rsid w:val="00B80297"/>
    <w:rsid w:val="00B80C52"/>
    <w:rsid w:val="00B8323E"/>
    <w:rsid w:val="00B902ED"/>
    <w:rsid w:val="00B90F7B"/>
    <w:rsid w:val="00B91885"/>
    <w:rsid w:val="00B91BF4"/>
    <w:rsid w:val="00B93C91"/>
    <w:rsid w:val="00B95A20"/>
    <w:rsid w:val="00BA437B"/>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78A"/>
    <w:rsid w:val="00BD0FE7"/>
    <w:rsid w:val="00BD2BC9"/>
    <w:rsid w:val="00BD3AFF"/>
    <w:rsid w:val="00BD5A0D"/>
    <w:rsid w:val="00BF1DA5"/>
    <w:rsid w:val="00BF21E1"/>
    <w:rsid w:val="00C00EB4"/>
    <w:rsid w:val="00C02C34"/>
    <w:rsid w:val="00C02DE2"/>
    <w:rsid w:val="00C06F9E"/>
    <w:rsid w:val="00C07CED"/>
    <w:rsid w:val="00C106C1"/>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CF7EE5"/>
    <w:rsid w:val="00D00A03"/>
    <w:rsid w:val="00D03037"/>
    <w:rsid w:val="00D0553A"/>
    <w:rsid w:val="00D05D6B"/>
    <w:rsid w:val="00D10F92"/>
    <w:rsid w:val="00D11037"/>
    <w:rsid w:val="00D13A85"/>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381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0CB8"/>
    <w:rsid w:val="00EA1C6E"/>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2BD"/>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E6C8F"/>
    <w:rsid w:val="00FF0578"/>
    <w:rsid w:val="00FF1858"/>
    <w:rsid w:val="00FF33EB"/>
    <w:rsid w:val="00FF3F01"/>
    <w:rsid w:val="00FF3F49"/>
    <w:rsid w:val="00FF4EA4"/>
    <w:rsid w:val="00FF4F57"/>
    <w:rsid w:val="053F5432"/>
    <w:rsid w:val="064E7C45"/>
    <w:rsid w:val="068C29C2"/>
    <w:rsid w:val="0C4C440E"/>
    <w:rsid w:val="0CAE7D79"/>
    <w:rsid w:val="0F492F98"/>
    <w:rsid w:val="0F677D13"/>
    <w:rsid w:val="100B4F00"/>
    <w:rsid w:val="14214638"/>
    <w:rsid w:val="149819C8"/>
    <w:rsid w:val="15EE44D7"/>
    <w:rsid w:val="165D1206"/>
    <w:rsid w:val="17C465B2"/>
    <w:rsid w:val="18B53C8C"/>
    <w:rsid w:val="197B011F"/>
    <w:rsid w:val="1BC27E34"/>
    <w:rsid w:val="1C317F37"/>
    <w:rsid w:val="1C527EEE"/>
    <w:rsid w:val="1D90357B"/>
    <w:rsid w:val="21DF17AC"/>
    <w:rsid w:val="22B643D4"/>
    <w:rsid w:val="24623D27"/>
    <w:rsid w:val="249B36D6"/>
    <w:rsid w:val="25720679"/>
    <w:rsid w:val="27B5253B"/>
    <w:rsid w:val="2C2E4C48"/>
    <w:rsid w:val="2D5F028F"/>
    <w:rsid w:val="2F45482D"/>
    <w:rsid w:val="2F477084"/>
    <w:rsid w:val="305F0D15"/>
    <w:rsid w:val="307D673F"/>
    <w:rsid w:val="32B20743"/>
    <w:rsid w:val="35306958"/>
    <w:rsid w:val="38AB16CB"/>
    <w:rsid w:val="391E6950"/>
    <w:rsid w:val="39E05D7B"/>
    <w:rsid w:val="3A1A525E"/>
    <w:rsid w:val="3B380893"/>
    <w:rsid w:val="3C3E026E"/>
    <w:rsid w:val="3D96637E"/>
    <w:rsid w:val="3E29271C"/>
    <w:rsid w:val="46366161"/>
    <w:rsid w:val="46E35449"/>
    <w:rsid w:val="473960E8"/>
    <w:rsid w:val="485128BA"/>
    <w:rsid w:val="49574371"/>
    <w:rsid w:val="4AC165A6"/>
    <w:rsid w:val="4C34440F"/>
    <w:rsid w:val="4D005CCE"/>
    <w:rsid w:val="4E257DD3"/>
    <w:rsid w:val="505F0174"/>
    <w:rsid w:val="51352836"/>
    <w:rsid w:val="532131F9"/>
    <w:rsid w:val="53A50606"/>
    <w:rsid w:val="544C0545"/>
    <w:rsid w:val="554F5ABD"/>
    <w:rsid w:val="55ED30FE"/>
    <w:rsid w:val="58A31F4C"/>
    <w:rsid w:val="5C2D6D3E"/>
    <w:rsid w:val="5CB139A0"/>
    <w:rsid w:val="5EBE525A"/>
    <w:rsid w:val="61406C3F"/>
    <w:rsid w:val="614E3A65"/>
    <w:rsid w:val="62D51BED"/>
    <w:rsid w:val="639D5E30"/>
    <w:rsid w:val="64C604E2"/>
    <w:rsid w:val="671C2C4C"/>
    <w:rsid w:val="67341FB4"/>
    <w:rsid w:val="69AA160B"/>
    <w:rsid w:val="69FB4D8B"/>
    <w:rsid w:val="6A5B6889"/>
    <w:rsid w:val="6D32159C"/>
    <w:rsid w:val="6EC0117B"/>
    <w:rsid w:val="700F1F61"/>
    <w:rsid w:val="708B486A"/>
    <w:rsid w:val="7388770F"/>
    <w:rsid w:val="755E1E93"/>
    <w:rsid w:val="75AB4839"/>
    <w:rsid w:val="767C5E46"/>
    <w:rsid w:val="769C6D41"/>
    <w:rsid w:val="76B625A7"/>
    <w:rsid w:val="77147EDF"/>
    <w:rsid w:val="779A0246"/>
    <w:rsid w:val="78AF68A0"/>
    <w:rsid w:val="78DF7F48"/>
    <w:rsid w:val="7D201A1D"/>
    <w:rsid w:val="7D9B16B2"/>
    <w:rsid w:val="7DC52B1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6">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7">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8">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0"/>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34"/>
    <w:semiHidden/>
    <w:unhideWhenUsed/>
    <w:qFormat/>
    <w:uiPriority w:val="99"/>
    <w:pPr>
      <w:spacing w:after="120"/>
    </w:pPr>
  </w:style>
  <w:style w:type="paragraph" w:styleId="4">
    <w:name w:val="Body Text 2"/>
    <w:basedOn w:val="1"/>
    <w:qFormat/>
    <w:uiPriority w:val="0"/>
    <w:pPr>
      <w:spacing w:after="120" w:afterLines="0" w:line="480" w:lineRule="auto"/>
    </w:pPr>
    <w:rPr>
      <w:rFonts w:ascii="Times New Roman" w:hAnsi="Times New Roman" w:eastAsia="宋体" w:cs="Times New Roman"/>
    </w:r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Body Text 3"/>
    <w:basedOn w:val="1"/>
    <w:link w:val="33"/>
    <w:qFormat/>
    <w:uiPriority w:val="0"/>
    <w:rPr>
      <w:rFonts w:ascii="Times New Roman" w:hAnsi="Times New Roman" w:eastAsia="宋体" w:cs="Times New Roman"/>
      <w:color w:val="FF0000"/>
      <w:sz w:val="24"/>
      <w:szCs w:val="24"/>
    </w:rPr>
  </w:style>
  <w:style w:type="paragraph" w:styleId="12">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5"/>
    <w:qFormat/>
    <w:uiPriority w:val="0"/>
    <w:rPr>
      <w:rFonts w:eastAsia="宋体"/>
      <w:sz w:val="24"/>
    </w:rPr>
  </w:style>
  <w:style w:type="paragraph" w:styleId="16">
    <w:name w:val="Date"/>
    <w:basedOn w:val="1"/>
    <w:next w:val="1"/>
    <w:link w:val="36"/>
    <w:unhideWhenUsed/>
    <w:qFormat/>
    <w:uiPriority w:val="99"/>
    <w:pPr>
      <w:ind w:left="100" w:leftChars="2500"/>
    </w:pPr>
  </w:style>
  <w:style w:type="paragraph" w:styleId="17">
    <w:name w:val="Balloon Text"/>
    <w:basedOn w:val="1"/>
    <w:link w:val="57"/>
    <w:semiHidden/>
    <w:unhideWhenUsed/>
    <w:qFormat/>
    <w:uiPriority w:val="99"/>
    <w:rPr>
      <w:sz w:val="18"/>
      <w:szCs w:val="18"/>
    </w:rPr>
  </w:style>
  <w:style w:type="paragraph" w:styleId="18">
    <w:name w:val="footer"/>
    <w:basedOn w:val="1"/>
    <w:link w:val="37"/>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5"/>
    <w:qFormat/>
    <w:uiPriority w:val="0"/>
    <w:rPr>
      <w:rFonts w:ascii="Calibri" w:hAnsi="Calibri" w:eastAsia="宋体" w:cs="Times New Roman"/>
      <w:b/>
      <w:bCs/>
      <w:kern w:val="44"/>
      <w:sz w:val="44"/>
      <w:szCs w:val="44"/>
    </w:rPr>
  </w:style>
  <w:style w:type="character" w:customStyle="1" w:styleId="30">
    <w:name w:val="标题 2 Char"/>
    <w:basedOn w:val="24"/>
    <w:link w:val="6"/>
    <w:qFormat/>
    <w:uiPriority w:val="0"/>
    <w:rPr>
      <w:rFonts w:ascii="Arial" w:hAnsi="Arial" w:eastAsia="黑体" w:cs="Times New Roman"/>
      <w:b/>
      <w:bCs/>
      <w:sz w:val="32"/>
      <w:szCs w:val="32"/>
    </w:rPr>
  </w:style>
  <w:style w:type="character" w:customStyle="1" w:styleId="31">
    <w:name w:val="标题 3 Char"/>
    <w:basedOn w:val="24"/>
    <w:link w:val="7"/>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8"/>
    <w:qFormat/>
    <w:uiPriority w:val="0"/>
    <w:rPr>
      <w:rFonts w:ascii="Arial" w:hAnsi="Arial" w:eastAsia="黑体" w:cs="Times New Roman"/>
      <w:b/>
      <w:bCs/>
      <w:sz w:val="28"/>
      <w:szCs w:val="28"/>
    </w:rPr>
  </w:style>
  <w:style w:type="character" w:customStyle="1" w:styleId="33">
    <w:name w:val="正文文本 3 Char"/>
    <w:basedOn w:val="24"/>
    <w:link w:val="11"/>
    <w:qFormat/>
    <w:uiPriority w:val="0"/>
    <w:rPr>
      <w:rFonts w:ascii="Times New Roman" w:hAnsi="Times New Roman" w:eastAsia="宋体" w:cs="Times New Roman"/>
      <w:color w:val="FF0000"/>
      <w:sz w:val="24"/>
      <w:szCs w:val="24"/>
    </w:rPr>
  </w:style>
  <w:style w:type="character" w:customStyle="1" w:styleId="34">
    <w:name w:val="正文文本 Char"/>
    <w:basedOn w:val="24"/>
    <w:link w:val="3"/>
    <w:semiHidden/>
    <w:qFormat/>
    <w:uiPriority w:val="99"/>
  </w:style>
  <w:style w:type="character" w:customStyle="1" w:styleId="35">
    <w:name w:val="纯文本 Char"/>
    <w:basedOn w:val="24"/>
    <w:link w:val="15"/>
    <w:qFormat/>
    <w:uiPriority w:val="0"/>
    <w:rPr>
      <w:rFonts w:eastAsia="宋体"/>
      <w:sz w:val="24"/>
    </w:rPr>
  </w:style>
  <w:style w:type="character" w:customStyle="1" w:styleId="36">
    <w:name w:val="日期 Char"/>
    <w:basedOn w:val="24"/>
    <w:link w:val="16"/>
    <w:qFormat/>
    <w:uiPriority w:val="99"/>
  </w:style>
  <w:style w:type="character" w:customStyle="1" w:styleId="37">
    <w:name w:val="页脚 Char"/>
    <w:basedOn w:val="24"/>
    <w:link w:val="18"/>
    <w:qFormat/>
    <w:uiPriority w:val="99"/>
    <w:rPr>
      <w:sz w:val="18"/>
      <w:szCs w:val="18"/>
    </w:rPr>
  </w:style>
  <w:style w:type="character" w:customStyle="1" w:styleId="38">
    <w:name w:val="页眉 Char"/>
    <w:basedOn w:val="24"/>
    <w:link w:val="19"/>
    <w:qFormat/>
    <w:uiPriority w:val="99"/>
    <w:rPr>
      <w:sz w:val="18"/>
      <w:szCs w:val="18"/>
    </w:rPr>
  </w:style>
  <w:style w:type="character" w:customStyle="1" w:styleId="39">
    <w:name w:val="HTML 预设格式 Char"/>
    <w:basedOn w:val="24"/>
    <w:link w:val="21"/>
    <w:semiHidden/>
    <w:qFormat/>
    <w:uiPriority w:val="99"/>
    <w:rPr>
      <w:rFonts w:ascii="宋体" w:hAnsi="宋体" w:eastAsia="宋体" w:cs="宋体"/>
      <w:kern w:val="0"/>
      <w:sz w:val="24"/>
      <w:szCs w:val="24"/>
    </w:rPr>
  </w:style>
  <w:style w:type="character" w:customStyle="1" w:styleId="40">
    <w:name w:val="正文首行缩进 Char"/>
    <w:basedOn w:val="34"/>
    <w:link w:val="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5"/>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2"/>
    <w:qFormat/>
    <w:uiPriority w:val="0"/>
    <w:rPr>
      <w:sz w:val="24"/>
    </w:rPr>
  </w:style>
  <w:style w:type="character" w:customStyle="1" w:styleId="56">
    <w:name w:val="正文文本缩进 Char1"/>
    <w:basedOn w:val="24"/>
    <w:link w:val="12"/>
    <w:semiHidden/>
    <w:qFormat/>
    <w:uiPriority w:val="99"/>
    <w:rPr>
      <w:kern w:val="2"/>
      <w:sz w:val="21"/>
      <w:szCs w:val="22"/>
    </w:rPr>
  </w:style>
  <w:style w:type="character" w:customStyle="1" w:styleId="57">
    <w:name w:val="批注框文本 Char"/>
    <w:basedOn w:val="24"/>
    <w:link w:val="17"/>
    <w:semiHidden/>
    <w:qFormat/>
    <w:uiPriority w:val="99"/>
    <w:rPr>
      <w:kern w:val="2"/>
      <w:sz w:val="18"/>
      <w:szCs w:val="18"/>
    </w:rPr>
  </w:style>
  <w:style w:type="character" w:customStyle="1" w:styleId="58">
    <w:name w:val="font71"/>
    <w:basedOn w:val="24"/>
    <w:qFormat/>
    <w:uiPriority w:val="0"/>
    <w:rPr>
      <w:rFonts w:hint="eastAsia" w:ascii="宋体" w:hAnsi="宋体" w:eastAsia="宋体" w:cs="宋体"/>
      <w:color w:val="FF0000"/>
      <w:sz w:val="18"/>
      <w:szCs w:val="18"/>
      <w:u w:val="none"/>
    </w:rPr>
  </w:style>
  <w:style w:type="character" w:customStyle="1" w:styleId="59">
    <w:name w:val="font11"/>
    <w:basedOn w:val="24"/>
    <w:qFormat/>
    <w:uiPriority w:val="0"/>
    <w:rPr>
      <w:rFonts w:hint="eastAsia" w:ascii="宋体" w:hAnsi="宋体" w:eastAsia="宋体" w:cs="宋体"/>
      <w:color w:val="000000"/>
      <w:sz w:val="18"/>
      <w:szCs w:val="18"/>
      <w:u w:val="none"/>
    </w:rPr>
  </w:style>
  <w:style w:type="character" w:customStyle="1" w:styleId="60">
    <w:name w:val="font61"/>
    <w:basedOn w:val="24"/>
    <w:qFormat/>
    <w:uiPriority w:val="0"/>
    <w:rPr>
      <w:rFonts w:ascii="Arial" w:hAnsi="Arial" w:cs="Arial"/>
      <w:color w:val="000000"/>
      <w:sz w:val="18"/>
      <w:szCs w:val="18"/>
      <w:u w:val="none"/>
    </w:rPr>
  </w:style>
  <w:style w:type="character" w:customStyle="1" w:styleId="61">
    <w:name w:val="font81"/>
    <w:basedOn w:val="2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31AED-F550-4A94-8287-5080FA88C8B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5327</Words>
  <Characters>30366</Characters>
  <Lines>253</Lines>
  <Paragraphs>71</Paragraphs>
  <TotalTime>6</TotalTime>
  <ScaleCrop>false</ScaleCrop>
  <LinksUpToDate>false</LinksUpToDate>
  <CharactersWithSpaces>35622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YQ</cp:lastModifiedBy>
  <cp:lastPrinted>2019-10-17T00:24:00Z</cp:lastPrinted>
  <dcterms:modified xsi:type="dcterms:W3CDTF">2019-10-21T03:45:52Z</dcterms:modified>
  <cp:revision>626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