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</w:t>
      </w:r>
      <w:r>
        <w:rPr>
          <w:rFonts w:hint="eastAsia"/>
          <w:b/>
          <w:bCs w:val="0"/>
          <w:sz w:val="32"/>
          <w:szCs w:val="32"/>
          <w:lang w:val="en-US" w:eastAsia="zh-CN"/>
        </w:rPr>
        <w:t>州市无梁镇废弃矿山生态修复工程（第1标段）</w:t>
      </w:r>
    </w:p>
    <w:p>
      <w:pPr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评标结果公示</w:t>
      </w:r>
    </w:p>
    <w:p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一、基本情况和数据表</w:t>
      </w:r>
    </w:p>
    <w:p>
      <w:pPr>
        <w:spacing w:line="400" w:lineRule="exact"/>
      </w:pPr>
      <w:r>
        <w:rPr>
          <w:rFonts w:hint="eastAsia"/>
        </w:rPr>
        <w:t>(一) 项目概况</w:t>
      </w:r>
    </w:p>
    <w:p>
      <w:pPr>
        <w:spacing w:line="400" w:lineRule="exact"/>
      </w:pPr>
      <w:r>
        <w:rPr>
          <w:rFonts w:hint="eastAsia"/>
        </w:rPr>
        <w:t>项目名称：禹州市无梁镇废弃矿山生态修复工程</w:t>
      </w:r>
    </w:p>
    <w:p>
      <w:pPr>
        <w:spacing w:line="400" w:lineRule="exact"/>
      </w:pPr>
      <w:r>
        <w:rPr>
          <w:rFonts w:hint="eastAsia"/>
        </w:rPr>
        <w:t>项目编号：JSGC-SZ-2019179</w:t>
      </w:r>
    </w:p>
    <w:p>
      <w:pPr>
        <w:spacing w:line="400" w:lineRule="exact"/>
      </w:pPr>
      <w:r>
        <w:rPr>
          <w:rFonts w:hint="eastAsia"/>
        </w:rPr>
        <w:t>招标控制价：第1标段（施工）：11767514.62元</w:t>
      </w:r>
    </w:p>
    <w:p>
      <w:pPr>
        <w:spacing w:line="400" w:lineRule="exact"/>
        <w:rPr>
          <w:rFonts w:hint="eastAsia" w:eastAsia="宋体"/>
          <w:lang w:val="en-US" w:eastAsia="zh-CN"/>
        </w:rPr>
      </w:pPr>
      <w:r>
        <w:rPr>
          <w:rFonts w:hint="eastAsia"/>
        </w:rPr>
        <w:t>质量要求：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必须符合现行国家施工验收统一标准和相关专业验收规范的规定，工程质量达到合格标准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  <w:t>.</w:t>
      </w:r>
    </w:p>
    <w:p>
      <w:pPr>
        <w:spacing w:line="400" w:lineRule="exact"/>
      </w:pPr>
      <w:r>
        <w:rPr>
          <w:rFonts w:hint="eastAsia"/>
        </w:rPr>
        <w:t>计划工期：60日历天</w:t>
      </w:r>
    </w:p>
    <w:p>
      <w:pPr>
        <w:spacing w:line="400" w:lineRule="exact"/>
      </w:pPr>
      <w:r>
        <w:rPr>
          <w:rFonts w:hint="eastAsia"/>
        </w:rPr>
        <w:t>评标办法：合理低价中标法</w:t>
      </w:r>
    </w:p>
    <w:p>
      <w:pPr>
        <w:spacing w:line="400" w:lineRule="exact"/>
      </w:pPr>
      <w:r>
        <w:rPr>
          <w:rFonts w:hint="eastAsia"/>
        </w:rPr>
        <w:t>资格审查方式：资格后审</w:t>
      </w:r>
    </w:p>
    <w:p>
      <w:pPr>
        <w:spacing w:line="400" w:lineRule="exact"/>
      </w:pPr>
      <w:r>
        <w:rPr>
          <w:rFonts w:hint="eastAsia"/>
        </w:rPr>
        <w:t>（二）招标过程</w:t>
      </w:r>
    </w:p>
    <w:p>
      <w:pPr>
        <w:spacing w:line="400" w:lineRule="exact"/>
        <w:rPr>
          <w:color w:val="FF0000"/>
        </w:rPr>
      </w:pPr>
      <w:r>
        <w:rPr>
          <w:rFonts w:hint="eastAsia"/>
        </w:rPr>
        <w:t>    本工程招标采用公开招标方式进行，按照法定公开招标程序和要求，2019年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日至2019年10月18日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时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/>
          <w:u w:val="single"/>
        </w:rPr>
        <w:t xml:space="preserve">     8   </w:t>
      </w:r>
      <w:r>
        <w:rPr>
          <w:rFonts w:hint="eastAsia"/>
          <w:b/>
          <w:bCs/>
          <w:color w:val="auto"/>
        </w:rPr>
        <w:t>家。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>（三）项目开标数据表</w:t>
      </w:r>
    </w:p>
    <w:tbl>
      <w:tblPr>
        <w:tblStyle w:val="5"/>
        <w:tblW w:w="9350" w:type="dxa"/>
        <w:tblInd w:w="-4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084"/>
        <w:gridCol w:w="1216"/>
        <w:gridCol w:w="3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招标人名称</w:t>
            </w:r>
          </w:p>
        </w:tc>
        <w:tc>
          <w:tcPr>
            <w:tcW w:w="80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禹州市无梁镇人民政府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招标代理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华夏城投项目管理有限公司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8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禹州市无梁镇废弃矿山生态修复工程（第1标段）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2019年10月18日9时00分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禹州市公共资源交易中心第二开标室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评标时间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2019年10月18日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评标地点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禹州市公共资源交易中心第二评标室</w:t>
            </w:r>
          </w:p>
        </w:tc>
      </w:tr>
    </w:tbl>
    <w:p>
      <w:pPr>
        <w:widowControl/>
        <w:spacing w:before="226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二、评标标准、评标办法或者评标因素一览表</w:t>
      </w:r>
    </w:p>
    <w:tbl>
      <w:tblPr>
        <w:tblStyle w:val="5"/>
        <w:tblpPr w:leftFromText="180" w:rightFromText="180" w:vertAnchor="text" w:horzAnchor="page" w:tblpX="1347" w:tblpY="613"/>
        <w:tblOverlap w:val="never"/>
        <w:tblW w:w="89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评标办法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采用合理低价中标法，详见招标文件。</w:t>
            </w:r>
          </w:p>
        </w:tc>
      </w:tr>
    </w:tbl>
    <w:p>
      <w:pPr>
        <w:widowControl/>
        <w:spacing w:before="226"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numPr>
          <w:ilvl w:val="0"/>
          <w:numId w:val="1"/>
        </w:numPr>
        <w:spacing w:before="226"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开标记录</w:t>
      </w:r>
    </w:p>
    <w:tbl>
      <w:tblPr>
        <w:tblStyle w:val="5"/>
        <w:tblW w:w="1048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548"/>
        <w:gridCol w:w="294"/>
        <w:gridCol w:w="923"/>
        <w:gridCol w:w="783"/>
        <w:gridCol w:w="1767"/>
        <w:gridCol w:w="1550"/>
        <w:gridCol w:w="1607"/>
        <w:gridCol w:w="617"/>
        <w:gridCol w:w="9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2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投标报价(元)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质量要求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技术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密封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河南远诚建设工程有限公司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11708404.34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魏亚光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241151692115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孔庆贤  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B01600000900029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新乡市万宏建筑有限公司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11177266.89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王善恺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二级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豫241171713760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高新岭 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C05901130900051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河南炳焱建筑工程有限公司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11133230.53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周晓龙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豫241161689349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刘志华  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C09902140900182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河南皇瑞建筑工程有限公司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11683634.41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王卫国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241171715130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杨正生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C09902070900301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河南林润建设工程有限公司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10943788.63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顾云零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二级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豫241151571299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陈露冰  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C09902180900985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河南圣哲市政工程有限公司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11738724.43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薛昊东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241171717668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吴瑜琼  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C05057150900004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河南省正航建设工程有限公司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11002626.19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曲丙锋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二级</w:t>
            </w:r>
          </w:p>
          <w:p>
            <w:pPr>
              <w:pStyle w:val="2"/>
              <w:ind w:left="0" w:leftChars="0" w:firstLine="0" w:firstLineChars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241171712284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中级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16068743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河南乾力建设工程有限公司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11202885.73 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孟晗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241171718652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郭秋喜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中级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C05020010900098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9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招标控制价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</w:rPr>
              <w:t>:</w:t>
            </w:r>
          </w:p>
        </w:tc>
        <w:tc>
          <w:tcPr>
            <w:tcW w:w="37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11767514.62元</w:t>
            </w:r>
          </w:p>
        </w:tc>
        <w:tc>
          <w:tcPr>
            <w:tcW w:w="473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新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目标工期：60日历天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9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α最终值（%）：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β最终值（%）：</w:t>
            </w:r>
          </w:p>
        </w:tc>
        <w:tc>
          <w:tcPr>
            <w:tcW w:w="47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153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质量要求: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必须符合现行国家施工验收统一标准和相关专业验收规范的规定，工程质量达到合格标准。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153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投标报价修正情况</w:t>
            </w:r>
          </w:p>
        </w:tc>
        <w:tc>
          <w:tcPr>
            <w:tcW w:w="8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ind w:right="-153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</w:tbl>
    <w:p>
      <w:pPr>
        <w:pStyle w:val="2"/>
        <w:ind w:firstLine="0" w:firstLineChars="0"/>
      </w:pPr>
    </w:p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评审情况</w:t>
      </w:r>
    </w:p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河南皇瑞建筑工程有限公司和河南省正航建设工程有限公司CPU序号相同，剩余</w:t>
      </w:r>
      <w:r>
        <w:rPr>
          <w:rFonts w:hint="eastAsia"/>
          <w:b/>
          <w:bCs/>
          <w:color w:val="auto"/>
        </w:rPr>
        <w:t>投标人电子投标文件制作硬件特征码均不相同，视为有效标，可以进行下步评审。</w:t>
      </w:r>
    </w:p>
    <w:p>
      <w:r>
        <w:rPr>
          <w:rFonts w:hint="eastAsia"/>
        </w:rPr>
        <w:t>（一）初步评审标准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8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河南圣哲市政工程有限公司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河南省正航建设工程有限公司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河南炳焱建筑工程有限公司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未提供电子介质存储的投标文件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8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河南林润建设工程有限公司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提供的社保证明不是招标文件要求的社会保险明细</w:t>
            </w:r>
          </w:p>
        </w:tc>
      </w:tr>
    </w:tbl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（二）合理性评审</w:t>
      </w:r>
    </w:p>
    <w:p/>
    <w:p>
      <w:r>
        <w:rPr>
          <w:rFonts w:hint="eastAsia"/>
        </w:rPr>
        <w:t>根据招标文件的规定，评标委员会通过合理性评审投标企业得分如下：</w:t>
      </w:r>
    </w:p>
    <w:tbl>
      <w:tblPr>
        <w:tblStyle w:val="5"/>
        <w:tblW w:w="88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3596"/>
        <w:gridCol w:w="1196"/>
        <w:gridCol w:w="1117"/>
        <w:gridCol w:w="1007"/>
        <w:gridCol w:w="12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投标单位名称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技术得分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商务得分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河南远诚建设工程有限公司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47.79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28.93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76.71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新乡市万宏建筑有限公司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47.86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河南皇瑞建筑工程有限公司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47.29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27.64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74.93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河南圣哲市政工程有限公司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47.14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29.86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河南省正航建设工程有限公司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47.79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32.86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河南乾力建设工程有限公司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46.79 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可行</w:t>
            </w:r>
          </w:p>
        </w:tc>
      </w:tr>
    </w:tbl>
    <w:p>
      <w:pPr>
        <w:widowControl/>
        <w:spacing w:before="226" w:line="360" w:lineRule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评标基准价计算表</w:t>
      </w:r>
    </w:p>
    <w:tbl>
      <w:tblPr>
        <w:tblStyle w:val="5"/>
        <w:tblW w:w="10267" w:type="dxa"/>
        <w:tblInd w:w="-8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358"/>
        <w:gridCol w:w="1331"/>
        <w:gridCol w:w="1294"/>
        <w:gridCol w:w="1117"/>
        <w:gridCol w:w="567"/>
        <w:gridCol w:w="533"/>
        <w:gridCol w:w="367"/>
        <w:gridCol w:w="383"/>
        <w:gridCol w:w="1133"/>
        <w:gridCol w:w="1200"/>
        <w:gridCol w:w="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投标报价(元）   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A值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B值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α值(%)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000000"/>
                <w:kern w:val="0"/>
                <w:sz w:val="18"/>
                <w:szCs w:val="18"/>
              </w:rPr>
              <w:t>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值(%)</w:t>
            </w: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γ值</w:t>
            </w:r>
          </w:p>
        </w:tc>
        <w:tc>
          <w:tcPr>
            <w:tcW w:w="38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δ值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评标标底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C值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企业报价与C值差的绝对值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11708404.34</w:t>
            </w:r>
          </w:p>
        </w:tc>
        <w:tc>
          <w:tcPr>
            <w:tcW w:w="12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10891705.58</w:t>
            </w:r>
          </w:p>
        </w:tc>
        <w:tc>
          <w:tcPr>
            <w:tcW w:w="11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11418923.67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3.0%</w:t>
            </w:r>
          </w:p>
        </w:tc>
        <w:tc>
          <w:tcPr>
            <w:tcW w:w="5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4.58%</w:t>
            </w:r>
          </w:p>
        </w:tc>
        <w:tc>
          <w:tcPr>
            <w:tcW w:w="3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1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11155314.62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553089.72 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11177266.89</w:t>
            </w:r>
          </w:p>
        </w:tc>
        <w:tc>
          <w:tcPr>
            <w:tcW w:w="129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21952.27 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11683634.41</w:t>
            </w:r>
          </w:p>
        </w:tc>
        <w:tc>
          <w:tcPr>
            <w:tcW w:w="12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528319.79 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河南圣哲市政工程有限公司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11738724.43 </w:t>
            </w:r>
          </w:p>
        </w:tc>
        <w:tc>
          <w:tcPr>
            <w:tcW w:w="12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583409.81 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河南省正航建设工程有限公司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11002626.19 </w:t>
            </w:r>
          </w:p>
        </w:tc>
        <w:tc>
          <w:tcPr>
            <w:tcW w:w="12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152688.43 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河南乾力建设工程有限公司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11202885.73 </w:t>
            </w:r>
          </w:p>
        </w:tc>
        <w:tc>
          <w:tcPr>
            <w:tcW w:w="12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47571.11 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2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注：评标标底计算方法：C＝（A×γ+B×δ）    A=招标控制价×（1－α）（1－β）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=在招标控制价100%～93%（含100%、93%）范围内的有效投标人报价的算术平均值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δ-为B值的权重系数，δ=1-γ。若有效投标人的投标报价均不在招标控制价的100%—93%范围内，则C=A。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五、推荐中标候选人排序如下：</w:t>
      </w:r>
    </w:p>
    <w:tbl>
      <w:tblPr>
        <w:tblStyle w:val="5"/>
        <w:tblW w:w="9150" w:type="dxa"/>
        <w:tblInd w:w="-3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0"/>
        <w:gridCol w:w="3283"/>
        <w:gridCol w:w="16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新乡市万宏建筑有限公司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21952.27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河南乾力建设工程有限公司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47571.11 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河南省正航建设工程有限公司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152688.43 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5"/>
        <w:tblW w:w="1005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999"/>
        <w:gridCol w:w="795"/>
        <w:gridCol w:w="795"/>
        <w:gridCol w:w="795"/>
        <w:gridCol w:w="795"/>
        <w:gridCol w:w="795"/>
        <w:gridCol w:w="795"/>
        <w:gridCol w:w="7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55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新乡市万宏建筑有限公司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4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评委6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安全管理、文明、环境保护体系与措施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平均得分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lang w:val="en-US" w:eastAsia="zh-CN"/>
              </w:rPr>
              <w:t>47.86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67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77.86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005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999"/>
        <w:gridCol w:w="795"/>
        <w:gridCol w:w="795"/>
        <w:gridCol w:w="795"/>
        <w:gridCol w:w="795"/>
        <w:gridCol w:w="795"/>
        <w:gridCol w:w="795"/>
        <w:gridCol w:w="7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55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4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评委6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安全管理、文明、环境保护体系与措施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平均得分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lang w:val="en-US" w:eastAsia="zh-CN"/>
              </w:rPr>
              <w:t>46.79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67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76.79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tbl>
      <w:tblPr>
        <w:tblStyle w:val="5"/>
        <w:tblW w:w="1005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999"/>
        <w:gridCol w:w="795"/>
        <w:gridCol w:w="795"/>
        <w:gridCol w:w="795"/>
        <w:gridCol w:w="795"/>
        <w:gridCol w:w="795"/>
        <w:gridCol w:w="795"/>
        <w:gridCol w:w="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55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河南省正航建设工程有限公司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4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评委6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评委7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安全管理、文明、环境保护体系与措施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48.5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平均得分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z w:val="21"/>
                <w:szCs w:val="21"/>
                <w:lang w:val="en-US" w:eastAsia="zh-CN"/>
              </w:rPr>
              <w:t>47.79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5567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32.86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556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lang w:val="en-US" w:eastAsia="zh-CN"/>
              </w:rPr>
              <w:t>80.65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七、推荐的中标候选人情况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第一中标候选人：</w:t>
      </w:r>
      <w:r>
        <w:rPr>
          <w:rFonts w:hint="eastAsia"/>
          <w:b/>
          <w:bCs/>
          <w:sz w:val="21"/>
          <w:szCs w:val="21"/>
          <w:lang w:val="en-US" w:eastAsia="zh-CN"/>
        </w:rPr>
        <w:t>新乡市万宏建筑有限公司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11177266.89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元   </w:t>
      </w:r>
      <w:r>
        <w:rPr>
          <w:rFonts w:hint="eastAsia" w:ascii="新宋体" w:hAnsi="新宋体" w:eastAsia="新宋体" w:cs="新宋体"/>
          <w:lang w:val="en-US" w:eastAsia="zh-CN"/>
        </w:rPr>
        <w:t>大写：壹仟壹佰壹拾柒万柒仟贰佰陆拾陆元捌角玖分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质量标准：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必须符合现行国家施工验收统一标准和相关专业验收规范的规定，工程质量达到合格标准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工    期：60日历天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王善恺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     证书名称：二级注册建造师  编号：</w:t>
      </w:r>
      <w:r>
        <w:rPr>
          <w:rFonts w:hint="eastAsia"/>
          <w:sz w:val="21"/>
          <w:szCs w:val="21"/>
          <w:lang w:val="en-US" w:eastAsia="zh-CN"/>
        </w:rPr>
        <w:t>豫241171713760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投标文件中填报的项目经理业绩名称：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投标文件中填报的单位项目业绩名称：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1、原阳县2018年度第一、二、三、四、五、六批补充耕地储备项目（原阳县靳堂乡薛厂等（12个）村滩涂开发项目）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第二中标候选人：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河南乾力建设工程有限公司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11202885.73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元    大写：壹仟壹佰贰拾万零贰仟捌佰捌拾伍元柒角叁分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质量标准：</w:t>
      </w:r>
      <w:r>
        <w:rPr>
          <w:rFonts w:hint="eastAsia" w:ascii="新宋体" w:hAnsi="新宋体" w:eastAsia="新宋体" w:cs="新宋体"/>
          <w:sz w:val="18"/>
          <w:szCs w:val="18"/>
          <w:lang w:val="en-US" w:eastAsia="zh-CN"/>
        </w:rPr>
        <w:t>必须符合现行国家施工验收统一标准和相关专业验收规范的规定，工程质量达到合格标准；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工    期：60日历天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晗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   证书名称：二级注册建造师   编号：</w:t>
      </w:r>
      <w:r>
        <w:rPr>
          <w:rFonts w:hint="eastAsia"/>
          <w:sz w:val="21"/>
          <w:szCs w:val="21"/>
          <w:lang w:eastAsia="zh-CN"/>
        </w:rPr>
        <w:t>豫</w:t>
      </w:r>
      <w:r>
        <w:rPr>
          <w:rFonts w:hint="eastAsia"/>
          <w:sz w:val="21"/>
          <w:szCs w:val="21"/>
          <w:lang w:val="en-US" w:eastAsia="zh-CN"/>
        </w:rPr>
        <w:t>241171718652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投标文件中填报的项目经理业绩名称：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1、光山县斛山等乡镇补充耕地项目三十九标段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第三中标候选人：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河南省正航建设工程有限公司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投标报价：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</w:rPr>
        <w:t>11002626.19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>元    大写：壹仟壹佰万零贰仟陆佰贰拾陆元壹角玖分</w:t>
      </w:r>
      <w:r>
        <w:rPr>
          <w:rFonts w:hint="eastAsia" w:ascii="新宋体" w:hAnsi="新宋体" w:eastAsia="新宋体" w:cs="新宋体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lang w:val="en-US" w:eastAsia="zh-CN"/>
        </w:rPr>
        <w:t>质量标准：</w:t>
      </w:r>
      <w:r>
        <w:rPr>
          <w:rFonts w:hint="eastAsia" w:ascii="新宋体" w:hAnsi="新宋体" w:eastAsia="新宋体" w:cs="新宋体"/>
          <w:sz w:val="18"/>
          <w:szCs w:val="18"/>
          <w:lang w:val="en-US" w:eastAsia="zh-CN"/>
        </w:rPr>
        <w:t>必须符合现行国家施工验收统一标准和相关专业验收规范的规定，工程质量达到合格标准；</w:t>
      </w:r>
      <w:r>
        <w:rPr>
          <w:rFonts w:hint="eastAsia" w:ascii="新宋体" w:hAnsi="新宋体" w:eastAsia="新宋体" w:cs="新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工    期：60日历天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曲丙锋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证书名称：二级注册建造师   编号：</w:t>
      </w:r>
      <w:r>
        <w:rPr>
          <w:rFonts w:hint="eastAsia"/>
          <w:sz w:val="21"/>
          <w:szCs w:val="21"/>
          <w:lang w:eastAsia="zh-CN"/>
        </w:rPr>
        <w:t>豫</w:t>
      </w:r>
      <w:r>
        <w:rPr>
          <w:rFonts w:hint="eastAsia"/>
          <w:sz w:val="21"/>
          <w:szCs w:val="21"/>
          <w:lang w:val="en-US" w:eastAsia="zh-CN"/>
        </w:rPr>
        <w:t>241171712284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投标文件中填报的项目经理业绩名称：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0" w:firstLine="0" w:firstLineChars="0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原阳县2016年农业综合开发第一批土地治理项目六标段</w:t>
      </w:r>
    </w:p>
    <w:p>
      <w:pPr>
        <w:pStyle w:val="2"/>
        <w:numPr>
          <w:ilvl w:val="0"/>
          <w:numId w:val="0"/>
        </w:numPr>
        <w:ind w:left="105"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2、河南省邓州市孟楼镇土地整治暨耕地量等级提升工程项目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lang w:val="zh-CN"/>
        </w:rPr>
        <w:t>八、澄清、说明、补正事项纪要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="宋体"/>
          <w:sz w:val="24"/>
          <w:szCs w:val="24"/>
          <w:lang w:val="zh-CN"/>
        </w:rPr>
      </w:pPr>
      <w:r>
        <w:rPr>
          <w:rFonts w:hint="eastAsia" w:ascii="新宋体" w:hAnsi="新宋体" w:eastAsia="新宋体" w:cs="新宋体"/>
          <w:lang w:val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九、公示期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/>
        </w:rPr>
        <w:t>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10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23</w:t>
      </w:r>
      <w:r>
        <w:rPr>
          <w:rFonts w:hint="eastAsia" w:ascii="新宋体" w:hAnsi="新宋体" w:eastAsia="新宋体" w:cs="新宋体"/>
        </w:rPr>
        <w:t>日</w:t>
      </w:r>
      <w:r>
        <w:rPr>
          <w:rFonts w:hint="eastAsia" w:ascii="新宋体" w:hAnsi="新宋体" w:eastAsia="新宋体" w:cs="新宋体"/>
          <w:lang w:val="en-US"/>
        </w:rPr>
        <w:t>-201</w:t>
      </w:r>
      <w:r>
        <w:rPr>
          <w:rFonts w:hint="eastAsia" w:ascii="新宋体" w:hAnsi="新宋体" w:eastAsia="新宋体" w:cs="新宋体"/>
          <w:lang w:val="en-US" w:eastAsia="zh-CN"/>
        </w:rPr>
        <w:t>9</w:t>
      </w:r>
      <w:r>
        <w:rPr>
          <w:rFonts w:hint="eastAsia" w:ascii="新宋体" w:hAnsi="新宋体" w:eastAsia="新宋体" w:cs="新宋体"/>
        </w:rPr>
        <w:t>年</w:t>
      </w:r>
      <w:r>
        <w:rPr>
          <w:rFonts w:hint="eastAsia" w:ascii="新宋体" w:hAnsi="新宋体" w:eastAsia="新宋体" w:cs="新宋体"/>
          <w:lang w:val="en-US" w:eastAsia="zh-CN"/>
        </w:rPr>
        <w:t>10</w:t>
      </w:r>
      <w:r>
        <w:rPr>
          <w:rFonts w:hint="eastAsia" w:ascii="新宋体" w:hAnsi="新宋体" w:eastAsia="新宋体" w:cs="新宋体"/>
        </w:rPr>
        <w:t>月</w:t>
      </w:r>
      <w:r>
        <w:rPr>
          <w:rFonts w:hint="eastAsia" w:ascii="新宋体" w:hAnsi="新宋体" w:eastAsia="新宋体" w:cs="新宋体"/>
          <w:lang w:val="en-US" w:eastAsia="zh-CN"/>
        </w:rPr>
        <w:t>26</w:t>
      </w:r>
      <w:bookmarkStart w:id="0" w:name="_GoBack"/>
      <w:bookmarkEnd w:id="0"/>
      <w:r>
        <w:rPr>
          <w:rFonts w:hint="eastAsia" w:ascii="新宋体" w:hAnsi="新宋体" w:eastAsia="新宋体" w:cs="新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招标人：禹州市无梁镇人民政府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联系电话：0374-8741003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lang w:val="en-US" w:eastAsia="zh-CN"/>
        </w:rPr>
        <w:t>招标代理机构：华夏城投项目管理有限公司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联系人：姚先生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lang w:val="en-US" w:eastAsia="zh-CN"/>
        </w:rPr>
        <w:t>联系电话：0374-8258988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监督单位：禹州市土地开发整理中心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F8D60C"/>
    <w:multiLevelType w:val="singleLevel"/>
    <w:tmpl w:val="B5F8D60C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EAF5A90C"/>
    <w:multiLevelType w:val="singleLevel"/>
    <w:tmpl w:val="EAF5A9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7593"/>
    <w:rsid w:val="04A97372"/>
    <w:rsid w:val="07CF2DE3"/>
    <w:rsid w:val="0A747988"/>
    <w:rsid w:val="0BE343B3"/>
    <w:rsid w:val="0C9A3677"/>
    <w:rsid w:val="106B538B"/>
    <w:rsid w:val="13706D41"/>
    <w:rsid w:val="14AC62EF"/>
    <w:rsid w:val="159D0C95"/>
    <w:rsid w:val="17E311EC"/>
    <w:rsid w:val="183B74A1"/>
    <w:rsid w:val="1873355D"/>
    <w:rsid w:val="191E759C"/>
    <w:rsid w:val="1C9D076E"/>
    <w:rsid w:val="1D883C8E"/>
    <w:rsid w:val="1E9A6746"/>
    <w:rsid w:val="23B34A5F"/>
    <w:rsid w:val="25F22019"/>
    <w:rsid w:val="29924334"/>
    <w:rsid w:val="2A574954"/>
    <w:rsid w:val="2AF9407E"/>
    <w:rsid w:val="2F892E88"/>
    <w:rsid w:val="2FC20845"/>
    <w:rsid w:val="2FDD5D1F"/>
    <w:rsid w:val="32A259BC"/>
    <w:rsid w:val="33DD3B7A"/>
    <w:rsid w:val="374F4A92"/>
    <w:rsid w:val="37824597"/>
    <w:rsid w:val="39FC15D6"/>
    <w:rsid w:val="3ADB2430"/>
    <w:rsid w:val="3F596951"/>
    <w:rsid w:val="41E42F0F"/>
    <w:rsid w:val="42292A52"/>
    <w:rsid w:val="44B35B14"/>
    <w:rsid w:val="485D574F"/>
    <w:rsid w:val="490C1CC3"/>
    <w:rsid w:val="4DA46E22"/>
    <w:rsid w:val="4EBC2CD5"/>
    <w:rsid w:val="4F185ECB"/>
    <w:rsid w:val="4F3B1CE7"/>
    <w:rsid w:val="516657D7"/>
    <w:rsid w:val="54774925"/>
    <w:rsid w:val="55474441"/>
    <w:rsid w:val="5554047B"/>
    <w:rsid w:val="56C12998"/>
    <w:rsid w:val="58974AA3"/>
    <w:rsid w:val="5A304815"/>
    <w:rsid w:val="5B0E2A72"/>
    <w:rsid w:val="62D07F16"/>
    <w:rsid w:val="63666E53"/>
    <w:rsid w:val="63F01BB0"/>
    <w:rsid w:val="67DB314C"/>
    <w:rsid w:val="6B8363D7"/>
    <w:rsid w:val="6BB476B7"/>
    <w:rsid w:val="73A62F90"/>
    <w:rsid w:val="77272F61"/>
    <w:rsid w:val="783B0EA3"/>
    <w:rsid w:val="7AAE578D"/>
    <w:rsid w:val="7B2169A7"/>
    <w:rsid w:val="7D9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7"/>
    <w:qFormat/>
    <w:uiPriority w:val="0"/>
    <w:rPr>
      <w:color w:val="CC0000"/>
    </w:rPr>
  </w:style>
  <w:style w:type="character" w:customStyle="1" w:styleId="16">
    <w:name w:val="red3"/>
    <w:basedOn w:val="7"/>
    <w:qFormat/>
    <w:uiPriority w:val="0"/>
    <w:rPr>
      <w:color w:val="FF0000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1">
    <w:name w:val="hover2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2019-10-23T03:33:14Z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