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spacing w:line="600" w:lineRule="exact"/>
        <w:jc w:val="center"/>
        <w:rPr>
          <w:b/>
          <w:bCs/>
          <w:sz w:val="44"/>
          <w:szCs w:val="44"/>
        </w:rPr>
      </w:pPr>
      <w:r>
        <w:rPr>
          <w:b/>
          <w:bCs/>
          <w:sz w:val="44"/>
          <w:szCs w:val="44"/>
        </w:rPr>
        <w:t>禹州市</w:t>
      </w:r>
      <w:r>
        <w:rPr>
          <w:rFonts w:hint="eastAsia"/>
          <w:b/>
          <w:bCs/>
          <w:sz w:val="44"/>
          <w:szCs w:val="44"/>
          <w:lang w:val="en-US" w:eastAsia="zh-CN"/>
        </w:rPr>
        <w:t>文化广电和旅游局星级农家乐奖励</w:t>
      </w:r>
      <w:r>
        <w:rPr>
          <w:b/>
          <w:bCs/>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华文隶书" w:eastAsia="华文隶书"/>
          <w:b/>
          <w:w w:val="90"/>
          <w:sz w:val="56"/>
          <w:szCs w:val="56"/>
        </w:rPr>
      </w:pPr>
      <w:r>
        <w:rPr>
          <w:rFonts w:hint="eastAsia" w:ascii="华文隶书" w:eastAsia="华文隶书"/>
          <w:b/>
          <w:w w:val="90"/>
          <w:sz w:val="56"/>
          <w:szCs w:val="56"/>
        </w:rPr>
        <w:t>询  价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采购编号：YZCG-X2019</w:t>
      </w:r>
      <w:r>
        <w:rPr>
          <w:rFonts w:hint="eastAsia" w:asciiTheme="majorEastAsia" w:hAnsiTheme="majorEastAsia" w:eastAsiaTheme="majorEastAsia" w:cstheme="majorEastAsia"/>
          <w:b/>
          <w:bCs/>
          <w:sz w:val="36"/>
          <w:szCs w:val="36"/>
          <w:lang w:val="en-US" w:eastAsia="zh-CN"/>
        </w:rPr>
        <w:t>275</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文化广电和旅游局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adjustRightInd w:val="0"/>
        <w:snapToGrid w:val="0"/>
        <w:spacing w:line="360" w:lineRule="auto"/>
        <w:ind w:firstLine="840" w:firstLineChars="400"/>
        <w:jc w:val="left"/>
        <w:rPr>
          <w:rFonts w:ascii="宋体" w:hAnsi="宋体"/>
          <w:szCs w:val="21"/>
        </w:rPr>
      </w:pPr>
    </w:p>
    <w:p>
      <w:pPr>
        <w:spacing w:line="600" w:lineRule="exact"/>
        <w:jc w:val="center"/>
        <w:rPr>
          <w:b/>
          <w:bCs/>
          <w:sz w:val="44"/>
          <w:szCs w:val="44"/>
        </w:rPr>
      </w:pPr>
      <w:r>
        <w:rPr>
          <w:b/>
          <w:bCs/>
          <w:sz w:val="44"/>
          <w:szCs w:val="44"/>
        </w:rPr>
        <w:t>禹州市</w:t>
      </w:r>
      <w:r>
        <w:rPr>
          <w:rFonts w:hint="eastAsia"/>
          <w:b/>
          <w:bCs/>
          <w:sz w:val="44"/>
          <w:szCs w:val="44"/>
          <w:lang w:val="en-US" w:eastAsia="zh-CN"/>
        </w:rPr>
        <w:t>文化广电和旅游局星级农家乐奖励</w:t>
      </w:r>
      <w:r>
        <w:rPr>
          <w:b/>
          <w:bCs/>
          <w:sz w:val="44"/>
          <w:szCs w:val="44"/>
        </w:rPr>
        <w:t>项目</w:t>
      </w:r>
    </w:p>
    <w:p>
      <w:pPr>
        <w:spacing w:line="600" w:lineRule="exact"/>
        <w:jc w:val="center"/>
        <w:rPr>
          <w:rFonts w:hint="eastAsia" w:eastAsiaTheme="minorEastAsia"/>
          <w:b/>
          <w:bCs/>
          <w:sz w:val="44"/>
          <w:szCs w:val="44"/>
          <w:lang w:eastAsia="zh-CN"/>
        </w:rPr>
      </w:pPr>
      <w:r>
        <w:rPr>
          <w:rFonts w:hint="eastAsia"/>
          <w:b/>
          <w:bCs/>
          <w:sz w:val="44"/>
          <w:szCs w:val="44"/>
        </w:rPr>
        <w:t>询价</w:t>
      </w:r>
      <w:r>
        <w:rPr>
          <w:rFonts w:hint="eastAsia"/>
          <w:b/>
          <w:bCs/>
          <w:sz w:val="44"/>
          <w:szCs w:val="44"/>
          <w:lang w:val="en-US" w:eastAsia="zh-CN"/>
        </w:rPr>
        <w:t>邀请函</w:t>
      </w:r>
    </w:p>
    <w:p>
      <w:pPr>
        <w:spacing w:line="600" w:lineRule="exact"/>
        <w:jc w:val="center"/>
        <w:rPr>
          <w:b/>
          <w:bCs/>
          <w:sz w:val="44"/>
          <w:szCs w:val="44"/>
        </w:rPr>
      </w:pPr>
    </w:p>
    <w:p>
      <w:pPr>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w:t>
      </w:r>
      <w:r>
        <w:rPr>
          <w:rFonts w:hint="eastAsia" w:ascii="仿宋" w:hAnsi="仿宋" w:eastAsia="仿宋" w:cs="仿宋"/>
          <w:sz w:val="32"/>
          <w:szCs w:val="32"/>
        </w:rPr>
        <w:t>禹州市</w:t>
      </w:r>
      <w:r>
        <w:rPr>
          <w:rFonts w:hint="eastAsia" w:ascii="仿宋" w:hAnsi="仿宋" w:eastAsia="仿宋" w:cs="仿宋"/>
          <w:sz w:val="32"/>
          <w:szCs w:val="32"/>
          <w:lang w:val="en-US" w:eastAsia="zh-CN"/>
        </w:rPr>
        <w:t>文化广电和旅游局</w:t>
      </w:r>
      <w:r>
        <w:rPr>
          <w:rFonts w:hint="eastAsia" w:ascii="仿宋" w:hAnsi="仿宋" w:eastAsia="仿宋" w:cs="仿宋_GB2312"/>
          <w:sz w:val="32"/>
          <w:szCs w:val="32"/>
        </w:rPr>
        <w:t>的委托，就“禹州市</w:t>
      </w:r>
      <w:r>
        <w:rPr>
          <w:rFonts w:hint="eastAsia" w:ascii="仿宋" w:hAnsi="仿宋" w:eastAsia="仿宋" w:cs="仿宋_GB2312"/>
          <w:sz w:val="32"/>
          <w:szCs w:val="32"/>
          <w:lang w:val="en-US" w:eastAsia="zh-CN"/>
        </w:rPr>
        <w:t>文化广电和旅游局星级农家乐奖励</w:t>
      </w:r>
      <w:r>
        <w:rPr>
          <w:rFonts w:hint="eastAsia" w:ascii="仿宋" w:hAnsi="仿宋" w:eastAsia="仿宋" w:cs="仿宋_GB2312"/>
          <w:sz w:val="32"/>
          <w:szCs w:val="32"/>
        </w:rPr>
        <w:t>项目”进行询价，欢迎合格的投标人前来投标。</w:t>
      </w:r>
    </w:p>
    <w:p>
      <w:pPr>
        <w:widowControl/>
        <w:numPr>
          <w:ilvl w:val="0"/>
          <w:numId w:val="4"/>
        </w:numPr>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widowControl/>
        <w:shd w:val="clear" w:color="auto" w:fill="FFFFFF"/>
        <w:spacing w:line="440" w:lineRule="exact"/>
        <w:jc w:val="left"/>
        <w:rPr>
          <w:rFonts w:ascii="仿宋" w:hAnsi="仿宋" w:eastAsia="仿宋" w:cs="仿宋"/>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w:t>
      </w:r>
      <w:r>
        <w:rPr>
          <w:rFonts w:hint="eastAsia" w:ascii="仿宋" w:hAnsi="仿宋" w:eastAsia="仿宋" w:cs="仿宋_GB2312"/>
          <w:sz w:val="32"/>
          <w:szCs w:val="32"/>
          <w:lang w:val="en-US" w:eastAsia="zh-CN"/>
        </w:rPr>
        <w:t>文化广电和旅游局</w:t>
      </w:r>
      <w:r>
        <w:rPr>
          <w:rFonts w:ascii="仿宋" w:hAnsi="仿宋" w:eastAsia="仿宋" w:cs="仿宋"/>
          <w:sz w:val="32"/>
          <w:szCs w:val="32"/>
        </w:rPr>
        <w:t xml:space="preserve"> </w:t>
      </w:r>
    </w:p>
    <w:p>
      <w:pPr>
        <w:widowControl/>
        <w:shd w:val="clear" w:color="auto" w:fill="FFFFFF"/>
        <w:spacing w:line="440" w:lineRule="exact"/>
        <w:ind w:left="420" w:left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val="en-US" w:eastAsia="zh-CN"/>
        </w:rPr>
        <w:t>文化广电和旅游局星级农家乐奖励</w:t>
      </w:r>
      <w:r>
        <w:rPr>
          <w:rFonts w:hint="eastAsia" w:ascii="仿宋" w:hAnsi="仿宋" w:eastAsia="仿宋" w:cs="Arial"/>
          <w:color w:val="000000"/>
          <w:kern w:val="0"/>
          <w:sz w:val="32"/>
          <w:szCs w:val="32"/>
        </w:rPr>
        <w:t>项目</w:t>
      </w:r>
    </w:p>
    <w:p>
      <w:pPr>
        <w:widowControl/>
        <w:shd w:val="clear" w:color="auto" w:fill="FFFFFF"/>
        <w:spacing w:line="440" w:lineRule="exact"/>
        <w:ind w:left="420" w:leftChars="200"/>
        <w:jc w:val="left"/>
        <w:rPr>
          <w:rFonts w:hint="default"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YZCG-X2019</w:t>
      </w:r>
      <w:r>
        <w:rPr>
          <w:rFonts w:hint="eastAsia" w:ascii="仿宋" w:hAnsi="仿宋" w:eastAsia="仿宋" w:cs="仿宋_GB2312"/>
          <w:sz w:val="32"/>
          <w:szCs w:val="32"/>
          <w:lang w:val="en-US" w:eastAsia="zh-CN"/>
        </w:rPr>
        <w:t>275</w:t>
      </w:r>
    </w:p>
    <w:p>
      <w:pPr>
        <w:widowControl/>
        <w:shd w:val="clear" w:color="auto" w:fill="FFFFFF"/>
        <w:spacing w:line="440" w:lineRule="exact"/>
        <w:ind w:firstLine="482"/>
        <w:jc w:val="left"/>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val="en-US" w:eastAsia="zh-CN"/>
        </w:rPr>
        <w:t>卧式冰柜80台</w:t>
      </w:r>
      <w:r>
        <w:rPr>
          <w:rFonts w:hint="eastAsia" w:ascii="仿宋" w:hAnsi="仿宋" w:eastAsia="仿宋" w:cs="仿宋_GB2312"/>
          <w:sz w:val="32"/>
          <w:szCs w:val="32"/>
        </w:rPr>
        <w:t>（详见</w:t>
      </w:r>
      <w:r>
        <w:rPr>
          <w:rFonts w:hint="eastAsia" w:ascii="仿宋" w:hAnsi="仿宋" w:eastAsia="仿宋" w:cs="仿宋_GB2312"/>
          <w:sz w:val="32"/>
          <w:szCs w:val="32"/>
          <w:lang w:val="en-US" w:eastAsia="zh-CN"/>
        </w:rPr>
        <w:t>询价</w:t>
      </w:r>
      <w:r>
        <w:rPr>
          <w:rFonts w:hint="eastAsia" w:ascii="仿宋" w:hAnsi="仿宋" w:eastAsia="仿宋" w:cs="仿宋_GB2312"/>
          <w:sz w:val="32"/>
          <w:szCs w:val="32"/>
        </w:rPr>
        <w:t>文件）</w:t>
      </w:r>
    </w:p>
    <w:p>
      <w:pPr>
        <w:widowControl/>
        <w:shd w:val="clear" w:color="auto" w:fill="FFFFFF"/>
        <w:spacing w:line="440" w:lineRule="exact"/>
        <w:ind w:firstLine="482"/>
        <w:jc w:val="left"/>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32</w:t>
      </w:r>
      <w:r>
        <w:rPr>
          <w:rFonts w:hint="eastAsia" w:ascii="仿宋" w:hAnsi="仿宋" w:eastAsia="仿宋" w:cs="仿宋_GB2312"/>
          <w:sz w:val="32"/>
          <w:szCs w:val="32"/>
        </w:rPr>
        <w:t>万元</w:t>
      </w:r>
    </w:p>
    <w:p>
      <w:pPr>
        <w:widowControl/>
        <w:shd w:val="clear" w:color="auto" w:fill="FFFFFF"/>
        <w:spacing w:line="440" w:lineRule="exact"/>
        <w:ind w:firstLine="472" w:firstLineChars="147"/>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文件）</w:t>
      </w:r>
    </w:p>
    <w:p>
      <w:pPr>
        <w:pStyle w:val="43"/>
        <w:widowControl/>
        <w:numPr>
          <w:ilvl w:val="0"/>
          <w:numId w:val="5"/>
        </w:numPr>
        <w:shd w:val="clear" w:color="auto" w:fill="FFFFFF"/>
        <w:spacing w:line="440" w:lineRule="exact"/>
        <w:ind w:firstLineChars="0"/>
        <w:jc w:val="left"/>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2、被委托人须是本单位职工，须提供公司为本人缴纳社会保险证明；</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询价</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wordWrap w:val="0"/>
        <w:topLinePunct/>
        <w:snapToGrid w:val="0"/>
        <w:spacing w:line="44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rPr>
          <w:rFonts w:hint="eastAsia" w:ascii="仿宋" w:hAnsi="仿宋" w:eastAsia="仿宋" w:cs="宋体"/>
          <w:color w:val="auto"/>
          <w:sz w:val="32"/>
          <w:szCs w:val="32"/>
          <w:u w:val="none"/>
        </w:rPr>
        <w:fldChar w:fldCharType="begin"/>
      </w:r>
      <w:r>
        <w:rPr>
          <w:rFonts w:hint="eastAsia" w:ascii="仿宋" w:hAnsi="仿宋" w:eastAsia="仿宋" w:cs="宋体"/>
          <w:color w:val="auto"/>
          <w:sz w:val="32"/>
          <w:szCs w:val="32"/>
          <w:u w:val="none"/>
        </w:rPr>
        <w:instrText xml:space="preserve"> HYPERLINK "http://221.14.6.70:8088/ggzy/eps/public/RegistAllJcxx.html" </w:instrText>
      </w:r>
      <w:r>
        <w:rPr>
          <w:rFonts w:hint="eastAsia" w:ascii="仿宋" w:hAnsi="仿宋" w:eastAsia="仿宋" w:cs="宋体"/>
          <w:color w:val="auto"/>
          <w:sz w:val="32"/>
          <w:szCs w:val="32"/>
          <w:u w:val="none"/>
        </w:rPr>
        <w:fldChar w:fldCharType="separate"/>
      </w:r>
      <w:r>
        <w:rPr>
          <w:rStyle w:val="27"/>
          <w:rFonts w:hint="eastAsia" w:ascii="仿宋" w:hAnsi="仿宋" w:eastAsia="仿宋" w:cs="宋体"/>
          <w:sz w:val="32"/>
          <w:szCs w:val="32"/>
        </w:rPr>
        <w:t>http://221.14.6.70:8088/ggzy/eps/public/RegistAllJcxx.html</w:t>
      </w:r>
      <w:r>
        <w:rPr>
          <w:rFonts w:hint="eastAsia" w:ascii="仿宋" w:hAnsi="仿宋" w:eastAsia="仿宋" w:cs="宋体"/>
          <w:color w:val="auto"/>
          <w:sz w:val="32"/>
          <w:szCs w:val="32"/>
          <w:u w:val="none"/>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wordWrap w:val="0"/>
        <w:topLinePunct/>
        <w:autoSpaceDE w:val="0"/>
        <w:autoSpaceDN w:val="0"/>
        <w:adjustRightInd w:val="0"/>
        <w:snapToGrid w:val="0"/>
        <w:spacing w:line="440" w:lineRule="exact"/>
        <w:ind w:firstLine="482"/>
        <w:rPr>
          <w:rFonts w:ascii="楷体" w:hAnsi="楷体" w:eastAsia="楷体" w:cs="宋体"/>
          <w:sz w:val="32"/>
          <w:szCs w:val="32"/>
        </w:rPr>
      </w:pPr>
      <w:r>
        <w:rPr>
          <w:rFonts w:hint="eastAsia" w:ascii="仿宋" w:hAnsi="仿宋" w:eastAsia="仿宋" w:cs="宋体"/>
          <w:sz w:val="32"/>
          <w:szCs w:val="32"/>
          <w:lang w:val="zh-CN"/>
        </w:rPr>
        <w:t>　</w:t>
      </w: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"360安全浏览器.lnk" </w:instrText>
      </w:r>
      <w:r>
        <w:fldChar w:fldCharType="separate"/>
      </w:r>
      <w:r>
        <w:rPr>
          <w:rStyle w:val="27"/>
          <w:rFonts w:hint="eastAsia" w:ascii="仿宋" w:hAnsi="仿宋" w:eastAsia="仿宋" w:cs="宋体"/>
          <w:sz w:val="32"/>
          <w:szCs w:val="32"/>
        </w:rPr>
        <w:t>http://ggzy.xuchang.gov.cn</w:t>
      </w:r>
      <w:r>
        <w:rPr>
          <w:rStyle w:val="27"/>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自行下载询价文件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spacing w:line="44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3、未通过全国公共资源交易平台（河南省·许昌市）下载询价文件的投标企业，拒收其递交的投标文件。</w:t>
      </w:r>
    </w:p>
    <w:p>
      <w:pPr>
        <w:spacing w:line="440" w:lineRule="exact"/>
        <w:ind w:firstLine="640"/>
        <w:rPr>
          <w:rFonts w:ascii="仿宋" w:hAnsi="仿宋" w:eastAsia="仿宋" w:cs="仿宋_GB2312"/>
          <w:sz w:val="32"/>
          <w:szCs w:val="32"/>
        </w:rPr>
      </w:pPr>
      <w:r>
        <w:rPr>
          <w:rFonts w:hint="eastAsia" w:ascii="仿宋" w:hAnsi="仿宋" w:eastAsia="仿宋" w:cs="仿宋_GB2312"/>
          <w:sz w:val="32"/>
          <w:szCs w:val="32"/>
        </w:rPr>
        <w:t>4、询价文件每份售价人民币300元（开标现场现金收取），于递交投标文件时缴纳给采购代理机构，售后不退。</w:t>
      </w:r>
    </w:p>
    <w:p>
      <w:pPr>
        <w:widowControl/>
        <w:shd w:val="clear" w:color="auto" w:fill="FFFFFF"/>
        <w:spacing w:line="440" w:lineRule="exact"/>
        <w:ind w:firstLine="482"/>
        <w:jc w:val="left"/>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询价</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询价</w:t>
      </w:r>
      <w:r>
        <w:rPr>
          <w:rFonts w:ascii="黑体" w:hAnsi="黑体" w:eastAsia="黑体" w:cs="Arial"/>
          <w:color w:val="000000"/>
          <w:kern w:val="0"/>
          <w:sz w:val="32"/>
          <w:szCs w:val="32"/>
        </w:rPr>
        <w:t>时间及地点：</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1、询价</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询价</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11</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6</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15:00</w:t>
      </w:r>
      <w:r>
        <w:rPr>
          <w:rFonts w:ascii="仿宋" w:hAnsi="仿宋" w:eastAsia="仿宋" w:cs="Arial"/>
          <w:color w:val="000000"/>
          <w:kern w:val="0"/>
          <w:sz w:val="32"/>
          <w:szCs w:val="32"/>
        </w:rPr>
        <w:t>（北京时间），逾期送达或不符合规定的投标文件不予接受。</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2、询价</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w:t>
      </w:r>
      <w:r>
        <w:rPr>
          <w:rFonts w:hint="eastAsia" w:ascii="仿宋" w:hAnsi="仿宋" w:eastAsia="仿宋" w:cs="仿宋"/>
          <w:color w:val="000000"/>
          <w:kern w:val="0"/>
          <w:sz w:val="32"/>
          <w:szCs w:val="32"/>
        </w:rPr>
        <w:t>女士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val="en-US" w:eastAsia="zh-CN"/>
        </w:rPr>
        <w:t>文化广电和旅游局</w:t>
      </w:r>
      <w:r>
        <w:rPr>
          <w:rFonts w:ascii="仿宋" w:hAnsi="仿宋" w:eastAsia="仿宋" w:cs="仿宋"/>
          <w:sz w:val="32"/>
          <w:szCs w:val="32"/>
        </w:rPr>
        <w:t xml:space="preserve"> </w:t>
      </w:r>
    </w:p>
    <w:p>
      <w:pPr>
        <w:widowControl/>
        <w:shd w:val="clear" w:color="auto" w:fill="FFFFFF"/>
        <w:spacing w:line="400" w:lineRule="exact"/>
        <w:ind w:firstLine="960" w:firstLineChars="3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禹王大道</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周女士</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13803743997</w:t>
      </w:r>
    </w:p>
    <w:p>
      <w:pPr>
        <w:spacing w:line="44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40" w:lineRule="exact"/>
        <w:ind w:firstLine="6080" w:firstLineChars="1900"/>
        <w:rPr>
          <w:rFonts w:ascii="仿宋" w:hAnsi="仿宋" w:eastAsia="仿宋" w:cs="仿宋"/>
          <w:sz w:val="32"/>
          <w:szCs w:val="32"/>
        </w:rPr>
      </w:pPr>
    </w:p>
    <w:p>
      <w:pPr>
        <w:spacing w:line="44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widowControl/>
        <w:shd w:val="clear" w:color="auto" w:fill="FFFFFF"/>
        <w:spacing w:line="440" w:lineRule="exact"/>
        <w:jc w:val="left"/>
        <w:rPr>
          <w:rFonts w:ascii="仿宋" w:hAnsi="仿宋" w:eastAsia="仿宋" w:cs="Arial"/>
          <w:color w:val="000000"/>
          <w:kern w:val="0"/>
          <w:sz w:val="32"/>
          <w:szCs w:val="32"/>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both"/>
        <w:rPr>
          <w:rFonts w:cs="宋体" w:asciiTheme="majorEastAsia" w:hAnsiTheme="majorEastAsia" w:eastAsiaTheme="majorEastAsia"/>
          <w:b/>
          <w:kern w:val="0"/>
          <w:sz w:val="32"/>
          <w:szCs w:val="32"/>
        </w:rPr>
      </w:pPr>
    </w:p>
    <w:p>
      <w:pPr>
        <w:jc w:val="both"/>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（一）、产品性能及配置要求：</w:t>
      </w:r>
    </w:p>
    <w:tbl>
      <w:tblPr>
        <w:tblStyle w:val="22"/>
        <w:tblpPr w:leftFromText="180" w:rightFromText="180" w:vertAnchor="text" w:horzAnchor="page" w:tblpXSpec="center" w:tblpY="270"/>
        <w:tblOverlap w:val="never"/>
        <w:tblW w:w="7890" w:type="dxa"/>
        <w:jc w:val="center"/>
        <w:tblInd w:w="943" w:type="dxa"/>
        <w:shd w:val="clear" w:color="auto" w:fill="auto"/>
        <w:tblLayout w:type="fixed"/>
        <w:tblCellMar>
          <w:top w:w="0" w:type="dxa"/>
          <w:left w:w="0" w:type="dxa"/>
          <w:bottom w:w="0" w:type="dxa"/>
          <w:right w:w="0" w:type="dxa"/>
        </w:tblCellMar>
      </w:tblPr>
      <w:tblGrid>
        <w:gridCol w:w="1260"/>
        <w:gridCol w:w="2475"/>
        <w:gridCol w:w="4155"/>
      </w:tblGrid>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序号</w:t>
            </w:r>
          </w:p>
        </w:tc>
        <w:tc>
          <w:tcPr>
            <w:tcW w:w="24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项目</w:t>
            </w:r>
          </w:p>
        </w:tc>
        <w:tc>
          <w:tcPr>
            <w:tcW w:w="41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要求</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产品尺寸</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≦1950×760×880</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总容积/有效容积</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≧710L</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3</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温度范围℃</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≦-18℃</w:t>
            </w:r>
          </w:p>
        </w:tc>
      </w:tr>
      <w:tr>
        <w:tblPrEx>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能耗等级</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商用一级</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5</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标准耗电量</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3.5（KW.h/24H）</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6</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内胆材质</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预涂钢板</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7</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蒸发管材质</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铜管</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8</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冷凝方式</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风冷</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9</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冷凝管材质</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铜管</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10</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压缩机品牌</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名牌压缩机</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11</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制冷性能</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符合国家要求</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12</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电源</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220/50Hz</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13</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制冷剂</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R290</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14</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门锁</w:t>
            </w: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有</w:t>
            </w:r>
          </w:p>
        </w:tc>
      </w:tr>
      <w:tr>
        <w:tblPrEx>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15</w:t>
            </w:r>
          </w:p>
        </w:tc>
        <w:tc>
          <w:tcPr>
            <w:tcW w:w="2475" w:type="dxa"/>
            <w:tcBorders>
              <w:top w:val="nil"/>
              <w:left w:val="nil"/>
              <w:bottom w:val="nil"/>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防触电保护类型</w:t>
            </w:r>
          </w:p>
        </w:tc>
        <w:tc>
          <w:tcPr>
            <w:tcW w:w="4155" w:type="dxa"/>
            <w:tcBorders>
              <w:top w:val="nil"/>
              <w:left w:val="nil"/>
              <w:bottom w:val="nil"/>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I</w:t>
            </w:r>
          </w:p>
        </w:tc>
      </w:tr>
      <w:tr>
        <w:tblPrEx>
          <w:shd w:val="clear" w:color="auto" w:fill="auto"/>
          <w:tblLayout w:type="fixed"/>
          <w:tblCellMar>
            <w:top w:w="0" w:type="dxa"/>
            <w:left w:w="0" w:type="dxa"/>
            <w:bottom w:w="0" w:type="dxa"/>
            <w:right w:w="0" w:type="dxa"/>
          </w:tblCellMar>
        </w:tblPrEx>
        <w:trPr>
          <w:trHeight w:val="400" w:hRule="atLeast"/>
          <w:jc w:val="center"/>
        </w:trPr>
        <w:tc>
          <w:tcPr>
            <w:tcW w:w="12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p>
        </w:tc>
        <w:tc>
          <w:tcPr>
            <w:tcW w:w="41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p>
        </w:tc>
      </w:tr>
    </w:tbl>
    <w:p>
      <w:pPr>
        <w:spacing w:line="360" w:lineRule="auto"/>
        <w:ind w:firstLine="480" w:firstLineChars="200"/>
        <w:contextualSpacing/>
        <w:rPr>
          <w:rFonts w:hint="eastAsia" w:cs="仿宋_GB2312" w:asciiTheme="minorEastAsia" w:hAnsiTheme="minorEastAsia"/>
          <w:sz w:val="24"/>
          <w:szCs w:val="24"/>
          <w:lang w:val="zh-CN"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（二）、样式：</w:t>
      </w:r>
    </w:p>
    <w:p>
      <w:pPr>
        <w:spacing w:line="360" w:lineRule="auto"/>
        <w:contextualSpacing/>
        <w:rPr>
          <w:rFonts w:cs="微软雅黑" w:asciiTheme="minorEastAsia" w:hAnsiTheme="minorEastAsia"/>
          <w:b/>
          <w:sz w:val="24"/>
          <w:szCs w:val="24"/>
        </w:rPr>
      </w:pPr>
      <w:r>
        <w:rPr>
          <w:rFonts w:hint="eastAsia" w:cs="微软雅黑" w:asciiTheme="minorEastAsia" w:hAnsiTheme="minorEastAsia"/>
          <w:b/>
          <w:sz w:val="24"/>
          <w:szCs w:val="24"/>
          <w:lang w:val="en-US" w:eastAsia="zh-CN"/>
        </w:rPr>
        <w:t xml:space="preserve">        </w:t>
      </w:r>
      <w:r>
        <w:rPr>
          <w:rFonts w:hint="eastAsia" w:cs="微软雅黑" w:asciiTheme="minorEastAsia" w:hAnsiTheme="minorEastAsia"/>
          <w:b/>
          <w:sz w:val="24"/>
          <w:szCs w:val="24"/>
          <w:lang w:val="en-US" w:eastAsia="zh-CN"/>
        </w:rPr>
        <w:drawing>
          <wp:inline distT="0" distB="0" distL="114300" distR="114300">
            <wp:extent cx="3649345" cy="2791460"/>
            <wp:effectExtent l="0" t="0" r="8255" b="8890"/>
            <wp:docPr id="2" name="图片 2" descr="1567124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67124737(1)"/>
                    <pic:cNvPicPr>
                      <a:picLocks noChangeAspect="1"/>
                    </pic:cNvPicPr>
                  </pic:nvPicPr>
                  <pic:blipFill>
                    <a:blip r:embed="rId5"/>
                    <a:stretch>
                      <a:fillRect/>
                    </a:stretch>
                  </pic:blipFill>
                  <pic:spPr>
                    <a:xfrm>
                      <a:off x="0" y="0"/>
                      <a:ext cx="3649345" cy="2791460"/>
                    </a:xfrm>
                    <a:prstGeom prst="rect">
                      <a:avLst/>
                    </a:prstGeom>
                  </pic:spPr>
                </pic:pic>
              </a:graphicData>
            </a:graphic>
          </wp:inline>
        </w:drawing>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default" w:ascii="宋体" w:cs="宋体"/>
          <w:sz w:val="24"/>
          <w:lang w:val="en-US" w:eastAsia="zh-CN"/>
        </w:rPr>
      </w:pPr>
      <w:r>
        <w:rPr>
          <w:rFonts w:hint="eastAsia" w:ascii="宋体" w:cs="宋体"/>
          <w:sz w:val="24"/>
          <w:lang w:val="zh-CN" w:eastAsia="zh-CN"/>
        </w:rPr>
        <w:t>投标人提供的产品属市场占有率高的知名品牌，必须满足招标方的要求全新现货，产品质量稳定且符合国家和有关部门质量检测标准，所投标产品必须具有生产许可证。交货方式及运费承担：汽运或零担；中标方负责运输费用。质保期：</w:t>
      </w:r>
      <w:r>
        <w:rPr>
          <w:rFonts w:hint="eastAsia" w:ascii="宋体" w:cs="宋体"/>
          <w:sz w:val="24"/>
          <w:lang w:val="en-US" w:eastAsia="zh-CN"/>
        </w:rPr>
        <w:t>整机1年，压缩机3年。</w:t>
      </w:r>
      <w:bookmarkStart w:id="0" w:name="_GoBack"/>
      <w:bookmarkEnd w:id="0"/>
    </w:p>
    <w:p>
      <w:pPr>
        <w:wordWrap w:val="0"/>
        <w:topLinePunct/>
        <w:spacing w:line="360" w:lineRule="auto"/>
        <w:rPr>
          <w:rFonts w:hint="eastAsia" w:ascii="宋体" w:cs="宋体"/>
          <w:sz w:val="24"/>
          <w:lang w:val="zh-CN"/>
        </w:rPr>
      </w:pP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六、付款方式</w:t>
      </w:r>
      <w:r>
        <w:rPr>
          <w:rFonts w:hint="eastAsia" w:cs="宋体" w:asciiTheme="minorEastAsia" w:hAnsiTheme="minorEastAsia"/>
          <w:b/>
          <w:color w:val="000000"/>
          <w:kern w:val="0"/>
          <w:sz w:val="24"/>
          <w:szCs w:val="24"/>
        </w:rPr>
        <w:t xml:space="preserve"> ：以签订合同为准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 禹州市</w:t>
            </w:r>
            <w:r>
              <w:rPr>
                <w:rFonts w:hint="eastAsia" w:cs="仿宋_GB2312" w:asciiTheme="minorEastAsia" w:hAnsiTheme="minorEastAsia"/>
                <w:szCs w:val="21"/>
                <w:lang w:val="en-US" w:eastAsia="zh-CN"/>
              </w:rPr>
              <w:t>文化广电和旅游局星级农家乐奖励</w:t>
            </w:r>
            <w:r>
              <w:rPr>
                <w:rFonts w:hint="eastAsia" w:cs="仿宋_GB2312" w:asciiTheme="minorEastAsia" w:hAnsiTheme="minorEastAsia"/>
                <w:szCs w:val="21"/>
              </w:rPr>
              <w:t>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cs="仿宋_GB2312" w:asciiTheme="minorEastAsia" w:hAnsiTheme="minorEastAsia"/>
                <w:szCs w:val="21"/>
              </w:rPr>
              <w:t>YZCG-</w:t>
            </w:r>
            <w:r>
              <w:rPr>
                <w:rFonts w:hint="eastAsia" w:cs="仿宋_GB2312" w:asciiTheme="minorEastAsia" w:hAnsiTheme="minorEastAsia"/>
                <w:szCs w:val="21"/>
              </w:rPr>
              <w:t>X2019</w:t>
            </w:r>
            <w:r>
              <w:rPr>
                <w:rFonts w:hint="eastAsia" w:cs="仿宋_GB2312" w:asciiTheme="minorEastAsia" w:hAnsiTheme="minorEastAsia"/>
                <w:szCs w:val="21"/>
                <w:lang w:val="en-US" w:eastAsia="zh-CN"/>
              </w:rPr>
              <w:t>275</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文化广电和旅游局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  </w:t>
            </w:r>
            <w:r>
              <w:rPr>
                <w:rFonts w:hint="eastAsia" w:cs="仿宋_GB2312" w:asciiTheme="minorEastAsia" w:hAnsiTheme="minorEastAsia"/>
                <w:szCs w:val="21"/>
                <w:lang w:val="en-US" w:eastAsia="zh-CN"/>
              </w:rPr>
              <w:t>周女士</w:t>
            </w:r>
            <w:r>
              <w:rPr>
                <w:rFonts w:hint="eastAsia" w:cs="仿宋_GB2312" w:asciiTheme="minorEastAsia" w:hAnsiTheme="minorEastAsia"/>
                <w:szCs w:val="21"/>
              </w:rPr>
              <w:t xml:space="preserve">   联系电话：</w:t>
            </w:r>
            <w:r>
              <w:rPr>
                <w:rFonts w:hint="eastAsia" w:cs="仿宋_GB2312" w:asciiTheme="minorEastAsia" w:hAnsiTheme="minorEastAsia"/>
                <w:szCs w:val="21"/>
                <w:lang w:val="en-US" w:eastAsia="zh-CN"/>
              </w:rPr>
              <w:t>13803743997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地址：禹州市禹王大道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32</w:t>
            </w:r>
            <w:r>
              <w:rPr>
                <w:rFonts w:hint="eastAsia" w:cs="宋体" w:asciiTheme="minorEastAsia" w:hAnsiTheme="minorEastAsia"/>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6</w:t>
            </w:r>
            <w:r>
              <w:rPr>
                <w:rFonts w:hint="eastAsia" w:cs="宋体" w:asciiTheme="minorEastAsia" w:hAnsiTheme="minorEastAsia"/>
                <w:bCs/>
                <w:szCs w:val="21"/>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rPr>
              <w:t xml:space="preserve"> </w:t>
            </w:r>
            <w:r>
              <w:rPr>
                <w:rFonts w:hint="eastAsia" w:cs="宋体" w:asciiTheme="minorEastAsia" w:hAnsiTheme="minorEastAsia"/>
                <w:bCs/>
                <w:szCs w:val="21"/>
                <w:lang w:val="en-US" w:eastAsia="zh-CN"/>
              </w:rPr>
              <w:t>15</w:t>
            </w:r>
            <w:r>
              <w:rPr>
                <w:rFonts w:hint="eastAsia" w:cs="宋体" w:asciiTheme="minorEastAsia" w:hAnsiTheme="minorEastAsia"/>
                <w:bCs/>
                <w:szCs w:val="21"/>
              </w:rPr>
              <w:t xml:space="preserve">：00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rPr>
              <w:t>2077000</w:t>
            </w:r>
            <w:r>
              <w:rPr>
                <w:rFonts w:hint="eastAsia" w:cs="宋体" w:asciiTheme="minorEastAsia" w:hAnsiTheme="minorEastAsia"/>
                <w:bCs/>
                <w:szCs w:val="21"/>
                <w:lang w:val="zh-CN"/>
              </w:rPr>
              <w:t>；邮箱：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除询价文件费用外，不收取费用。</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1"/>
        </w:numPr>
        <w:autoSpaceDE w:val="0"/>
        <w:autoSpaceDN w:val="0"/>
        <w:spacing w:line="360" w:lineRule="auto"/>
        <w:ind w:firstLineChars="0"/>
        <w:contextualSpacing/>
        <w:rPr>
          <w:rFonts w:hint="eastAsia" w:ascii="ˎ̥" w:hAnsi="ˎ̥"/>
          <w:vanish/>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134F19"/>
    <w:multiLevelType w:val="multilevel"/>
    <w:tmpl w:val="48134F1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5A051E9E"/>
    <w:multiLevelType w:val="singleLevel"/>
    <w:tmpl w:val="5A051E9E"/>
    <w:lvl w:ilvl="0" w:tentative="0">
      <w:start w:val="1"/>
      <w:numFmt w:val="chineseCounting"/>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4"/>
  </w:num>
  <w:num w:numId="5">
    <w:abstractNumId w:val="12"/>
  </w:num>
  <w:num w:numId="6">
    <w:abstractNumId w:val="9"/>
  </w:num>
  <w:num w:numId="7">
    <w:abstractNumId w:val="15"/>
  </w:num>
  <w:num w:numId="8">
    <w:abstractNumId w:val="7"/>
  </w:num>
  <w:num w:numId="9">
    <w:abstractNumId w:val="2"/>
  </w:num>
  <w:num w:numId="10">
    <w:abstractNumId w:val="8"/>
  </w:num>
  <w:num w:numId="11">
    <w:abstractNumId w:val="10"/>
  </w:num>
  <w:num w:numId="12">
    <w:abstractNumId w:val="18"/>
  </w:num>
  <w:num w:numId="13">
    <w:abstractNumId w:val="6"/>
  </w:num>
  <w:num w:numId="14">
    <w:abstractNumId w:val="3"/>
  </w:num>
  <w:num w:numId="15">
    <w:abstractNumId w:val="16"/>
  </w:num>
  <w:num w:numId="16">
    <w:abstractNumId w:val="11"/>
  </w:num>
  <w:num w:numId="17">
    <w:abstractNumId w:val="5"/>
  </w:num>
  <w:num w:numId="18">
    <w:abstractNumId w:val="17"/>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AB7E7D"/>
    <w:rsid w:val="053F5432"/>
    <w:rsid w:val="064E7C45"/>
    <w:rsid w:val="08C110A9"/>
    <w:rsid w:val="0B463D03"/>
    <w:rsid w:val="0C4C440E"/>
    <w:rsid w:val="0CAE7D79"/>
    <w:rsid w:val="0F492F98"/>
    <w:rsid w:val="100B4F00"/>
    <w:rsid w:val="14214638"/>
    <w:rsid w:val="149819C8"/>
    <w:rsid w:val="15EE44D7"/>
    <w:rsid w:val="197B011F"/>
    <w:rsid w:val="1AAF6502"/>
    <w:rsid w:val="1BC27E34"/>
    <w:rsid w:val="1C317F37"/>
    <w:rsid w:val="1C527EEE"/>
    <w:rsid w:val="1D90357B"/>
    <w:rsid w:val="21DF17AC"/>
    <w:rsid w:val="22B643D4"/>
    <w:rsid w:val="25720679"/>
    <w:rsid w:val="27B5253B"/>
    <w:rsid w:val="29F9408A"/>
    <w:rsid w:val="2C2E4C48"/>
    <w:rsid w:val="2D5F028F"/>
    <w:rsid w:val="2E8D15FA"/>
    <w:rsid w:val="2F344697"/>
    <w:rsid w:val="2F45482D"/>
    <w:rsid w:val="2F477084"/>
    <w:rsid w:val="305F0D15"/>
    <w:rsid w:val="307D673F"/>
    <w:rsid w:val="318C2EA9"/>
    <w:rsid w:val="326B6CB0"/>
    <w:rsid w:val="32B20743"/>
    <w:rsid w:val="35306958"/>
    <w:rsid w:val="35B62091"/>
    <w:rsid w:val="37C55007"/>
    <w:rsid w:val="391E6950"/>
    <w:rsid w:val="3A1A525E"/>
    <w:rsid w:val="3B380893"/>
    <w:rsid w:val="3D96637E"/>
    <w:rsid w:val="3F8576E9"/>
    <w:rsid w:val="43522E59"/>
    <w:rsid w:val="46366161"/>
    <w:rsid w:val="46E35449"/>
    <w:rsid w:val="473960E8"/>
    <w:rsid w:val="485128BA"/>
    <w:rsid w:val="49574371"/>
    <w:rsid w:val="4D005CCE"/>
    <w:rsid w:val="505F0174"/>
    <w:rsid w:val="51352836"/>
    <w:rsid w:val="52523F58"/>
    <w:rsid w:val="544C0545"/>
    <w:rsid w:val="56262F54"/>
    <w:rsid w:val="57E14B71"/>
    <w:rsid w:val="58A31F4C"/>
    <w:rsid w:val="5BC86218"/>
    <w:rsid w:val="5CB139A0"/>
    <w:rsid w:val="60AD7F6C"/>
    <w:rsid w:val="614E3A65"/>
    <w:rsid w:val="6321107C"/>
    <w:rsid w:val="67341FB4"/>
    <w:rsid w:val="69FB4D8B"/>
    <w:rsid w:val="6D32159C"/>
    <w:rsid w:val="70564660"/>
    <w:rsid w:val="755E1E93"/>
    <w:rsid w:val="75AB4839"/>
    <w:rsid w:val="763A3042"/>
    <w:rsid w:val="767C5E46"/>
    <w:rsid w:val="76B625A7"/>
    <w:rsid w:val="78AF68A0"/>
    <w:rsid w:val="7C347A99"/>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A8C7-BE3A-40F6-A851-B98E8C9BA6A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4262</Words>
  <Characters>24298</Characters>
  <Lines>202</Lines>
  <Paragraphs>57</Paragraphs>
  <TotalTime>28</TotalTime>
  <ScaleCrop>false</ScaleCrop>
  <LinksUpToDate>false</LinksUpToDate>
  <CharactersWithSpaces>28503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禹州市公共资源交易中心:李柯</cp:lastModifiedBy>
  <cp:lastPrinted>2019-08-09T02:20:00Z</cp:lastPrinted>
  <dcterms:modified xsi:type="dcterms:W3CDTF">2019-10-23T02:06:36Z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