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kinsoku/>
        <w:wordWrap/>
        <w:overflowPunct/>
        <w:topLinePunct w:val="0"/>
        <w:autoSpaceDE/>
        <w:autoSpaceDN/>
        <w:bidi w:val="0"/>
        <w:adjustRightInd/>
        <w:snapToGrid/>
        <w:spacing w:line="360" w:lineRule="auto"/>
        <w:ind w:firstLine="442" w:firstLineChars="100"/>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禹州市森林城市总体规划</w:t>
      </w:r>
    </w:p>
    <w:p>
      <w:pPr>
        <w:pStyle w:val="29"/>
        <w:keepNext w:val="0"/>
        <w:keepLines w:val="0"/>
        <w:pageBreakBefore w:val="0"/>
        <w:widowControl w:val="0"/>
        <w:kinsoku/>
        <w:wordWrap/>
        <w:overflowPunct/>
        <w:topLinePunct w:val="0"/>
        <w:autoSpaceDE/>
        <w:autoSpaceDN/>
        <w:bidi w:val="0"/>
        <w:adjustRightInd/>
        <w:snapToGrid/>
        <w:spacing w:line="360" w:lineRule="auto"/>
        <w:ind w:firstLine="442" w:firstLineChars="100"/>
        <w:jc w:val="center"/>
        <w:textAlignment w:val="auto"/>
        <w:rPr>
          <w:rFonts w:hint="eastAsia" w:ascii="仿宋" w:hAnsi="仿宋" w:eastAsia="仿宋" w:cs="仿宋"/>
          <w:color w:val="000000"/>
          <w:sz w:val="44"/>
          <w:szCs w:val="44"/>
        </w:rPr>
      </w:pPr>
      <w:r>
        <w:rPr>
          <w:rFonts w:hint="eastAsia" w:ascii="仿宋" w:hAnsi="仿宋" w:eastAsia="仿宋" w:cs="仿宋"/>
          <w:b/>
          <w:bCs/>
          <w:sz w:val="44"/>
          <w:szCs w:val="44"/>
          <w:lang w:eastAsia="zh-CN"/>
        </w:rPr>
        <w:t>和森林特色小镇规划设计费</w:t>
      </w:r>
    </w:p>
    <w:p>
      <w:pPr>
        <w:pStyle w:val="29"/>
        <w:rPr>
          <w:rFonts w:hint="eastAsia" w:ascii="仿宋" w:hAnsi="仿宋" w:eastAsia="仿宋" w:cs="仿宋"/>
          <w:color w:val="000000"/>
          <w:sz w:val="44"/>
          <w:szCs w:val="44"/>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采购单位：禹州市林业发展中心</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252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禹州市森林城市总体规划和森林特色小镇规划设计费</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numPr>
          <w:ilvl w:val="0"/>
          <w:numId w:val="0"/>
        </w:numPr>
        <w:ind w:left="288" w:leftChars="0"/>
        <w:rPr>
          <w:rFonts w:hint="eastAsia"/>
        </w:rPr>
      </w:pPr>
    </w:p>
    <w:p>
      <w:pPr>
        <w:keepNext w:val="0"/>
        <w:keepLines w:val="0"/>
        <w:pageBreakBefore w:val="0"/>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禹州市政府采购中心受禹州市林业发展中心的委托，就“禹州市森林城市总体规划和森林特色小镇规划设计费”进行公开招标，欢迎合格的投标人前来投标。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400" w:lineRule="exact"/>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林业发展中心</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项目名称：禹州市森林城市总体规划和森林特色小镇规划设计费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252</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禹州市森林城市总体规划和森林特色小镇规划设计</w:t>
      </w:r>
      <w:r>
        <w:rPr>
          <w:rFonts w:hint="eastAsia" w:ascii="新宋体" w:hAnsi="新宋体" w:eastAsia="新宋体" w:cs="新宋体"/>
          <w:color w:val="000000"/>
          <w:kern w:val="0"/>
          <w:sz w:val="24"/>
          <w:szCs w:val="24"/>
        </w:rPr>
        <w:t>（详见招标文件）</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173.91</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173.91</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，具有独立企业法人资格且具备相应经营范围</w:t>
      </w:r>
      <w:r>
        <w:rPr>
          <w:rFonts w:hint="eastAsia" w:ascii="新宋体" w:hAnsi="新宋体" w:eastAsia="新宋体" w:cs="新宋体"/>
          <w:sz w:val="24"/>
          <w:szCs w:val="24"/>
        </w:rPr>
        <w:t>；</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2、投标人须具有林业调查规划设计丙级及以上资质，拟派项目负责人具有林业工程类高级及以上技术职称；</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21</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联系人：艾先生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联系电话：0374-2077111</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eastAsia="zh-CN"/>
        </w:rPr>
        <w:t>林业发展中心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禹州市禹王大道</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eastAsia="zh-CN"/>
        </w:rPr>
        <w:t>李</w:t>
      </w:r>
      <w:r>
        <w:rPr>
          <w:rFonts w:hint="eastAsia" w:ascii="新宋体" w:hAnsi="新宋体" w:eastAsia="新宋体" w:cs="新宋体"/>
          <w:sz w:val="24"/>
          <w:szCs w:val="24"/>
        </w:rPr>
        <w:t>先生   联系电话：</w:t>
      </w:r>
      <w:r>
        <w:rPr>
          <w:rFonts w:hint="eastAsia" w:ascii="新宋体" w:hAnsi="新宋体" w:eastAsia="新宋体" w:cs="新宋体"/>
          <w:sz w:val="24"/>
          <w:szCs w:val="24"/>
          <w:lang w:val="en-US" w:eastAsia="zh-CN"/>
        </w:rPr>
        <w:t>13503740998</w:t>
      </w:r>
    </w:p>
    <w:p>
      <w:pPr>
        <w:keepNext w:val="0"/>
        <w:keepLines w:val="0"/>
        <w:pageBreakBefore w:val="0"/>
        <w:kinsoku/>
        <w:overflowPunct/>
        <w:bidi w:val="0"/>
        <w:spacing w:line="40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00" w:lineRule="exact"/>
        <w:ind w:firstLine="5760" w:firstLineChars="2400"/>
        <w:textAlignment w:val="auto"/>
        <w:rPr>
          <w:rFonts w:hint="eastAsia" w:ascii="仿宋" w:hAnsi="仿宋" w:eastAsia="仿宋" w:cs="仿宋"/>
          <w:b/>
          <w:bCs/>
          <w:sz w:val="36"/>
          <w:szCs w:val="36"/>
        </w:rPr>
      </w:pP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 xml:space="preserve"> 10</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23 </w:t>
      </w:r>
      <w:r>
        <w:rPr>
          <w:rFonts w:hint="eastAsia" w:ascii="新宋体" w:hAnsi="新宋体" w:eastAsia="新宋体" w:cs="新宋体"/>
          <w:sz w:val="24"/>
          <w:szCs w:val="24"/>
        </w:rPr>
        <w:t>日</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6"/>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1"/>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 xml:space="preserve"> 禹州市省级森林城市总体规划、禹州森林小镇总体规划（四个）。质量要求：符合河南省绿化委员会 河南省林业局《关于着力开展河南省森林城市建设的指导意见》（豫绿〔2019〕1号）、河南省绿化委员会 河南省林业局《关于印发省级森林城市申报考核办法、评价指标、总体规划编制技术要点和森林特色小镇申报考核办法的通知》（豫绿〔2019〕2号）等文件要求，并通过有关部门专家组评审。</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560" w:lineRule="exact"/>
        <w:ind w:left="0" w:leftChars="0" w:firstLine="600" w:firstLineChars="0"/>
        <w:jc w:val="both"/>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项目概况及</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600" w:leftChars="0"/>
        <w:jc w:val="both"/>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1.项目概况：禹州市森林城市总体规划为全市区域范围内的森林城市总体规划；禹州森林特色小镇总体规划包括神垕镇、鸠山镇、方岗镇和鸿畅镇等4个乡镇的森林特色小镇规划。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jc w:val="both"/>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采购内容：禹州市森林城市总体规划和禹州森林特色小镇总体规划（四个）。包括：禹州市森林资源规划设计（补充）调查、禹州市省级森林城市总体规划、禹州森林小镇总体规划（四个）文本编制。每样文本各10套及电子版，包括文本、表、图等。</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cs="宋体" w:asciiTheme="minorEastAsia" w:hAnsiTheme="minorEastAsia" w:eastAsiaTheme="minorEastAsia"/>
          <w:kern w:val="0"/>
          <w:sz w:val="24"/>
          <w:szCs w:val="24"/>
          <w:lang w:val="en-US" w:eastAsia="zh-CN" w:bidi="ar-SA"/>
        </w:rPr>
        <w:t>达到国家、行业、地方政府有关法律法规及技术规范要求，并通过有关部门审查。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r>
        <w:rPr>
          <w:rFonts w:hint="eastAsia" w:cs="宋体" w:asciiTheme="minorEastAsia" w:hAnsiTheme="minorEastAsia" w:eastAsiaTheme="minorEastAsia"/>
          <w:kern w:val="0"/>
          <w:sz w:val="24"/>
          <w:szCs w:val="24"/>
          <w:lang w:val="en-US" w:eastAsia="zh-CN" w:bidi="ar-SA"/>
        </w:rPr>
        <w:t>符合河南省绿化委员会 河南省林业局《关于着力开展河南省森林城市建设的指导意见》（豫绿〔2019〕1号）、河南省绿化委员会 河南省林业局《关于印发省级森林城市申报考核办法、评价指标、总体规划编制技术要点和森林特色小镇申报考核办法的通知》（豫绿〔2019〕2号）等文件要求。成果要求：禹州市省级森林城市总体规划、禹州森林小镇总体规划（四个）文本编制。每样文本各10套及电子版，包括文本、表、图等。服务期限：签订合同后30日历天。</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9"/>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9"/>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项目名称：禹州市森林城市总体规划和森林特色小镇规划设计费</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YZCG-G2019252</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签订合同后30日历天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名称：禹州市林业发展中心</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联系人：李先生                    电话：</w:t>
            </w:r>
            <w:r>
              <w:rPr>
                <w:rFonts w:hint="eastAsia" w:cs="仿宋_GB2312" w:asciiTheme="minorEastAsia" w:hAnsiTheme="minorEastAsia"/>
                <w:szCs w:val="21"/>
                <w:lang w:val="en-US" w:eastAsia="zh-CN"/>
              </w:rPr>
              <w:t>13503740998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widowControl/>
              <w:shd w:val="clear" w:color="auto" w:fill="FFFFFF"/>
              <w:kinsoku/>
              <w:overflowPunct/>
              <w:bidi w:val="0"/>
              <w:spacing w:line="400" w:lineRule="exact"/>
              <w:jc w:val="left"/>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w:t>
            </w:r>
            <w:r>
              <w:rPr>
                <w:rFonts w:hint="eastAsia"/>
                <w:lang w:val="en-US" w:eastAsia="zh-CN"/>
              </w:rPr>
              <w:t>1、投标人须具有林业调查规划设计丙级及以上资质，拟派项目负责人具有林业工程类高级及以上技术职称；</w:t>
            </w:r>
          </w:p>
          <w:p>
            <w:pPr>
              <w:pStyle w:val="21"/>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2、被委托人是须是本单位职工，须提供公司为本人缴纳社会保险证明。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173.91万元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w:t>
            </w:r>
            <w:bookmarkStart w:id="9" w:name="_GoBack"/>
            <w:bookmarkEnd w:id="9"/>
            <w:r>
              <w:rPr>
                <w:rFonts w:hint="eastAsia" w:ascii="新宋体" w:hAnsi="新宋体" w:eastAsia="新宋体"/>
                <w:sz w:val="24"/>
              </w:rPr>
              <w:t>、格式、水印码、签章应一致。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cs="仿宋_GB2312" w:asciiTheme="minorEastAsia" w:hAnsiTheme="minorEastAsia"/>
                <w:color w:val="000000"/>
                <w:szCs w:val="21"/>
                <w:lang w:val="en-US" w:eastAsia="zh-CN"/>
              </w:rPr>
              <w:t>投标人须具有林业调查规划设计丙级及以上资质，拟派项目负责人具有林业工程类高级及以上技术职称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34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1800"/>
        <w:gridCol w:w="5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p>
            <w:pPr>
              <w:jc w:val="center"/>
              <w:rPr>
                <w:rFonts w:hint="eastAsia" w:ascii="宋体" w:hAnsi="宋体"/>
              </w:rPr>
            </w:pPr>
            <w:r>
              <w:rPr>
                <w:rFonts w:hint="eastAsia" w:ascii="宋体" w:hAnsi="宋体"/>
              </w:rPr>
              <w:t>评分因素</w:t>
            </w:r>
          </w:p>
          <w:p>
            <w:pPr>
              <w:jc w:val="center"/>
              <w:rPr>
                <w:rFonts w:ascii="宋体" w:hAnsi="宋体"/>
              </w:rPr>
            </w:pPr>
          </w:p>
        </w:tc>
        <w:tc>
          <w:tcPr>
            <w:tcW w:w="18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rPr>
            </w:pPr>
            <w:r>
              <w:rPr>
                <w:rFonts w:hint="eastAsia" w:ascii="宋体" w:hAnsi="宋体"/>
              </w:rPr>
              <w:t>评分内容</w:t>
            </w:r>
          </w:p>
        </w:tc>
        <w:tc>
          <w:tcPr>
            <w:tcW w:w="5827" w:type="dxa"/>
            <w:tcBorders>
              <w:top w:val="single" w:color="000000" w:sz="4" w:space="0"/>
              <w:left w:val="nil"/>
              <w:bottom w:val="single" w:color="000000" w:sz="4" w:space="0"/>
              <w:right w:val="single" w:color="000000" w:sz="4" w:space="0"/>
            </w:tcBorders>
            <w:noWrap w:val="0"/>
            <w:vAlign w:val="center"/>
          </w:tcPr>
          <w:p>
            <w:pPr>
              <w:ind w:firstLine="1470" w:firstLineChars="700"/>
              <w:rPr>
                <w:rFonts w:ascii="宋体" w:hAnsi="宋体"/>
              </w:rPr>
            </w:pPr>
            <w:r>
              <w:rPr>
                <w:rFonts w:hint="eastAsia" w:ascii="宋体" w:hAnsi="宋体"/>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价格部分</w:t>
            </w:r>
          </w:p>
          <w:p>
            <w:pPr>
              <w:jc w:val="center"/>
              <w:rPr>
                <w:rFonts w:ascii="宋体" w:hAnsi="宋体"/>
              </w:rPr>
            </w:pPr>
            <w:r>
              <w:rPr>
                <w:rFonts w:hint="eastAsia" w:ascii="宋体" w:hAnsi="宋体"/>
              </w:rPr>
              <w:t>（</w:t>
            </w:r>
            <w:r>
              <w:rPr>
                <w:rFonts w:hint="eastAsia" w:ascii="宋体" w:hAnsi="宋体"/>
                <w:lang w:val="en-US" w:eastAsia="zh-CN"/>
              </w:rPr>
              <w:t>30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jc w:val="center"/>
              <w:rPr>
                <w:rFonts w:ascii="宋体" w:hAnsi="宋体"/>
              </w:rPr>
            </w:pPr>
            <w:r>
              <w:rPr>
                <w:rFonts w:hint="eastAsia" w:ascii="宋体" w:hAnsi="宋体"/>
              </w:rPr>
              <w:t>投标报价（</w:t>
            </w:r>
            <w:r>
              <w:rPr>
                <w:rFonts w:hint="eastAsia" w:ascii="宋体" w:hAnsi="宋体"/>
                <w:lang w:val="en-US" w:eastAsia="zh-CN"/>
              </w:rPr>
              <w:t>30</w:t>
            </w:r>
            <w:r>
              <w:rPr>
                <w:rFonts w:hint="eastAsia" w:ascii="宋体" w:hAnsi="宋体"/>
              </w:rPr>
              <w:t>分）</w:t>
            </w:r>
          </w:p>
        </w:tc>
        <w:tc>
          <w:tcPr>
            <w:tcW w:w="5827" w:type="dxa"/>
            <w:tcBorders>
              <w:top w:val="single" w:color="000000" w:sz="4" w:space="0"/>
              <w:left w:val="nil"/>
              <w:bottom w:val="single" w:color="000000" w:sz="4" w:space="0"/>
              <w:right w:val="single" w:color="000000" w:sz="4" w:space="0"/>
            </w:tcBorders>
            <w:noWrap w:val="0"/>
            <w:vAlign w:val="center"/>
          </w:tcPr>
          <w:p>
            <w:pPr>
              <w:spacing w:line="320" w:lineRule="exact"/>
              <w:ind w:firstLine="210" w:firstLineChars="100"/>
              <w:rPr>
                <w:rFonts w:hint="default" w:ascii="宋体" w:hAnsi="宋体" w:eastAsiaTheme="minorEastAsia"/>
                <w:lang w:val="en-US" w:eastAsia="zh-CN"/>
              </w:rPr>
            </w:pPr>
            <w:r>
              <w:rPr>
                <w:rFonts w:hint="eastAsia" w:ascii="宋体" w:hAnsi="宋体"/>
              </w:rPr>
              <w:t>价格分统一采用低价优先法计算，即满足招标文件要求且投标价格最低的投标报价为评标基准价，其价格分为满分。其他投标人的价格分统一按照下列公式计算：投标报价得分=（评标基准价/投标报价）×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lang w:val="en-US" w:eastAsia="zh-CN"/>
              </w:rPr>
              <w:t>30</w:t>
            </w:r>
          </w:p>
          <w:p>
            <w:pPr>
              <w:spacing w:line="320" w:lineRule="exact"/>
              <w:ind w:firstLine="210" w:firstLineChars="100"/>
              <w:rPr>
                <w:rFonts w:ascii="宋体" w:hAnsi="宋体"/>
                <w:b/>
                <w:bCs/>
              </w:rPr>
            </w:pPr>
            <w:r>
              <w:rPr>
                <w:rFonts w:hint="eastAsia" w:ascii="宋体" w:hAnsi="宋体"/>
              </w:rPr>
              <w:t>最终得分计算保留小数点两位。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1" w:hRule="atLeast"/>
        </w:trPr>
        <w:tc>
          <w:tcPr>
            <w:tcW w:w="1713" w:type="dxa"/>
            <w:tcBorders>
              <w:top w:val="nil"/>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商务部分</w:t>
            </w:r>
          </w:p>
          <w:p>
            <w:pPr>
              <w:jc w:val="center"/>
              <w:rPr>
                <w:rFonts w:ascii="宋体" w:hAnsi="宋体"/>
              </w:rPr>
            </w:pPr>
            <w:r>
              <w:rPr>
                <w:rFonts w:hint="eastAsia" w:ascii="宋体" w:hAnsi="宋体"/>
              </w:rPr>
              <w:t>（</w:t>
            </w:r>
            <w:r>
              <w:rPr>
                <w:rFonts w:hint="eastAsia" w:ascii="宋体" w:hAnsi="宋体"/>
                <w:lang w:val="en-US" w:eastAsia="zh-CN"/>
              </w:rPr>
              <w:t>30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企业业绩</w:t>
            </w:r>
          </w:p>
          <w:p>
            <w:pPr>
              <w:jc w:val="center"/>
              <w:rPr>
                <w:rFonts w:ascii="宋体" w:hAnsi="宋体"/>
              </w:rPr>
            </w:pPr>
            <w:r>
              <w:rPr>
                <w:rFonts w:hint="eastAsia" w:ascii="宋体" w:hAnsi="宋体"/>
              </w:rPr>
              <w:t>(30分）</w:t>
            </w:r>
          </w:p>
        </w:tc>
        <w:tc>
          <w:tcPr>
            <w:tcW w:w="5827" w:type="dxa"/>
            <w:tcBorders>
              <w:top w:val="single" w:color="000000" w:sz="4" w:space="0"/>
              <w:left w:val="nil"/>
              <w:bottom w:val="single" w:color="000000" w:sz="4" w:space="0"/>
              <w:right w:val="single" w:color="000000" w:sz="4" w:space="0"/>
            </w:tcBorders>
            <w:noWrap w:val="0"/>
            <w:vAlign w:val="center"/>
          </w:tcPr>
          <w:p>
            <w:pPr>
              <w:spacing w:line="320" w:lineRule="exact"/>
              <w:rPr>
                <w:rFonts w:ascii="宋体" w:hAnsi="宋体"/>
              </w:rPr>
            </w:pPr>
            <w:r>
              <w:rPr>
                <w:rFonts w:hint="eastAsia" w:ascii="宋体" w:hAnsi="宋体"/>
              </w:rPr>
              <w:t>投标企业2016年</w:t>
            </w:r>
            <w:r>
              <w:rPr>
                <w:rFonts w:hint="eastAsia" w:ascii="宋体" w:hAnsi="宋体"/>
                <w:lang w:val="en-US" w:eastAsia="zh-CN"/>
              </w:rPr>
              <w:t>1</w:t>
            </w:r>
            <w:r>
              <w:rPr>
                <w:rFonts w:hint="eastAsia" w:ascii="宋体" w:hAnsi="宋体"/>
              </w:rPr>
              <w:t>月1日以来完成过一个类似项目业绩，得5分，最多得30分。</w:t>
            </w:r>
            <w:r>
              <w:rPr>
                <w:rFonts w:hint="eastAsia" w:ascii="宋体" w:hAnsi="宋体"/>
                <w:spacing w:val="-3"/>
              </w:rPr>
              <w:t>（评标时以上传投标文件中合同复印件或扫描件为准。）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0"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技术部分</w:t>
            </w:r>
          </w:p>
          <w:p>
            <w:pPr>
              <w:jc w:val="center"/>
              <w:rPr>
                <w:rFonts w:ascii="宋体" w:hAnsi="宋体"/>
              </w:rPr>
            </w:pPr>
            <w:r>
              <w:rPr>
                <w:rFonts w:hint="eastAsia" w:ascii="宋体" w:hAnsi="宋体"/>
              </w:rPr>
              <w:t>（</w:t>
            </w:r>
            <w:r>
              <w:rPr>
                <w:rFonts w:hint="eastAsia" w:ascii="宋体" w:hAnsi="宋体"/>
                <w:lang w:val="en-US" w:eastAsia="zh-CN"/>
              </w:rPr>
              <w:t>30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Ansi="宋体" w:cs="宋体"/>
              </w:rPr>
            </w:pPr>
            <w:r>
              <w:rPr>
                <w:rFonts w:hint="eastAsia" w:hAnsi="宋体"/>
              </w:rPr>
              <w:t>实施方案</w:t>
            </w:r>
          </w:p>
          <w:p>
            <w:pPr>
              <w:widowControl/>
              <w:spacing w:line="360" w:lineRule="auto"/>
              <w:jc w:val="center"/>
              <w:rPr>
                <w:rFonts w:hAnsi="宋体" w:cs="宋体"/>
              </w:rPr>
            </w:pPr>
            <w:r>
              <w:rPr>
                <w:rFonts w:hint="eastAsia" w:hAnsi="宋体"/>
              </w:rPr>
              <w:t>（技术措施）</w:t>
            </w:r>
          </w:p>
          <w:p>
            <w:pPr>
              <w:jc w:val="center"/>
              <w:rPr>
                <w:rFonts w:ascii="宋体" w:hAnsi="宋体"/>
              </w:rPr>
            </w:pPr>
            <w:r>
              <w:rPr>
                <w:rFonts w:hint="eastAsia" w:ascii="宋体" w:hAnsi="宋体"/>
              </w:rPr>
              <w:t>（3</w:t>
            </w:r>
            <w:r>
              <w:rPr>
                <w:rFonts w:hint="eastAsia" w:ascii="宋体" w:hAnsi="宋体"/>
                <w:lang w:val="en-US" w:eastAsia="zh-CN"/>
              </w:rPr>
              <w:t>0</w:t>
            </w:r>
            <w:r>
              <w:rPr>
                <w:rFonts w:hint="eastAsia" w:ascii="宋体" w:hAnsi="宋体"/>
              </w:rPr>
              <w:t>分</w:t>
            </w:r>
            <w:r>
              <w:rPr>
                <w:rFonts w:hint="eastAsia" w:hAnsi="宋体"/>
              </w:rPr>
              <w:t>）</w:t>
            </w:r>
          </w:p>
        </w:tc>
        <w:tc>
          <w:tcPr>
            <w:tcW w:w="5827" w:type="dxa"/>
            <w:tcBorders>
              <w:top w:val="single" w:color="000000" w:sz="4" w:space="0"/>
              <w:left w:val="nil"/>
              <w:bottom w:val="single" w:color="000000" w:sz="4" w:space="0"/>
              <w:right w:val="single" w:color="000000" w:sz="4" w:space="0"/>
            </w:tcBorders>
            <w:noWrap w:val="0"/>
            <w:vAlign w:val="top"/>
          </w:tcPr>
          <w:p>
            <w:pPr>
              <w:spacing w:line="320" w:lineRule="exact"/>
              <w:rPr>
                <w:rFonts w:ascii="宋体" w:hAnsi="宋体"/>
              </w:rPr>
            </w:pPr>
            <w:r>
              <w:rPr>
                <w:rFonts w:hint="eastAsia" w:ascii="宋体" w:hAnsi="宋体"/>
              </w:rPr>
              <w:t>1、思路是否清晰、方案是否合理，项目主要内容的安排是否完整明晰。（0-1</w:t>
            </w:r>
            <w:r>
              <w:rPr>
                <w:rFonts w:hint="eastAsia" w:ascii="宋体" w:hAnsi="宋体"/>
                <w:lang w:val="en-US" w:eastAsia="zh-CN"/>
              </w:rPr>
              <w:t>2</w:t>
            </w:r>
            <w:r>
              <w:rPr>
                <w:rFonts w:hint="eastAsia" w:ascii="宋体" w:hAnsi="宋体"/>
              </w:rPr>
              <w:t>分）</w:t>
            </w:r>
          </w:p>
          <w:p>
            <w:pPr>
              <w:spacing w:line="320" w:lineRule="exact"/>
              <w:rPr>
                <w:rFonts w:hint="eastAsia" w:ascii="宋体" w:hAnsi="宋体"/>
              </w:rPr>
            </w:pPr>
            <w:r>
              <w:rPr>
                <w:rFonts w:hint="eastAsia" w:ascii="宋体" w:hAnsi="宋体"/>
              </w:rPr>
              <w:t>2、对项目的特点、关键技术问题的认识及其对策措施是否合理。（0-1</w:t>
            </w:r>
            <w:r>
              <w:rPr>
                <w:rFonts w:hint="eastAsia" w:ascii="宋体" w:hAnsi="宋体"/>
                <w:lang w:val="en-US" w:eastAsia="zh-CN"/>
              </w:rPr>
              <w:t>0</w:t>
            </w:r>
            <w:r>
              <w:rPr>
                <w:rFonts w:hint="eastAsia" w:ascii="宋体" w:hAnsi="宋体"/>
              </w:rPr>
              <w:t>分）</w:t>
            </w:r>
          </w:p>
          <w:p>
            <w:pPr>
              <w:spacing w:line="320" w:lineRule="exact"/>
              <w:rPr>
                <w:rFonts w:hint="eastAsia" w:ascii="宋体" w:hAnsi="宋体"/>
              </w:rPr>
            </w:pPr>
            <w:r>
              <w:rPr>
                <w:rFonts w:hint="eastAsia" w:ascii="宋体" w:hAnsi="宋体"/>
              </w:rPr>
              <w:t>3、项目进度安排及进度计划保障措施是否得当。（0-4分）</w:t>
            </w:r>
          </w:p>
          <w:p>
            <w:pPr>
              <w:spacing w:line="320" w:lineRule="exact"/>
              <w:rPr>
                <w:rFonts w:ascii="宋体" w:hAnsi="宋体"/>
              </w:rPr>
            </w:pPr>
            <w:r>
              <w:rPr>
                <w:rFonts w:hint="eastAsia" w:ascii="宋体" w:hAnsi="宋体"/>
              </w:rPr>
              <w:t xml:space="preserve">4、质量保证措施是否合理。（0-4分）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2" w:hRule="atLeast"/>
        </w:trPr>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宋体" w:hAnsi="宋体"/>
              </w:rPr>
            </w:pPr>
            <w:r>
              <w:rPr>
                <w:rFonts w:hint="eastAsia" w:ascii="Times New Roman"/>
                <w:lang w:eastAsia="zh-CN"/>
              </w:rPr>
              <w:t>服务承诺</w:t>
            </w:r>
            <w:r>
              <w:rPr>
                <w:rFonts w:hint="eastAsia" w:ascii="Times New Roman"/>
              </w:rPr>
              <w:t>（</w:t>
            </w:r>
            <w:r>
              <w:rPr>
                <w:rFonts w:hint="eastAsia" w:ascii="Times New Roman"/>
                <w:lang w:val="en-US" w:eastAsia="zh-CN"/>
              </w:rPr>
              <w:t>10</w:t>
            </w:r>
            <w:r>
              <w:rPr>
                <w:rFonts w:hint="eastAsia" w:ascii="宋体" w:hAnsi="宋体"/>
              </w:rPr>
              <w:t>分）</w:t>
            </w:r>
          </w:p>
        </w:tc>
        <w:tc>
          <w:tcPr>
            <w:tcW w:w="18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Ansi="宋体" w:cs="宋体"/>
              </w:rPr>
            </w:pPr>
            <w:r>
              <w:rPr>
                <w:rFonts w:hint="eastAsia" w:hAnsi="宋体"/>
              </w:rPr>
              <w:t>服务承诺</w:t>
            </w:r>
          </w:p>
          <w:p>
            <w:pPr>
              <w:widowControl/>
              <w:spacing w:line="360" w:lineRule="auto"/>
              <w:jc w:val="center"/>
              <w:rPr>
                <w:rFonts w:ascii="宋体" w:hAnsi="宋体"/>
              </w:rPr>
            </w:pPr>
            <w:r>
              <w:rPr>
                <w:rFonts w:hint="eastAsia" w:hAnsi="宋体"/>
              </w:rPr>
              <w:t>（</w:t>
            </w:r>
            <w:r>
              <w:rPr>
                <w:rFonts w:hint="eastAsia" w:cs="Calibri"/>
              </w:rPr>
              <w:t>10</w:t>
            </w:r>
            <w:r>
              <w:rPr>
                <w:rFonts w:hint="eastAsia" w:ascii="宋体" w:hAnsi="宋体"/>
              </w:rPr>
              <w:t>分）</w:t>
            </w:r>
          </w:p>
        </w:tc>
        <w:tc>
          <w:tcPr>
            <w:tcW w:w="5827" w:type="dxa"/>
            <w:tcBorders>
              <w:top w:val="single" w:color="000000" w:sz="4" w:space="0"/>
              <w:left w:val="nil"/>
              <w:bottom w:val="single" w:color="000000" w:sz="4" w:space="0"/>
              <w:right w:val="single" w:color="000000" w:sz="4" w:space="0"/>
            </w:tcBorders>
            <w:noWrap w:val="0"/>
            <w:vAlign w:val="center"/>
          </w:tcPr>
          <w:p>
            <w:pPr>
              <w:adjustRightInd w:val="0"/>
              <w:snapToGrid w:val="0"/>
              <w:spacing w:line="360" w:lineRule="auto"/>
              <w:jc w:val="left"/>
              <w:rPr>
                <w:rFonts w:hAnsi="宋体"/>
              </w:rPr>
            </w:pPr>
            <w:r>
              <w:rPr>
                <w:rFonts w:hint="eastAsia" w:hAnsi="宋体"/>
              </w:rPr>
              <w:t>1</w:t>
            </w:r>
            <w:r>
              <w:rPr>
                <w:rFonts w:hint="eastAsia" w:ascii="宋体" w:hAnsi="宋体"/>
              </w:rPr>
              <w:t>、投标人对方案实施期间的服务措施（</w:t>
            </w:r>
            <w:r>
              <w:rPr>
                <w:rFonts w:hint="eastAsia" w:cs="Calibri"/>
              </w:rPr>
              <w:t>0-3</w:t>
            </w:r>
            <w:r>
              <w:rPr>
                <w:rFonts w:hint="eastAsia" w:ascii="宋体" w:hAnsi="宋体"/>
              </w:rPr>
              <w:t>分）</w:t>
            </w:r>
          </w:p>
          <w:p>
            <w:pPr>
              <w:adjustRightInd w:val="0"/>
              <w:snapToGrid w:val="0"/>
              <w:spacing w:line="360" w:lineRule="auto"/>
              <w:jc w:val="left"/>
              <w:rPr>
                <w:rFonts w:hAnsi="宋体"/>
              </w:rPr>
            </w:pPr>
            <w:r>
              <w:rPr>
                <w:rFonts w:hint="eastAsia" w:hAnsi="宋体"/>
              </w:rPr>
              <w:t>2</w:t>
            </w:r>
            <w:r>
              <w:rPr>
                <w:rFonts w:hint="eastAsia" w:ascii="宋体" w:hAnsi="宋体"/>
              </w:rPr>
              <w:t>、投标人对方案实施期间的配合服务承诺（</w:t>
            </w:r>
            <w:r>
              <w:rPr>
                <w:rFonts w:hint="eastAsia" w:cs="Calibri"/>
              </w:rPr>
              <w:t>0-3</w:t>
            </w:r>
            <w:r>
              <w:rPr>
                <w:rFonts w:hint="eastAsia" w:ascii="宋体" w:hAnsi="宋体"/>
              </w:rPr>
              <w:t>分）</w:t>
            </w:r>
          </w:p>
          <w:p>
            <w:pPr>
              <w:adjustRightInd w:val="0"/>
              <w:snapToGrid w:val="0"/>
              <w:spacing w:line="360" w:lineRule="auto"/>
              <w:jc w:val="left"/>
              <w:rPr>
                <w:rFonts w:hAnsi="宋体"/>
              </w:rPr>
            </w:pPr>
            <w:r>
              <w:rPr>
                <w:rFonts w:hint="eastAsia" w:hAnsi="宋体"/>
              </w:rPr>
              <w:t>3</w:t>
            </w:r>
            <w:r>
              <w:rPr>
                <w:rFonts w:hint="eastAsia" w:ascii="宋体" w:hAnsi="宋体"/>
              </w:rPr>
              <w:t>、投标人其他优惠及服务承诺（</w:t>
            </w:r>
            <w:r>
              <w:rPr>
                <w:rFonts w:hint="eastAsia" w:cs="Calibri"/>
              </w:rPr>
              <w:t>0-2</w:t>
            </w:r>
            <w:r>
              <w:rPr>
                <w:rFonts w:hint="eastAsia" w:ascii="宋体" w:hAnsi="宋体"/>
              </w:rPr>
              <w:t>分）</w:t>
            </w:r>
          </w:p>
          <w:p>
            <w:pPr>
              <w:adjustRightInd w:val="0"/>
              <w:snapToGrid w:val="0"/>
              <w:spacing w:line="360" w:lineRule="auto"/>
              <w:jc w:val="left"/>
              <w:rPr>
                <w:rFonts w:ascii="宋体" w:hAnsi="宋体"/>
              </w:rPr>
            </w:pPr>
            <w:r>
              <w:rPr>
                <w:rFonts w:hint="eastAsia" w:hAnsi="宋体"/>
              </w:rPr>
              <w:t>4</w:t>
            </w:r>
            <w:r>
              <w:rPr>
                <w:rFonts w:hint="eastAsia" w:ascii="宋体" w:hAnsi="宋体"/>
              </w:rPr>
              <w:t>、投标人服务承诺细致、体系完善，根据投标人服务承诺的内容横向对比酌情打分（</w:t>
            </w:r>
            <w:r>
              <w:rPr>
                <w:rFonts w:hint="eastAsia" w:cs="Calibri"/>
              </w:rPr>
              <w:t>0-2</w:t>
            </w:r>
            <w:r>
              <w:rPr>
                <w:rFonts w:hint="eastAsia" w:ascii="宋体" w:hAnsi="宋体"/>
              </w:rPr>
              <w:t>分）</w:t>
            </w:r>
          </w:p>
        </w:tc>
      </w:tr>
    </w:tbl>
    <w:p>
      <w:pPr>
        <w:pStyle w:val="29"/>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F9EBF59"/>
    <w:multiLevelType w:val="singleLevel"/>
    <w:tmpl w:val="2F9EBF59"/>
    <w:lvl w:ilvl="0" w:tentative="0">
      <w:start w:val="1"/>
      <w:numFmt w:val="chineseCounting"/>
      <w:suff w:val="nothing"/>
      <w:lvlText w:val="（%1）"/>
      <w:lvlJc w:val="left"/>
      <w:rPr>
        <w:rFonts w:hint="eastAsia"/>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3"/>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5"/>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7B2CDB"/>
    <w:rsid w:val="07732CDA"/>
    <w:rsid w:val="07DA78CD"/>
    <w:rsid w:val="080C2BBA"/>
    <w:rsid w:val="08C0181D"/>
    <w:rsid w:val="08FD5745"/>
    <w:rsid w:val="0A3A482D"/>
    <w:rsid w:val="0A5E16AE"/>
    <w:rsid w:val="0A7C3AAF"/>
    <w:rsid w:val="0A997A60"/>
    <w:rsid w:val="0AB50907"/>
    <w:rsid w:val="0B01317F"/>
    <w:rsid w:val="0BBD5765"/>
    <w:rsid w:val="0C1D2223"/>
    <w:rsid w:val="0C3D4298"/>
    <w:rsid w:val="0C9523A6"/>
    <w:rsid w:val="0CA67F00"/>
    <w:rsid w:val="0CAB7FE2"/>
    <w:rsid w:val="0CCD3572"/>
    <w:rsid w:val="0CF46B6D"/>
    <w:rsid w:val="0CF874BC"/>
    <w:rsid w:val="0D057A5F"/>
    <w:rsid w:val="0D403087"/>
    <w:rsid w:val="0DA22AE9"/>
    <w:rsid w:val="0E3648A2"/>
    <w:rsid w:val="0F485C64"/>
    <w:rsid w:val="0F7B5351"/>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C076BF"/>
    <w:rsid w:val="38ED1382"/>
    <w:rsid w:val="39FD28B4"/>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BDD720D"/>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555ECB"/>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50"/>
    <w:qFormat/>
    <w:uiPriority w:val="0"/>
    <w:rPr>
      <w:rFonts w:ascii="Times New Roman" w:hAnsi="Times New Roman" w:eastAsia="宋体" w:cs="Times New Roman"/>
      <w:color w:val="FF0000"/>
      <w:sz w:val="24"/>
      <w:szCs w:val="24"/>
    </w:rPr>
  </w:style>
  <w:style w:type="paragraph" w:styleId="9">
    <w:name w:val="Body Text"/>
    <w:basedOn w:val="1"/>
    <w:link w:val="54"/>
    <w:unhideWhenUsed/>
    <w:qFormat/>
    <w:uiPriority w:val="99"/>
    <w:pPr>
      <w:spacing w:after="120"/>
    </w:p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2"/>
    <w:qFormat/>
    <w:uiPriority w:val="0"/>
    <w:rPr>
      <w:rFonts w:ascii="Calibri" w:hAnsi="Calibri" w:eastAsia="宋体" w:cs="Times New Roman"/>
      <w:b/>
      <w:bCs/>
      <w:kern w:val="44"/>
      <w:sz w:val="44"/>
      <w:szCs w:val="44"/>
    </w:rPr>
  </w:style>
  <w:style w:type="character" w:customStyle="1" w:styleId="33">
    <w:name w:val="标题 2 Char"/>
    <w:basedOn w:val="24"/>
    <w:link w:val="3"/>
    <w:qFormat/>
    <w:uiPriority w:val="0"/>
    <w:rPr>
      <w:rFonts w:ascii="Arial" w:hAnsi="Arial" w:eastAsia="黑体" w:cs="Times New Roman"/>
      <w:b/>
      <w:bCs/>
      <w:kern w:val="0"/>
      <w:sz w:val="32"/>
      <w:szCs w:val="32"/>
    </w:rPr>
  </w:style>
  <w:style w:type="character" w:customStyle="1" w:styleId="34">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5"/>
    <w:qFormat/>
    <w:uiPriority w:val="0"/>
    <w:rPr>
      <w:rFonts w:ascii="Arial" w:hAnsi="Arial" w:eastAsia="黑体" w:cs="Times New Roman"/>
      <w:b/>
      <w:bCs/>
      <w:kern w:val="0"/>
      <w:sz w:val="28"/>
      <w:szCs w:val="28"/>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页脚 Char"/>
    <w:basedOn w:val="24"/>
    <w:link w:val="16"/>
    <w:qFormat/>
    <w:uiPriority w:val="99"/>
    <w:rPr>
      <w:sz w:val="18"/>
      <w:szCs w:val="18"/>
    </w:rPr>
  </w:style>
  <w:style w:type="character" w:customStyle="1" w:styleId="39">
    <w:name w:val="页眉 Char"/>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8"/>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9"/>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 w:type="paragraph" w:customStyle="1" w:styleId="66">
    <w:name w:val="正文一"/>
    <w:basedOn w:val="60"/>
    <w:qFormat/>
    <w:uiPriority w:val="99"/>
    <w:pPr>
      <w:spacing w:line="600" w:lineRule="exact"/>
      <w:ind w:firstLine="200"/>
    </w:pPr>
    <w:rPr>
      <w:rFonts w:ascii="仿宋" w:hAnsi="仿宋" w:eastAsia="仿宋"/>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14</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2019-10-23T01:13:53Z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