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rPr>
      </w:pPr>
    </w:p>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禹州市敬老院安装视频监控、智慧用电、</w:t>
      </w:r>
    </w:p>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呼叫系统、烟感报警等采购项目</w:t>
      </w:r>
      <w:r>
        <w:rPr>
          <w:rFonts w:hint="eastAsia" w:ascii="黑体" w:hAnsi="黑体" w:eastAsia="黑体" w:cs="黑体"/>
          <w:b/>
          <w:bCs/>
          <w:sz w:val="44"/>
          <w:szCs w:val="44"/>
          <w:lang w:eastAsia="zh-CN"/>
        </w:rPr>
        <w:t>（二次）</w:t>
      </w:r>
    </w:p>
    <w:p>
      <w:pPr>
        <w:rPr>
          <w:rFonts w:ascii="微软简隶书" w:eastAsia="微软简隶书"/>
          <w:color w:val="000000"/>
        </w:rPr>
      </w:pPr>
    </w:p>
    <w:p>
      <w:pPr>
        <w:pStyle w:val="29"/>
        <w:rPr>
          <w:rFonts w:ascii="微软简隶书" w:eastAsia="微软简隶书"/>
          <w:color w:val="000000"/>
        </w:rPr>
      </w:pPr>
    </w:p>
    <w:p>
      <w:pPr>
        <w:pStyle w:val="29"/>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民政局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200-1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1"/>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1"/>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禹州市敬老院安装视频监控、智慧用电、</w:t>
      </w: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rPr>
        <w:t>呼叫系统、烟感报警等采购项目</w:t>
      </w:r>
      <w:r>
        <w:rPr>
          <w:rFonts w:hint="eastAsia" w:ascii="仿宋" w:hAnsi="仿宋" w:eastAsia="仿宋" w:cs="仿宋"/>
          <w:b/>
          <w:bCs/>
          <w:sz w:val="36"/>
          <w:szCs w:val="36"/>
          <w:lang w:eastAsia="zh-CN"/>
        </w:rPr>
        <w:t>（二次）</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30"/>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民政局</w:t>
      </w:r>
      <w:r>
        <w:rPr>
          <w:rFonts w:hint="eastAsia" w:ascii="新宋体" w:hAnsi="新宋体" w:eastAsia="新宋体" w:cs="新宋体"/>
          <w:sz w:val="24"/>
          <w:szCs w:val="24"/>
        </w:rPr>
        <w:t>的委托，就“禹州市敬老院安装视频监控、智慧用电、呼叫系统、烟感报警等采购项目</w:t>
      </w:r>
      <w:r>
        <w:rPr>
          <w:rFonts w:hint="eastAsia" w:ascii="新宋体" w:hAnsi="新宋体" w:eastAsia="新宋体" w:cs="新宋体"/>
          <w:sz w:val="24"/>
          <w:szCs w:val="24"/>
          <w:lang w:eastAsia="zh-CN"/>
        </w:rPr>
        <w:t>（二次）</w:t>
      </w:r>
      <w:r>
        <w:rPr>
          <w:rFonts w:hint="eastAsia" w:ascii="新宋体" w:hAnsi="新宋体" w:eastAsia="新宋体" w:cs="新宋体"/>
          <w:sz w:val="24"/>
          <w:szCs w:val="24"/>
        </w:rPr>
        <w:t>”进行公开招标，欢迎合格的投标人前来投标。</w:t>
      </w:r>
    </w:p>
    <w:p>
      <w:pPr>
        <w:pStyle w:val="60"/>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00" w:lineRule="exact"/>
        <w:ind w:firstLine="240" w:firstLineChars="1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民政局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：禹州市敬老院安装视频监控、智慧用电、呼叫系统、烟感报警等采购项目（二次）</w:t>
      </w:r>
    </w:p>
    <w:p>
      <w:pPr>
        <w:widowControl/>
        <w:numPr>
          <w:ilvl w:val="0"/>
          <w:numId w:val="0"/>
        </w:numPr>
        <w:shd w:val="clear" w:color="auto" w:fill="FFFFFF"/>
        <w:spacing w:line="400" w:lineRule="exact"/>
        <w:ind w:firstLine="240" w:firstLineChars="100"/>
        <w:jc w:val="left"/>
        <w:rPr>
          <w:rFonts w:hint="default"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200-1</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敬老院视频监控系统、智慧用电系统等</w:t>
      </w:r>
      <w:r>
        <w:rPr>
          <w:rFonts w:hint="eastAsia" w:ascii="新宋体" w:hAnsi="新宋体" w:eastAsia="新宋体" w:cs="新宋体"/>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109.9744</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109.9744</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w:t>
      </w:r>
      <w:r>
        <w:rPr>
          <w:rStyle w:val="28"/>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11</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10:00</w:t>
      </w:r>
      <w:r>
        <w:rPr>
          <w:rFonts w:hint="eastAsia" w:ascii="新宋体" w:hAnsi="新宋体" w:eastAsia="新宋体" w:cs="新宋体"/>
          <w:color w:val="000000"/>
          <w:kern w:val="0"/>
          <w:sz w:val="24"/>
          <w:szCs w:val="24"/>
        </w:rPr>
        <w:t>（北京时间），逾期送达或不符合规定的投标文件不予接受。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shd w:val="clear" w:color="auto" w:fill="FFFFFF"/>
        <w:spacing w:line="400" w:lineRule="exact"/>
        <w:ind w:left="481"/>
        <w:jc w:val="left"/>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民政局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钧台路</w:t>
      </w:r>
      <w:r>
        <w:rPr>
          <w:rFonts w:hint="eastAsia" w:ascii="新宋体" w:hAnsi="新宋体" w:eastAsia="新宋体" w:cs="新宋体"/>
          <w:color w:val="000000"/>
          <w:kern w:val="0"/>
          <w:sz w:val="24"/>
          <w:szCs w:val="24"/>
          <w:lang w:val="en-US" w:eastAsia="zh-CN"/>
        </w:rPr>
        <w:t>266号</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张先生</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13803740722</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日</w:t>
      </w: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7"/>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rPr>
          <w:rFonts w:hint="eastAsia"/>
        </w:rPr>
      </w:pPr>
    </w:p>
    <w:p>
      <w:pPr>
        <w:widowControl/>
        <w:numPr>
          <w:ilvl w:val="0"/>
          <w:numId w:val="8"/>
        </w:numPr>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本项目需实现的功能或者目标</w:t>
      </w:r>
    </w:p>
    <w:p>
      <w:pPr>
        <w:widowControl/>
        <w:numPr>
          <w:ilvl w:val="0"/>
          <w:numId w:val="0"/>
        </w:numPr>
        <w:shd w:val="clear" w:color="auto" w:fill="FFFFFF"/>
        <w:spacing w:line="360" w:lineRule="auto"/>
        <w:ind w:firstLine="480" w:firstLineChars="2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“老有所依，老有所养”对维护我国人权、稳定社会秩序、服务经济建设发挥着积极的作用。敬老院全面的安全保障和有效管理是正常运作的基本前提。随着国家相关政策的出台，“平安</w:t>
      </w:r>
      <w:r>
        <w:rPr>
          <w:rFonts w:hint="eastAsia" w:ascii="新宋体" w:hAnsi="新宋体" w:eastAsia="新宋体" w:cs="新宋体"/>
          <w:color w:val="000000"/>
          <w:kern w:val="0"/>
          <w:sz w:val="24"/>
          <w:szCs w:val="24"/>
          <w:lang w:val="en-US" w:eastAsia="zh-CN"/>
        </w:rPr>
        <w:t>养老</w:t>
      </w:r>
      <w:r>
        <w:rPr>
          <w:rFonts w:hint="eastAsia" w:ascii="新宋体" w:hAnsi="新宋体" w:eastAsia="新宋体" w:cs="新宋体"/>
          <w:color w:val="000000"/>
          <w:kern w:val="0"/>
          <w:sz w:val="24"/>
          <w:szCs w:val="24"/>
        </w:rPr>
        <w:t>”、“数字</w:t>
      </w:r>
      <w:r>
        <w:rPr>
          <w:rFonts w:hint="eastAsia" w:ascii="新宋体" w:hAnsi="新宋体" w:eastAsia="新宋体" w:cs="新宋体"/>
          <w:color w:val="000000"/>
          <w:kern w:val="0"/>
          <w:sz w:val="24"/>
          <w:szCs w:val="24"/>
          <w:lang w:val="en-US" w:eastAsia="zh-CN"/>
        </w:rPr>
        <w:t>化养老</w:t>
      </w:r>
      <w:r>
        <w:rPr>
          <w:rFonts w:hint="eastAsia" w:ascii="新宋体" w:hAnsi="新宋体" w:eastAsia="新宋体" w:cs="新宋体"/>
          <w:color w:val="000000"/>
          <w:kern w:val="0"/>
          <w:sz w:val="24"/>
          <w:szCs w:val="24"/>
        </w:rPr>
        <w:t>”建设相继展开，随着人口老龄化，以及院舍的新建、扩建、合并等，养老人员结构日趋社会化。管理、安全、应急、消防等问题日益突出，通过人防、技防、物防三结合的方式建设敬老院多级智慧综合管理系统</w:t>
      </w:r>
      <w:r>
        <w:rPr>
          <w:rFonts w:hint="eastAsia" w:ascii="新宋体" w:hAnsi="新宋体" w:eastAsia="新宋体" w:cs="新宋体"/>
          <w:color w:val="000000"/>
          <w:kern w:val="0"/>
          <w:sz w:val="24"/>
          <w:szCs w:val="24"/>
          <w:lang w:eastAsia="zh-CN"/>
        </w:rPr>
        <w:t>。</w:t>
      </w:r>
    </w:p>
    <w:p>
      <w:pPr>
        <w:widowControl/>
        <w:numPr>
          <w:ilvl w:val="0"/>
          <w:numId w:val="9"/>
        </w:numPr>
        <w:shd w:val="clear" w:color="auto" w:fill="FFFFFF"/>
        <w:spacing w:line="360" w:lineRule="auto"/>
        <w:ind w:firstLine="600"/>
        <w:jc w:val="left"/>
      </w:pPr>
      <w:r>
        <w:rPr>
          <w:rFonts w:hint="eastAsia" w:ascii="新宋体" w:hAnsi="新宋体" w:eastAsia="新宋体" w:cs="新宋体"/>
          <w:color w:val="000000"/>
          <w:kern w:val="0"/>
          <w:sz w:val="24"/>
          <w:szCs w:val="24"/>
        </w:rPr>
        <w:t>采购清单</w:t>
      </w:r>
    </w:p>
    <w:p>
      <w:pPr>
        <w:pStyle w:val="22"/>
        <w:numPr>
          <w:ilvl w:val="0"/>
          <w:numId w:val="0"/>
        </w:numPr>
      </w:pP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710"/>
        <w:gridCol w:w="4253"/>
        <w:gridCol w:w="458"/>
        <w:gridCol w:w="83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80" w:type="dxa"/>
            <w:gridSpan w:val="6"/>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一、硬件部分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序号</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货物名称</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数量</w:t>
            </w:r>
          </w:p>
        </w:tc>
        <w:tc>
          <w:tcPr>
            <w:tcW w:w="111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b/>
                <w:color w:val="000000"/>
                <w:kern w:val="0"/>
                <w:sz w:val="24"/>
                <w:szCs w:val="24"/>
              </w:rPr>
            </w:pPr>
            <w:r>
              <w:rPr>
                <w:rFonts w:hint="eastAsia" w:ascii="新宋体" w:hAnsi="新宋体" w:eastAsia="新宋体" w:cs="新宋体"/>
                <w:color w:val="000000"/>
                <w:kern w:val="0"/>
                <w:sz w:val="24"/>
                <w:szCs w:val="24"/>
              </w:rPr>
              <w:t>NB无线烟感</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1.传感器:离子式</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2.工作电压:9V+3.6VDC</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3.电池:9V电池+3.6V 2700mA锂亚电池</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4.静态电流:&lt;25uA</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5.报警电流:&lt;30mA </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6.报警时指示灯状态:红灯伴随着报警闪</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7.待机指示:红灯43秒闪一次</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8.低压报警指示:红灯43秒闪一次且吱叫一次</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9.低压报警标准:6.9-7.5V</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10.声响标准:&gt; 85dB</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11.喇叭发声模式:频率 3.2+/-0.3KHz</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12.工作温度范围:5-45°C</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13.工作湿度范围:0-85%相对湿度</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14.测试按键功能:报警且红灯闪</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15.烟雾灵敏度规格:84.5-92.5uA</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16.故障指示:43秒吱叫一次但红灯不闪</w:t>
            </w:r>
          </w:p>
          <w:p>
            <w:pPr>
              <w:pStyle w:val="22"/>
              <w:ind w:left="0" w:leftChars="0" w:firstLine="0" w:firstLineChars="0"/>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kern w:val="0"/>
                <w:sz w:val="24"/>
                <w:szCs w:val="24"/>
              </w:rPr>
              <w:t>17.烟感灵敏度可调</w:t>
            </w:r>
          </w:p>
          <w:p>
            <w:pPr>
              <w:widowControl/>
              <w:shd w:val="clear" w:color="auto" w:fill="FFFFFF"/>
              <w:spacing w:line="315" w:lineRule="atLeast"/>
              <w:jc w:val="left"/>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18. </w:t>
            </w:r>
            <w:r>
              <w:rPr>
                <w:rFonts w:hint="eastAsia" w:ascii="新宋体" w:hAnsi="新宋体" w:eastAsia="新宋体" w:cs="新宋体"/>
                <w:kern w:val="0"/>
                <w:sz w:val="24"/>
                <w:szCs w:val="24"/>
              </w:rPr>
              <w:t>使用高灵敏度离子传感器 ,  产品使用寿命长达10年（备注：非电池使用寿命，电池可更换,默认配电池寿命为3年）</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19. </w:t>
            </w:r>
            <w:r>
              <w:rPr>
                <w:rFonts w:hint="eastAsia" w:ascii="新宋体" w:hAnsi="新宋体" w:eastAsia="新宋体" w:cs="新宋体"/>
                <w:kern w:val="0"/>
                <w:sz w:val="24"/>
                <w:szCs w:val="24"/>
              </w:rPr>
              <w:t>异常和故障指示灯提示功能</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20. </w:t>
            </w:r>
            <w:r>
              <w:rPr>
                <w:rFonts w:hint="eastAsia" w:ascii="新宋体" w:hAnsi="新宋体" w:eastAsia="新宋体" w:cs="新宋体"/>
                <w:kern w:val="0"/>
                <w:sz w:val="24"/>
                <w:szCs w:val="24"/>
              </w:rPr>
              <w:t>采用三网通NB-iot模块设计</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21. </w:t>
            </w:r>
            <w:r>
              <w:rPr>
                <w:rFonts w:hint="eastAsia" w:ascii="新宋体" w:hAnsi="新宋体" w:eastAsia="新宋体" w:cs="新宋体"/>
                <w:kern w:val="0"/>
                <w:sz w:val="24"/>
                <w:szCs w:val="24"/>
              </w:rPr>
              <w:t>具有防虫网设计</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22. </w:t>
            </w:r>
            <w:r>
              <w:rPr>
                <w:rFonts w:hint="eastAsia" w:ascii="新宋体" w:hAnsi="新宋体" w:eastAsia="新宋体" w:cs="新宋体"/>
                <w:kern w:val="0"/>
                <w:sz w:val="24"/>
                <w:szCs w:val="24"/>
              </w:rPr>
              <w:t>可以微信，APP和平台三种信息接收模块</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23. </w:t>
            </w:r>
            <w:r>
              <w:rPr>
                <w:rFonts w:hint="eastAsia" w:ascii="新宋体" w:hAnsi="新宋体" w:eastAsia="新宋体" w:cs="新宋体"/>
                <w:kern w:val="0"/>
                <w:sz w:val="24"/>
                <w:szCs w:val="24"/>
              </w:rPr>
              <w:t>可扩展报警电话语音拨号和短信提示功能</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sz w:val="24"/>
                <w:szCs w:val="24"/>
                <w:lang w:val="en-US" w:eastAsia="zh-CN"/>
              </w:rPr>
              <w:t xml:space="preserve">24. </w:t>
            </w:r>
            <w:r>
              <w:rPr>
                <w:rFonts w:hint="eastAsia" w:ascii="新宋体" w:hAnsi="新宋体" w:eastAsia="新宋体" w:cs="新宋体"/>
                <w:kern w:val="0"/>
                <w:sz w:val="24"/>
                <w:szCs w:val="24"/>
              </w:rPr>
              <w:t>防电池漏安装机构设计</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 xml:space="preserve">25. </w:t>
            </w:r>
            <w:r>
              <w:rPr>
                <w:rFonts w:hint="eastAsia" w:ascii="新宋体" w:hAnsi="新宋体" w:eastAsia="新宋体" w:cs="新宋体"/>
                <w:kern w:val="0"/>
                <w:sz w:val="24"/>
                <w:szCs w:val="24"/>
              </w:rPr>
              <w:t>警报器寿命结束指示灯提示功能</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 xml:space="preserve">26. </w:t>
            </w:r>
            <w:r>
              <w:rPr>
                <w:rFonts w:hint="eastAsia" w:ascii="新宋体" w:hAnsi="新宋体" w:eastAsia="新宋体" w:cs="新宋体"/>
                <w:kern w:val="0"/>
                <w:sz w:val="24"/>
                <w:szCs w:val="24"/>
              </w:rPr>
              <w:t>电池电量不足指示灯提示功能</w:t>
            </w:r>
          </w:p>
          <w:p>
            <w:pPr>
              <w:widowControl/>
              <w:shd w:val="clear" w:color="auto" w:fill="FFFFFF"/>
              <w:spacing w:line="315" w:lineRule="atLeast"/>
              <w:jc w:val="left"/>
              <w:textAlignment w:val="baseline"/>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kern w:val="0"/>
                <w:sz w:val="24"/>
                <w:szCs w:val="24"/>
                <w:lang w:val="en-US" w:eastAsia="zh-CN"/>
              </w:rPr>
              <w:t xml:space="preserve">27. </w:t>
            </w:r>
            <w:r>
              <w:rPr>
                <w:rFonts w:hint="eastAsia" w:ascii="新宋体" w:hAnsi="新宋体" w:eastAsia="新宋体" w:cs="新宋体"/>
                <w:kern w:val="0"/>
                <w:sz w:val="24"/>
                <w:szCs w:val="24"/>
              </w:rPr>
              <w:t>产品性能可靠及超长保修时间：产品寿命长达10年，3年质量保修</w:t>
            </w:r>
          </w:p>
          <w:p>
            <w:pPr>
              <w:pStyle w:val="60"/>
              <w:numPr>
                <w:ilvl w:val="0"/>
                <w:numId w:val="0"/>
              </w:numPr>
              <w:ind w:leftChars="0"/>
              <w:rPr>
                <w:rFonts w:hint="eastAsia" w:ascii="新宋体" w:hAnsi="新宋体" w:eastAsia="新宋体" w:cs="新宋体"/>
                <w:color w:val="000000"/>
                <w:sz w:val="24"/>
                <w:szCs w:val="24"/>
              </w:rPr>
            </w:pPr>
            <w:r>
              <w:rPr>
                <w:rFonts w:hint="eastAsia" w:ascii="新宋体" w:hAnsi="新宋体" w:eastAsia="新宋体" w:cs="新宋体"/>
                <w:sz w:val="24"/>
                <w:szCs w:val="24"/>
              </w:rPr>
              <w:t>★</w:t>
            </w:r>
            <w:r>
              <w:rPr>
                <w:rFonts w:hint="eastAsia" w:ascii="新宋体" w:hAnsi="新宋体" w:eastAsia="新宋体" w:cs="新宋体"/>
                <w:color w:val="000000"/>
                <w:spacing w:val="-16"/>
                <w:sz w:val="24"/>
                <w:szCs w:val="24"/>
                <w:lang w:val="en-US" w:eastAsia="zh-CN"/>
              </w:rPr>
              <w:t xml:space="preserve">28.  </w:t>
            </w:r>
            <w:r>
              <w:rPr>
                <w:rFonts w:hint="eastAsia" w:ascii="新宋体" w:hAnsi="新宋体" w:eastAsia="新宋体" w:cs="新宋体"/>
                <w:color w:val="000000"/>
                <w:spacing w:val="-16"/>
                <w:sz w:val="24"/>
                <w:szCs w:val="24"/>
              </w:rPr>
              <w:t>当有</w:t>
            </w:r>
            <w:r>
              <w:rPr>
                <w:rFonts w:hint="eastAsia" w:ascii="新宋体" w:hAnsi="新宋体" w:eastAsia="新宋体" w:cs="新宋体"/>
                <w:color w:val="000000"/>
                <w:spacing w:val="-16"/>
                <w:sz w:val="24"/>
                <w:szCs w:val="24"/>
                <w:lang w:val="en-US" w:eastAsia="zh-CN"/>
              </w:rPr>
              <w:t xml:space="preserve"> </w:t>
            </w:r>
            <w:r>
              <w:rPr>
                <w:rFonts w:hint="eastAsia" w:ascii="新宋体" w:hAnsi="新宋体" w:eastAsia="新宋体" w:cs="新宋体"/>
                <w:color w:val="000000"/>
                <w:spacing w:val="-16"/>
                <w:sz w:val="24"/>
                <w:szCs w:val="24"/>
              </w:rPr>
              <w:t>警</w:t>
            </w:r>
            <w:r>
              <w:rPr>
                <w:rFonts w:hint="eastAsia" w:ascii="新宋体" w:hAnsi="新宋体" w:eastAsia="新宋体" w:cs="新宋体"/>
                <w:color w:val="000000"/>
                <w:spacing w:val="-16"/>
                <w:sz w:val="24"/>
                <w:szCs w:val="24"/>
                <w:lang w:val="en-US" w:eastAsia="zh-CN"/>
              </w:rPr>
              <w:t xml:space="preserve"> </w:t>
            </w:r>
            <w:r>
              <w:rPr>
                <w:rFonts w:hint="eastAsia" w:ascii="新宋体" w:hAnsi="新宋体" w:eastAsia="新宋体" w:cs="新宋体"/>
                <w:color w:val="000000"/>
                <w:spacing w:val="-16"/>
                <w:sz w:val="24"/>
                <w:szCs w:val="24"/>
              </w:rPr>
              <w:t>情</w:t>
            </w:r>
            <w:r>
              <w:rPr>
                <w:rFonts w:hint="eastAsia" w:ascii="新宋体" w:hAnsi="新宋体" w:eastAsia="新宋体" w:cs="新宋体"/>
                <w:color w:val="000000"/>
                <w:spacing w:val="-16"/>
                <w:sz w:val="24"/>
                <w:szCs w:val="24"/>
                <w:lang w:val="en-US" w:eastAsia="zh-CN"/>
              </w:rPr>
              <w:t xml:space="preserve"> </w:t>
            </w:r>
            <w:r>
              <w:rPr>
                <w:rFonts w:hint="eastAsia" w:ascii="新宋体" w:hAnsi="新宋体" w:eastAsia="新宋体" w:cs="新宋体"/>
                <w:color w:val="000000"/>
                <w:spacing w:val="-16"/>
                <w:sz w:val="24"/>
                <w:szCs w:val="24"/>
              </w:rPr>
              <w:t>时</w:t>
            </w:r>
            <w:r>
              <w:rPr>
                <w:rFonts w:hint="eastAsia" w:ascii="新宋体" w:hAnsi="新宋体" w:eastAsia="新宋体" w:cs="新宋体"/>
                <w:color w:val="000000"/>
                <w:spacing w:val="-16"/>
                <w:sz w:val="24"/>
                <w:szCs w:val="24"/>
                <w:lang w:val="en-US" w:eastAsia="zh-CN"/>
              </w:rPr>
              <w:t xml:space="preserve"> </w:t>
            </w:r>
            <w:r>
              <w:rPr>
                <w:rFonts w:hint="eastAsia" w:ascii="新宋体" w:hAnsi="新宋体" w:eastAsia="新宋体" w:cs="新宋体"/>
                <w:color w:val="000000"/>
                <w:spacing w:val="-16"/>
                <w:sz w:val="24"/>
                <w:szCs w:val="24"/>
              </w:rPr>
              <w:t>设备具有自动显示安装的地理位置信息，上传设备信息及报警器安装地址及联系人信息等功能；</w:t>
            </w:r>
            <w:r>
              <w:rPr>
                <w:rFonts w:hint="eastAsia" w:ascii="新宋体" w:hAnsi="新宋体" w:eastAsia="新宋体" w:cs="新宋体"/>
                <w:spacing w:val="-16"/>
                <w:sz w:val="24"/>
                <w:szCs w:val="24"/>
              </w:rPr>
              <w:t>安装过程中提供安装配套配件，并支持无线分级管理</w:t>
            </w:r>
            <w:r>
              <w:rPr>
                <w:rFonts w:hint="eastAsia" w:ascii="新宋体" w:hAnsi="新宋体" w:eastAsia="新宋体" w:cs="新宋体"/>
                <w:spacing w:val="-16"/>
                <w:sz w:val="24"/>
                <w:szCs w:val="24"/>
              </w:rPr>
              <w:br w:type="textWrapping"/>
            </w:r>
            <w:r>
              <w:rPr>
                <w:rFonts w:hint="eastAsia" w:ascii="新宋体" w:hAnsi="新宋体" w:eastAsia="新宋体" w:cs="新宋体"/>
                <w:spacing w:val="-16"/>
                <w:sz w:val="24"/>
                <w:szCs w:val="24"/>
                <w:lang w:val="en-US" w:eastAsia="zh-CN"/>
              </w:rPr>
              <w:t xml:space="preserve">29. </w:t>
            </w:r>
            <w:r>
              <w:rPr>
                <w:rFonts w:hint="eastAsia" w:ascii="新宋体" w:hAnsi="新宋体" w:eastAsia="新宋体" w:cs="新宋体"/>
                <w:color w:val="000000"/>
                <w:sz w:val="24"/>
                <w:szCs w:val="24"/>
              </w:rPr>
              <w:t>管理软件在 Windows 操作系统下均可运行，支持多人多地同时登陆。</w:t>
            </w:r>
            <w:r>
              <w:rPr>
                <w:rFonts w:hint="eastAsia" w:ascii="新宋体" w:hAnsi="新宋体" w:eastAsia="新宋体" w:cs="新宋体"/>
                <w:color w:val="000000"/>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color w:val="000000"/>
                <w:sz w:val="24"/>
                <w:szCs w:val="24"/>
                <w:lang w:val="en-US" w:eastAsia="zh-CN"/>
              </w:rPr>
              <w:t xml:space="preserve">30. </w:t>
            </w:r>
            <w:r>
              <w:rPr>
                <w:rFonts w:hint="eastAsia" w:ascii="新宋体" w:hAnsi="新宋体" w:eastAsia="新宋体" w:cs="新宋体"/>
                <w:spacing w:val="-13"/>
                <w:sz w:val="24"/>
                <w:szCs w:val="24"/>
              </w:rPr>
              <w:t>管理软件具有统一的登录界面，软件可设置该项目名称，上传指定logo（例如：海淀区消防支队智慧消防云平台系统，可附图片）支持互联网；可以设有安装人员、管理人员登录，</w:t>
            </w:r>
            <w:r>
              <w:rPr>
                <w:rFonts w:hint="eastAsia" w:ascii="新宋体" w:hAnsi="新宋体" w:eastAsia="新宋体" w:cs="新宋体"/>
                <w:spacing w:val="-17"/>
                <w:sz w:val="24"/>
                <w:szCs w:val="24"/>
              </w:rPr>
              <w:t>并且针对设备安装人员、社区查询人员、管理人员提供不同功能服务及分配不同的用户权限.</w:t>
            </w:r>
            <w:r>
              <w:rPr>
                <w:rFonts w:hint="eastAsia" w:ascii="新宋体" w:hAnsi="新宋体" w:eastAsia="新宋体" w:cs="新宋体"/>
                <w:spacing w:val="-17"/>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spacing w:val="-17"/>
                <w:sz w:val="24"/>
                <w:szCs w:val="24"/>
                <w:lang w:val="en-US" w:eastAsia="zh-CN"/>
              </w:rPr>
              <w:t>31.</w:t>
            </w:r>
            <w:r>
              <w:rPr>
                <w:rFonts w:hint="eastAsia" w:ascii="新宋体" w:hAnsi="新宋体" w:eastAsia="新宋体" w:cs="新宋体"/>
                <w:color w:val="000000"/>
                <w:sz w:val="24"/>
                <w:szCs w:val="24"/>
              </w:rPr>
              <w:t xml:space="preserve"> 管理软件能够查看报警器的信息，包括安装时间、编号、名称、联系人、联系电话等信息；能够展示报警器的地理位置。</w:t>
            </w:r>
          </w:p>
          <w:p>
            <w:pPr>
              <w:widowControl/>
              <w:numPr>
                <w:ilvl w:val="0"/>
                <w:numId w:val="10"/>
              </w:numPr>
              <w:spacing w:after="249" w:line="259" w:lineRule="auto"/>
              <w:ind w:hanging="420"/>
              <w:jc w:val="left"/>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33. </w:t>
            </w:r>
            <w:r>
              <w:rPr>
                <w:rFonts w:hint="eastAsia" w:ascii="新宋体" w:hAnsi="新宋体" w:eastAsia="新宋体" w:cs="新宋体"/>
                <w:sz w:val="24"/>
                <w:szCs w:val="24"/>
              </w:rPr>
              <w:t>远程独立监控每一个感烟探测器，周期性上报烟感器状态，可远程配置与诊断探测器及通信问题</w:t>
            </w:r>
          </w:p>
          <w:p>
            <w:pPr>
              <w:widowControl/>
              <w:numPr>
                <w:ilvl w:val="0"/>
                <w:numId w:val="10"/>
              </w:numPr>
              <w:spacing w:after="249" w:line="259" w:lineRule="auto"/>
              <w:ind w:hanging="420"/>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34.</w:t>
            </w:r>
            <w:r>
              <w:rPr>
                <w:rFonts w:hint="eastAsia" w:ascii="新宋体" w:hAnsi="新宋体" w:eastAsia="新宋体" w:cs="新宋体"/>
                <w:sz w:val="24"/>
                <w:szCs w:val="24"/>
              </w:rPr>
              <w:t xml:space="preserve"> 必需具备无线物联网报警功能，独立式报警探测器能够自合同签订之日起三天内，与支队报警平台对接，需要提供投标承诺函以及投标人现有产品与服务器端的通讯协议</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1200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p>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 xml:space="preserve"> </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智慧用电主机</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220" w:lineRule="atLeas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具有有线和无线两种接入方式，可以接无线烟感和无线紧急按钮.</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lang w:val="en-US" w:eastAsia="zh-CN"/>
              </w:rPr>
              <w:t xml:space="preserve">2. </w:t>
            </w:r>
            <w:r>
              <w:rPr>
                <w:rFonts w:hint="eastAsia" w:ascii="新宋体" w:hAnsi="新宋体" w:eastAsia="新宋体" w:cs="新宋体"/>
                <w:color w:val="000000"/>
                <w:kern w:val="0"/>
                <w:sz w:val="24"/>
                <w:szCs w:val="24"/>
              </w:rPr>
              <w:t>通过物联网技术对引发电气火灾的主要因素 ( 导线温度、电流和漏电流，电压等 )进行不间断的数据跟踪与统计分析，实时发现电气线路和用电设备存在的安全隐患（如线缆温度异常、过载及漏电流越限等），经云平台大数据分析，即时向安全管理人员发送预警信息，指导其开展隐患治理，达到消除潜在的电气火灾危险，实现“防患于未然”的目的。要求LED液晶屏显示，</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可实现一个平台多类型设备管理整体管理；</w:t>
            </w:r>
          </w:p>
          <w:p>
            <w:pPr>
              <w:spacing w:line="360" w:lineRule="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4. 具备</w:t>
            </w:r>
            <w:r>
              <w:rPr>
                <w:rFonts w:hint="eastAsia" w:ascii="新宋体" w:hAnsi="新宋体" w:eastAsia="新宋体" w:cs="新宋体"/>
                <w:sz w:val="24"/>
                <w:szCs w:val="24"/>
              </w:rPr>
              <w:t>有国家</w:t>
            </w:r>
            <w:r>
              <w:rPr>
                <w:rFonts w:hint="eastAsia" w:ascii="新宋体" w:hAnsi="新宋体" w:eastAsia="新宋体" w:cs="新宋体"/>
                <w:sz w:val="24"/>
                <w:szCs w:val="24"/>
                <w:lang w:val="en-US" w:eastAsia="zh-CN"/>
              </w:rPr>
              <w:t>版权局</w:t>
            </w:r>
            <w:r>
              <w:rPr>
                <w:rFonts w:hint="eastAsia" w:ascii="新宋体" w:hAnsi="新宋体" w:eastAsia="新宋体" w:cs="新宋体"/>
                <w:sz w:val="24"/>
                <w:szCs w:val="24"/>
              </w:rPr>
              <w:t>认证</w:t>
            </w:r>
            <w:r>
              <w:rPr>
                <w:rFonts w:hint="eastAsia" w:ascii="新宋体" w:hAnsi="新宋体" w:eastAsia="新宋体" w:cs="新宋体"/>
                <w:sz w:val="24"/>
                <w:szCs w:val="24"/>
                <w:lang w:val="en-US" w:eastAsia="zh-CN"/>
              </w:rPr>
              <w:t>计算机</w:t>
            </w:r>
            <w:r>
              <w:rPr>
                <w:rFonts w:hint="eastAsia" w:ascii="新宋体" w:hAnsi="新宋体" w:eastAsia="新宋体" w:cs="新宋体"/>
                <w:sz w:val="24"/>
                <w:szCs w:val="24"/>
              </w:rPr>
              <w:t>软</w:t>
            </w:r>
            <w:r>
              <w:rPr>
                <w:rFonts w:hint="eastAsia" w:ascii="新宋体" w:hAnsi="新宋体" w:eastAsia="新宋体" w:cs="新宋体"/>
                <w:sz w:val="24"/>
                <w:szCs w:val="24"/>
                <w:lang w:val="en-US" w:eastAsia="zh-CN"/>
              </w:rPr>
              <w:t>件</w:t>
            </w:r>
            <w:r>
              <w:rPr>
                <w:rFonts w:hint="eastAsia" w:ascii="新宋体" w:hAnsi="新宋体" w:eastAsia="新宋体" w:cs="新宋体"/>
                <w:sz w:val="24"/>
                <w:szCs w:val="24"/>
              </w:rPr>
              <w:t>著</w:t>
            </w:r>
            <w:r>
              <w:rPr>
                <w:rFonts w:hint="eastAsia" w:ascii="新宋体" w:hAnsi="新宋体" w:eastAsia="新宋体" w:cs="新宋体"/>
                <w:sz w:val="24"/>
                <w:szCs w:val="24"/>
                <w:lang w:val="en-US" w:eastAsia="zh-CN"/>
              </w:rPr>
              <w:t>作权登记证书；</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5. </w:t>
            </w:r>
            <w:r>
              <w:rPr>
                <w:rFonts w:hint="eastAsia" w:ascii="新宋体" w:hAnsi="新宋体" w:eastAsia="新宋体" w:cs="新宋体"/>
                <w:sz w:val="24"/>
                <w:szCs w:val="24"/>
              </w:rPr>
              <w:t>设备具有三路电流检测，一路漏电检测，四路温度检测</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6. </w:t>
            </w:r>
            <w:r>
              <w:rPr>
                <w:rFonts w:hint="eastAsia" w:ascii="新宋体" w:hAnsi="新宋体" w:eastAsia="新宋体" w:cs="新宋体"/>
                <w:sz w:val="24"/>
                <w:szCs w:val="24"/>
              </w:rPr>
              <w:t>报警速度快，自带15到20秒内判断警情，误报率低，性能稳定</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7. </w:t>
            </w:r>
            <w:r>
              <w:rPr>
                <w:rFonts w:hint="eastAsia" w:ascii="新宋体" w:hAnsi="新宋体" w:eastAsia="新宋体" w:cs="新宋体"/>
                <w:sz w:val="24"/>
                <w:szCs w:val="24"/>
              </w:rPr>
              <w:t>智慧用电，我们可以除了对配电箱断路器进行电流检测，漏电检测以及温度检测之外，同时还具备3路电压检测功能。</w:t>
            </w:r>
            <w:r>
              <w:rPr>
                <w:rFonts w:hint="eastAsia" w:ascii="新宋体" w:hAnsi="新宋体" w:eastAsia="新宋体" w:cs="新宋体"/>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8. </w:t>
            </w:r>
            <w:r>
              <w:rPr>
                <w:rFonts w:hint="eastAsia" w:ascii="新宋体" w:hAnsi="新宋体" w:eastAsia="新宋体" w:cs="新宋体"/>
                <w:sz w:val="24"/>
                <w:szCs w:val="24"/>
              </w:rPr>
              <w:t>可实现通过平台及app远程管理，设防、布防</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9. </w:t>
            </w:r>
            <w:r>
              <w:rPr>
                <w:rFonts w:hint="eastAsia" w:ascii="新宋体" w:hAnsi="新宋体" w:eastAsia="新宋体" w:cs="新宋体"/>
                <w:sz w:val="24"/>
                <w:szCs w:val="24"/>
              </w:rPr>
              <w:t>可实现平台、APP，微信，短信，电话通知等功能</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10. </w:t>
            </w:r>
            <w:r>
              <w:rPr>
                <w:rFonts w:hint="eastAsia" w:ascii="新宋体" w:hAnsi="新宋体" w:eastAsia="新宋体" w:cs="新宋体"/>
                <w:sz w:val="24"/>
                <w:szCs w:val="24"/>
              </w:rPr>
              <w:t>220V供电报警，一路漏电流，三路电流，8路温度，</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自带电压检测报警，一组报警输出一组报警输入,采用安装槽卡扣式安装，安装简单，设置简单方便，易操作和易学习</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工作电压：AC220V</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 xml:space="preserve">输出脱扣：开关信号输出 </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剩余电流报警值：50-2000mA</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电流值： 1~1300A</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温度报警值:   -20℃~125℃</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12. </w:t>
            </w:r>
            <w:r>
              <w:rPr>
                <w:rFonts w:hint="eastAsia" w:ascii="新宋体" w:hAnsi="新宋体" w:eastAsia="新宋体" w:cs="新宋体"/>
                <w:sz w:val="24"/>
                <w:szCs w:val="24"/>
              </w:rPr>
              <w:t>报警通道:1路漏电流 3路电流，4路温度 3路电压</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 xml:space="preserve">通讯方式:  485/GPRS </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通讯距离: ≥1000m</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使用环境: -30℃~80℃</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相对温度: 90%RH</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设备尺寸:120*95*60mm(长*宽*高)</w:t>
            </w:r>
          </w:p>
          <w:p>
            <w:pPr>
              <w:spacing w:line="220" w:lineRule="atLeast"/>
              <w:rPr>
                <w:rFonts w:hint="eastAsia" w:ascii="新宋体" w:hAnsi="新宋体" w:eastAsia="新宋体" w:cs="新宋体"/>
                <w:sz w:val="24"/>
                <w:szCs w:val="24"/>
              </w:rPr>
            </w:pPr>
            <w:r>
              <w:rPr>
                <w:rFonts w:hint="eastAsia" w:ascii="新宋体" w:hAnsi="新宋体" w:eastAsia="新宋体" w:cs="新宋体"/>
                <w:sz w:val="24"/>
                <w:szCs w:val="24"/>
              </w:rPr>
              <w:t>安装方式:导轨式安装</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执行标准: GB14287.2-2005</w:t>
            </w:r>
            <w:r>
              <w:rPr>
                <w:rFonts w:hint="eastAsia" w:ascii="新宋体" w:hAnsi="新宋体" w:eastAsia="新宋体" w:cs="新宋体"/>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13. 具有</w:t>
            </w:r>
            <w:r>
              <w:rPr>
                <w:rFonts w:hint="eastAsia" w:ascii="新宋体" w:hAnsi="新宋体" w:eastAsia="新宋体" w:cs="新宋体"/>
                <w:color w:val="000000"/>
                <w:kern w:val="0"/>
                <w:sz w:val="24"/>
                <w:szCs w:val="24"/>
              </w:rPr>
              <w:t>《公安部消防产品合格评定中心》颁发的《消防产品认证证书》。</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82</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86"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63A</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开口式剩余电流互感器（长方形）</w:t>
            </w:r>
          </w:p>
        </w:tc>
        <w:tc>
          <w:tcPr>
            <w:tcW w:w="4253"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hd w:val="clear" w:color="auto" w:fill="FFFFFF"/>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要求剩余电流互感器保护动作整定电流可以从mA级到A级，具备有相当高的动作灵敏性，剩余电流保护装置对于TT、IT、TN﹣S TN﹣C-S系统接地系统均可适用。安装时A、B、C三相导线与N线一起穿过一个剩余C.T，</w:t>
            </w:r>
          </w:p>
          <w:p>
            <w:pPr>
              <w:widowControl/>
              <w:shd w:val="clear" w:color="auto" w:fill="FFFFFF"/>
              <w:spacing w:before="100" w:beforeAutospacing="1" w:after="100" w:afterAutospacing="1"/>
              <w:ind w:firstLine="420"/>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要求剩余电流互感器专用于剩余电流的采集，与电气火灾监控装置、电动机保护装置配套使用。要求产品二次可有两路输出，选择一路输出0-20mA或0-2mA，一路输出0~1V。0-1000A可调。</w:t>
            </w:r>
          </w:p>
          <w:p>
            <w:pPr>
              <w:widowControl/>
              <w:shd w:val="clear" w:color="auto" w:fill="FFFFFF"/>
              <w:spacing w:before="100" w:beforeAutospacing="1" w:after="100" w:afterAutospacing="1"/>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执行标准： GB14287.2-2014 《电气火灾监控系统第2部分：剩余电流式电气火灾监控探测器》</w:t>
            </w:r>
            <w:r>
              <w:rPr>
                <w:rFonts w:hint="eastAsia" w:ascii="新宋体" w:hAnsi="新宋体" w:eastAsia="新宋体" w:cs="新宋体"/>
                <w:color w:val="000000"/>
                <w:sz w:val="24"/>
                <w:szCs w:val="24"/>
              </w:rPr>
              <w:t>。</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100A开口式剩余电流互感器（长方形）</w:t>
            </w:r>
          </w:p>
        </w:tc>
        <w:tc>
          <w:tcPr>
            <w:tcW w:w="425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34"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250A开口式剩余电流互感器（长方形）</w:t>
            </w:r>
          </w:p>
        </w:tc>
        <w:tc>
          <w:tcPr>
            <w:tcW w:w="4253"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8"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   250A</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电流互感器</w:t>
            </w:r>
          </w:p>
        </w:tc>
        <w:tc>
          <w:tcPr>
            <w:tcW w:w="4253"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要求电流互感器原理是依据电磁感应原理的。电流互感器由闭合的铁心和绕组组成。它的一次绕组匝数很少，串在需要测量的电流的线路中，因此它经常有线路的全部电流流过，二次绕组匝数比较多，串接在测量仪表和保护回路中，要求电流互感器在工作时，2次回路始终是闭合的，要求测量仪表和保护回路串联线圈的阻抗很小，电流互感器的工作状态接近短路。</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2"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100A</w:t>
            </w:r>
          </w:p>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电流互感器</w:t>
            </w:r>
          </w:p>
        </w:tc>
        <w:tc>
          <w:tcPr>
            <w:tcW w:w="4253"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140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7"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240" w:firstLineChars="100"/>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 160A</w:t>
            </w:r>
          </w:p>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电流互感器</w:t>
            </w:r>
          </w:p>
        </w:tc>
        <w:tc>
          <w:tcPr>
            <w:tcW w:w="4253"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 </w:t>
            </w:r>
          </w:p>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温度传感器</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工作电源电压：（V）DC 3～5V</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测温分辨率：（%）+0.06%</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工作温度范围（℃）：-50℃~ +125℃</w:t>
            </w:r>
          </w:p>
          <w:p>
            <w:pPr>
              <w:widowControl/>
              <w:shd w:val="clear" w:color="auto" w:fill="FFFFFF"/>
              <w:spacing w:before="100" w:beforeAutospacing="1" w:after="100" w:afterAutospacing="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测量数据传送方式：9～12位数字量串行传送,输出线连接方式：黑色：GND   黄色：DATA    红色：VDD+</w:t>
            </w:r>
            <w:r>
              <w:rPr>
                <w:rFonts w:hint="eastAsia" w:ascii="新宋体" w:hAnsi="新宋体" w:eastAsia="新宋体" w:cs="新宋体"/>
                <w:color w:val="000000"/>
                <w:kern w:val="0"/>
                <w:sz w:val="24"/>
                <w:szCs w:val="24"/>
              </w:rPr>
              <w:br w:type="textWrapping"/>
            </w:r>
            <w:r>
              <w:rPr>
                <w:rFonts w:hint="eastAsia" w:ascii="新宋体" w:hAnsi="新宋体" w:eastAsia="新宋体" w:cs="新宋体"/>
                <w:kern w:val="0"/>
                <w:sz w:val="24"/>
                <w:szCs w:val="24"/>
              </w:rPr>
              <w:t>执行标准： GB14287.3-2014 《电气火灾监控系统  第3部分：测温式电气火灾监控探测器》</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根</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246</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7"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智慧用电液晶键盘</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要求智慧用电带无线报警主机编程使用</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一键报警主机（带对讲功能）</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0"/>
              <w:numPr>
                <w:ilvl w:val="0"/>
                <w:numId w:val="0"/>
              </w:numPr>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 </w:t>
            </w:r>
            <w:r>
              <w:rPr>
                <w:rFonts w:hint="eastAsia" w:ascii="新宋体" w:hAnsi="新宋体" w:eastAsia="新宋体" w:cs="新宋体"/>
                <w:color w:val="000000"/>
                <w:kern w:val="0"/>
                <w:sz w:val="24"/>
                <w:szCs w:val="24"/>
              </w:rPr>
              <w:t>4路有线+16路无线报警防区GPRS/GSM 可扩展到12路有线防区</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 xml:space="preserve">                         </w:t>
            </w:r>
          </w:p>
          <w:p>
            <w:pPr>
              <w:pStyle w:val="60"/>
              <w:numPr>
                <w:ilvl w:val="0"/>
                <w:numId w:val="0"/>
              </w:numPr>
              <w:ind w:leftChars="0"/>
              <w:rPr>
                <w:rFonts w:hint="eastAsia" w:ascii="新宋体" w:hAnsi="新宋体" w:eastAsia="新宋体" w:cs="新宋体"/>
                <w:color w:val="000000"/>
                <w:kern w:val="0"/>
                <w:sz w:val="24"/>
                <w:szCs w:val="24"/>
                <w:lang w:eastAsia="zh-CN"/>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2. </w:t>
            </w:r>
            <w:r>
              <w:rPr>
                <w:rFonts w:hint="eastAsia" w:ascii="新宋体" w:hAnsi="新宋体" w:eastAsia="新宋体" w:cs="新宋体"/>
                <w:color w:val="000000"/>
                <w:kern w:val="0"/>
                <w:sz w:val="24"/>
                <w:szCs w:val="24"/>
              </w:rPr>
              <w:t>GPRS网络传输配合云服务器，实现手机接警以及APP</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微信远程控制布撤防（四频GSM高速通讯模式，支持所有Ademco4+2和CID通讯模式的中心接收机）</w:t>
            </w:r>
            <w:r>
              <w:rPr>
                <w:rFonts w:hint="eastAsia" w:ascii="新宋体" w:hAnsi="新宋体" w:eastAsia="新宋体" w:cs="新宋体"/>
                <w:color w:val="000000"/>
                <w:kern w:val="0"/>
                <w:sz w:val="24"/>
                <w:szCs w:val="24"/>
                <w:lang w:val="en-US" w:eastAsia="zh-CN"/>
              </w:rPr>
              <w:t>没有距离限制</w:t>
            </w:r>
            <w:r>
              <w:rPr>
                <w:rFonts w:hint="eastAsia" w:ascii="新宋体" w:hAnsi="新宋体" w:eastAsia="新宋体" w:cs="新宋体"/>
                <w:color w:val="000000"/>
                <w:kern w:val="0"/>
                <w:sz w:val="24"/>
                <w:szCs w:val="24"/>
                <w:lang w:eastAsia="zh-CN"/>
              </w:rPr>
              <w:t>；</w:t>
            </w:r>
          </w:p>
          <w:p>
            <w:pPr>
              <w:pStyle w:val="60"/>
              <w:numPr>
                <w:ilvl w:val="0"/>
                <w:numId w:val="0"/>
              </w:numPr>
              <w:ind w:leftChars="0"/>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3 .</w:t>
            </w:r>
            <w:r>
              <w:rPr>
                <w:rFonts w:hint="eastAsia" w:ascii="新宋体" w:hAnsi="新宋体" w:eastAsia="新宋体" w:cs="新宋体"/>
                <w:sz w:val="24"/>
                <w:szCs w:val="24"/>
              </w:rPr>
              <w:t>可实现一个平台多类型设备管理整体管理；</w:t>
            </w:r>
          </w:p>
          <w:p>
            <w:pPr>
              <w:numPr>
                <w:ilvl w:val="0"/>
                <w:numId w:val="0"/>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4</w:t>
            </w:r>
            <w:r>
              <w:rPr>
                <w:rFonts w:hint="eastAsia" w:ascii="新宋体" w:hAnsi="新宋体" w:eastAsia="新宋体" w:cs="新宋体"/>
                <w:color w:val="000000" w:themeColor="text1"/>
                <w:sz w:val="24"/>
                <w:szCs w:val="24"/>
                <w:lang w:val="en-US" w:eastAsia="zh-CN"/>
              </w:rPr>
              <w:t xml:space="preserve">. </w:t>
            </w:r>
            <w:r>
              <w:rPr>
                <w:rFonts w:hint="eastAsia" w:ascii="新宋体" w:hAnsi="新宋体" w:eastAsia="新宋体" w:cs="新宋体"/>
                <w:color w:val="000000" w:themeColor="text1"/>
                <w:sz w:val="24"/>
                <w:szCs w:val="24"/>
              </w:rPr>
              <w:t>具备有</w:t>
            </w:r>
            <w:r>
              <w:rPr>
                <w:rFonts w:hint="eastAsia" w:ascii="新宋体" w:hAnsi="新宋体" w:eastAsia="新宋体" w:cs="新宋体"/>
                <w:color w:val="000000" w:themeColor="text1"/>
                <w:sz w:val="24"/>
                <w:szCs w:val="24"/>
                <w:lang w:val="en-US" w:eastAsia="zh-CN"/>
              </w:rPr>
              <w:t>国家安全防范报警系统产品质量监督检验中心颁发的安全技术防范产品强制性认证</w:t>
            </w:r>
            <w:r>
              <w:rPr>
                <w:rFonts w:hint="eastAsia" w:ascii="新宋体" w:hAnsi="新宋体" w:eastAsia="新宋体" w:cs="新宋体"/>
                <w:color w:val="000000" w:themeColor="text1"/>
                <w:sz w:val="24"/>
                <w:szCs w:val="24"/>
              </w:rPr>
              <w:t>检测报告和</w:t>
            </w:r>
            <w:r>
              <w:rPr>
                <w:rFonts w:hint="eastAsia" w:ascii="新宋体" w:hAnsi="新宋体" w:eastAsia="新宋体" w:cs="新宋体"/>
                <w:color w:val="000000" w:themeColor="text1"/>
                <w:sz w:val="24"/>
                <w:szCs w:val="24"/>
                <w:lang w:val="en-US" w:eastAsia="zh-CN"/>
              </w:rPr>
              <w:t>中国国家强制性产品</w:t>
            </w:r>
            <w:r>
              <w:rPr>
                <w:rFonts w:hint="eastAsia" w:ascii="新宋体" w:hAnsi="新宋体" w:eastAsia="新宋体" w:cs="新宋体"/>
                <w:color w:val="000000" w:themeColor="text1"/>
                <w:sz w:val="24"/>
                <w:szCs w:val="24"/>
              </w:rPr>
              <w:t>3C认证</w:t>
            </w:r>
            <w:r>
              <w:rPr>
                <w:rFonts w:hint="eastAsia" w:ascii="新宋体" w:hAnsi="新宋体" w:eastAsia="新宋体" w:cs="新宋体"/>
                <w:color w:val="000000" w:themeColor="text1"/>
                <w:sz w:val="24"/>
                <w:szCs w:val="24"/>
                <w:lang w:val="en-US" w:eastAsia="zh-CN"/>
              </w:rPr>
              <w:t>证书</w:t>
            </w:r>
            <w:r>
              <w:rPr>
                <w:rFonts w:hint="eastAsia" w:ascii="新宋体" w:hAnsi="新宋体" w:eastAsia="新宋体" w:cs="新宋体"/>
                <w:color w:val="000000" w:themeColor="text1"/>
                <w:sz w:val="24"/>
                <w:szCs w:val="24"/>
              </w:rPr>
              <w:t>；</w:t>
            </w:r>
          </w:p>
          <w:p>
            <w:pPr>
              <w:numPr>
                <w:ilvl w:val="0"/>
                <w:numId w:val="0"/>
              </w:num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5. </w:t>
            </w:r>
            <w:r>
              <w:rPr>
                <w:rFonts w:hint="eastAsia" w:ascii="新宋体" w:hAnsi="新宋体" w:eastAsia="新宋体" w:cs="新宋体"/>
                <w:sz w:val="24"/>
                <w:szCs w:val="24"/>
              </w:rPr>
              <w:t>可接有线门磁探测器，有线红外探测器，有线紧急按钮，有线燃气探测器等有线配件；</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6. </w:t>
            </w:r>
            <w:r>
              <w:rPr>
                <w:rFonts w:hint="eastAsia" w:ascii="新宋体" w:hAnsi="新宋体" w:eastAsia="新宋体" w:cs="新宋体"/>
                <w:sz w:val="24"/>
                <w:szCs w:val="24"/>
              </w:rPr>
              <w:t>可扩展无线有接无线紧急按钮接入方式，最多可以接入8个有线紧急，32个无线紧按钮，一台主机对多个紧急求助点的模式，扩大接警范围</w:t>
            </w:r>
            <w:r>
              <w:rPr>
                <w:rFonts w:hint="eastAsia" w:ascii="新宋体" w:hAnsi="新宋体" w:eastAsia="新宋体" w:cs="新宋体"/>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7. </w:t>
            </w:r>
            <w:r>
              <w:rPr>
                <w:rFonts w:hint="eastAsia" w:ascii="新宋体" w:hAnsi="新宋体" w:eastAsia="新宋体" w:cs="新宋体"/>
                <w:sz w:val="24"/>
                <w:szCs w:val="24"/>
              </w:rPr>
              <w:t>可设置3组应急号码,第一组没打通接着打第二组直至打通为止.</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8. </w:t>
            </w:r>
            <w:r>
              <w:rPr>
                <w:rFonts w:hint="eastAsia" w:ascii="新宋体" w:hAnsi="新宋体" w:eastAsia="新宋体" w:cs="新宋体"/>
                <w:sz w:val="24"/>
                <w:szCs w:val="24"/>
              </w:rPr>
              <w:t>报警秒传警情到平台，后台自动拨通号码</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9. </w:t>
            </w:r>
            <w:r>
              <w:rPr>
                <w:rFonts w:hint="eastAsia" w:ascii="新宋体" w:hAnsi="新宋体" w:eastAsia="新宋体" w:cs="新宋体"/>
                <w:sz w:val="24"/>
                <w:szCs w:val="24"/>
              </w:rPr>
              <w:t>采用电话卡方式可实现双向语音对讲功能</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10. </w:t>
            </w:r>
            <w:r>
              <w:rPr>
                <w:rFonts w:hint="eastAsia" w:ascii="新宋体" w:hAnsi="新宋体" w:eastAsia="新宋体" w:cs="新宋体"/>
                <w:sz w:val="24"/>
                <w:szCs w:val="24"/>
              </w:rPr>
              <w:t>平台可接网络摄像头，一键报警可联动视频自动录像</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11. </w:t>
            </w:r>
            <w:r>
              <w:rPr>
                <w:rFonts w:hint="eastAsia" w:ascii="新宋体" w:hAnsi="新宋体" w:eastAsia="新宋体" w:cs="新宋体"/>
                <w:sz w:val="24"/>
                <w:szCs w:val="24"/>
              </w:rPr>
              <w:t>可作主动报警以及被动报警</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12. </w:t>
            </w:r>
            <w:r>
              <w:rPr>
                <w:rFonts w:hint="eastAsia" w:ascii="新宋体" w:hAnsi="新宋体" w:eastAsia="新宋体" w:cs="新宋体"/>
                <w:sz w:val="24"/>
                <w:szCs w:val="24"/>
              </w:rPr>
              <w:t>可实现通过平台及app远程管理，布防、布防</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13. </w:t>
            </w:r>
            <w:r>
              <w:rPr>
                <w:rFonts w:hint="eastAsia" w:ascii="新宋体" w:hAnsi="新宋体" w:eastAsia="新宋体" w:cs="新宋体"/>
                <w:sz w:val="24"/>
                <w:szCs w:val="24"/>
              </w:rPr>
              <w:t>可实现平台、APP，微信，短信，电话通知等功能</w:t>
            </w:r>
          </w:p>
          <w:p>
            <w:pPr>
              <w:pStyle w:val="60"/>
              <w:numPr>
                <w:ilvl w:val="0"/>
                <w:numId w:val="0"/>
              </w:numPr>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14. </w:t>
            </w:r>
            <w:r>
              <w:rPr>
                <w:rFonts w:hint="eastAsia" w:ascii="新宋体" w:hAnsi="新宋体" w:eastAsia="新宋体" w:cs="新宋体"/>
                <w:sz w:val="24"/>
                <w:szCs w:val="24"/>
              </w:rPr>
              <w:t>采用内置后备电池设计，在无市电情况下仍准确报警</w:t>
            </w:r>
            <w:r>
              <w:rPr>
                <w:rFonts w:hint="eastAsia" w:ascii="新宋体" w:hAnsi="新宋体" w:eastAsia="新宋体" w:cs="新宋体"/>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15. </w:t>
            </w:r>
            <w:r>
              <w:rPr>
                <w:rFonts w:hint="eastAsia" w:ascii="新宋体" w:hAnsi="新宋体" w:eastAsia="新宋体" w:cs="新宋体"/>
                <w:sz w:val="24"/>
                <w:szCs w:val="24"/>
              </w:rPr>
              <w:t>采用后备式拨号设计，占线自动切换到另外一个号码</w:t>
            </w:r>
            <w:r>
              <w:rPr>
                <w:rFonts w:hint="eastAsia" w:ascii="新宋体" w:hAnsi="新宋体" w:eastAsia="新宋体" w:cs="新宋体"/>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16. </w:t>
            </w:r>
            <w:r>
              <w:rPr>
                <w:rFonts w:hint="eastAsia" w:ascii="新宋体" w:hAnsi="新宋体" w:eastAsia="新宋体" w:cs="新宋体"/>
                <w:sz w:val="24"/>
                <w:szCs w:val="24"/>
              </w:rPr>
              <w:t>采用内置后备电池设计，在无市电情况下仍准确报警</w:t>
            </w:r>
            <w:r>
              <w:rPr>
                <w:rFonts w:hint="eastAsia" w:ascii="新宋体" w:hAnsi="新宋体" w:eastAsia="新宋体" w:cs="新宋体"/>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 xml:space="preserve">17. </w:t>
            </w:r>
            <w:r>
              <w:rPr>
                <w:rFonts w:hint="eastAsia" w:ascii="新宋体" w:hAnsi="新宋体" w:eastAsia="新宋体" w:cs="新宋体"/>
                <w:sz w:val="24"/>
                <w:szCs w:val="24"/>
              </w:rPr>
              <w:t>采用GSM双向对讲电路，拨号迅速，6秒钟直接拨通110接警电话</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红桃木遥控器</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可对主机随时布防、撤防，又可应急报警；要求钥匙扣型，随身携带方便；无线发射距离＞150米。</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160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13</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无线紧急按钮</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手持或壁挂的安装方式，紧急24小急求救报警，工作电压：DC12V</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工作电流：30mA</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工作频率：315MHz参考距离：300米（空旷环境）</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编码类型：1527学习码</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尺   寸：85.3*36.4*16.2mm</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1200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14</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主机备用锂电池</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4防区GPRS报警主机备用电池</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15</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有线大黑警号</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标准电压：12VDC.工作电流：230-320mA.声压指数＞120db.(环境噪声65dB，距离300mm)</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16</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480" w:firstLineChars="20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流量卡</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、拥有以10648开头的13位物联网专用号段，支持短信和GPRS功能，容量一亿；以14765开头的11位物联网专用号段，支持语音、短信和GPRS功能，容量一百万。</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提供流量池计费方式和按生命周期计费方式，其中，按流量池计费即客户通过购买流量池，实现多张卡共用一个流量池的功能；按生命周期计费方式即终端硬件费加上终端整个生命周期包月费的总和，再通过一定的折扣率分摊到每个月，降低客户的总体成本。另外，在整个计费环节新增测试期和沉默期，满足客户测试期需求，并为客户免费提供测试流量及短信。</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、通过建设物联网短信中心、物联网GGSN、物联网HLR等物联网专用网元，实现物联网用户与大众用户的网络分离，为行业客户提供可靠性和稳定性的网络。</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rPr>
              <w:t>、采集网络信息，并通过物联网专网的运营管理平台为客户提供通信在网状态查询（开关机信息、PDP激活状态、IP地址查询、短信失败原因查询等）、流量信息查询、流量余额提醒等功能。</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张</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162</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17</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高清摄像机</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金属壳，</w:t>
            </w:r>
            <w:r>
              <w:rPr>
                <w:rFonts w:hint="eastAsia" w:ascii="新宋体" w:hAnsi="新宋体" w:eastAsia="新宋体" w:cs="新宋体"/>
                <w:color w:val="000000"/>
                <w:kern w:val="0"/>
                <w:sz w:val="24"/>
                <w:szCs w:val="24"/>
                <w:lang w:val="en-US" w:eastAsia="zh-CN"/>
              </w:rPr>
              <w:t>200万高清，防水，</w:t>
            </w:r>
            <w:r>
              <w:rPr>
                <w:rFonts w:hint="eastAsia" w:ascii="新宋体" w:hAnsi="新宋体" w:eastAsia="新宋体" w:cs="新宋体"/>
                <w:color w:val="000000"/>
                <w:kern w:val="0"/>
                <w:sz w:val="24"/>
                <w:szCs w:val="24"/>
              </w:rPr>
              <w:t>采用4颗点阵红外灯，使用寿命长，照射距离远1/2.7" 2MP IMX 307 CMOS传感器；</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支持265；</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支持双码流，主码流： 1920*1080 / 1280*720；子码流：704*576 / 640*360 / 352*288；</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支持宽动态，3D降噪、背光补偿、自动白平衡，适用不同监控环境；</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支持ONVIF协议，可接入第三方NVR；</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ICR滤光片切换功能，实现24小时监控；</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支持画面遮挡，可设置4个遮挡区域块；</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支持音频输入，实现视频录像的完美监听；</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支持移动侦测，移动侦测报警自动发送邮件提醒；</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支持FTP；</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支持OSD位置设置，支持网络对时；</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支持支持手机监控（iOS,android）、Web端、VMS；</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支持自动维护功能；</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符合IP66级防水设计,可靠性高，(镜头标配：4mm，6mm)</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个</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200</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p>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18</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网络硬盘录像机</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支持VGA、HDMI同时显示；</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支持双码流；</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支持HDMI输出音频；</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云台支持智能手势；</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支持预览和回放抓图；</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支持6TB硬盘；</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录像回放用时间柱显示，录像类型用颜色表示，检索录像资料方便快捷；</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录像备份可根据时间发生的时间及长短来备份，备份可精确到秒；</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支持批量修改前端IPC地址，支持远程添加前端设备；</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可连接网络摄像机、网络快球；支持多版本Onvif协议；</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可接驳市场主流品牌IPC(私有协议和标准ONVIF)；</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预览画面可随意调换，图像位置变化，物理地址不变，方便工程施工；</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U盘备份的录像和图片可直接在主机上回放查询，提供更多的便利；</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可直接对前端IPC控制ISP参数；</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支持远程升级IPC，支持远程查看IPC信息；</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支持多种回放模式，快进、慢放、快退等，最高支持16倍速的快进与快退；</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支持WEB、VMS管理软件，支持android/IOS手机软件；</w:t>
            </w:r>
          </w:p>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支持P2P，支持二维码扫描,支持手机APP回放录像；</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自带12V 2A电源，百兆网口</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25</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ind w:firstLine="480" w:firstLineChars="200"/>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硬盘</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监控级硬盘，接口类型  SATA; </w:t>
            </w:r>
          </w:p>
          <w:p>
            <w:pPr>
              <w:widowControl/>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容量  4TB；  缓存  64M； </w:t>
            </w:r>
          </w:p>
          <w:p>
            <w:pPr>
              <w:widowControl/>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转速  5900；imagePerfectTM技术；64路高清摄像头并发，完整存储视频影像；180TB/年的工作负载，针对高存储容量且多盘位的监控系统设计。</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块</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25</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9180" w:type="dxa"/>
            <w:gridSpan w:val="6"/>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二、软件部分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序号</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货物名称</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数量</w:t>
            </w:r>
          </w:p>
        </w:tc>
        <w:tc>
          <w:tcPr>
            <w:tcW w:w="111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PC端综合云平台</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要求平台软件是一个综合大数据云平台，是联网报警、一键报警提醒、智慧用电、智慧烟感、视频监控、居家养老、智慧消防结合为一体的一个大数据平台软件。实时数据采集、远程设置参数及升级、事件查询与统计、数据分析与报表汇总、精准定位报警位置。一旦接收到报警信息3-5秒平台自动弹窗和弹出视频等等功能.</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报警中心运行环境：电源：交流电220v±10%，支持备用在线式的UPS保证短时间停电时系统正常稳定运行。</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地线：接地电阻≤5Ω。</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温度：保持室内温度在10℃ ~ 25℃。</w:t>
            </w:r>
          </w:p>
          <w:p>
            <w:pPr>
              <w:pStyle w:val="60"/>
              <w:ind w:firstLine="0" w:firstLineChars="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湿度：40% ~ 65%。</w:t>
            </w:r>
          </w:p>
          <w:p>
            <w:pPr>
              <w:pStyle w:val="60"/>
              <w:ind w:firstLine="0" w:firstLineChars="0"/>
              <w:rPr>
                <w:rFonts w:hint="eastAsia" w:ascii="新宋体" w:hAnsi="新宋体" w:eastAsia="新宋体" w:cs="新宋体"/>
                <w:color w:val="000000"/>
                <w:kern w:val="0"/>
                <w:sz w:val="24"/>
                <w:szCs w:val="24"/>
              </w:rPr>
            </w:pPr>
            <w:r>
              <w:rPr>
                <w:rFonts w:hint="eastAsia" w:ascii="新宋体" w:hAnsi="新宋体" w:eastAsia="新宋体" w:cs="新宋体"/>
                <w:color w:val="333333"/>
                <w:sz w:val="24"/>
                <w:szCs w:val="24"/>
                <w:shd w:val="clear" w:color="auto" w:fill="FFFFFF"/>
              </w:rPr>
              <w:t>安装台账信息能够纳入城市消防物联网监控管理中心的统一管理，可以对接第三方物联网管理平台。</w:t>
            </w:r>
          </w:p>
          <w:p>
            <w:pPr>
              <w:pStyle w:val="60"/>
              <w:ind w:firstLine="0" w:firstLineChars="0"/>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平台</w:t>
            </w:r>
            <w:r>
              <w:rPr>
                <w:rFonts w:hint="eastAsia" w:ascii="新宋体" w:hAnsi="新宋体" w:eastAsia="新宋体" w:cs="新宋体"/>
                <w:spacing w:val="-4"/>
                <w:sz w:val="24"/>
                <w:szCs w:val="24"/>
              </w:rPr>
              <w:t>管理软件具有国家版权局颁发的</w:t>
            </w:r>
            <w:r>
              <w:rPr>
                <w:rFonts w:hint="eastAsia" w:ascii="新宋体" w:hAnsi="新宋体" w:eastAsia="新宋体" w:cs="新宋体"/>
                <w:spacing w:val="-8"/>
                <w:sz w:val="24"/>
                <w:szCs w:val="24"/>
              </w:rPr>
              <w:t>《计算机软件著作权</w:t>
            </w:r>
            <w:r>
              <w:rPr>
                <w:rFonts w:hint="eastAsia" w:ascii="新宋体" w:hAnsi="新宋体" w:eastAsia="新宋体" w:cs="新宋体"/>
                <w:spacing w:val="-13"/>
                <w:sz w:val="24"/>
                <w:szCs w:val="24"/>
              </w:rPr>
              <w:t>证书》，提供证书复印件。</w:t>
            </w:r>
          </w:p>
          <w:p>
            <w:pPr>
              <w:widowControl/>
              <w:spacing w:line="360" w:lineRule="auto"/>
              <w:jc w:val="left"/>
              <w:rPr>
                <w:rFonts w:hint="eastAsia" w:ascii="新宋体" w:hAnsi="新宋体" w:eastAsia="新宋体" w:cs="新宋体"/>
                <w:color w:val="000000"/>
                <w:kern w:val="0"/>
                <w:sz w:val="24"/>
                <w:szCs w:val="24"/>
              </w:rPr>
            </w:pP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9"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17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手机端APP</w:t>
            </w:r>
          </w:p>
        </w:tc>
        <w:tc>
          <w:tcPr>
            <w:tcW w:w="425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60"/>
              <w:ind w:firstLine="0" w:firstLineChars="0"/>
              <w:rPr>
                <w:rFonts w:hint="eastAsia" w:ascii="新宋体" w:hAnsi="新宋体" w:eastAsia="新宋体" w:cs="新宋体"/>
                <w:color w:val="333333"/>
                <w:sz w:val="24"/>
                <w:szCs w:val="24"/>
                <w:shd w:val="clear" w:color="auto" w:fill="FFFFFF"/>
              </w:rPr>
            </w:pPr>
            <w:r>
              <w:rPr>
                <w:rFonts w:hint="eastAsia" w:ascii="新宋体" w:hAnsi="新宋体" w:eastAsia="新宋体" w:cs="新宋体"/>
                <w:color w:val="333333"/>
                <w:sz w:val="24"/>
                <w:szCs w:val="24"/>
                <w:shd w:val="clear" w:color="auto" w:fill="FFFFFF"/>
              </w:rPr>
              <w:t>要求提供实时视频监控，消防安全，报警处理等信息，实现高效智能化管理.APP应含有联网报警、智慧用电、智慧烟感、保安巡逻、远程布撤防、报警提醒等等功能 。</w:t>
            </w:r>
          </w:p>
          <w:p>
            <w:pPr>
              <w:pStyle w:val="60"/>
              <w:ind w:firstLine="0" w:firstLineChars="0"/>
              <w:rPr>
                <w:rFonts w:hint="eastAsia" w:ascii="新宋体" w:hAnsi="新宋体" w:eastAsia="新宋体" w:cs="新宋体"/>
                <w:color w:val="000000"/>
                <w:kern w:val="0"/>
                <w:sz w:val="24"/>
                <w:szCs w:val="24"/>
              </w:rPr>
            </w:pPr>
            <w:r>
              <w:rPr>
                <w:rFonts w:hint="eastAsia" w:ascii="新宋体" w:hAnsi="新宋体" w:eastAsia="新宋体" w:cs="新宋体"/>
                <w:spacing w:val="-4"/>
                <w:sz w:val="24"/>
                <w:szCs w:val="24"/>
              </w:rPr>
              <w:t>APP管理软件具有国家版权局颁发的</w:t>
            </w:r>
            <w:r>
              <w:rPr>
                <w:rFonts w:hint="eastAsia" w:ascii="新宋体" w:hAnsi="新宋体" w:eastAsia="新宋体" w:cs="新宋体"/>
                <w:spacing w:val="-8"/>
                <w:sz w:val="24"/>
                <w:szCs w:val="24"/>
              </w:rPr>
              <w:t>《计算机软件著作权</w:t>
            </w:r>
            <w:r>
              <w:rPr>
                <w:rFonts w:hint="eastAsia" w:ascii="新宋体" w:hAnsi="新宋体" w:eastAsia="新宋体" w:cs="新宋体"/>
                <w:spacing w:val="-13"/>
                <w:sz w:val="24"/>
                <w:szCs w:val="24"/>
              </w:rPr>
              <w:t>证书》，提供证书复印件。</w:t>
            </w:r>
          </w:p>
        </w:tc>
        <w:tc>
          <w:tcPr>
            <w:tcW w:w="4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bl>
    <w:p>
      <w:pPr>
        <w:pStyle w:val="31"/>
        <w:ind w:left="0" w:leftChars="0" w:firstLine="0" w:firstLineChars="0"/>
        <w:rPr>
          <w:rFonts w:hint="eastAsia" w:ascii="新宋体" w:hAnsi="新宋体" w:eastAsia="新宋体" w:cs="新宋体"/>
          <w:sz w:val="24"/>
          <w:szCs w:val="24"/>
        </w:rPr>
      </w:pPr>
    </w:p>
    <w:p>
      <w:pPr>
        <w:keepNext w:val="0"/>
        <w:keepLines w:val="0"/>
        <w:pageBreakBefore w:val="0"/>
        <w:widowControl/>
        <w:numPr>
          <w:ilvl w:val="0"/>
          <w:numId w:val="9"/>
        </w:numPr>
        <w:kinsoku/>
        <w:overflowPunct/>
        <w:bidi w:val="0"/>
        <w:snapToGrid/>
        <w:spacing w:line="360" w:lineRule="auto"/>
        <w:ind w:left="0" w:leftChars="0" w:firstLine="600" w:firstLineChars="0"/>
        <w:jc w:val="both"/>
        <w:textAlignment w:val="center"/>
        <w:rPr>
          <w:rFonts w:hint="eastAsia" w:ascii="新宋体" w:hAnsi="新宋体" w:eastAsia="新宋体" w:cs="新宋体"/>
          <w:b/>
          <w:bCs/>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hint="eastAsia"/>
          <w:lang w:val="zh-CN" w:eastAsia="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2"/>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600" w:firstLineChars="0"/>
        <w:textAlignment w:val="auto"/>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kern w:val="0"/>
          <w:sz w:val="24"/>
          <w:szCs w:val="24"/>
          <w:lang w:val="en-US" w:eastAsia="zh-CN" w:bidi="ar-SA"/>
        </w:rPr>
        <w:t>服务标准、期限、效率等要求</w:t>
      </w:r>
    </w:p>
    <w:p>
      <w:pPr>
        <w:wordWrap w:val="0"/>
        <w:spacing w:line="360" w:lineRule="auto"/>
        <w:ind w:firstLine="480" w:firstLineChars="200"/>
        <w:contextualSpacing/>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平台主要功能</w:t>
      </w:r>
    </w:p>
    <w:p>
      <w:pPr>
        <w:wordWrap w:val="0"/>
        <w:spacing w:line="360" w:lineRule="auto"/>
        <w:ind w:firstLine="480" w:firstLineChars="200"/>
        <w:contextualSpacing/>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1、智能监控系统</w:t>
      </w:r>
    </w:p>
    <w:p>
      <w:pPr>
        <w:wordWrap w:val="0"/>
        <w:spacing w:line="360" w:lineRule="auto"/>
        <w:ind w:firstLine="480" w:firstLineChars="200"/>
        <w:contextualSpacing/>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要求采用先进通信技术及视频压缩技术为核心的网络化、数字化视频监控系统防患于未然，作为现代化管理有力的辅助手段，将敬老院现场内各现场的视频图像传送至监控中心，管理人员在不亲临现场的情况下也可客观地对各区域进行集中监视，应对突发情况，提供视频追溯依据，为敬老院提供全方位的安全保障。</w:t>
      </w:r>
    </w:p>
    <w:p>
      <w:pPr>
        <w:wordWrap w:val="0"/>
        <w:spacing w:line="360" w:lineRule="auto"/>
        <w:ind w:firstLine="480" w:firstLineChars="200"/>
        <w:contextualSpacing/>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2、智慧用电系统</w:t>
      </w:r>
    </w:p>
    <w:p>
      <w:pPr>
        <w:wordWrap w:val="0"/>
        <w:spacing w:line="360" w:lineRule="auto"/>
        <w:ind w:firstLine="480" w:firstLineChars="200"/>
        <w:contextualSpacing/>
        <w:rPr>
          <w:rFonts w:hint="default" w:cs="宋体" w:asciiTheme="minorEastAsia" w:hAnsiTheme="minorEastAsia"/>
          <w:kern w:val="0"/>
          <w:sz w:val="24"/>
          <w:szCs w:val="24"/>
          <w:lang w:val="en-US" w:eastAsia="zh-CN"/>
        </w:rPr>
      </w:pPr>
      <w:r>
        <w:rPr>
          <w:rFonts w:hint="default" w:cs="宋体" w:asciiTheme="minorEastAsia" w:hAnsiTheme="minorEastAsia"/>
          <w:kern w:val="0"/>
          <w:sz w:val="24"/>
          <w:szCs w:val="24"/>
          <w:lang w:val="en-US" w:eastAsia="zh-CN"/>
        </w:rPr>
        <w:t>智慧用电安全系统</w:t>
      </w:r>
      <w:r>
        <w:rPr>
          <w:rFonts w:hint="eastAsia" w:cs="宋体" w:asciiTheme="minorEastAsia" w:hAnsiTheme="minorEastAsia"/>
          <w:kern w:val="0"/>
          <w:sz w:val="24"/>
          <w:szCs w:val="24"/>
          <w:lang w:val="en-US" w:eastAsia="zh-CN"/>
        </w:rPr>
        <w:t>要求</w:t>
      </w:r>
      <w:r>
        <w:rPr>
          <w:rFonts w:hint="default" w:cs="宋体" w:asciiTheme="minorEastAsia" w:hAnsiTheme="minorEastAsia"/>
          <w:kern w:val="0"/>
          <w:sz w:val="24"/>
          <w:szCs w:val="24"/>
          <w:lang w:val="en-US" w:eastAsia="zh-CN"/>
        </w:rPr>
        <w:t>基于当前电气火灾事故频发而研发的成熟有效的用电安全系统，对引起电气火灾的主要因素（线缆温度、电流、剩余电流、故障电弧）进行实时在线检测和统计分析，实时发现电气线路和用电设备存在的安全隐患，避免酿成重大电气安全事故，有效防止人员伤亡及重大财产损失事件的发生，达到消除潜在的电气火灾安全隐患，真正实现“防范于未然”的目的。</w:t>
      </w:r>
    </w:p>
    <w:p>
      <w:pPr>
        <w:wordWrap w:val="0"/>
        <w:spacing w:line="360" w:lineRule="auto"/>
        <w:ind w:firstLine="480" w:firstLineChars="200"/>
        <w:contextualSpacing/>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3、智慧烟感与一键呼叫系统</w:t>
      </w:r>
    </w:p>
    <w:p>
      <w:pPr>
        <w:wordWrap w:val="0"/>
        <w:spacing w:line="360" w:lineRule="auto"/>
        <w:ind w:firstLine="480" w:firstLineChars="200"/>
        <w:contextualSpacing/>
        <w:rPr>
          <w:rFonts w:hint="eastAsia" w:cs="宋体" w:asciiTheme="minorEastAsia" w:hAnsiTheme="minorEastAsia"/>
          <w:kern w:val="0"/>
          <w:sz w:val="24"/>
          <w:szCs w:val="24"/>
          <w:lang w:val="en-US" w:eastAsia="zh-CN"/>
        </w:rPr>
      </w:pPr>
      <w:r>
        <w:rPr>
          <w:rFonts w:hint="default" w:cs="宋体" w:asciiTheme="minorEastAsia" w:hAnsiTheme="minorEastAsia"/>
          <w:kern w:val="0"/>
          <w:sz w:val="24"/>
          <w:szCs w:val="24"/>
          <w:lang w:val="en-US" w:eastAsia="zh-CN"/>
        </w:rPr>
        <w:t>烟感与一键呼叫系统</w:t>
      </w:r>
      <w:r>
        <w:rPr>
          <w:rFonts w:hint="eastAsia" w:cs="宋体" w:asciiTheme="minorEastAsia" w:hAnsiTheme="minorEastAsia"/>
          <w:kern w:val="0"/>
          <w:sz w:val="24"/>
          <w:szCs w:val="24"/>
          <w:lang w:val="en-US" w:eastAsia="zh-CN"/>
        </w:rPr>
        <w:t>需</w:t>
      </w:r>
      <w:r>
        <w:rPr>
          <w:rFonts w:hint="default" w:cs="宋体" w:asciiTheme="minorEastAsia" w:hAnsiTheme="minorEastAsia"/>
          <w:kern w:val="0"/>
          <w:sz w:val="24"/>
          <w:szCs w:val="24"/>
          <w:lang w:val="en-US" w:eastAsia="zh-CN"/>
        </w:rPr>
        <w:t>建立在多级通讯网络平台上，采用总线方式和专业高速通讯协议进行数据传输和处理，具有报警响应时间短、系统容量大、可靠性高、数据安全、扩充性强、施工简单、操作方便等特点。</w:t>
      </w:r>
    </w:p>
    <w:p>
      <w:pPr>
        <w:keepNext w:val="0"/>
        <w:keepLines w:val="0"/>
        <w:pageBreakBefore w:val="0"/>
        <w:kinsoku/>
        <w:wordWrap w:val="0"/>
        <w:overflowPunct/>
        <w:topLinePunct/>
        <w:bidi w:val="0"/>
        <w:snapToGrid/>
        <w:spacing w:line="360" w:lineRule="auto"/>
        <w:ind w:firstLine="482" w:firstLineChars="200"/>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0"/>
        <w:wordWrap w:val="0"/>
        <w:topLinePunct/>
        <w:spacing w:line="360" w:lineRule="auto"/>
        <w:ind w:left="420" w:firstLine="0" w:firstLineChars="0"/>
        <w:rPr>
          <w:rFonts w:ascii="宋体" w:cs="宋体"/>
          <w:sz w:val="24"/>
          <w:lang w:val="zh-CN"/>
        </w:rPr>
      </w:pPr>
      <w:r>
        <w:rPr>
          <w:rFonts w:ascii="宋体" w:cs="宋体"/>
          <w:sz w:val="24"/>
          <w:lang w:val="zh-CN"/>
        </w:rPr>
        <w:t>1</w:t>
      </w:r>
      <w:r>
        <w:rPr>
          <w:rFonts w:hint="eastAsia" w:ascii="宋体" w:cs="宋体"/>
          <w:sz w:val="24"/>
          <w:lang w:val="zh-CN"/>
        </w:rPr>
        <w:t>、投标人须明确投标产品的厂家、产地、品牌、型号、详细参数，否则为无效投标。</w:t>
      </w:r>
    </w:p>
    <w:p>
      <w:pPr>
        <w:pStyle w:val="60"/>
        <w:wordWrap w:val="0"/>
        <w:topLinePunct/>
        <w:autoSpaceDE w:val="0"/>
        <w:autoSpaceDN w:val="0"/>
        <w:adjustRightInd w:val="0"/>
        <w:spacing w:line="360" w:lineRule="auto"/>
        <w:ind w:left="420" w:firstLine="0" w:firstLineChars="0"/>
        <w:rPr>
          <w:rFonts w:hint="eastAsia" w:ascii="宋体" w:cs="宋体"/>
          <w:sz w:val="24"/>
          <w:lang w:val="zh-CN"/>
        </w:rPr>
      </w:pPr>
      <w:r>
        <w:rPr>
          <w:rFonts w:ascii="宋体" w:cs="宋体"/>
          <w:sz w:val="24"/>
          <w:lang w:val="zh-CN"/>
        </w:rPr>
        <w:t>2</w:t>
      </w:r>
      <w:r>
        <w:rPr>
          <w:rFonts w:hint="eastAsia" w:ascii="宋体" w:cs="宋体"/>
          <w:sz w:val="24"/>
          <w:lang w:val="zh-CN"/>
        </w:rPr>
        <w:t>、投标人应就本项目完整投标，否则为无效投标。</w:t>
      </w:r>
    </w:p>
    <w:p>
      <w:pPr>
        <w:pStyle w:val="3"/>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3.</w:t>
      </w:r>
      <w:r>
        <w:rPr>
          <w:rFonts w:hint="eastAsia" w:ascii="新宋体" w:hAnsi="新宋体" w:eastAsia="新宋体" w:cs="新宋体"/>
          <w:kern w:val="2"/>
          <w:sz w:val="24"/>
          <w:szCs w:val="22"/>
          <w:lang w:val="zh-CN" w:eastAsia="zh-CN" w:bidi="ar-SA"/>
        </w:rPr>
        <w:t>投标文件中须有详细的实施（技术）方案，否则为无效投标。</w:t>
      </w:r>
    </w:p>
    <w:p>
      <w:pPr>
        <w:pStyle w:val="60"/>
        <w:wordWrap w:val="0"/>
        <w:topLinePunct/>
        <w:spacing w:line="360" w:lineRule="auto"/>
        <w:ind w:left="420" w:firstLine="0" w:firstLineChars="0"/>
        <w:rPr>
          <w:rFonts w:ascii="宋体" w:cs="宋体"/>
          <w:sz w:val="24"/>
          <w:lang w:val="zh-CN"/>
        </w:rPr>
      </w:pPr>
      <w:r>
        <w:rPr>
          <w:rFonts w:hint="eastAsia" w:ascii="宋体" w:cs="宋体"/>
          <w:sz w:val="24"/>
          <w:lang w:val="en-US" w:eastAsia="zh-CN"/>
        </w:rPr>
        <w:t>4</w:t>
      </w:r>
      <w:r>
        <w:rPr>
          <w:rFonts w:hint="eastAsia" w:ascii="宋体" w:cs="宋体"/>
          <w:sz w:val="24"/>
          <w:lang w:val="zh-CN"/>
        </w:rPr>
        <w:t>、所投产品必须符合本招标文件规定标准的全新正品现货。</w:t>
      </w:r>
    </w:p>
    <w:p>
      <w:pPr>
        <w:keepNext w:val="0"/>
        <w:keepLines w:val="0"/>
        <w:pageBreakBefore w:val="0"/>
        <w:kinsoku/>
        <w:wordWrap w:val="0"/>
        <w:overflowPunct/>
        <w:topLinePunct/>
        <w:bidi w:val="0"/>
        <w:snapToGrid/>
        <w:spacing w:line="360" w:lineRule="auto"/>
        <w:ind w:firstLine="480" w:firstLineChars="200"/>
        <w:rPr>
          <w:rFonts w:hint="eastAsia"/>
          <w:lang w:val="zh-CN"/>
        </w:rPr>
      </w:pPr>
      <w:r>
        <w:rPr>
          <w:rFonts w:hint="eastAsia" w:ascii="新宋体" w:hAnsi="新宋体" w:eastAsia="新宋体" w:cs="新宋体"/>
          <w:sz w:val="24"/>
          <w:lang w:val="en-US" w:eastAsia="zh-CN"/>
        </w:rPr>
        <w:t>5、</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1、按照国家相关标准、行业标准、地方标准或者其他标准、规范验收。</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2、按照招标文件要求、投标文件响应和承诺验收。</w:t>
      </w:r>
    </w:p>
    <w:p>
      <w:pPr>
        <w:pStyle w:val="3"/>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禹州市敬老院安装视频监控、智慧用电、呼叫系统、烟感报警等采购项目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YZCG-G2019200-1</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w:t>
            </w:r>
            <w:r>
              <w:rPr>
                <w:rFonts w:hint="eastAsia" w:cs="仿宋_GB2312" w:asciiTheme="minorEastAsia" w:hAnsiTheme="minorEastAsia"/>
                <w:szCs w:val="21"/>
                <w:lang w:val="en-US" w:eastAsia="zh-CN"/>
              </w:rPr>
              <w:t>合同签订之日起60日历天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名称：禹州市民政局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地址：禹州市钧台路</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联系人：张先生                    电话：</w:t>
            </w:r>
            <w:r>
              <w:rPr>
                <w:rFonts w:hint="eastAsia" w:cs="仿宋_GB2312" w:asciiTheme="minorEastAsia" w:hAnsiTheme="minorEastAsia"/>
                <w:szCs w:val="21"/>
                <w:lang w:val="en-US" w:eastAsia="zh-CN"/>
              </w:rPr>
              <w:t>13803740722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eastAsiaTheme="minorEastAsia"/>
                <w:lang w:val="en-US" w:eastAsia="zh-CN"/>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109.9744</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w:t>
            </w:r>
            <w:r>
              <w:rPr>
                <w:rFonts w:hint="eastAsia" w:cs="宋体" w:asciiTheme="minorEastAsia" w:hAnsiTheme="minorEastAsia"/>
                <w:bCs/>
                <w:sz w:val="24"/>
                <w:szCs w:val="24"/>
                <w:lang w:val="zh-CN" w:eastAsia="zh-CN"/>
              </w:rPr>
              <w:t>二</w:t>
            </w:r>
            <w:r>
              <w:rPr>
                <w:rFonts w:hint="eastAsia" w:cs="宋体" w:asciiTheme="minorEastAsia" w:hAnsiTheme="minorEastAsia"/>
                <w:bCs/>
                <w:sz w:val="24"/>
                <w:szCs w:val="24"/>
                <w:lang w:val="zh-CN"/>
              </w:rPr>
              <w:t>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按照河南省《关于优化政府采购营商环境有关问题的通知》（豫财购（2019）4号文）的要求，不收取投标保证金。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bookmarkStart w:id="9" w:name="_GoBack"/>
      <w:bookmarkEnd w:id="9"/>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1"/>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2"/>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60"/>
        <w:numPr>
          <w:ilvl w:val="1"/>
          <w:numId w:val="12"/>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rPr>
          <w:rFonts w:hint="eastAsia"/>
          <w:sz w:val="24"/>
          <w:szCs w:val="24"/>
        </w:rPr>
      </w:pPr>
      <w:r>
        <w:rPr>
          <w:rFonts w:hint="eastAsia"/>
          <w:sz w:val="24"/>
          <w:szCs w:val="24"/>
        </w:rPr>
        <w:t>（2）截止时间：同投标截止时间；</w:t>
      </w:r>
    </w:p>
    <w:p>
      <w:pPr>
        <w:pStyle w:val="30"/>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0"/>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0"/>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11"/>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5"/>
        <w:spacing w:line="360" w:lineRule="auto"/>
        <w:contextualSpacing/>
        <w:jc w:val="both"/>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29"/>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tbl>
      <w:tblPr>
        <w:tblStyle w:val="23"/>
        <w:tblW w:w="9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068"/>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39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    </w:t>
            </w:r>
            <w:r>
              <w:rPr>
                <w:rFonts w:hint="eastAsia" w:ascii="新宋体" w:hAnsi="新宋体" w:eastAsia="新宋体" w:cs="新宋体"/>
                <w:color w:val="000000"/>
                <w:kern w:val="0"/>
                <w:sz w:val="24"/>
                <w:szCs w:val="24"/>
                <w:lang w:val="en-US" w:eastAsia="zh-CN"/>
              </w:rPr>
              <w:t>50</w:t>
            </w:r>
            <w:r>
              <w:rPr>
                <w:rFonts w:hint="eastAsia" w:ascii="新宋体" w:hAnsi="新宋体" w:eastAsia="新宋体" w:cs="新宋体"/>
                <w:color w:val="000000"/>
                <w:kern w:val="0"/>
                <w:sz w:val="24"/>
                <w:szCs w:val="24"/>
              </w:rPr>
              <w:t>    分</w:t>
            </w:r>
          </w:p>
          <w:p>
            <w:pPr>
              <w:widowControl/>
              <w:spacing w:line="360" w:lineRule="auto"/>
              <w:ind w:firstLine="48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    </w:t>
            </w:r>
            <w:r>
              <w:rPr>
                <w:rFonts w:hint="eastAsia" w:ascii="新宋体" w:hAnsi="新宋体" w:eastAsia="新宋体" w:cs="新宋体"/>
                <w:color w:val="000000"/>
                <w:kern w:val="0"/>
                <w:sz w:val="24"/>
                <w:szCs w:val="24"/>
                <w:lang w:val="en-US" w:eastAsia="zh-CN"/>
              </w:rPr>
              <w:t>14</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分</w:t>
            </w:r>
          </w:p>
          <w:p>
            <w:pPr>
              <w:widowControl/>
              <w:spacing w:line="360" w:lineRule="auto"/>
              <w:ind w:firstLine="48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    </w:t>
            </w:r>
            <w:r>
              <w:rPr>
                <w:rFonts w:hint="eastAsia" w:ascii="新宋体" w:hAnsi="新宋体" w:eastAsia="新宋体" w:cs="新宋体"/>
                <w:color w:val="000000"/>
                <w:kern w:val="0"/>
                <w:sz w:val="24"/>
                <w:szCs w:val="24"/>
                <w:lang w:val="en-US" w:eastAsia="zh-CN"/>
              </w:rPr>
              <w:t>36</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8"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w:t>
            </w:r>
            <w:r>
              <w:rPr>
                <w:rFonts w:hint="eastAsia" w:ascii="新宋体" w:hAnsi="新宋体" w:eastAsia="新宋体" w:cs="新宋体"/>
                <w:bCs/>
                <w:color w:val="000000"/>
                <w:kern w:val="0"/>
                <w:sz w:val="24"/>
                <w:szCs w:val="24"/>
                <w:lang w:val="en-US" w:eastAsia="zh-CN"/>
              </w:rPr>
              <w:t>50</w:t>
            </w:r>
            <w:r>
              <w:rPr>
                <w:rFonts w:hint="eastAsia" w:ascii="新宋体" w:hAnsi="新宋体" w:eastAsia="新宋体" w:cs="新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30" w:lineRule="atLeast"/>
              <w:ind w:firstLine="240" w:firstLineChars="10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068" w:type="dxa"/>
            <w:tcBorders>
              <w:top w:val="single" w:color="auto" w:sz="4" w:space="0"/>
              <w:left w:val="single" w:color="auto" w:sz="4" w:space="0"/>
              <w:bottom w:val="single" w:color="auto" w:sz="4" w:space="0"/>
              <w:right w:val="single" w:color="auto" w:sz="4" w:space="0"/>
            </w:tcBorders>
            <w:vAlign w:val="center"/>
          </w:tcPr>
          <w:p>
            <w:pPr>
              <w:pStyle w:val="64"/>
              <w:jc w:val="both"/>
              <w:rPr>
                <w:rFonts w:hint="eastAsia" w:ascii="新宋体" w:hAnsi="新宋体" w:eastAsia="新宋体" w:cs="新宋体"/>
                <w:sz w:val="24"/>
                <w:szCs w:val="24"/>
              </w:rPr>
            </w:pPr>
            <w:r>
              <w:rPr>
                <w:rFonts w:hint="eastAsia" w:ascii="新宋体" w:hAnsi="新宋体" w:eastAsia="新宋体" w:cs="新宋体"/>
                <w:sz w:val="24"/>
                <w:szCs w:val="24"/>
              </w:rPr>
              <w:t>评标基准价：满足招标文件要求的有效投标报价中，最低的投标报价为评标基准价。</w:t>
            </w:r>
          </w:p>
          <w:p>
            <w:pPr>
              <w:pStyle w:val="22"/>
              <w:jc w:val="both"/>
              <w:rPr>
                <w:rFonts w:hint="eastAsia" w:ascii="新宋体" w:hAnsi="新宋体" w:eastAsia="新宋体" w:cs="新宋体"/>
                <w:kern w:val="0"/>
                <w:sz w:val="24"/>
                <w:szCs w:val="24"/>
              </w:rPr>
            </w:pPr>
            <w:r>
              <w:rPr>
                <w:rFonts w:hint="eastAsia" w:ascii="新宋体" w:hAnsi="新宋体" w:eastAsia="新宋体" w:cs="新宋体"/>
                <w:kern w:val="0"/>
                <w:sz w:val="24"/>
                <w:szCs w:val="24"/>
              </w:rPr>
              <w:t>投标报价得分=（评标基准价/投标报价）×</w:t>
            </w:r>
            <w:r>
              <w:rPr>
                <w:rFonts w:hint="eastAsia" w:ascii="新宋体" w:hAnsi="新宋体" w:eastAsia="新宋体" w:cs="新宋体"/>
                <w:kern w:val="0"/>
                <w:sz w:val="24"/>
                <w:szCs w:val="24"/>
                <w:lang w:val="en-US" w:eastAsia="zh-CN"/>
              </w:rPr>
              <w:t>5</w:t>
            </w:r>
            <w:r>
              <w:rPr>
                <w:rFonts w:hint="eastAsia" w:ascii="新宋体" w:hAnsi="新宋体" w:eastAsia="新宋体" w:cs="新宋体"/>
                <w:kern w:val="0"/>
                <w:sz w:val="24"/>
                <w:szCs w:val="24"/>
              </w:rPr>
              <w:t>0</w:t>
            </w:r>
          </w:p>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注：分值计算保留小数点后两位，小数点后第三位“四舍五入”。</w:t>
            </w:r>
            <w:r>
              <w:rPr>
                <w:rFonts w:hint="eastAsia" w:ascii="新宋体" w:hAnsi="新宋体" w:eastAsia="新宋体" w:cs="新宋体"/>
                <w:sz w:val="24"/>
                <w:szCs w:val="24"/>
              </w:rPr>
              <w:br w:type="textWrapping"/>
            </w:r>
            <w:r>
              <w:rPr>
                <w:rFonts w:hint="eastAsia" w:ascii="新宋体" w:hAnsi="新宋体" w:eastAsia="新宋体" w:cs="新宋体"/>
                <w:sz w:val="24"/>
                <w:szCs w:val="24"/>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50</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8"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二、商务部分（满分</w:t>
            </w:r>
            <w:r>
              <w:rPr>
                <w:rFonts w:hint="eastAsia" w:ascii="新宋体" w:hAnsi="新宋体" w:eastAsia="新宋体" w:cs="新宋体"/>
                <w:bCs/>
                <w:color w:val="000000"/>
                <w:kern w:val="0"/>
                <w:sz w:val="24"/>
                <w:szCs w:val="24"/>
                <w:lang w:val="en-US" w:eastAsia="zh-CN"/>
              </w:rPr>
              <w:t>14</w:t>
            </w:r>
            <w:r>
              <w:rPr>
                <w:rFonts w:hint="eastAsia" w:ascii="新宋体" w:hAnsi="新宋体" w:eastAsia="新宋体" w:cs="新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40" w:firstLineChars="100"/>
              <w:jc w:val="both"/>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公司荣誉</w:t>
            </w:r>
          </w:p>
        </w:tc>
        <w:tc>
          <w:tcPr>
            <w:tcW w:w="606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30" w:lineRule="atLeas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投标人提供2016年1月1日以来所取得的优秀软件和信息技术服务业企业并通过媒介公开表彰者（</w:t>
            </w:r>
            <w:r>
              <w:rPr>
                <w:rFonts w:hint="eastAsia" w:ascii="新宋体" w:hAnsi="新宋体" w:eastAsia="新宋体" w:cs="新宋体"/>
                <w:sz w:val="24"/>
                <w:szCs w:val="24"/>
              </w:rPr>
              <w:t>以媒介公示网页截图为准</w:t>
            </w:r>
            <w:r>
              <w:rPr>
                <w:rFonts w:hint="eastAsia" w:ascii="新宋体" w:hAnsi="新宋体" w:eastAsia="新宋体" w:cs="新宋体"/>
                <w:sz w:val="24"/>
                <w:szCs w:val="24"/>
                <w:lang w:val="en-US" w:eastAsia="zh-CN"/>
              </w:rPr>
              <w:t>），得3分，不提供不得分。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both"/>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240" w:firstLineChars="10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企业实力</w:t>
            </w:r>
          </w:p>
        </w:tc>
        <w:tc>
          <w:tcPr>
            <w:tcW w:w="6068" w:type="dxa"/>
            <w:tcBorders>
              <w:top w:val="single" w:color="auto" w:sz="4" w:space="0"/>
              <w:left w:val="single" w:color="auto" w:sz="4" w:space="0"/>
              <w:bottom w:val="single" w:color="auto" w:sz="4" w:space="0"/>
              <w:right w:val="single" w:color="auto" w:sz="4" w:space="0"/>
            </w:tcBorders>
            <w:vAlign w:val="center"/>
          </w:tcPr>
          <w:p>
            <w:pPr>
              <w:pStyle w:val="22"/>
              <w:numPr>
                <w:ilvl w:val="0"/>
                <w:numId w:val="0"/>
              </w:numPr>
              <w:ind w:leftChars="0"/>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投标人具有安防工程的设计与安装能力以及系统集成能力，提供相关资质者每符合一项得1分，最高得分2分，不提供不得分。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0" w:firstLineChars="10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公司</w:t>
            </w:r>
            <w:r>
              <w:rPr>
                <w:rFonts w:hint="eastAsia" w:ascii="新宋体" w:hAnsi="新宋体" w:eastAsia="新宋体" w:cs="新宋体"/>
                <w:color w:val="000000"/>
                <w:kern w:val="0"/>
                <w:sz w:val="24"/>
                <w:szCs w:val="24"/>
              </w:rPr>
              <w:t>业绩</w:t>
            </w:r>
          </w:p>
        </w:tc>
        <w:tc>
          <w:tcPr>
            <w:tcW w:w="60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投标人提供2016年1月1日以来类似项目业绩合同和项目相对应的国家版权局颁发的计算机软件著作权登记证书的每提供一份得3分，最高得9分，不提供不得分。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9518"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三、技术部分（满分</w:t>
            </w:r>
            <w:r>
              <w:rPr>
                <w:rFonts w:hint="eastAsia" w:ascii="新宋体" w:hAnsi="新宋体" w:eastAsia="新宋体" w:cs="新宋体"/>
                <w:bCs/>
                <w:color w:val="000000"/>
                <w:kern w:val="0"/>
                <w:sz w:val="24"/>
                <w:szCs w:val="24"/>
                <w:lang w:val="en-US" w:eastAsia="zh-CN"/>
              </w:rPr>
              <w:t>36</w:t>
            </w:r>
            <w:r>
              <w:rPr>
                <w:rFonts w:hint="eastAsia" w:ascii="新宋体" w:hAnsi="新宋体" w:eastAsia="新宋体" w:cs="新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1440" w:firstLineChars="600"/>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both"/>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480" w:firstLineChars="200"/>
              <w:jc w:val="both"/>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技术能力</w:t>
            </w:r>
          </w:p>
        </w:tc>
        <w:tc>
          <w:tcPr>
            <w:tcW w:w="606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exact"/>
              <w:jc w:val="both"/>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提供报警安卓APP、报警苹果APP、联网报警服务器、平台客户端、智慧用电安全监控、联网报警微信布撤防系统的国家版权局颁发的计算机软件著作权登记证书原件复印件并加盖厂家公章者，每提供一份软著证书得1分，最高6分，不提供不得分。（投标文件需附复印件否则不得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both"/>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bidi="ar"/>
              </w:rPr>
              <w:t>技术性能指标响应情况</w:t>
            </w:r>
          </w:p>
        </w:tc>
        <w:tc>
          <w:tcPr>
            <w:tcW w:w="6068" w:type="dxa"/>
            <w:tcBorders>
              <w:top w:val="single" w:color="auto" w:sz="4" w:space="0"/>
              <w:left w:val="single" w:color="auto" w:sz="4" w:space="0"/>
              <w:bottom w:val="single" w:color="auto" w:sz="4" w:space="0"/>
              <w:right w:val="single" w:color="auto" w:sz="4" w:space="0"/>
            </w:tcBorders>
            <w:vAlign w:val="center"/>
          </w:tcPr>
          <w:p>
            <w:pPr>
              <w:pStyle w:val="65"/>
              <w:spacing w:line="360" w:lineRule="auto"/>
              <w:jc w:val="both"/>
              <w:rPr>
                <w:rFonts w:hint="eastAsia" w:ascii="新宋体" w:hAnsi="新宋体" w:eastAsia="新宋体" w:cs="新宋体"/>
                <w:sz w:val="24"/>
                <w:szCs w:val="24"/>
              </w:rPr>
            </w:pPr>
            <w:r>
              <w:rPr>
                <w:rFonts w:hint="eastAsia" w:ascii="新宋体" w:hAnsi="新宋体" w:eastAsia="新宋体" w:cs="新宋体"/>
                <w:b w:val="0"/>
                <w:sz w:val="24"/>
                <w:szCs w:val="24"/>
                <w:lang w:val="en-US" w:eastAsia="zh-CN"/>
              </w:rPr>
              <w:t>完全满足或优于技术参数要求的得5分，加</w:t>
            </w:r>
            <w:r>
              <w:rPr>
                <w:rFonts w:hint="eastAsia" w:ascii="新宋体" w:hAnsi="新宋体" w:eastAsia="新宋体" w:cs="新宋体"/>
                <w:b w:val="0"/>
                <w:sz w:val="24"/>
                <w:szCs w:val="24"/>
              </w:rPr>
              <w:t>“★”</w:t>
            </w:r>
            <w:r>
              <w:rPr>
                <w:rFonts w:hint="eastAsia" w:ascii="新宋体" w:hAnsi="新宋体" w:eastAsia="新宋体" w:cs="新宋体"/>
                <w:b w:val="0"/>
                <w:sz w:val="24"/>
                <w:szCs w:val="24"/>
                <w:lang w:val="en-US" w:eastAsia="zh-CN"/>
              </w:rPr>
              <w:t>的技术参数有一项不满足扣2.5分，设备技术性能分扣完为止；没加</w:t>
            </w:r>
            <w:r>
              <w:rPr>
                <w:rFonts w:hint="eastAsia" w:ascii="新宋体" w:hAnsi="新宋体" w:eastAsia="新宋体" w:cs="新宋体"/>
                <w:b w:val="0"/>
                <w:sz w:val="24"/>
                <w:szCs w:val="24"/>
              </w:rPr>
              <w:t>“★”</w:t>
            </w:r>
            <w:r>
              <w:rPr>
                <w:rFonts w:hint="eastAsia" w:ascii="新宋体" w:hAnsi="新宋体" w:eastAsia="新宋体" w:cs="新宋体"/>
                <w:b w:val="0"/>
                <w:sz w:val="24"/>
                <w:szCs w:val="24"/>
                <w:lang w:val="en-US" w:eastAsia="zh-CN"/>
              </w:rPr>
              <w:t>的技术参数有一项不满足扣1分，设备技术性能分扣完为止。</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both"/>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both"/>
              <w:rPr>
                <w:rFonts w:hint="eastAsia" w:ascii="新宋体" w:hAnsi="新宋体" w:eastAsia="新宋体" w:cs="新宋体"/>
                <w:sz w:val="24"/>
                <w:szCs w:val="24"/>
                <w:lang w:bidi="ar"/>
              </w:rPr>
            </w:pPr>
            <w:r>
              <w:rPr>
                <w:rFonts w:hint="eastAsia" w:ascii="新宋体" w:hAnsi="新宋体" w:eastAsia="新宋体" w:cs="新宋体"/>
                <w:color w:val="000000"/>
                <w:kern w:val="0"/>
                <w:sz w:val="24"/>
                <w:szCs w:val="24"/>
              </w:rPr>
              <w:t>售后服务</w:t>
            </w:r>
          </w:p>
        </w:tc>
        <w:tc>
          <w:tcPr>
            <w:tcW w:w="60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根据投标文件售后服务方案内容酌情打分：</w:t>
            </w:r>
          </w:p>
          <w:p>
            <w:pPr>
              <w:tabs>
                <w:tab w:val="left" w:pos="1260"/>
              </w:tabs>
              <w:autoSpaceDE w:val="0"/>
              <w:autoSpaceDN w:val="0"/>
              <w:spacing w:line="360" w:lineRule="auto"/>
              <w:contextualSpacing/>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服务内容承诺、服务体系 1～</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lang w:val="zh-CN"/>
              </w:rPr>
              <w:t>分 ；</w:t>
            </w:r>
          </w:p>
          <w:p>
            <w:pPr>
              <w:tabs>
                <w:tab w:val="left" w:pos="1260"/>
              </w:tabs>
              <w:autoSpaceDE w:val="0"/>
              <w:autoSpaceDN w:val="0"/>
              <w:spacing w:line="360" w:lineRule="auto"/>
              <w:contextualSpacing/>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售后技术服务支持方案</w:t>
            </w:r>
            <w:r>
              <w:rPr>
                <w:rFonts w:hint="eastAsia" w:ascii="新宋体" w:hAnsi="新宋体" w:eastAsia="新宋体" w:cs="新宋体"/>
                <w:sz w:val="24"/>
                <w:szCs w:val="24"/>
                <w:lang w:val="zh-CN"/>
              </w:rPr>
              <w:t>1～5分；</w:t>
            </w:r>
          </w:p>
          <w:p>
            <w:pPr>
              <w:tabs>
                <w:tab w:val="left" w:pos="1260"/>
              </w:tabs>
              <w:autoSpaceDE w:val="0"/>
              <w:autoSpaceDN w:val="0"/>
              <w:spacing w:line="360" w:lineRule="auto"/>
              <w:contextualSpacing/>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人力资源分配方案1～3分；</w:t>
            </w:r>
          </w:p>
          <w:p>
            <w:pPr>
              <w:tabs>
                <w:tab w:val="left" w:pos="1260"/>
              </w:tabs>
              <w:autoSpaceDE w:val="0"/>
              <w:autoSpaceDN w:val="0"/>
              <w:spacing w:line="360" w:lineRule="auto"/>
              <w:contextualSpacing/>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培训方案1～3分；</w:t>
            </w:r>
          </w:p>
          <w:p>
            <w:pPr>
              <w:tabs>
                <w:tab w:val="left" w:pos="1260"/>
              </w:tabs>
              <w:autoSpaceDE w:val="0"/>
              <w:autoSpaceDN w:val="0"/>
              <w:spacing w:line="360" w:lineRule="auto"/>
              <w:contextualSpacing/>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质量保障措施1～3分；</w:t>
            </w:r>
          </w:p>
          <w:p>
            <w:pPr>
              <w:tabs>
                <w:tab w:val="left" w:pos="1260"/>
              </w:tabs>
              <w:autoSpaceDE w:val="0"/>
              <w:autoSpaceDN w:val="0"/>
              <w:spacing w:line="360" w:lineRule="auto"/>
              <w:contextualSpacing/>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服务进度计划与措施1～3分；</w:t>
            </w:r>
          </w:p>
          <w:p>
            <w:pPr>
              <w:widowControl/>
              <w:numPr>
                <w:ilvl w:val="0"/>
                <w:numId w:val="0"/>
              </w:numPr>
              <w:spacing w:line="360" w:lineRule="exact"/>
              <w:jc w:val="both"/>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（注：以上项目若有缺项，该项为0分。）</w:t>
            </w:r>
          </w:p>
          <w:p>
            <w:pPr>
              <w:widowControl/>
              <w:numPr>
                <w:ilvl w:val="0"/>
                <w:numId w:val="0"/>
              </w:numPr>
              <w:spacing w:line="360" w:lineRule="exact"/>
              <w:ind w:left="0" w:leftChars="0" w:firstLine="0" w:firstLineChars="0"/>
              <w:jc w:val="both"/>
              <w:rPr>
                <w:rFonts w:hint="eastAsia" w:ascii="新宋体" w:hAnsi="新宋体" w:eastAsia="新宋体" w:cs="新宋体"/>
                <w:sz w:val="24"/>
                <w:szCs w:val="24"/>
                <w:lang w:val="en-US" w:eastAsia="zh-CN" w:bidi="ar"/>
              </w:rPr>
            </w:pPr>
            <w:r>
              <w:rPr>
                <w:rFonts w:hint="eastAsia" w:ascii="新宋体" w:hAnsi="新宋体" w:eastAsia="新宋体" w:cs="新宋体"/>
                <w:sz w:val="24"/>
                <w:szCs w:val="24"/>
                <w:lang w:val="en-US" w:eastAsia="zh-CN"/>
              </w:rPr>
              <w:t>2、承诺能实现在同一地点集中呈现多家敬老院监控画面者，各个系统能够实现一个平台多类型设备整体管理者得3分，不能不得分。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240" w:firstLineChars="100"/>
              <w:jc w:val="both"/>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25</w:t>
            </w:r>
            <w:r>
              <w:rPr>
                <w:rFonts w:hint="eastAsia" w:ascii="新宋体" w:hAnsi="新宋体" w:eastAsia="新宋体" w:cs="新宋体"/>
                <w:color w:val="000000"/>
                <w:kern w:val="0"/>
                <w:sz w:val="24"/>
                <w:szCs w:val="24"/>
              </w:rPr>
              <w:t>分</w:t>
            </w:r>
          </w:p>
        </w:tc>
      </w:tr>
    </w:tbl>
    <w:p>
      <w:pPr>
        <w:pStyle w:val="29"/>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9"/>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contextualSpacing/>
        <w:jc w:val="both"/>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F6F3D20A"/>
    <w:multiLevelType w:val="singleLevel"/>
    <w:tmpl w:val="F6F3D20A"/>
    <w:lvl w:ilvl="0" w:tentative="0">
      <w:start w:val="1"/>
      <w:numFmt w:val="decimal"/>
      <w:lvlText w:val="%1."/>
      <w:lvlJc w:val="left"/>
      <w:pPr>
        <w:tabs>
          <w:tab w:val="left" w:pos="312"/>
        </w:tabs>
      </w:p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F881FDC"/>
    <w:multiLevelType w:val="multilevel"/>
    <w:tmpl w:val="2F881FDC"/>
    <w:lvl w:ilvl="0" w:tentative="0">
      <w:start w:val="1"/>
      <w:numFmt w:val="bullet"/>
      <w:lvlText w:val=""/>
      <w:lvlJc w:val="left"/>
      <w:pPr>
        <w:ind w:left="0"/>
      </w:pPr>
      <w:rPr>
        <w:rFonts w:ascii="Wingdings" w:hAnsi="Wingdings" w:eastAsia="Wingdings" w:cs="Wingdings"/>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660"/>
      </w:pPr>
      <w:rPr>
        <w:rFonts w:ascii="Wingdings" w:hAnsi="Wingdings" w:eastAsia="Wingdings" w:cs="Wingdings"/>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1380"/>
      </w:pPr>
      <w:rPr>
        <w:rFonts w:ascii="Wingdings" w:hAnsi="Wingdings" w:eastAsia="Wingdings" w:cs="Wingdings"/>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100"/>
      </w:pPr>
      <w:rPr>
        <w:rFonts w:ascii="Wingdings" w:hAnsi="Wingdings" w:eastAsia="Wingdings" w:cs="Wingdings"/>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2820"/>
      </w:pPr>
      <w:rPr>
        <w:rFonts w:ascii="Wingdings" w:hAnsi="Wingdings" w:eastAsia="Wingdings" w:cs="Wingdings"/>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3540"/>
      </w:pPr>
      <w:rPr>
        <w:rFonts w:ascii="Wingdings" w:hAnsi="Wingdings" w:eastAsia="Wingdings" w:cs="Wingdings"/>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4260"/>
      </w:pPr>
      <w:rPr>
        <w:rFonts w:ascii="Wingdings" w:hAnsi="Wingdings" w:eastAsia="Wingdings" w:cs="Wingdings"/>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4980"/>
      </w:pPr>
      <w:rPr>
        <w:rFonts w:ascii="Wingdings" w:hAnsi="Wingdings" w:eastAsia="Wingdings" w:cs="Wingdings"/>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5700"/>
      </w:pPr>
      <w:rPr>
        <w:rFonts w:ascii="Wingdings" w:hAnsi="Wingdings" w:eastAsia="Wingdings" w:cs="Wingdings"/>
        <w:b w:val="0"/>
        <w:i w:val="0"/>
        <w:strike w:val="0"/>
        <w:dstrike w:val="0"/>
        <w:color w:val="000000"/>
        <w:sz w:val="21"/>
        <w:szCs w:val="21"/>
        <w:u w:val="none" w:color="000000"/>
        <w:shd w:val="clear" w:color="auto" w:fill="auto"/>
        <w:vertAlign w:val="baseline"/>
      </w:rPr>
    </w:lvl>
  </w:abstractNum>
  <w:abstractNum w:abstractNumId="8">
    <w:nsid w:val="2F9EBF59"/>
    <w:multiLevelType w:val="singleLevel"/>
    <w:tmpl w:val="2F9EBF59"/>
    <w:lvl w:ilvl="0" w:tentative="0">
      <w:start w:val="1"/>
      <w:numFmt w:val="chineseCounting"/>
      <w:suff w:val="nothing"/>
      <w:lvlText w:val="（%1）"/>
      <w:lvlJc w:val="left"/>
      <w:rPr>
        <w:rFonts w:hint="eastAsia"/>
      </w:rPr>
    </w:lvl>
  </w:abstractNum>
  <w:abstractNum w:abstractNumId="9">
    <w:nsid w:val="31D40CE9"/>
    <w:multiLevelType w:val="singleLevel"/>
    <w:tmpl w:val="31D40CE9"/>
    <w:lvl w:ilvl="0" w:tentative="0">
      <w:start w:val="1"/>
      <w:numFmt w:val="chineseCounting"/>
      <w:suff w:val="space"/>
      <w:lvlText w:val="第%1章"/>
      <w:lvlJc w:val="left"/>
      <w:rPr>
        <w:rFonts w:hint="eastAsia"/>
      </w:rPr>
    </w:lvl>
  </w:abstractNum>
  <w:abstractNum w:abstractNumId="10">
    <w:nsid w:val="59F817C2"/>
    <w:multiLevelType w:val="singleLevel"/>
    <w:tmpl w:val="59F817C2"/>
    <w:lvl w:ilvl="0" w:tentative="0">
      <w:start w:val="2"/>
      <w:numFmt w:val="chineseCounting"/>
      <w:suff w:val="space"/>
      <w:lvlText w:val="第%1章"/>
      <w:lvlJc w:val="left"/>
    </w:lvl>
  </w:abstractNum>
  <w:abstractNum w:abstractNumId="11">
    <w:nsid w:val="59F817E8"/>
    <w:multiLevelType w:val="singleLevel"/>
    <w:tmpl w:val="59F817E8"/>
    <w:lvl w:ilvl="0" w:tentative="0">
      <w:start w:val="1"/>
      <w:numFmt w:val="chineseCounting"/>
      <w:pStyle w:val="53"/>
      <w:suff w:val="nothing"/>
      <w:lvlText w:val="%1、"/>
      <w:lvlJc w:val="left"/>
    </w:lvl>
  </w:abstractNum>
  <w:abstractNum w:abstractNumId="12">
    <w:nsid w:val="5DEAF216"/>
    <w:multiLevelType w:val="singleLevel"/>
    <w:tmpl w:val="5DEAF216"/>
    <w:lvl w:ilvl="0" w:tentative="0">
      <w:start w:val="2"/>
      <w:numFmt w:val="chineseCounting"/>
      <w:suff w:val="nothing"/>
      <w:lvlText w:val="（%1）"/>
      <w:lvlJc w:val="left"/>
      <w:rPr>
        <w:rFonts w:hint="eastAsia"/>
      </w:rPr>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1"/>
  </w:num>
  <w:num w:numId="4">
    <w:abstractNumId w:val="9"/>
  </w:num>
  <w:num w:numId="5">
    <w:abstractNumId w:val="4"/>
  </w:num>
  <w:num w:numId="6">
    <w:abstractNumId w:val="1"/>
  </w:num>
  <w:num w:numId="7">
    <w:abstractNumId w:val="10"/>
  </w:num>
  <w:num w:numId="8">
    <w:abstractNumId w:val="8"/>
  </w:num>
  <w:num w:numId="9">
    <w:abstractNumId w:val="12"/>
  </w:num>
  <w:num w:numId="10">
    <w:abstractNumId w:val="7"/>
  </w:num>
  <w:num w:numId="11">
    <w:abstractNumId w:val="0"/>
  </w:num>
  <w:num w:numId="12">
    <w:abstractNumId w:val="6"/>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7217D3"/>
    <w:rsid w:val="03A87C38"/>
    <w:rsid w:val="03C54AE6"/>
    <w:rsid w:val="04AC3A15"/>
    <w:rsid w:val="067B2CDB"/>
    <w:rsid w:val="07732CDA"/>
    <w:rsid w:val="07DA78CD"/>
    <w:rsid w:val="080C2BBA"/>
    <w:rsid w:val="08C0181D"/>
    <w:rsid w:val="08FD5745"/>
    <w:rsid w:val="0A5E16AE"/>
    <w:rsid w:val="0A7C3AAF"/>
    <w:rsid w:val="0A997A60"/>
    <w:rsid w:val="0AB50907"/>
    <w:rsid w:val="0B01317F"/>
    <w:rsid w:val="0B212F09"/>
    <w:rsid w:val="0BBD5765"/>
    <w:rsid w:val="0C1D2223"/>
    <w:rsid w:val="0C3D4298"/>
    <w:rsid w:val="0C9523A6"/>
    <w:rsid w:val="0CA67F00"/>
    <w:rsid w:val="0CAB7FE2"/>
    <w:rsid w:val="0CF46B6D"/>
    <w:rsid w:val="0CF874BC"/>
    <w:rsid w:val="0D403087"/>
    <w:rsid w:val="0E3648A2"/>
    <w:rsid w:val="0F485C64"/>
    <w:rsid w:val="0FD30C14"/>
    <w:rsid w:val="101B403B"/>
    <w:rsid w:val="110E6851"/>
    <w:rsid w:val="1139362B"/>
    <w:rsid w:val="116D26CD"/>
    <w:rsid w:val="11C23651"/>
    <w:rsid w:val="11E13F76"/>
    <w:rsid w:val="123143AC"/>
    <w:rsid w:val="129267D1"/>
    <w:rsid w:val="12C422CE"/>
    <w:rsid w:val="13903C42"/>
    <w:rsid w:val="13B159A7"/>
    <w:rsid w:val="13EB69AF"/>
    <w:rsid w:val="13EF7D11"/>
    <w:rsid w:val="140778EB"/>
    <w:rsid w:val="155C6126"/>
    <w:rsid w:val="158908A7"/>
    <w:rsid w:val="160E3E81"/>
    <w:rsid w:val="16EB2042"/>
    <w:rsid w:val="16EE4E99"/>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AE49D7"/>
    <w:rsid w:val="1C2D1536"/>
    <w:rsid w:val="1CA94857"/>
    <w:rsid w:val="1CCF2F1D"/>
    <w:rsid w:val="1CF87F0B"/>
    <w:rsid w:val="1CFB73D3"/>
    <w:rsid w:val="1D3B1EEC"/>
    <w:rsid w:val="1D767D0D"/>
    <w:rsid w:val="1E8E722F"/>
    <w:rsid w:val="1F8E45BB"/>
    <w:rsid w:val="1FE15514"/>
    <w:rsid w:val="1FF158F3"/>
    <w:rsid w:val="208614E5"/>
    <w:rsid w:val="2157706F"/>
    <w:rsid w:val="21DC7D3C"/>
    <w:rsid w:val="21DD4A96"/>
    <w:rsid w:val="2298317C"/>
    <w:rsid w:val="22CE29EE"/>
    <w:rsid w:val="24D35795"/>
    <w:rsid w:val="255E48CD"/>
    <w:rsid w:val="26B87348"/>
    <w:rsid w:val="271F4B16"/>
    <w:rsid w:val="275038F3"/>
    <w:rsid w:val="27CD14F5"/>
    <w:rsid w:val="28C26899"/>
    <w:rsid w:val="28E96646"/>
    <w:rsid w:val="28F2008A"/>
    <w:rsid w:val="293C5FB1"/>
    <w:rsid w:val="29A55E19"/>
    <w:rsid w:val="29F94CB1"/>
    <w:rsid w:val="2A553543"/>
    <w:rsid w:val="2A745111"/>
    <w:rsid w:val="2AF87034"/>
    <w:rsid w:val="2B022C78"/>
    <w:rsid w:val="2C014C3B"/>
    <w:rsid w:val="2D4A693F"/>
    <w:rsid w:val="2E252DC4"/>
    <w:rsid w:val="2EE200E1"/>
    <w:rsid w:val="2F566BBD"/>
    <w:rsid w:val="2F650AED"/>
    <w:rsid w:val="2FFD3F6B"/>
    <w:rsid w:val="30EA79C7"/>
    <w:rsid w:val="30FD56B7"/>
    <w:rsid w:val="329E1B24"/>
    <w:rsid w:val="32BF12F4"/>
    <w:rsid w:val="33563CED"/>
    <w:rsid w:val="336E4903"/>
    <w:rsid w:val="338A4286"/>
    <w:rsid w:val="347F0816"/>
    <w:rsid w:val="34B644B7"/>
    <w:rsid w:val="36B46A4A"/>
    <w:rsid w:val="36E65B38"/>
    <w:rsid w:val="375656B9"/>
    <w:rsid w:val="375B6549"/>
    <w:rsid w:val="37627558"/>
    <w:rsid w:val="37AC24EF"/>
    <w:rsid w:val="37B91083"/>
    <w:rsid w:val="383731D3"/>
    <w:rsid w:val="38ED1382"/>
    <w:rsid w:val="399F1BF1"/>
    <w:rsid w:val="39FD28B4"/>
    <w:rsid w:val="3A403E64"/>
    <w:rsid w:val="3AC47AB6"/>
    <w:rsid w:val="3ADD0A2E"/>
    <w:rsid w:val="3B4C7808"/>
    <w:rsid w:val="3B766492"/>
    <w:rsid w:val="3B7A3E82"/>
    <w:rsid w:val="3B8D0CE8"/>
    <w:rsid w:val="3BA71EF1"/>
    <w:rsid w:val="3C1651F0"/>
    <w:rsid w:val="3C2006E5"/>
    <w:rsid w:val="3C802D3E"/>
    <w:rsid w:val="3CBF1608"/>
    <w:rsid w:val="3CC749D9"/>
    <w:rsid w:val="3CFB31CE"/>
    <w:rsid w:val="3DCA2531"/>
    <w:rsid w:val="3DDA3322"/>
    <w:rsid w:val="3E3A26DB"/>
    <w:rsid w:val="3EA20E92"/>
    <w:rsid w:val="3F263B0E"/>
    <w:rsid w:val="41296274"/>
    <w:rsid w:val="414D7438"/>
    <w:rsid w:val="41572B91"/>
    <w:rsid w:val="41A16B13"/>
    <w:rsid w:val="41EF3AE9"/>
    <w:rsid w:val="42065704"/>
    <w:rsid w:val="423A7A11"/>
    <w:rsid w:val="428968C5"/>
    <w:rsid w:val="430D37F8"/>
    <w:rsid w:val="43420F67"/>
    <w:rsid w:val="437E37AA"/>
    <w:rsid w:val="43AF27C5"/>
    <w:rsid w:val="443E3AC2"/>
    <w:rsid w:val="444772BC"/>
    <w:rsid w:val="444A0A6A"/>
    <w:rsid w:val="444D773E"/>
    <w:rsid w:val="44972791"/>
    <w:rsid w:val="458D2A4C"/>
    <w:rsid w:val="459D509E"/>
    <w:rsid w:val="45A926DC"/>
    <w:rsid w:val="45FC4042"/>
    <w:rsid w:val="477C4489"/>
    <w:rsid w:val="477E79DB"/>
    <w:rsid w:val="47EC2F8F"/>
    <w:rsid w:val="48A74E72"/>
    <w:rsid w:val="48BB1E61"/>
    <w:rsid w:val="48E44347"/>
    <w:rsid w:val="4A0C70DA"/>
    <w:rsid w:val="4AB4093D"/>
    <w:rsid w:val="4AE22F4C"/>
    <w:rsid w:val="4B1F5184"/>
    <w:rsid w:val="4B536EA5"/>
    <w:rsid w:val="4CA91082"/>
    <w:rsid w:val="4D1C4C00"/>
    <w:rsid w:val="4E8F0D2C"/>
    <w:rsid w:val="4E9D24DB"/>
    <w:rsid w:val="4EAC4ADD"/>
    <w:rsid w:val="4EB72836"/>
    <w:rsid w:val="4ED23FD5"/>
    <w:rsid w:val="4EE945C2"/>
    <w:rsid w:val="4EF775A1"/>
    <w:rsid w:val="4EFB1FC3"/>
    <w:rsid w:val="4F3C1178"/>
    <w:rsid w:val="4F661CEB"/>
    <w:rsid w:val="4FEB5C49"/>
    <w:rsid w:val="505C6771"/>
    <w:rsid w:val="520701A2"/>
    <w:rsid w:val="527B1821"/>
    <w:rsid w:val="5310611D"/>
    <w:rsid w:val="53276344"/>
    <w:rsid w:val="53293BFC"/>
    <w:rsid w:val="533D55CA"/>
    <w:rsid w:val="535D3032"/>
    <w:rsid w:val="53C97953"/>
    <w:rsid w:val="53F5577A"/>
    <w:rsid w:val="54EC2987"/>
    <w:rsid w:val="55026173"/>
    <w:rsid w:val="5590515E"/>
    <w:rsid w:val="55EF2276"/>
    <w:rsid w:val="562D2F69"/>
    <w:rsid w:val="57024892"/>
    <w:rsid w:val="5703196B"/>
    <w:rsid w:val="57140DA8"/>
    <w:rsid w:val="574A43AC"/>
    <w:rsid w:val="58077CBD"/>
    <w:rsid w:val="5812110B"/>
    <w:rsid w:val="582E1358"/>
    <w:rsid w:val="58323449"/>
    <w:rsid w:val="58854954"/>
    <w:rsid w:val="58D254DE"/>
    <w:rsid w:val="58FD658D"/>
    <w:rsid w:val="59454145"/>
    <w:rsid w:val="5A836AC3"/>
    <w:rsid w:val="5B0C6CA4"/>
    <w:rsid w:val="5BCD4474"/>
    <w:rsid w:val="5CFD3C28"/>
    <w:rsid w:val="5E2C7B65"/>
    <w:rsid w:val="5EB8046C"/>
    <w:rsid w:val="5EC23D91"/>
    <w:rsid w:val="5EEA6FD8"/>
    <w:rsid w:val="5F5D3B89"/>
    <w:rsid w:val="5F91300B"/>
    <w:rsid w:val="5FBD74DE"/>
    <w:rsid w:val="601812B8"/>
    <w:rsid w:val="603F2634"/>
    <w:rsid w:val="60BD0412"/>
    <w:rsid w:val="60C57DDF"/>
    <w:rsid w:val="616C5D6E"/>
    <w:rsid w:val="61775FA5"/>
    <w:rsid w:val="619B680C"/>
    <w:rsid w:val="62E53998"/>
    <w:rsid w:val="64124C78"/>
    <w:rsid w:val="648D2FFF"/>
    <w:rsid w:val="653348F4"/>
    <w:rsid w:val="656839C3"/>
    <w:rsid w:val="65725730"/>
    <w:rsid w:val="65B92974"/>
    <w:rsid w:val="65C80747"/>
    <w:rsid w:val="665D6AFD"/>
    <w:rsid w:val="66A00112"/>
    <w:rsid w:val="672B7704"/>
    <w:rsid w:val="673855F4"/>
    <w:rsid w:val="68594ADA"/>
    <w:rsid w:val="68741D48"/>
    <w:rsid w:val="693A6BDC"/>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F272507"/>
    <w:rsid w:val="6F992BAA"/>
    <w:rsid w:val="6FF11A89"/>
    <w:rsid w:val="70117814"/>
    <w:rsid w:val="70602224"/>
    <w:rsid w:val="70C1699F"/>
    <w:rsid w:val="70E96FB7"/>
    <w:rsid w:val="7151172F"/>
    <w:rsid w:val="71617265"/>
    <w:rsid w:val="71C32A07"/>
    <w:rsid w:val="71E53350"/>
    <w:rsid w:val="720E5D3A"/>
    <w:rsid w:val="72254E2A"/>
    <w:rsid w:val="72ED3426"/>
    <w:rsid w:val="73184127"/>
    <w:rsid w:val="73733509"/>
    <w:rsid w:val="73D40348"/>
    <w:rsid w:val="74304EB5"/>
    <w:rsid w:val="745B724C"/>
    <w:rsid w:val="74AB41BE"/>
    <w:rsid w:val="75EA3934"/>
    <w:rsid w:val="76AF6448"/>
    <w:rsid w:val="774700AD"/>
    <w:rsid w:val="777E0158"/>
    <w:rsid w:val="77A5121A"/>
    <w:rsid w:val="788A0F31"/>
    <w:rsid w:val="78F56DD8"/>
    <w:rsid w:val="79373D17"/>
    <w:rsid w:val="7A77760E"/>
    <w:rsid w:val="7AC70899"/>
    <w:rsid w:val="7B3F7553"/>
    <w:rsid w:val="7B7986D1"/>
    <w:rsid w:val="7B877587"/>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5"/>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4"/>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50"/>
    <w:qFormat/>
    <w:uiPriority w:val="0"/>
    <w:rPr>
      <w:rFonts w:ascii="Times New Roman" w:hAnsi="Times New Roman" w:eastAsia="宋体" w:cs="Times New Roman"/>
      <w:color w:val="FF0000"/>
      <w:sz w:val="24"/>
      <w:szCs w:val="24"/>
    </w:rPr>
  </w:style>
  <w:style w:type="paragraph" w:styleId="11">
    <w:name w:val="Body Text Indent"/>
    <w:basedOn w:val="1"/>
    <w:next w:val="12"/>
    <w:qFormat/>
    <w:uiPriority w:val="0"/>
    <w:pPr>
      <w:spacing w:line="400" w:lineRule="exact"/>
      <w:ind w:left="630"/>
    </w:pPr>
    <w:rPr>
      <w:rFonts w:ascii="楷体_GB2312" w:eastAsia="宋体"/>
      <w:sz w:val="21"/>
    </w:rPr>
  </w:style>
  <w:style w:type="paragraph" w:styleId="12">
    <w:name w:val="envelope return"/>
    <w:basedOn w:val="1"/>
    <w:semiHidden/>
    <w:unhideWhenUsed/>
    <w:qFormat/>
    <w:uiPriority w:val="99"/>
    <w:pPr>
      <w:snapToGrid w:val="0"/>
    </w:pPr>
    <w:rPr>
      <w:rFonts w:hint="eastAsia" w:ascii="Arial" w:hAnsi="Arial"/>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99"/>
    <w:pPr>
      <w:ind w:firstLine="420" w:firstLineChars="200"/>
    </w:pPr>
  </w:style>
  <w:style w:type="character" w:customStyle="1" w:styleId="32">
    <w:name w:val="标题 1 Char"/>
    <w:basedOn w:val="24"/>
    <w:link w:val="4"/>
    <w:qFormat/>
    <w:uiPriority w:val="0"/>
    <w:rPr>
      <w:rFonts w:ascii="Calibri" w:hAnsi="Calibri" w:eastAsia="宋体" w:cs="Times New Roman"/>
      <w:b/>
      <w:bCs/>
      <w:kern w:val="44"/>
      <w:sz w:val="44"/>
      <w:szCs w:val="44"/>
    </w:rPr>
  </w:style>
  <w:style w:type="character" w:customStyle="1" w:styleId="33">
    <w:name w:val="标题 2 Char"/>
    <w:basedOn w:val="24"/>
    <w:link w:val="5"/>
    <w:qFormat/>
    <w:uiPriority w:val="0"/>
    <w:rPr>
      <w:rFonts w:ascii="Arial" w:hAnsi="Arial" w:eastAsia="黑体" w:cs="Times New Roman"/>
      <w:b/>
      <w:bCs/>
      <w:kern w:val="0"/>
      <w:sz w:val="32"/>
      <w:szCs w:val="32"/>
    </w:rPr>
  </w:style>
  <w:style w:type="character" w:customStyle="1" w:styleId="34">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5">
    <w:name w:val="标题 4 Char"/>
    <w:basedOn w:val="24"/>
    <w:link w:val="7"/>
    <w:qFormat/>
    <w:uiPriority w:val="0"/>
    <w:rPr>
      <w:rFonts w:ascii="Arial" w:hAnsi="Arial" w:eastAsia="黑体" w:cs="Times New Roman"/>
      <w:b/>
      <w:bCs/>
      <w:kern w:val="0"/>
      <w:sz w:val="28"/>
      <w:szCs w:val="28"/>
    </w:rPr>
  </w:style>
  <w:style w:type="character" w:customStyle="1" w:styleId="36">
    <w:name w:val="纯文本 Char"/>
    <w:basedOn w:val="24"/>
    <w:link w:val="15"/>
    <w:qFormat/>
    <w:uiPriority w:val="0"/>
    <w:rPr>
      <w:rFonts w:eastAsia="宋体"/>
      <w:sz w:val="24"/>
    </w:rPr>
  </w:style>
  <w:style w:type="character" w:customStyle="1" w:styleId="37">
    <w:name w:val="日期 Char"/>
    <w:basedOn w:val="24"/>
    <w:link w:val="16"/>
    <w:qFormat/>
    <w:uiPriority w:val="99"/>
  </w:style>
  <w:style w:type="character" w:customStyle="1" w:styleId="38">
    <w:name w:val="页脚 Char"/>
    <w:basedOn w:val="24"/>
    <w:link w:val="17"/>
    <w:qFormat/>
    <w:uiPriority w:val="99"/>
    <w:rPr>
      <w:sz w:val="18"/>
      <w:szCs w:val="18"/>
    </w:rPr>
  </w:style>
  <w:style w:type="character" w:customStyle="1" w:styleId="39">
    <w:name w:val="页眉 Char"/>
    <w:basedOn w:val="24"/>
    <w:link w:val="18"/>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4"/>
    <w:link w:val="10"/>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4"/>
    <w:link w:val="3"/>
    <w:semiHidden/>
    <w:qFormat/>
    <w:uiPriority w:val="99"/>
  </w:style>
  <w:style w:type="character" w:customStyle="1" w:styleId="55">
    <w:name w:val="正文首行缩进 Char"/>
    <w:basedOn w:val="54"/>
    <w:link w:val="2"/>
    <w:qFormat/>
    <w:uiPriority w:val="0"/>
    <w:rPr>
      <w:rFonts w:ascii="宋体" w:hAnsi="Times New Roman" w:eastAsia="宋体" w:cs="Times New Roman"/>
      <w:kern w:val="0"/>
      <w:sz w:val="34"/>
      <w:szCs w:val="20"/>
    </w:rPr>
  </w:style>
  <w:style w:type="character" w:customStyle="1" w:styleId="56">
    <w:name w:val="HTML 预设格式 Char"/>
    <w:basedOn w:val="24"/>
    <w:link w:val="20"/>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p0"/>
    <w:basedOn w:val="1"/>
    <w:qFormat/>
    <w:uiPriority w:val="0"/>
    <w:pPr>
      <w:widowControl/>
    </w:pPr>
    <w:rPr>
      <w:kern w:val="0"/>
      <w:szCs w:val="21"/>
    </w:rPr>
  </w:style>
  <w:style w:type="paragraph" w:customStyle="1" w:styleId="65">
    <w:name w:val="USE 1"/>
    <w:basedOn w:val="1"/>
    <w:qFormat/>
    <w:uiPriority w:val="0"/>
    <w:pPr>
      <w:spacing w:line="200" w:lineRule="atLeast"/>
      <w:jc w:val="left"/>
    </w:pPr>
    <w:rPr>
      <w:rFonts w:ascii="宋体" w:hAnsi="宋体" w:eastAsia="宋体" w:cs="Times New Roman"/>
      <w:b/>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48</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2019-10-10T03:10:40Z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