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宋体" w:cs="宋体"/>
          <w:b/>
          <w:bCs/>
          <w:color w:val="auto"/>
          <w:sz w:val="40"/>
          <w:szCs w:val="40"/>
          <w:lang w:eastAsia="zh-CN"/>
        </w:rPr>
      </w:pPr>
    </w:p>
    <w:p>
      <w:pPr>
        <w:adjustRightInd w:val="0"/>
        <w:snapToGrid w:val="0"/>
        <w:jc w:val="center"/>
        <w:rPr>
          <w:rFonts w:hint="eastAsia" w:ascii="宋体" w:hAnsi="宋体" w:eastAsia="宋体" w:cs="宋体"/>
          <w:b/>
          <w:bCs/>
          <w:color w:val="auto"/>
          <w:sz w:val="72"/>
          <w:szCs w:val="72"/>
        </w:rPr>
      </w:pPr>
      <w:r>
        <w:rPr>
          <w:rFonts w:hint="eastAsia" w:ascii="宋体" w:hAnsi="宋体" w:cs="宋体"/>
          <w:b/>
          <w:bCs/>
          <w:color w:val="auto"/>
          <w:sz w:val="56"/>
          <w:szCs w:val="56"/>
          <w:lang w:eastAsia="zh-CN"/>
        </w:rPr>
        <w:t>许昌经济技术开发区法制与社会服务局“许昌经济技术开发区许由路雨水管网闸门建设工程项目”</w:t>
      </w:r>
    </w:p>
    <w:p>
      <w:pPr>
        <w:pStyle w:val="2"/>
        <w:ind w:firstLine="240"/>
        <w:rPr>
          <w:rFonts w:hint="eastAsia" w:ascii="宋体" w:hAnsi="宋体" w:eastAsia="宋体" w:cs="宋体"/>
          <w:color w:val="auto"/>
        </w:rPr>
      </w:pPr>
    </w:p>
    <w:p>
      <w:pPr>
        <w:adjustRightInd w:val="0"/>
        <w:snapToGrid w:val="0"/>
        <w:jc w:val="center"/>
        <w:rPr>
          <w:rFonts w:hint="eastAsia" w:ascii="宋体" w:hAnsi="宋体" w:eastAsia="宋体" w:cs="宋体"/>
          <w:b/>
          <w:color w:val="auto"/>
          <w:sz w:val="72"/>
          <w:szCs w:val="72"/>
        </w:rPr>
      </w:pPr>
    </w:p>
    <w:p>
      <w:pPr>
        <w:adjustRightInd w:val="0"/>
        <w:snapToGrid w:val="0"/>
        <w:jc w:val="center"/>
        <w:rPr>
          <w:rFonts w:hint="eastAsia" w:ascii="宋体" w:hAnsi="宋体" w:eastAsia="宋体" w:cs="宋体"/>
          <w:b/>
          <w:bCs/>
          <w:color w:val="auto"/>
          <w:sz w:val="72"/>
          <w:szCs w:val="72"/>
        </w:rPr>
      </w:pPr>
      <w:r>
        <w:rPr>
          <w:rFonts w:hint="eastAsia" w:ascii="宋体" w:hAnsi="宋体" w:eastAsia="宋体" w:cs="宋体"/>
          <w:b/>
          <w:color w:val="auto"/>
          <w:sz w:val="72"/>
          <w:szCs w:val="72"/>
        </w:rPr>
        <w:t>竞争性</w:t>
      </w:r>
      <w:r>
        <w:rPr>
          <w:rFonts w:hint="eastAsia" w:ascii="宋体" w:hAnsi="宋体" w:eastAsia="宋体" w:cs="宋体"/>
          <w:b/>
          <w:bCs/>
          <w:color w:val="auto"/>
          <w:sz w:val="72"/>
          <w:szCs w:val="72"/>
        </w:rPr>
        <w:t>谈判文件</w:t>
      </w:r>
    </w:p>
    <w:p>
      <w:pPr>
        <w:pStyle w:val="2"/>
        <w:rPr>
          <w:rFonts w:hint="eastAsia"/>
          <w:color w:val="auto"/>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采 购 人：</w:t>
      </w:r>
      <w:r>
        <w:rPr>
          <w:rFonts w:hint="eastAsia" w:ascii="宋体" w:hAnsi="宋体" w:eastAsia="宋体" w:cs="宋体"/>
          <w:b/>
          <w:bCs/>
          <w:color w:val="auto"/>
          <w:sz w:val="28"/>
          <w:szCs w:val="28"/>
          <w:lang w:eastAsia="zh-CN"/>
        </w:rPr>
        <w:t>许昌经济技术开发区法制与社会服务局</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代理机构：</w:t>
      </w:r>
      <w:r>
        <w:rPr>
          <w:rFonts w:hint="eastAsia" w:ascii="宋体" w:hAnsi="宋体" w:cs="宋体"/>
          <w:b/>
          <w:bCs/>
          <w:color w:val="auto"/>
          <w:sz w:val="28"/>
          <w:szCs w:val="28"/>
          <w:lang w:eastAsia="zh-CN"/>
        </w:rPr>
        <w:t>河南鼎嘉招标代理有限公司</w:t>
      </w:r>
    </w:p>
    <w:p>
      <w:pPr>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项目名称：许昌经济技术开发区法制与社会服务局“许昌经济技</w:t>
      </w:r>
    </w:p>
    <w:p>
      <w:pPr>
        <w:adjustRightInd w:val="0"/>
        <w:snapToGrid w:val="0"/>
        <w:spacing w:line="360" w:lineRule="auto"/>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术开发区许由路雨水管网闸门建设工程项目”</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项目编号：JZFCG-T2019</w:t>
      </w:r>
      <w:r>
        <w:rPr>
          <w:rFonts w:hint="eastAsia" w:ascii="宋体" w:hAnsi="宋体" w:cs="宋体"/>
          <w:b/>
          <w:bCs/>
          <w:color w:val="auto"/>
          <w:sz w:val="28"/>
          <w:szCs w:val="28"/>
          <w:lang w:val="en-US" w:eastAsia="zh-CN"/>
        </w:rPr>
        <w:t>020号</w:t>
      </w:r>
    </w:p>
    <w:p>
      <w:pPr>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时    间：二〇一九年</w:t>
      </w:r>
      <w:r>
        <w:rPr>
          <w:rFonts w:hint="eastAsia" w:ascii="宋体" w:hAnsi="宋体" w:cs="宋体"/>
          <w:b/>
          <w:bCs/>
          <w:color w:val="auto"/>
          <w:sz w:val="28"/>
          <w:szCs w:val="28"/>
          <w:lang w:eastAsia="zh-CN"/>
        </w:rPr>
        <w:t>十</w:t>
      </w:r>
      <w:r>
        <w:rPr>
          <w:rFonts w:hint="eastAsia" w:ascii="宋体" w:hAnsi="宋体" w:eastAsia="宋体" w:cs="宋体"/>
          <w:b/>
          <w:bCs/>
          <w:color w:val="auto"/>
          <w:sz w:val="28"/>
          <w:szCs w:val="28"/>
        </w:rPr>
        <w:t>月</w:t>
      </w:r>
    </w:p>
    <w:p>
      <w:pPr>
        <w:widowControl/>
        <w:spacing w:line="480" w:lineRule="exact"/>
        <w:jc w:val="center"/>
        <w:rPr>
          <w:rFonts w:hint="eastAsia" w:ascii="宋体" w:hAnsi="宋体" w:eastAsia="宋体" w:cs="宋体"/>
          <w:b/>
          <w:color w:val="auto"/>
          <w:kern w:val="36"/>
          <w:sz w:val="44"/>
          <w:szCs w:val="44"/>
        </w:rPr>
      </w:pPr>
    </w:p>
    <w:p>
      <w:pPr>
        <w:widowControl/>
        <w:jc w:val="left"/>
        <w:rPr>
          <w:rFonts w:hint="eastAsia" w:ascii="宋体" w:hAnsi="宋体" w:eastAsia="宋体" w:cs="宋体"/>
          <w:b/>
          <w:color w:val="auto"/>
          <w:kern w:val="36"/>
          <w:sz w:val="44"/>
          <w:szCs w:val="44"/>
        </w:rPr>
      </w:pPr>
      <w:r>
        <w:rPr>
          <w:rFonts w:hint="eastAsia" w:ascii="宋体" w:hAnsi="宋体" w:eastAsia="宋体" w:cs="宋体"/>
          <w:b/>
          <w:color w:val="auto"/>
          <w:kern w:val="36"/>
          <w:sz w:val="44"/>
          <w:szCs w:val="44"/>
        </w:rPr>
        <w:br w:type="page"/>
      </w:r>
    </w:p>
    <w:p>
      <w:pPr>
        <w:widowControl/>
        <w:spacing w:line="480" w:lineRule="exact"/>
        <w:jc w:val="center"/>
        <w:rPr>
          <w:rFonts w:hint="eastAsia" w:ascii="宋体" w:hAnsi="宋体" w:eastAsia="宋体" w:cs="宋体"/>
          <w:b/>
          <w:color w:val="auto"/>
          <w:kern w:val="36"/>
          <w:sz w:val="44"/>
          <w:szCs w:val="44"/>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一、概念释义</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二、采购文件说明</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三、响应文件的编制</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四、响应文件的递交</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五、谈判和评审</w:t>
      </w:r>
    </w:p>
    <w:p>
      <w:pPr>
        <w:autoSpaceDE w:val="0"/>
        <w:autoSpaceDN w:val="0"/>
        <w:adjustRightInd w:val="0"/>
        <w:spacing w:line="700" w:lineRule="exact"/>
        <w:ind w:firstLine="551"/>
        <w:rPr>
          <w:rFonts w:hint="eastAsia" w:ascii="宋体" w:hAnsi="宋体" w:eastAsia="宋体" w:cs="宋体"/>
          <w:b/>
          <w:bCs/>
          <w:color w:val="auto"/>
          <w:sz w:val="30"/>
          <w:szCs w:val="30"/>
          <w:lang w:val="zh-CN"/>
        </w:rPr>
      </w:pPr>
      <w:r>
        <w:rPr>
          <w:rFonts w:hint="eastAsia" w:ascii="宋体" w:hAnsi="宋体" w:eastAsia="宋体" w:cs="宋体"/>
          <w:color w:val="auto"/>
          <w:sz w:val="30"/>
          <w:szCs w:val="30"/>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djustRightInd w:val="0"/>
        <w:snapToGrid w:val="0"/>
        <w:spacing w:afterLines="50" w:line="480" w:lineRule="exact"/>
        <w:ind w:right="-13" w:rightChars="-6" w:firstLine="716" w:firstLineChars="256"/>
        <w:rPr>
          <w:rFonts w:hint="eastAsia" w:ascii="宋体" w:hAnsi="宋体" w:eastAsia="宋体" w:cs="宋体"/>
          <w:color w:val="auto"/>
          <w:sz w:val="28"/>
          <w:szCs w:val="28"/>
        </w:rPr>
      </w:pPr>
    </w:p>
    <w:p>
      <w:pPr>
        <w:spacing w:afterLines="100"/>
        <w:jc w:val="center"/>
        <w:rPr>
          <w:rFonts w:hint="eastAsia" w:ascii="宋体" w:hAnsi="宋体" w:eastAsia="宋体" w:cs="宋体"/>
          <w:color w:val="auto"/>
          <w:sz w:val="24"/>
        </w:rPr>
      </w:pPr>
      <w:r>
        <w:rPr>
          <w:rFonts w:hint="eastAsia" w:ascii="宋体" w:hAnsi="宋体" w:eastAsia="宋体" w:cs="宋体"/>
          <w:b/>
          <w:color w:val="auto"/>
          <w:kern w:val="36"/>
          <w:sz w:val="24"/>
          <w:szCs w:val="24"/>
        </w:rPr>
        <w:br w:type="page"/>
      </w:r>
      <w:r>
        <w:rPr>
          <w:rFonts w:hint="eastAsia" w:ascii="宋体" w:hAnsi="宋体" w:eastAsia="宋体" w:cs="宋体"/>
          <w:b/>
          <w:color w:val="auto"/>
          <w:sz w:val="32"/>
          <w:szCs w:val="32"/>
        </w:rPr>
        <w:t>第一章 谈判邀请</w:t>
      </w:r>
    </w:p>
    <w:p>
      <w:pPr>
        <w:widowControl/>
        <w:wordWrap w:val="0"/>
        <w:spacing w:line="360" w:lineRule="auto"/>
        <w:ind w:firstLine="540" w:firstLineChars="225"/>
        <w:jc w:val="left"/>
        <w:rPr>
          <w:rFonts w:hint="eastAsia" w:ascii="宋体" w:hAnsi="宋体" w:eastAsia="宋体" w:cs="宋体"/>
          <w:color w:val="auto"/>
          <w:kern w:val="0"/>
          <w:sz w:val="24"/>
        </w:rPr>
      </w:pPr>
      <w:r>
        <w:rPr>
          <w:rFonts w:hint="eastAsia" w:ascii="宋体" w:hAnsi="宋体" w:cs="宋体"/>
          <w:color w:val="auto"/>
          <w:kern w:val="0"/>
          <w:sz w:val="24"/>
          <w:lang w:eastAsia="zh-CN"/>
        </w:rPr>
        <w:t>河南鼎嘉招标代理有限公司</w:t>
      </w:r>
      <w:r>
        <w:rPr>
          <w:rFonts w:hint="eastAsia" w:ascii="宋体" w:hAnsi="宋体" w:eastAsia="宋体" w:cs="宋体"/>
          <w:color w:val="auto"/>
          <w:kern w:val="0"/>
          <w:sz w:val="24"/>
        </w:rPr>
        <w:t>受</w:t>
      </w:r>
      <w:r>
        <w:rPr>
          <w:rFonts w:hint="eastAsia" w:ascii="宋体" w:hAnsi="宋体" w:eastAsia="宋体" w:cs="宋体"/>
          <w:color w:val="auto"/>
          <w:kern w:val="0"/>
          <w:sz w:val="24"/>
          <w:lang w:eastAsia="zh-CN"/>
        </w:rPr>
        <w:t>许昌经济技术开发区法制与社会服务局</w:t>
      </w:r>
      <w:r>
        <w:rPr>
          <w:rFonts w:hint="eastAsia" w:ascii="宋体" w:hAnsi="宋体" w:eastAsia="宋体" w:cs="宋体"/>
          <w:color w:val="auto"/>
          <w:kern w:val="0"/>
          <w:sz w:val="24"/>
        </w:rPr>
        <w:t>的委托，根据委托协议委托的事项，就</w:t>
      </w:r>
      <w:r>
        <w:rPr>
          <w:rFonts w:hint="eastAsia" w:ascii="宋体" w:hAnsi="宋体" w:cs="宋体"/>
          <w:color w:val="auto"/>
          <w:kern w:val="0"/>
          <w:sz w:val="24"/>
          <w:lang w:eastAsia="zh-CN"/>
        </w:rPr>
        <w:t>许昌经济技术开发区法制与社会服务局“许昌经济技术开发区许由路雨水管网闸门建设工程项目”</w:t>
      </w:r>
      <w:r>
        <w:rPr>
          <w:rFonts w:hint="eastAsia" w:ascii="宋体" w:hAnsi="宋体" w:eastAsia="宋体" w:cs="宋体"/>
          <w:color w:val="auto"/>
          <w:kern w:val="0"/>
          <w:sz w:val="24"/>
        </w:rPr>
        <w:t>进行竞争性谈判采购，欢迎合格的供应商参加谈判。</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（一）项目名称：</w:t>
      </w:r>
      <w:r>
        <w:rPr>
          <w:rFonts w:hint="eastAsia" w:cs="宋体"/>
          <w:color w:val="auto"/>
          <w:shd w:val="clear" w:color="auto" w:fill="FFFFFF"/>
          <w:lang w:eastAsia="zh-CN"/>
        </w:rPr>
        <w:t>许昌经济技术开发区法制与社会服务局“许昌经济技术开发区许由路雨水管网闸门建设工程项目”</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（二）项目编号：</w:t>
      </w:r>
      <w:r>
        <w:rPr>
          <w:rFonts w:hint="eastAsia" w:cs="宋体"/>
          <w:color w:val="auto"/>
          <w:shd w:val="clear" w:color="auto" w:fill="FFFFFF"/>
          <w:lang w:eastAsia="zh-CN"/>
        </w:rPr>
        <w:t>JZFCG-T2019</w:t>
      </w:r>
      <w:r>
        <w:rPr>
          <w:rFonts w:hint="eastAsia" w:cs="宋体"/>
          <w:color w:val="auto"/>
          <w:shd w:val="clear" w:color="auto" w:fill="FFFFFF"/>
          <w:lang w:val="en-US" w:eastAsia="zh-CN"/>
        </w:rPr>
        <w:t>020</w:t>
      </w:r>
      <w:r>
        <w:rPr>
          <w:rFonts w:hint="eastAsia" w:ascii="宋体" w:hAnsi="宋体" w:eastAsia="宋体" w:cs="宋体"/>
          <w:color w:val="auto"/>
          <w:shd w:val="clear" w:color="auto" w:fill="FFFFFF"/>
          <w:lang w:eastAsia="zh-CN"/>
        </w:rPr>
        <w:t>号</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（三）采购方式：竞争性谈判</w:t>
      </w:r>
    </w:p>
    <w:p>
      <w:pPr>
        <w:pStyle w:val="30"/>
        <w:shd w:val="clear" w:color="auto" w:fill="FFFFFF"/>
        <w:spacing w:before="0" w:beforeAutospacing="0" w:after="0" w:afterAutospacing="0" w:line="360" w:lineRule="auto"/>
        <w:ind w:firstLine="556"/>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四</w:t>
      </w:r>
      <w:r>
        <w:rPr>
          <w:rFonts w:hint="eastAsia" w:ascii="宋体" w:hAnsi="宋体" w:eastAsia="宋体" w:cs="宋体"/>
          <w:color w:val="auto"/>
          <w:shd w:val="clear" w:color="auto" w:fill="FFFFFF"/>
        </w:rPr>
        <w:t>）项目</w:t>
      </w:r>
      <w:r>
        <w:rPr>
          <w:rFonts w:hint="eastAsia" w:ascii="宋体" w:hAnsi="宋体" w:eastAsia="宋体" w:cs="宋体"/>
          <w:color w:val="auto"/>
          <w:shd w:val="clear" w:color="auto" w:fill="FFFFFF"/>
          <w:lang w:eastAsia="zh-CN"/>
        </w:rPr>
        <w:t>内容</w:t>
      </w: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val="en-US" w:eastAsia="zh-CN"/>
        </w:rPr>
        <w:t>本工程位于许昌市经济技术开发区灞陵河许由路下游，主要包括新建入河控制闸，许由路和灞陵路交叉口雨污连通</w:t>
      </w:r>
      <w:r>
        <w:rPr>
          <w:rFonts w:hint="eastAsia" w:cs="宋体"/>
          <w:color w:val="auto"/>
          <w:shd w:val="clear" w:color="auto" w:fill="FFFFFF"/>
          <w:lang w:val="en-US" w:eastAsia="zh-CN"/>
        </w:rPr>
        <w:t>。闸孔尺寸1.5m*1.5m；新铺设DN400雨污连通管45M。</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五</w:t>
      </w:r>
      <w:r>
        <w:rPr>
          <w:rFonts w:hint="eastAsia" w:ascii="宋体" w:hAnsi="宋体" w:eastAsia="宋体" w:cs="宋体"/>
          <w:color w:val="auto"/>
          <w:shd w:val="clear" w:color="auto" w:fill="FFFFFF"/>
        </w:rPr>
        <w:t>）预算金额：</w:t>
      </w:r>
      <w:r>
        <w:rPr>
          <w:rFonts w:hint="eastAsia" w:cs="宋体"/>
          <w:color w:val="auto"/>
          <w:shd w:val="clear" w:color="auto" w:fill="FFFFFF"/>
          <w:lang w:val="en-US" w:eastAsia="zh-CN"/>
        </w:rPr>
        <w:t>426001.25</w:t>
      </w:r>
      <w:r>
        <w:rPr>
          <w:rFonts w:hint="eastAsia" w:ascii="宋体" w:hAnsi="宋体" w:eastAsia="宋体" w:cs="宋体"/>
          <w:color w:val="auto"/>
          <w:shd w:val="clear" w:color="auto" w:fill="FFFFFF"/>
        </w:rPr>
        <w:t>元；最高限价：</w:t>
      </w:r>
      <w:r>
        <w:rPr>
          <w:rFonts w:hint="eastAsia" w:cs="宋体"/>
          <w:color w:val="auto"/>
          <w:shd w:val="clear" w:color="auto" w:fill="FFFFFF"/>
          <w:lang w:val="en-US" w:eastAsia="zh-CN"/>
        </w:rPr>
        <w:t>426001.25</w:t>
      </w:r>
      <w:r>
        <w:rPr>
          <w:rFonts w:hint="eastAsia" w:ascii="宋体" w:hAnsi="宋体" w:eastAsia="宋体" w:cs="宋体"/>
          <w:color w:val="auto"/>
          <w:shd w:val="clear" w:color="auto" w:fill="FFFFFF"/>
        </w:rPr>
        <w:t>元。</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六</w:t>
      </w:r>
      <w:r>
        <w:rPr>
          <w:rFonts w:hint="eastAsia" w:ascii="宋体" w:hAnsi="宋体" w:eastAsia="宋体" w:cs="宋体"/>
          <w:color w:val="auto"/>
          <w:kern w:val="0"/>
          <w:sz w:val="24"/>
          <w:szCs w:val="24"/>
          <w:shd w:val="clear" w:color="auto" w:fill="FFFFFF"/>
        </w:rPr>
        <w:t>）完工时间：合同签订后</w:t>
      </w:r>
      <w:r>
        <w:rPr>
          <w:rFonts w:hint="eastAsia" w:ascii="宋体" w:hAnsi="宋体" w:cs="宋体"/>
          <w:color w:val="auto"/>
          <w:kern w:val="0"/>
          <w:sz w:val="24"/>
          <w:szCs w:val="24"/>
          <w:shd w:val="clear" w:color="auto" w:fill="FFFFFF"/>
          <w:lang w:val="en-US" w:eastAsia="zh-CN"/>
        </w:rPr>
        <w:t>30</w:t>
      </w:r>
      <w:r>
        <w:rPr>
          <w:rFonts w:hint="eastAsia" w:ascii="宋体" w:hAnsi="宋体" w:eastAsia="宋体" w:cs="宋体"/>
          <w:color w:val="auto"/>
          <w:kern w:val="0"/>
          <w:sz w:val="24"/>
          <w:szCs w:val="24"/>
          <w:shd w:val="clear" w:color="auto" w:fill="FFFFFF"/>
        </w:rPr>
        <w:t>日历天。</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七</w:t>
      </w:r>
      <w:r>
        <w:rPr>
          <w:rFonts w:hint="eastAsia" w:ascii="宋体" w:hAnsi="宋体" w:eastAsia="宋体" w:cs="宋体"/>
          <w:color w:val="auto"/>
          <w:kern w:val="0"/>
          <w:sz w:val="24"/>
          <w:szCs w:val="24"/>
          <w:shd w:val="clear" w:color="auto" w:fill="FFFFFF"/>
        </w:rPr>
        <w:t>）质量标准：合格（符合国家现行的验收规范和标准）。</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）完工地点：</w:t>
      </w:r>
      <w:r>
        <w:rPr>
          <w:rFonts w:hint="eastAsia" w:ascii="宋体" w:hAnsi="宋体" w:eastAsia="宋体" w:cs="宋体"/>
          <w:color w:val="auto"/>
          <w:shd w:val="clear" w:color="auto" w:fill="FFFFFF"/>
          <w:lang w:eastAsia="zh-CN"/>
        </w:rPr>
        <w:t>许昌经济技术开发区</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（九）分包：不允许。</w:t>
      </w:r>
    </w:p>
    <w:p>
      <w:pPr>
        <w:pStyle w:val="30"/>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rPr>
        <w:t>二、需要落实的政府采购政策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rPr>
        <w:t>本项目落实节能环保、中小微型企业、</w:t>
      </w:r>
      <w:r>
        <w:rPr>
          <w:rFonts w:hint="eastAsia" w:cs="宋体"/>
          <w:color w:val="auto"/>
          <w:lang w:eastAsia="zh-CN"/>
        </w:rPr>
        <w:t>监狱企业、</w:t>
      </w:r>
      <w:r>
        <w:rPr>
          <w:rFonts w:hint="eastAsia" w:ascii="宋体" w:hAnsi="宋体" w:eastAsia="宋体" w:cs="宋体"/>
          <w:color w:val="auto"/>
        </w:rPr>
        <w:t>残疾人福利性单位扶持等相关政府采购政策。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三、供应商资格要求</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rPr>
        <w:t>（一）投标人须具备《中华人民共和国政府采购法》第二十二条规定。</w:t>
      </w:r>
    </w:p>
    <w:p>
      <w:pPr>
        <w:pStyle w:val="30"/>
        <w:shd w:val="clear" w:color="auto" w:fill="FFFFFF"/>
        <w:spacing w:before="0" w:beforeAutospacing="0" w:after="0" w:afterAutospacing="0" w:line="360" w:lineRule="auto"/>
        <w:ind w:firstLine="556"/>
        <w:rPr>
          <w:rFonts w:hint="default" w:ascii="宋体" w:hAnsi="宋体" w:eastAsia="宋体" w:cs="宋体"/>
          <w:color w:val="auto"/>
          <w:lang w:val="en-US" w:eastAsia="zh-CN"/>
        </w:rPr>
      </w:pPr>
      <w:r>
        <w:rPr>
          <w:rFonts w:hint="eastAsia" w:ascii="宋体" w:hAnsi="宋体" w:eastAsia="宋体" w:cs="宋体"/>
          <w:color w:val="auto"/>
          <w:lang w:val="en-US" w:eastAsia="zh-CN"/>
        </w:rPr>
        <w:t>（二）</w:t>
      </w:r>
      <w:r>
        <w:rPr>
          <w:rFonts w:hint="eastAsia" w:cs="宋体"/>
          <w:color w:val="auto"/>
          <w:lang w:val="en-US" w:eastAsia="zh-CN"/>
        </w:rPr>
        <w:t>投标人须具备市政公用工程施工总承包三级及以上企业资质。</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cs="宋体"/>
          <w:color w:val="auto"/>
          <w:lang w:eastAsia="zh-CN"/>
        </w:rPr>
        <w:t>（</w:t>
      </w:r>
      <w:r>
        <w:rPr>
          <w:rFonts w:hint="eastAsia" w:cs="宋体"/>
          <w:color w:val="auto"/>
          <w:lang w:val="en-US" w:eastAsia="zh-CN"/>
        </w:rPr>
        <w:t>三</w:t>
      </w:r>
      <w:r>
        <w:rPr>
          <w:rFonts w:hint="eastAsia" w:cs="宋体"/>
          <w:color w:val="auto"/>
          <w:lang w:eastAsia="zh-CN"/>
        </w:rPr>
        <w:t>）</w:t>
      </w:r>
      <w:r>
        <w:rPr>
          <w:rFonts w:hint="eastAsia" w:ascii="宋体" w:hAnsi="宋体" w:eastAsia="宋体" w:cs="宋体"/>
          <w:color w:val="auto"/>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w:t>
      </w:r>
      <w:r>
        <w:rPr>
          <w:rFonts w:hint="eastAsia" w:cs="宋体"/>
          <w:color w:val="auto"/>
          <w:shd w:val="clear" w:color="auto" w:fill="FFFFFF"/>
          <w:lang w:val="en-US" w:eastAsia="zh-CN"/>
        </w:rPr>
        <w:t>四</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本次招标不接受联合体投标。</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四、谈判文件的获取</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五、响应文件提交截止时间及谈判响应截止时间、谈判时间</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bookmarkStart w:id="0" w:name="_GoBack"/>
      <w:r>
        <w:rPr>
          <w:rFonts w:hint="eastAsia" w:ascii="宋体" w:hAnsi="宋体" w:eastAsia="宋体" w:cs="宋体"/>
          <w:color w:val="auto"/>
          <w:sz w:val="24"/>
          <w:szCs w:val="24"/>
          <w:shd w:val="clear" w:color="auto" w:fill="FFFFFF"/>
        </w:rPr>
        <w:t>（一）响应文件提交截止时间及谈判响应截止时间、谈判时间：2019年</w:t>
      </w:r>
      <w:r>
        <w:rPr>
          <w:rFonts w:hint="eastAsia" w:ascii="宋体" w:hAnsi="宋体" w:eastAsia="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15</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rPr>
        <w:t>时</w:t>
      </w: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rPr>
        <w:t>分（北京时间），逾期送达或不符合规定的响应文件恕不接受。</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（二）响应文件开启时间：</w:t>
      </w:r>
      <w:r>
        <w:rPr>
          <w:rFonts w:hint="eastAsia" w:ascii="宋体" w:hAnsi="宋体" w:eastAsia="宋体" w:cs="宋体"/>
          <w:color w:val="auto"/>
          <w:sz w:val="24"/>
          <w:szCs w:val="24"/>
          <w:shd w:val="clear" w:color="auto" w:fill="FFFFFF"/>
        </w:rPr>
        <w:t>同响应文件提交截止时间。</w:t>
      </w:r>
    </w:p>
    <w:bookmarkEnd w:id="0"/>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六、谈判响应文件递交及开启地点、谈判地点：</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（一）谈判响应文件递交地点：许昌市公共资源交易中心（龙兴路与竹林路交汇处公共资源大厦）三楼开标</w:t>
      </w:r>
      <w:r>
        <w:rPr>
          <w:rFonts w:hint="eastAsia" w:cs="宋体"/>
          <w:color w:val="auto"/>
          <w:sz w:val="24"/>
          <w:szCs w:val="24"/>
          <w:u w:val="single"/>
          <w:lang w:val="en-US" w:eastAsia="zh-CN"/>
        </w:rPr>
        <w:t>五</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（二）谈判响应文件开启及谈判地点：许昌市公共资源交易中心（龙兴路与竹林路交汇处公共资源大厦）四楼</w:t>
      </w:r>
      <w:r>
        <w:rPr>
          <w:rFonts w:hint="eastAsia" w:ascii="宋体" w:hAnsi="宋体" w:eastAsia="宋体" w:cs="宋体"/>
          <w:color w:val="auto"/>
          <w:sz w:val="24"/>
          <w:szCs w:val="24"/>
          <w:lang w:eastAsia="zh-CN"/>
        </w:rPr>
        <w:t>谈判</w:t>
      </w:r>
      <w:r>
        <w:rPr>
          <w:rFonts w:hint="eastAsia" w:cs="宋体"/>
          <w:color w:val="auto"/>
          <w:sz w:val="24"/>
          <w:szCs w:val="24"/>
          <w:u w:val="single"/>
          <w:lang w:val="en-US" w:eastAsia="zh-CN"/>
        </w:rPr>
        <w:t>二</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（三） 本项目为全流程电子化交易项目，供应商须提交电子响应文件和纸质响应文件。</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1、加密电子响应文件（.file格式）须在谈判响应截止时间（谈判时间）前通过《全国公共资源交易平台(河南省▪许昌市)》公共资源交易系统成功上传。</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2、纸质响应文件（正本、副本各1份）和备份文件1份（使用电子介质存储）在谈判响应截止时间（谈判时间）前须一并递交。</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七</w:t>
      </w:r>
      <w:r>
        <w:rPr>
          <w:rFonts w:hint="eastAsia" w:ascii="宋体" w:hAnsi="宋体" w:eastAsia="宋体" w:cs="宋体"/>
          <w:color w:val="auto"/>
          <w:shd w:val="clear" w:color="auto" w:fill="FFFFFF"/>
        </w:rPr>
        <w:t>、本次谈判公告同时在《中国政府采购网》、《河南省政府采购网》、《许昌市政府采购网》</w:t>
      </w:r>
      <w:r>
        <w:rPr>
          <w:rFonts w:hint="eastAsia" w:cs="宋体"/>
          <w:color w:val="auto"/>
          <w:shd w:val="clear" w:color="auto" w:fill="FFFFFF"/>
          <w:lang w:eastAsia="zh-CN"/>
        </w:rPr>
        <w:t>、</w:t>
      </w:r>
      <w:r>
        <w:rPr>
          <w:rFonts w:hint="eastAsia" w:ascii="宋体" w:hAnsi="宋体" w:eastAsia="宋体" w:cs="宋体"/>
          <w:color w:val="auto"/>
          <w:shd w:val="clear" w:color="auto" w:fill="FFFFFF"/>
        </w:rPr>
        <w:t>《全国公共资源交易平台（河南省·许昌市）》发布。</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、公告期限：自本公告发布之日起3个工作日。</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lang w:eastAsia="zh-CN"/>
        </w:rPr>
        <w:t>九</w:t>
      </w:r>
      <w:r>
        <w:rPr>
          <w:rFonts w:hint="eastAsia" w:ascii="宋体" w:hAnsi="宋体" w:eastAsia="宋体" w:cs="宋体"/>
          <w:color w:val="auto"/>
          <w:shd w:val="clear" w:color="auto" w:fill="FFFFFF"/>
        </w:rPr>
        <w:t>、联系方式</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采购人：</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eastAsia="宋体" w:cs="宋体"/>
          <w:color w:val="auto"/>
          <w:kern w:val="0"/>
          <w:sz w:val="24"/>
          <w:szCs w:val="24"/>
          <w:shd w:val="clear" w:color="auto" w:fill="FFFFFF"/>
          <w:lang w:eastAsia="zh-CN"/>
        </w:rPr>
        <w:t>许昌经济技术开发区管理委员会（瑞祥路中段）</w:t>
      </w:r>
    </w:p>
    <w:p>
      <w:pPr>
        <w:spacing w:afterLines="1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李</w:t>
      </w:r>
      <w:r>
        <w:rPr>
          <w:rFonts w:hint="eastAsia" w:ascii="宋体" w:hAnsi="宋体" w:eastAsia="宋体" w:cs="宋体"/>
          <w:color w:val="auto"/>
          <w:kern w:val="0"/>
          <w:sz w:val="24"/>
          <w:szCs w:val="24"/>
          <w:shd w:val="clear" w:color="auto" w:fill="FFFFFF"/>
        </w:rPr>
        <w:t>先生    联系电话：</w:t>
      </w:r>
      <w:r>
        <w:rPr>
          <w:rFonts w:hint="eastAsia" w:ascii="宋体" w:hAnsi="宋体" w:eastAsia="宋体" w:cs="宋体"/>
          <w:color w:val="auto"/>
          <w:kern w:val="0"/>
          <w:sz w:val="24"/>
          <w:szCs w:val="24"/>
          <w:shd w:val="clear" w:color="auto" w:fill="FFFFFF"/>
          <w:lang w:val="en-US" w:eastAsia="zh-CN"/>
        </w:rPr>
        <w:t>13837489089</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代理机构：</w:t>
      </w:r>
      <w:r>
        <w:rPr>
          <w:rFonts w:hint="eastAsia" w:ascii="宋体" w:hAnsi="宋体" w:cs="宋体"/>
          <w:color w:val="auto"/>
          <w:kern w:val="0"/>
          <w:sz w:val="24"/>
          <w:szCs w:val="24"/>
          <w:shd w:val="clear" w:color="auto" w:fill="FFFFFF"/>
          <w:lang w:eastAsia="zh-CN"/>
        </w:rPr>
        <w:t>河南鼎嘉招标代理有限公司</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cs="宋体"/>
          <w:color w:val="auto"/>
          <w:kern w:val="0"/>
          <w:sz w:val="24"/>
          <w:szCs w:val="24"/>
          <w:shd w:val="clear" w:color="auto" w:fill="FFFFFF"/>
          <w:lang w:eastAsia="zh-CN"/>
        </w:rPr>
        <w:t>许昌市新许路77号</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val="en-US" w:eastAsia="zh-CN"/>
        </w:rPr>
        <w:t>田女士</w:t>
      </w:r>
      <w:r>
        <w:rPr>
          <w:rFonts w:hint="eastAsia" w:ascii="宋体" w:hAnsi="宋体" w:eastAsia="宋体" w:cs="宋体"/>
          <w:color w:val="auto"/>
          <w:kern w:val="0"/>
          <w:sz w:val="24"/>
          <w:szCs w:val="24"/>
          <w:shd w:val="clear" w:color="auto" w:fill="FFFFFF"/>
        </w:rPr>
        <w:t xml:space="preserve">     联系电话：</w:t>
      </w:r>
      <w:r>
        <w:rPr>
          <w:rFonts w:hint="eastAsia" w:ascii="宋体" w:hAnsi="宋体" w:cs="宋体"/>
          <w:color w:val="auto"/>
          <w:kern w:val="0"/>
          <w:sz w:val="24"/>
          <w:szCs w:val="24"/>
          <w:shd w:val="clear" w:color="auto" w:fill="FFFFFF"/>
          <w:lang w:eastAsia="zh-CN"/>
        </w:rPr>
        <w:t>13633749696</w:t>
      </w:r>
    </w:p>
    <w:p>
      <w:pPr>
        <w:spacing w:afterLine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w:t>
      </w:r>
    </w:p>
    <w:p>
      <w:pPr>
        <w:spacing w:afterLines="100"/>
        <w:jc w:val="righ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2019年</w:t>
      </w:r>
      <w:r>
        <w:rPr>
          <w:rFonts w:hint="eastAsia" w:ascii="宋体" w:hAnsi="宋体" w:cs="宋体"/>
          <w:color w:val="auto"/>
          <w:kern w:val="0"/>
          <w:sz w:val="24"/>
          <w:szCs w:val="24"/>
          <w:shd w:val="clear" w:color="auto" w:fill="FFFFFF"/>
          <w:lang w:val="en-US" w:eastAsia="zh-CN"/>
        </w:rPr>
        <w:t>10</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9</w:t>
      </w:r>
      <w:r>
        <w:rPr>
          <w:rFonts w:hint="eastAsia" w:ascii="宋体" w:hAnsi="宋体" w:eastAsia="宋体" w:cs="宋体"/>
          <w:color w:val="auto"/>
          <w:kern w:val="0"/>
          <w:sz w:val="24"/>
          <w:szCs w:val="24"/>
          <w:shd w:val="clear" w:color="auto" w:fill="FFFFFF"/>
        </w:rPr>
        <w:t xml:space="preserve">日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温馨提示：</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本项目为全流程电子化交易项目，请认真阅读谈判文件，并注意以下事项。</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3.电子响应文件的制作</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供应商登录《全国公共资源交易平台(河南省▪许昌市)》公共资源交易系统（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4.加密电子响应文件的提交</w:t>
      </w:r>
    </w:p>
    <w:p>
      <w:pPr>
        <w:tabs>
          <w:tab w:val="left" w:pos="7095"/>
        </w:tabs>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4.1加密电子响应文件应在谈判文件规定的谈判响应截止时间（谈判时间）之前成功提交至《全国公共资源交易平台(河南省▪许昌市)》公共资源交易系统（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5.评审依据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5.1采用全流程电子化交易评审时，谈判小组以电子响应文件为依据评审。</w:t>
      </w:r>
    </w:p>
    <w:p>
      <w:pPr>
        <w:spacing w:afterLines="100"/>
        <w:ind w:firstLine="480" w:firstLineChars="200"/>
        <w:jc w:val="left"/>
        <w:rPr>
          <w:rFonts w:hint="eastAsia" w:ascii="宋体" w:hAnsi="宋体" w:eastAsia="宋体" w:cs="宋体"/>
          <w:i w:val="0"/>
          <w:caps w:val="0"/>
          <w:color w:val="auto"/>
          <w:spacing w:val="0"/>
          <w:sz w:val="27"/>
          <w:szCs w:val="27"/>
        </w:rPr>
      </w:pPr>
      <w:r>
        <w:rPr>
          <w:rFonts w:hint="eastAsia" w:ascii="宋体" w:hAnsi="宋体" w:eastAsia="宋体" w:cs="宋体"/>
          <w:b w:val="0"/>
          <w:bCs/>
          <w:color w:val="auto"/>
          <w:sz w:val="24"/>
          <w:szCs w:val="24"/>
        </w:rPr>
        <w:t>5.2全流程电子化交易如因系统异常情况无法完成，将以人工方式进行。谈判小组以纸质响应文件为依据评审。</w:t>
      </w:r>
    </w:p>
    <w:p>
      <w:pPr>
        <w:spacing w:afterLines="100"/>
        <w:jc w:val="center"/>
        <w:rPr>
          <w:rFonts w:hint="eastAsia" w:ascii="宋体" w:hAnsi="宋体" w:eastAsia="宋体" w:cs="宋体"/>
          <w:b/>
          <w:color w:val="auto"/>
          <w:sz w:val="24"/>
          <w:lang w:eastAsia="zh-CN"/>
        </w:rPr>
      </w:pPr>
      <w:r>
        <w:rPr>
          <w:rFonts w:hint="eastAsia" w:ascii="宋体" w:hAnsi="宋体" w:eastAsia="宋体" w:cs="宋体"/>
          <w:color w:val="auto"/>
          <w:kern w:val="0"/>
          <w:sz w:val="24"/>
          <w:szCs w:val="24"/>
          <w:shd w:val="clear" w:color="auto" w:fill="FFFFFF"/>
        </w:rPr>
        <w:br w:type="page"/>
      </w: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项目需求</w:t>
      </w:r>
    </w:p>
    <w:p>
      <w:pPr>
        <w:rPr>
          <w:rFonts w:hint="eastAsia" w:ascii="宋体" w:hAnsi="宋体" w:eastAsia="宋体" w:cs="宋体"/>
          <w:b/>
          <w:color w:val="auto"/>
          <w:sz w:val="24"/>
        </w:rPr>
      </w:pP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一、本项目需实现的功能或者目标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该工程的实施，进一步加强了水的污染治理，解决了生活污废水污染河道问题。项目建成投入运行后，可以完善城市整体功能，改善居住环境，推动经济发展。因此建成后将产生良好的社会效益。</w:t>
      </w:r>
    </w:p>
    <w:p>
      <w:pPr>
        <w:numPr>
          <w:ilvl w:val="0"/>
          <w:numId w:val="4"/>
        </w:num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cs="宋体"/>
          <w:b/>
          <w:color w:val="auto"/>
          <w:kern w:val="0"/>
          <w:sz w:val="24"/>
          <w:szCs w:val="24"/>
          <w:lang w:val="zh-CN"/>
        </w:rPr>
        <w:t>主要</w:t>
      </w:r>
      <w:r>
        <w:rPr>
          <w:rFonts w:hint="eastAsia" w:ascii="宋体" w:hAnsi="宋体" w:eastAsia="宋体" w:cs="宋体"/>
          <w:b/>
          <w:color w:val="auto"/>
          <w:kern w:val="0"/>
          <w:sz w:val="24"/>
          <w:szCs w:val="24"/>
          <w:lang w:val="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color w:val="auto"/>
          <w:kern w:val="0"/>
          <w:sz w:val="24"/>
          <w:szCs w:val="24"/>
          <w:lang w:val="zh-CN"/>
        </w:rPr>
      </w:pPr>
      <w:r>
        <w:rPr>
          <w:rFonts w:hint="eastAsia" w:ascii="宋体" w:hAnsi="宋体" w:eastAsia="宋体" w:cs="宋体"/>
          <w:b w:val="0"/>
          <w:bCs/>
          <w:color w:val="auto"/>
          <w:kern w:val="0"/>
          <w:sz w:val="24"/>
          <w:szCs w:val="24"/>
          <w:lang w:val="zh-CN"/>
        </w:rPr>
        <w:t>本工程位于许昌市经济技术开发区灞陵河许由路下游，主要包括新建入河控制闸，许由路和灞陵路交叉口雨污连通。闸孔尺寸1.5m*1.5m；新铺设DN400雨污连通管45M。</w:t>
      </w:r>
    </w:p>
    <w:p>
      <w:pPr>
        <w:pStyle w:val="2"/>
        <w:rPr>
          <w:rFonts w:hint="default"/>
          <w:lang w:val="en-US" w:eastAsia="zh-CN"/>
        </w:rPr>
      </w:pPr>
      <w:r>
        <w:rPr>
          <w:rFonts w:hint="default"/>
          <w:lang w:val="en-US" w:eastAsia="zh-CN"/>
        </w:rPr>
        <w:t xml:space="preserve">施工图纸获取链接：https://pan.baidu.com/s/1O1nKpchVRV1xzahu8h1u-Q </w:t>
      </w:r>
    </w:p>
    <w:p>
      <w:pPr>
        <w:pStyle w:val="2"/>
        <w:rPr>
          <w:rFonts w:hint="default"/>
          <w:lang w:val="en-US" w:eastAsia="zh-CN"/>
        </w:rPr>
      </w:pPr>
      <w:r>
        <w:rPr>
          <w:rFonts w:hint="default"/>
          <w:lang w:val="en-US" w:eastAsia="zh-CN"/>
        </w:rPr>
        <w:t>提取码：l3ek</w:t>
      </w:r>
    </w:p>
    <w:p>
      <w:pPr>
        <w:pStyle w:val="2"/>
        <w:rPr>
          <w:rFonts w:hint="default"/>
          <w:lang w:val="en-US" w:eastAsia="zh-CN"/>
        </w:rPr>
      </w:pPr>
      <w:r>
        <w:rPr>
          <w:rFonts w:hint="default"/>
          <w:lang w:val="en-US" w:eastAsia="zh-CN"/>
        </w:rPr>
        <w:t>工程量清单详见竞争性谈判文件附件。</w:t>
      </w:r>
    </w:p>
    <w:p>
      <w:pPr>
        <w:spacing w:line="360" w:lineRule="auto"/>
        <w:ind w:firstLine="480" w:firstLineChars="200"/>
        <w:outlineLvl w:val="0"/>
        <w:rPr>
          <w:rFonts w:hint="eastAsia" w:ascii="宋体" w:hAnsi="宋体" w:eastAsia="宋体" w:cs="宋体"/>
          <w:color w:val="auto"/>
          <w:kern w:val="0"/>
          <w:sz w:val="28"/>
          <w:szCs w:val="28"/>
          <w:lang w:val="zh-CN"/>
        </w:rPr>
      </w:pP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如供应商所投产品属于“中国强制性产品认证”（3C认证）范围内,则必须承诺采用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outlineLvl w:val="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四</w:t>
      </w:r>
      <w:r>
        <w:rPr>
          <w:rFonts w:hint="eastAsia" w:ascii="宋体" w:hAnsi="宋体" w:eastAsia="宋体" w:cs="宋体"/>
          <w:b/>
          <w:color w:val="auto"/>
          <w:sz w:val="24"/>
          <w:szCs w:val="24"/>
          <w:lang w:val="zh-CN"/>
        </w:rPr>
        <w:t>、验收标准</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2、按照招标文件要求、投标文件响应和承诺验收。</w:t>
      </w:r>
    </w:p>
    <w:p>
      <w:pPr>
        <w:spacing w:line="360" w:lineRule="auto"/>
        <w:ind w:firstLine="480" w:firstLineChars="20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eastAsia="zh-CN"/>
        </w:rPr>
        <w:t>五</w:t>
      </w:r>
      <w:r>
        <w:rPr>
          <w:rFonts w:hint="eastAsia" w:ascii="宋体" w:hAnsi="宋体" w:eastAsia="宋体" w:cs="宋体"/>
          <w:b/>
          <w:color w:val="auto"/>
          <w:sz w:val="24"/>
          <w:szCs w:val="24"/>
          <w:lang w:val="zh-CN"/>
        </w:rPr>
        <w:t>、本项目预算金额</w:t>
      </w:r>
      <w:r>
        <w:rPr>
          <w:rFonts w:hint="eastAsia" w:ascii="宋体" w:hAnsi="宋体" w:cs="宋体"/>
          <w:b/>
          <w:color w:val="auto"/>
          <w:sz w:val="24"/>
          <w:szCs w:val="24"/>
          <w:lang w:val="zh-CN" w:eastAsia="zh-CN"/>
        </w:rPr>
        <w:t>426001.25</w:t>
      </w:r>
      <w:r>
        <w:rPr>
          <w:rFonts w:hint="eastAsia" w:ascii="宋体" w:hAnsi="宋体" w:eastAsia="宋体" w:cs="宋体"/>
          <w:b/>
          <w:color w:val="auto"/>
          <w:sz w:val="24"/>
          <w:szCs w:val="24"/>
          <w:lang w:val="zh-CN"/>
        </w:rPr>
        <w:t>元。超出预算金额的谈判响应无效。</w:t>
      </w:r>
    </w:p>
    <w:p>
      <w:pPr>
        <w:spacing w:line="360" w:lineRule="auto"/>
        <w:ind w:firstLine="480" w:firstLineChars="20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zh-CN"/>
        </w:rPr>
        <w:t>★</w:t>
      </w:r>
      <w:r>
        <w:rPr>
          <w:rFonts w:hint="eastAsia" w:ascii="宋体" w:hAnsi="宋体" w:cs="宋体"/>
          <w:b/>
          <w:color w:val="auto"/>
          <w:sz w:val="24"/>
          <w:szCs w:val="24"/>
          <w:lang w:val="zh-CN"/>
        </w:rPr>
        <w:t>六</w:t>
      </w:r>
      <w:r>
        <w:rPr>
          <w:rFonts w:hint="eastAsia" w:ascii="宋体" w:hAnsi="宋体" w:eastAsia="宋体" w:cs="宋体"/>
          <w:b/>
          <w:color w:val="auto"/>
          <w:sz w:val="24"/>
          <w:szCs w:val="24"/>
          <w:lang w:val="zh-CN"/>
        </w:rPr>
        <w:t>、</w:t>
      </w:r>
      <w:r>
        <w:rPr>
          <w:rFonts w:hint="eastAsia" w:ascii="宋体" w:hAnsi="宋体" w:cs="宋体"/>
          <w:b/>
          <w:color w:val="auto"/>
          <w:sz w:val="24"/>
          <w:szCs w:val="24"/>
          <w:lang w:val="en-US" w:eastAsia="zh-CN"/>
        </w:rPr>
        <w:t>支付方式</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2、支付时间及条件：</w:t>
      </w:r>
      <w:r>
        <w:rPr>
          <w:rFonts w:hint="eastAsia" w:ascii="宋体" w:hAnsi="宋体" w:cs="宋体"/>
          <w:color w:val="auto"/>
          <w:sz w:val="24"/>
          <w:szCs w:val="24"/>
          <w:lang w:val="en-US" w:eastAsia="zh-CN"/>
        </w:rPr>
        <w:t>项目完工且经甲方组织验收合格后，一个月内支付合同总价款的95%，剩余5%作为质保金待质保期满无质量问题支付。</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七、其他要求</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1、投标人应就该项目完整投标，否则为无效投标。</w:t>
      </w:r>
    </w:p>
    <w:p>
      <w:pPr>
        <w:wordWrap w:val="0"/>
        <w:topLinePunct/>
        <w:autoSpaceDE w:val="0"/>
        <w:autoSpaceDN w:val="0"/>
        <w:adjustRightInd w:val="0"/>
        <w:spacing w:line="360" w:lineRule="auto"/>
        <w:ind w:firstLine="482"/>
        <w:rPr>
          <w:rFonts w:hint="eastAsia" w:ascii="宋体" w:hAnsi="宋体" w:eastAsia="宋体" w:cs="宋体"/>
          <w:color w:val="auto"/>
          <w:sz w:val="24"/>
          <w:lang w:val="zh-CN"/>
        </w:rPr>
      </w:pPr>
      <w:r>
        <w:rPr>
          <w:rFonts w:hint="eastAsia" w:ascii="宋体" w:hAnsi="宋体" w:eastAsia="宋体" w:cs="宋体"/>
          <w:color w:val="auto"/>
          <w:sz w:val="24"/>
          <w:lang w:val="zh-CN"/>
        </w:rPr>
        <w:t>2、本项目为交钥匙工程。</w:t>
      </w:r>
    </w:p>
    <w:p>
      <w:pPr>
        <w:wordWrap w:val="0"/>
        <w:topLinePunct/>
        <w:autoSpaceDE w:val="0"/>
        <w:autoSpaceDN w:val="0"/>
        <w:adjustRightInd w:val="0"/>
        <w:spacing w:line="360" w:lineRule="auto"/>
        <w:ind w:firstLine="48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3、投标总价包含所投产品本身价、税、运输到指定地点</w:t>
      </w:r>
      <w:r>
        <w:rPr>
          <w:rFonts w:hint="eastAsia" w:ascii="宋体" w:hAnsi="宋体" w:cs="宋体"/>
          <w:color w:val="auto"/>
          <w:sz w:val="24"/>
          <w:lang w:val="en-US" w:eastAsia="zh-CN"/>
        </w:rPr>
        <w:t>的运费、施工</w:t>
      </w:r>
      <w:r>
        <w:rPr>
          <w:rFonts w:hint="eastAsia" w:ascii="宋体" w:hAnsi="宋体" w:eastAsia="宋体" w:cs="宋体"/>
          <w:color w:val="auto"/>
          <w:sz w:val="24"/>
          <w:lang w:val="en-US" w:eastAsia="zh-CN"/>
        </w:rPr>
        <w:t>费用</w:t>
      </w:r>
      <w:r>
        <w:rPr>
          <w:rFonts w:hint="eastAsia" w:ascii="宋体" w:hAnsi="宋体" w:cs="宋体"/>
          <w:color w:val="auto"/>
          <w:sz w:val="24"/>
          <w:lang w:val="en-US" w:eastAsia="zh-CN"/>
        </w:rPr>
        <w:t>（人材机）、</w:t>
      </w:r>
      <w:r>
        <w:rPr>
          <w:rFonts w:hint="eastAsia" w:ascii="宋体" w:hAnsi="宋体" w:eastAsia="宋体" w:cs="宋体"/>
          <w:color w:val="auto"/>
          <w:sz w:val="24"/>
          <w:lang w:val="en-US" w:eastAsia="zh-CN"/>
        </w:rPr>
        <w:t>售后服务费</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中标服务费等</w:t>
      </w:r>
      <w:r>
        <w:rPr>
          <w:rFonts w:hint="eastAsia" w:ascii="宋体" w:hAnsi="宋体" w:cs="宋体"/>
          <w:color w:val="auto"/>
          <w:sz w:val="24"/>
          <w:lang w:val="en-US" w:eastAsia="zh-CN"/>
        </w:rPr>
        <w:t>全部费用，不再单独列项，</w:t>
      </w:r>
      <w:r>
        <w:rPr>
          <w:rFonts w:hint="eastAsia" w:ascii="宋体" w:hAnsi="宋体" w:eastAsia="宋体" w:cs="宋体"/>
          <w:color w:val="auto"/>
          <w:sz w:val="24"/>
          <w:lang w:val="en-US" w:eastAsia="zh-CN"/>
        </w:rPr>
        <w:t>投标人在报价时应综合考虑。</w:t>
      </w:r>
    </w:p>
    <w:p>
      <w:pPr>
        <w:wordWrap w:val="0"/>
        <w:topLinePunct/>
        <w:autoSpaceDE w:val="0"/>
        <w:autoSpaceDN w:val="0"/>
        <w:adjustRightInd w:val="0"/>
        <w:spacing w:line="360" w:lineRule="auto"/>
        <w:ind w:firstLine="482"/>
        <w:rPr>
          <w:rFonts w:hint="eastAsia" w:ascii="宋体" w:hAnsi="宋体" w:eastAsia="宋体" w:cs="宋体"/>
          <w:color w:val="auto"/>
          <w:sz w:val="24"/>
          <w:szCs w:val="24"/>
          <w:lang w:val="zh-CN"/>
        </w:rPr>
      </w:pPr>
      <w:r>
        <w:rPr>
          <w:rFonts w:hint="eastAsia" w:ascii="宋体" w:hAnsi="宋体" w:cs="宋体"/>
          <w:color w:val="auto"/>
          <w:sz w:val="24"/>
          <w:lang w:val="en-US" w:eastAsia="zh-CN"/>
        </w:rPr>
        <w:t>4、谈判现场二次报价时需提供与二次报价价格一致的已标价工程量清单，并以附件的形式上传。</w:t>
      </w:r>
      <w:r>
        <w:rPr>
          <w:rFonts w:hint="eastAsia" w:ascii="宋体" w:hAnsi="宋体" w:eastAsia="宋体" w:cs="宋体"/>
          <w:color w:val="auto"/>
          <w:sz w:val="24"/>
          <w:szCs w:val="24"/>
          <w:lang w:val="zh-CN"/>
        </w:rPr>
        <w:br w:type="page"/>
      </w:r>
    </w:p>
    <w:p>
      <w:pPr>
        <w:pStyle w:val="32"/>
        <w:rPr>
          <w:rFonts w:hint="eastAsia"/>
          <w:color w:val="auto"/>
          <w:lang w:val="zh-CN"/>
        </w:rPr>
      </w:pPr>
    </w:p>
    <w:p>
      <w:pPr>
        <w:widowControl/>
        <w:numPr>
          <w:ilvl w:val="0"/>
          <w:numId w:val="5"/>
        </w:numPr>
        <w:tabs>
          <w:tab w:val="left" w:pos="2161"/>
          <w:tab w:val="center" w:pos="4766"/>
        </w:tabs>
        <w:spacing w:line="400" w:lineRule="atLeast"/>
        <w:ind w:firstLine="562" w:firstLineChars="175"/>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供应商须知前附表</w:t>
      </w:r>
    </w:p>
    <w:p>
      <w:pPr>
        <w:widowControl/>
        <w:numPr>
          <w:ilvl w:val="0"/>
          <w:numId w:val="0"/>
        </w:numPr>
        <w:tabs>
          <w:tab w:val="left" w:pos="2161"/>
          <w:tab w:val="center" w:pos="4766"/>
        </w:tabs>
        <w:spacing w:line="400" w:lineRule="atLeast"/>
        <w:jc w:val="left"/>
        <w:rPr>
          <w:rFonts w:hint="eastAsia" w:ascii="宋体" w:hAnsi="宋体" w:eastAsia="宋体" w:cs="宋体"/>
          <w:color w:val="auto"/>
        </w:rPr>
      </w:pPr>
      <w:r>
        <w:rPr>
          <w:rFonts w:hint="eastAsia" w:ascii="宋体" w:hAnsi="宋体" w:eastAsia="宋体" w:cs="宋体"/>
          <w:b/>
          <w:color w:val="auto"/>
          <w:kern w:val="0"/>
          <w:sz w:val="32"/>
          <w:szCs w:val="32"/>
        </w:rPr>
        <w:br w:type="textWrapping"/>
      </w:r>
      <w:r>
        <w:rPr>
          <w:rFonts w:hint="eastAsia" w:ascii="宋体" w:hAnsi="宋体" w:eastAsia="宋体" w:cs="宋体"/>
          <w:b w:val="0"/>
          <w:bCs/>
          <w:color w:val="auto"/>
          <w:kern w:val="0"/>
          <w:sz w:val="24"/>
          <w:szCs w:val="24"/>
        </w:rPr>
        <w:t>谈判文件中凡标有★条款均为实质性要求条款，响应文件须完全响应，未实质响应的，按照无效报价处理。</w:t>
      </w:r>
      <w:r>
        <w:rPr>
          <w:rFonts w:hint="eastAsia" w:ascii="宋体" w:hAnsi="宋体" w:eastAsia="宋体" w:cs="宋体"/>
          <w:b w:val="0"/>
          <w:bCs/>
          <w:color w:val="auto"/>
          <w:kern w:val="0"/>
          <w:sz w:val="24"/>
          <w:szCs w:val="24"/>
        </w:rPr>
        <w:br w:type="textWrapping"/>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许昌经济技术开发区法制与社会服务局“许昌经济技术开发区许由路雨水管网闸门建设工程项目”</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项目编号：JZFCG-T2019</w:t>
            </w:r>
            <w:r>
              <w:rPr>
                <w:rFonts w:hint="eastAsia" w:ascii="宋体" w:hAnsi="宋体" w:cs="宋体"/>
                <w:color w:val="auto"/>
                <w:szCs w:val="21"/>
                <w:lang w:val="en-US" w:eastAsia="zh-CN"/>
              </w:rPr>
              <w:t>020</w:t>
            </w:r>
            <w:r>
              <w:rPr>
                <w:rFonts w:hint="eastAsia" w:ascii="宋体" w:hAnsi="宋体" w:eastAsia="宋体" w:cs="宋体"/>
                <w:color w:val="auto"/>
                <w:szCs w:val="21"/>
              </w:rPr>
              <w:t>号</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项目内容：</w:t>
            </w:r>
            <w:r>
              <w:rPr>
                <w:rFonts w:hint="eastAsia" w:ascii="宋体" w:hAnsi="宋体" w:eastAsia="宋体" w:cs="宋体"/>
                <w:color w:val="auto"/>
                <w:szCs w:val="21"/>
                <w:lang w:val="zh-CN"/>
              </w:rPr>
              <w:t>本工程位于许昌市经济技术开发区灞陵河许由路下游，主要包括新建入河控制闸，许由路和灞陵路交叉口雨污连通。闸孔尺寸1.5m*1.5m；新铺设DN400雨污连通管45M</w:t>
            </w:r>
            <w:r>
              <w:rPr>
                <w:rFonts w:hint="eastAsia" w:ascii="宋体" w:hAnsi="宋体" w:eastAsia="宋体" w:cs="宋体"/>
                <w:color w:val="auto"/>
                <w:szCs w:val="21"/>
              </w:rPr>
              <w:t>。</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采购人：许昌经济技术开发区法制与社会服务局</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 址：许昌经济技术开发区管理委员会（瑞祥路中段）</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cs="宋体"/>
                <w:color w:val="auto"/>
                <w:szCs w:val="21"/>
                <w:lang w:val="en-US" w:eastAsia="zh-CN"/>
              </w:rPr>
              <w:t>李</w:t>
            </w:r>
            <w:r>
              <w:rPr>
                <w:rFonts w:hint="eastAsia" w:ascii="宋体" w:hAnsi="宋体" w:eastAsia="宋体" w:cs="宋体"/>
                <w:color w:val="auto"/>
                <w:szCs w:val="21"/>
              </w:rPr>
              <w:t>先生    联系电话：13837489089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代理机构：</w:t>
            </w:r>
            <w:r>
              <w:rPr>
                <w:rFonts w:hint="eastAsia" w:ascii="宋体" w:hAnsi="宋体" w:cs="宋体"/>
                <w:color w:val="auto"/>
                <w:szCs w:val="21"/>
                <w:lang w:eastAsia="zh-CN"/>
              </w:rPr>
              <w:t>河南鼎嘉招标代理有限公司</w:t>
            </w:r>
          </w:p>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地 址：</w:t>
            </w:r>
            <w:r>
              <w:rPr>
                <w:rFonts w:hint="eastAsia" w:ascii="宋体" w:hAnsi="宋体" w:cs="宋体"/>
                <w:color w:val="auto"/>
                <w:szCs w:val="21"/>
                <w:lang w:eastAsia="zh-CN"/>
              </w:rPr>
              <w:t>许昌市新许路77号</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eastAsia="zh-CN"/>
              </w:rPr>
              <w:t>田女士</w:t>
            </w:r>
            <w:r>
              <w:rPr>
                <w:rFonts w:hint="eastAsia" w:ascii="宋体" w:hAnsi="宋体" w:eastAsia="宋体" w:cs="宋体"/>
                <w:color w:val="auto"/>
                <w:szCs w:val="21"/>
              </w:rPr>
              <w:t xml:space="preserve">     联系电话：</w:t>
            </w:r>
            <w:r>
              <w:rPr>
                <w:rFonts w:hint="eastAsia" w:ascii="宋体" w:hAnsi="宋体" w:cs="宋体"/>
                <w:color w:val="auto"/>
                <w:szCs w:val="21"/>
                <w:lang w:eastAsia="zh-CN"/>
              </w:rPr>
              <w:t>13633749696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color w:val="auto"/>
                <w:szCs w:val="21"/>
                <w:lang w:val="zh-CN"/>
              </w:rPr>
            </w:pPr>
            <w:r>
              <w:rPr>
                <w:rFonts w:hint="eastAsia" w:ascii="宋体" w:hAnsi="宋体" w:eastAsia="宋体" w:cs="宋体"/>
                <w:b/>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numPr>
                <w:ilvl w:val="0"/>
                <w:numId w:val="0"/>
              </w:numPr>
              <w:autoSpaceDE w:val="0"/>
              <w:autoSpaceDN w:val="0"/>
              <w:spacing w:line="360" w:lineRule="auto"/>
              <w:contextualSpacing/>
              <w:jc w:val="left"/>
              <w:rPr>
                <w:rFonts w:hint="eastAsia" w:ascii="宋体" w:hAnsi="宋体" w:cs="宋体"/>
                <w:b/>
                <w:bCs/>
                <w:color w:val="auto"/>
                <w:szCs w:val="21"/>
                <w:shd w:val="clear" w:color="auto" w:fill="FFFFFF"/>
                <w:lang w:val="en-US" w:eastAsia="zh-CN"/>
              </w:rPr>
            </w:pPr>
            <w:r>
              <w:rPr>
                <w:rFonts w:hint="eastAsia" w:ascii="宋体" w:hAnsi="宋体" w:cs="宋体"/>
                <w:b/>
                <w:bCs/>
                <w:color w:val="auto"/>
                <w:szCs w:val="21"/>
                <w:shd w:val="clear" w:color="auto" w:fill="FFFFFF"/>
                <w:lang w:val="en-US" w:eastAsia="zh-CN"/>
              </w:rPr>
              <w:t>七、投标人须具备市政公用工程施工总承包三级及以上企业资质</w:t>
            </w:r>
          </w:p>
          <w:p>
            <w:pPr>
              <w:numPr>
                <w:ilvl w:val="0"/>
                <w:numId w:val="0"/>
              </w:num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cs="宋体"/>
                <w:b/>
                <w:bCs/>
                <w:color w:val="auto"/>
                <w:szCs w:val="21"/>
                <w:shd w:val="clear" w:color="auto" w:fill="FFFFFF"/>
                <w:lang w:val="en-US" w:eastAsia="zh-CN"/>
              </w:rPr>
              <w:t>八、</w:t>
            </w:r>
            <w:r>
              <w:rPr>
                <w:rFonts w:hint="eastAsia" w:ascii="宋体" w:hAnsi="宋体" w:eastAsia="宋体" w:cs="宋体"/>
                <w:b/>
                <w:bCs/>
                <w:color w:val="auto"/>
                <w:szCs w:val="21"/>
                <w:shd w:val="clear" w:color="auto" w:fill="FFFFFF"/>
              </w:rPr>
              <w:t>未被列入“信用中国”网站(www.creditchin</w:t>
            </w:r>
            <w:r>
              <w:rPr>
                <w:rFonts w:hint="eastAsia" w:ascii="宋体" w:hAnsi="宋体" w:eastAsia="宋体" w:cs="宋体"/>
                <w:b/>
                <w:color w:val="auto"/>
                <w:szCs w:val="21"/>
                <w:shd w:val="clear" w:color="auto" w:fill="FFFFFF"/>
              </w:rPr>
              <w:t>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color w:val="auto"/>
                <w:kern w:val="0"/>
                <w:szCs w:val="21"/>
              </w:rPr>
              <w:t>联合体形式响应的，联合体成员存在不良信用记录，视同联合体存在不良信用记录）。</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kern w:val="0"/>
              </w:rPr>
              <w:t>www.gsxt.gov.cn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④“中国社会组织公共服务平台”网站（www.chinanpo.gov.cn）（仅查询社会组织）；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2、截止时间：同谈判响应截止时间；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cs="宋体"/>
                <w:bCs/>
                <w:color w:val="auto"/>
                <w:szCs w:val="21"/>
                <w:lang w:val="zh-CN"/>
              </w:rPr>
              <w:t>426001.25</w:t>
            </w:r>
            <w:r>
              <w:rPr>
                <w:rFonts w:hint="eastAsia" w:ascii="宋体" w:hAnsi="宋体" w:eastAsia="宋体" w:cs="宋体"/>
                <w:bCs/>
                <w:color w:val="auto"/>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2019年</w:t>
            </w:r>
            <w:r>
              <w:rPr>
                <w:rFonts w:hint="eastAsia" w:ascii="宋体" w:hAnsi="宋体" w:cs="宋体"/>
                <w:bCs/>
                <w:color w:val="auto"/>
                <w:szCs w:val="21"/>
                <w:lang w:val="en-US" w:eastAsia="zh-CN"/>
              </w:rPr>
              <w:t>10</w:t>
            </w:r>
            <w:r>
              <w:rPr>
                <w:rFonts w:hint="eastAsia" w:ascii="宋体" w:hAnsi="宋体" w:eastAsia="宋体" w:cs="宋体"/>
                <w:bCs/>
                <w:color w:val="auto"/>
                <w:szCs w:val="21"/>
                <w:lang w:val="zh-CN"/>
              </w:rPr>
              <w:t>月</w:t>
            </w:r>
            <w:r>
              <w:rPr>
                <w:rFonts w:hint="eastAsia" w:ascii="宋体" w:hAnsi="宋体" w:cs="宋体"/>
                <w:bCs/>
                <w:color w:val="auto"/>
                <w:szCs w:val="21"/>
                <w:lang w:val="en-US" w:eastAsia="zh-CN"/>
              </w:rPr>
              <w:t>15</w:t>
            </w:r>
            <w:r>
              <w:rPr>
                <w:rFonts w:hint="eastAsia" w:ascii="宋体" w:hAnsi="宋体" w:eastAsia="宋体" w:cs="宋体"/>
                <w:bCs/>
                <w:color w:val="auto"/>
                <w:szCs w:val="21"/>
                <w:lang w:val="zh-CN"/>
              </w:rPr>
              <w:t>日</w:t>
            </w:r>
            <w:r>
              <w:rPr>
                <w:rFonts w:hint="eastAsia" w:ascii="宋体" w:hAnsi="宋体" w:cs="宋体"/>
                <w:bCs/>
                <w:color w:val="auto"/>
                <w:szCs w:val="21"/>
                <w:lang w:val="en-US" w:eastAsia="zh-CN"/>
              </w:rPr>
              <w:t>8</w:t>
            </w:r>
            <w:r>
              <w:rPr>
                <w:rFonts w:hint="eastAsia" w:ascii="宋体" w:hAnsi="宋体" w:eastAsia="宋体" w:cs="宋体"/>
                <w:bCs/>
                <w:color w:val="auto"/>
                <w:szCs w:val="21"/>
                <w:lang w:val="zh-CN"/>
              </w:rPr>
              <w:t>时</w:t>
            </w:r>
            <w:r>
              <w:rPr>
                <w:rFonts w:hint="eastAsia" w:ascii="宋体" w:hAnsi="宋体" w:cs="宋体"/>
                <w:bCs/>
                <w:color w:val="auto"/>
                <w:szCs w:val="21"/>
                <w:lang w:val="en-US" w:eastAsia="zh-CN"/>
              </w:rPr>
              <w:t>30</w:t>
            </w:r>
            <w:r>
              <w:rPr>
                <w:rFonts w:hint="eastAsia" w:ascii="宋体" w:hAnsi="宋体" w:eastAsia="宋体" w:cs="宋体"/>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递交谈判响应文件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及开启地点、谈判地点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hint="eastAsia" w:ascii="宋体" w:hAnsi="宋体" w:eastAsia="宋体" w:cs="宋体"/>
                <w:color w:val="auto"/>
                <w:szCs w:val="21"/>
              </w:rPr>
              <w:t>响应文件递交地点：</w:t>
            </w:r>
            <w:r>
              <w:rPr>
                <w:rFonts w:hint="eastAsia" w:ascii="宋体" w:hAnsi="宋体" w:eastAsia="宋体" w:cs="宋体"/>
                <w:bCs/>
                <w:color w:val="auto"/>
                <w:szCs w:val="21"/>
                <w:lang w:val="zh-CN"/>
              </w:rPr>
              <w:t>许昌市公共资源交易中心三楼开标</w:t>
            </w:r>
            <w:r>
              <w:rPr>
                <w:rFonts w:hint="eastAsia" w:ascii="宋体" w:hAnsi="宋体" w:cs="宋体"/>
                <w:bCs/>
                <w:color w:val="auto"/>
                <w:szCs w:val="21"/>
                <w:lang w:val="en-US" w:eastAsia="zh-CN"/>
              </w:rPr>
              <w:t>五</w:t>
            </w:r>
            <w:r>
              <w:rPr>
                <w:rFonts w:hint="eastAsia" w:ascii="宋体" w:hAnsi="宋体" w:eastAsia="宋体" w:cs="宋体"/>
                <w:bCs/>
                <w:color w:val="auto"/>
                <w:szCs w:val="21"/>
                <w:lang w:val="zh-CN"/>
              </w:rPr>
              <w:t>室；</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2、开启及谈判地点：许昌市公共资源交易中心四楼</w:t>
            </w:r>
            <w:r>
              <w:rPr>
                <w:rFonts w:hint="eastAsia" w:ascii="宋体" w:hAnsi="宋体" w:eastAsia="宋体" w:cs="宋体"/>
                <w:color w:val="auto"/>
                <w:szCs w:val="21"/>
                <w:lang w:eastAsia="zh-CN"/>
              </w:rPr>
              <w:t>谈判</w:t>
            </w:r>
            <w:r>
              <w:rPr>
                <w:rFonts w:hint="eastAsia" w:ascii="宋体" w:hAnsi="宋体" w:cs="宋体"/>
                <w:color w:val="auto"/>
                <w:szCs w:val="21"/>
                <w:lang w:val="en-US" w:eastAsia="zh-CN"/>
              </w:rPr>
              <w:t>二</w:t>
            </w:r>
            <w:r>
              <w:rPr>
                <w:rFonts w:hint="eastAsia" w:ascii="宋体" w:hAnsi="宋体" w:eastAsia="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cs="宋体" w:asciiTheme="minorEastAsia" w:hAnsiTheme="minorEastAsia"/>
                <w:color w:val="auto"/>
                <w:szCs w:val="21"/>
              </w:rPr>
              <w:t>《中国政府采购网》、《河南省政府采购网》、《许昌市政府采购网》、《全国公共资源交易平台（河南省·许昌市）》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zh-CN"/>
              </w:rPr>
              <w:t>同</w:t>
            </w:r>
            <w:r>
              <w:rPr>
                <w:rFonts w:hint="eastAsia" w:ascii="宋体" w:hAnsi="宋体" w:eastAsia="宋体" w:cs="宋体"/>
                <w:bCs/>
                <w:color w:val="auto"/>
                <w:szCs w:val="21"/>
                <w:lang w:val="zh-CN"/>
              </w:rPr>
              <w:t>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lang w:eastAsia="zh-CN"/>
              </w:rPr>
              <w:t>一</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谈判小组组建</w:t>
            </w:r>
          </w:p>
        </w:tc>
        <w:tc>
          <w:tcPr>
            <w:tcW w:w="6813" w:type="dxa"/>
            <w:vAlign w:val="center"/>
          </w:tcPr>
          <w:p>
            <w:pPr>
              <w:autoSpaceDE w:val="0"/>
              <w:autoSpaceDN w:val="0"/>
              <w:adjustRightInd w:val="0"/>
              <w:spacing w:line="360" w:lineRule="auto"/>
              <w:rPr>
                <w:rFonts w:hint="eastAsia" w:ascii="宋体" w:hAnsi="宋体" w:eastAsia="宋体" w:cs="宋体"/>
                <w:color w:val="auto"/>
                <w:szCs w:val="21"/>
                <w:lang w:val="zh-CN"/>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评审方法</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rPr>
              <w:t>质量和服务均能满足谈判文件实质性响应要求且最后报价最低的原则确定成交供应商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收取中标人。</w:t>
            </w: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收取采购人。</w:t>
            </w:r>
            <w:r>
              <w:rPr>
                <w:rFonts w:hint="eastAsia" w:ascii="宋体" w:hAnsi="宋体" w:eastAsia="宋体" w:cs="宋体"/>
                <w:color w:val="auto"/>
                <w:sz w:val="24"/>
                <w:szCs w:val="24"/>
              </w:rPr>
              <w:t>收取标准:中标合同金额的</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 w:val="24"/>
                <w:szCs w:val="24"/>
                <w:lang w:val="en-US" w:eastAsia="zh-CN"/>
              </w:rPr>
              <w:t>3616937339</w:t>
            </w:r>
            <w:r>
              <w:rPr>
                <w:rFonts w:hint="eastAsia" w:ascii="宋体" w:hAnsi="宋体" w:eastAsia="宋体" w:cs="宋体"/>
                <w:bCs/>
                <w:color w:val="auto"/>
                <w:sz w:val="24"/>
                <w:szCs w:val="24"/>
                <w:lang w:val="en-US" w:eastAsia="zh-CN"/>
              </w:rPr>
              <w:t>@qq.com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cs="宋体"/>
                <w:color w:val="auto"/>
                <w:highlight w:val="none"/>
                <w:lang w:eastAsia="zh-CN"/>
              </w:rPr>
              <w:t>不同供应商电子响应文件记录的网卡MAC地址、CPU序号、硬盘序列号等硬件特征码均相同时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widowControl/>
        <w:numPr>
          <w:ilvl w:val="0"/>
          <w:numId w:val="0"/>
        </w:numPr>
        <w:tabs>
          <w:tab w:val="left" w:pos="2161"/>
          <w:tab w:val="center" w:pos="4766"/>
        </w:tabs>
        <w:spacing w:line="400" w:lineRule="atLeast"/>
        <w:jc w:val="left"/>
        <w:rPr>
          <w:rFonts w:hint="eastAsia" w:ascii="宋体" w:hAnsi="宋体" w:eastAsia="宋体" w:cs="宋体"/>
          <w:color w:val="auto"/>
        </w:rPr>
      </w:pPr>
    </w:p>
    <w:p>
      <w:pPr>
        <w:spacing w:afterLines="100"/>
        <w:jc w:val="center"/>
        <w:rPr>
          <w:rFonts w:hint="eastAsia" w:ascii="宋体" w:hAnsi="宋体" w:eastAsia="宋体" w:cs="宋体"/>
          <w:b/>
          <w:color w:val="auto"/>
          <w:sz w:val="32"/>
          <w:szCs w:val="32"/>
        </w:rPr>
      </w:pPr>
    </w:p>
    <w:p>
      <w:pPr>
        <w:spacing w:after="50" w:line="320" w:lineRule="exact"/>
        <w:jc w:val="center"/>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供应商须知</w:t>
      </w:r>
    </w:p>
    <w:p>
      <w:pPr>
        <w:tabs>
          <w:tab w:val="left" w:pos="3300"/>
          <w:tab w:val="center" w:pos="4776"/>
        </w:tabs>
        <w:spacing w:afterLines="50" w:line="320" w:lineRule="exact"/>
        <w:jc w:val="center"/>
        <w:outlineLvl w:val="0"/>
        <w:rPr>
          <w:rFonts w:hint="eastAsia" w:ascii="宋体" w:hAnsi="宋体" w:eastAsia="宋体" w:cs="宋体"/>
          <w:b/>
          <w:color w:val="auto"/>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适用范围</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本谈判文件仅适用于本次“采购邀请”</w:t>
      </w:r>
      <w:r>
        <w:rPr>
          <w:rFonts w:hint="eastAsia" w:ascii="宋体" w:hAnsi="宋体" w:eastAsia="宋体" w:cs="宋体"/>
          <w:color w:val="auto"/>
          <w:szCs w:val="21"/>
        </w:rPr>
        <w:t xml:space="preserve"> 和“供应商须知前附表”中所述采购项目的采购。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pStyle w:val="121"/>
        <w:autoSpaceDE w:val="0"/>
        <w:autoSpaceDN w:val="0"/>
        <w:spacing w:line="360" w:lineRule="auto"/>
        <w:ind w:left="780"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定义</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“采购项目”：</w:t>
      </w:r>
      <w:r>
        <w:rPr>
          <w:rFonts w:hint="eastAsia" w:ascii="宋体" w:hAnsi="宋体" w:eastAsia="宋体" w:cs="宋体"/>
          <w:color w:val="auto"/>
          <w:szCs w:val="21"/>
        </w:rPr>
        <w:t xml:space="preserve"> 系指</w:t>
      </w:r>
      <w:r>
        <w:rPr>
          <w:rFonts w:hint="eastAsia" w:ascii="宋体" w:hAnsi="宋体" w:eastAsia="宋体" w:cs="宋体"/>
          <w:color w:val="auto"/>
          <w:kern w:val="0"/>
          <w:szCs w:val="21"/>
        </w:rPr>
        <w:t>“供应商须知前附表”中所述的采购项目。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r>
        <w:rPr>
          <w:rFonts w:hint="eastAsia" w:ascii="宋体" w:hAnsi="宋体" w:eastAsia="宋体" w:cs="宋体"/>
          <w:color w:val="auto"/>
          <w:szCs w:val="21"/>
        </w:rPr>
        <w:t>系指“供应商须知前附表”中所述的组织本次采购的</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和采购人。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“供应商”系指从采购人、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处按规定获取谈判文件，并按照谈判文件向采购人、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提交响应文件的供应商。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“成交供应商”系指成交的供应商。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“甲方”系指采购人。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“乙方”系指成交并向采购人提供服务的供应商。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“服务”系指</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文件规定的供应商为完成采购项目所需承担的全部义务。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谈判文件中凡标有“★”的条款均系实质性要求条款。</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合格的供应商</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在中华人民共和国境内注册，具有本项目生产、制造、供应或实施能力，符合、承认并承诺履行本</w:t>
      </w:r>
      <w:r>
        <w:rPr>
          <w:rFonts w:hint="eastAsia" w:ascii="宋体" w:hAnsi="宋体" w:cs="宋体"/>
          <w:color w:val="auto"/>
          <w:kern w:val="0"/>
          <w:szCs w:val="21"/>
          <w:lang w:eastAsia="zh-CN"/>
        </w:rPr>
        <w:t>竞争性谈判</w:t>
      </w:r>
      <w:r>
        <w:rPr>
          <w:rFonts w:hint="eastAsia" w:ascii="宋体" w:hAnsi="宋体" w:eastAsia="宋体" w:cs="宋体"/>
          <w:color w:val="auto"/>
          <w:kern w:val="0"/>
          <w:szCs w:val="21"/>
        </w:rPr>
        <w:t>文件各项规定的法人、其他组织或者自然人。</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符合本项目“采购邀请”和“供应商须知前附表”中规定的合格供应商所必须具备的条件。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（1）查询渠道：“信用中国”网站（www.creditchina.gov.cn）、“中国政府采购网”（www.ccgp.gov.cn）、</w:t>
      </w:r>
      <w:r>
        <w:rPr>
          <w:rFonts w:hint="eastAsia" w:ascii="宋体" w:hAnsi="宋体" w:eastAsia="宋体" w:cs="宋体"/>
          <w:color w:val="auto"/>
          <w:szCs w:val="21"/>
          <w:shd w:val="clear" w:color="auto" w:fill="FFFFFF"/>
        </w:rPr>
        <w:t>“国家企业信用公示系统”网站（www.gsxt.gov.cn）</w:t>
      </w:r>
      <w:r>
        <w:rPr>
          <w:rFonts w:hint="eastAsia" w:ascii="宋体" w:hAnsi="宋体" w:eastAsia="宋体" w:cs="宋体"/>
          <w:color w:val="auto"/>
          <w:kern w:val="0"/>
          <w:szCs w:val="21"/>
        </w:rPr>
        <w:t>；“中国社会组织公共服务平台”网站（www.chinanpo.gov.cn）。</w:t>
      </w:r>
    </w:p>
    <w:p>
      <w:pPr>
        <w:pStyle w:val="121"/>
        <w:autoSpaceDE w:val="0"/>
        <w:autoSpaceDN w:val="0"/>
        <w:spacing w:line="360" w:lineRule="auto"/>
        <w:ind w:left="42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（2）截止时间：同响应截止时间。</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单位负责人为同一人或者存在直接控股、管理关系的不同供应商，不得同时参加本项目报价。违反规定的，相关响应均无效。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为采购项目提供整体设计、规范编制或者项目管理、监理、检测等服务的供应商，不得再参加该采购项目的其他采购活动。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3.6.5    联合体各方应当共同与采购人签订采购合同，就采购合同约定的事项对采购人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"https://baike.baidu.com/item/%E6%89%BF%E6%8B%85%E8%BF%9E%E5%B8%A6%E8%B4%A3%E4%BB%BB"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法律、行政法规规定的其他条件。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合格的货物和服务</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供应商所提供的服务应当没有侵犯任何第三方的知识产权、技术秘密等合法权利。</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供应商所投产品如被列入《信息安全产品强制性认证目录》，则该产品应具备中国信息安全认证中心颁发的《</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"http://www.cnca.gov.cn/cnca/zwxx/ggxx/images/2010/07/19/A6C32D2A507AC2A38326896013A67542.doc"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谈判费用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在任何情况下均无义务和责任承担这些费用。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信息发布</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在任何情况下均不对此承担任何责任。</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代理费用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7.2收取方式：一次性以银行划账、电汇、汇票或支票的形式支付。</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其他</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谈判文件构成</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谈判文件由以下部分组成：</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（2）采购需求</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（6）资格审查与评审</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谈判文件的澄清或修改</w:t>
      </w:r>
    </w:p>
    <w:p>
      <w:pPr>
        <w:autoSpaceDE w:val="0"/>
        <w:autoSpaceDN w:val="0"/>
        <w:spacing w:line="360" w:lineRule="auto"/>
        <w:ind w:left="991" w:leftChars="202" w:hanging="567" w:hangingChars="27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如果澄清或者修改发出的时间距规定的谈判响应截止时间不足3个工作日的，采购人、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将顺延提交响应文件的截止时间。</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响应文件的语言及计量单位</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供应商提交的响应文件以及供应商与采购人、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就有关采购事宜的所有来往书面文件均应使用中文。除签名、盖章、专用名称等特殊情形外，以中文以外的文字表述的响应文件视同未提供。</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报价 </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本次谈判项目的报价均以人民币为计算单位。</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采购人不得向供应商索要或者接受其给予的赠品、回扣或者与采购无关的其他商品、服务。</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供应商应对项目要求的全部内容进行报价，少报漏报将导致其响应为非实质性响应予以拒绝。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Cs w:val="21"/>
        </w:rPr>
        <w:t>经通知参加他怕的供应商，在谈判结束后还有一次最终报价的机会</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本项目所涉及的运输、施工、安装、集成、调试、验收、备品和工具等费用均包含在响应报价中。</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报价不得高于本项目预算金额，且不低于成本价。供应商的响应报价高于预算金额（项目控制金额上限）的，该供应商的响应文件将被视为非实质性响应予以拒绝。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最低报价不能做为成交的保证。</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响应文件有效期</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Cs w:val="21"/>
        </w:rPr>
        <w:t>。</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响应文件构成</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响应文件的构成应符合法律法规及谈判文件的要求。</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供应商应当按照谈判文件的要求编制响应文件。响应文件应当对谈判文件提出的要求和条件作出明确响应。</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响应文件由资格证明材料、符合性证明材料、其它材料等组成。</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响应文件格式</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w:t>
      </w:r>
    </w:p>
    <w:p>
      <w:pPr>
        <w:pStyle w:val="121"/>
        <w:numPr>
          <w:ilvl w:val="0"/>
          <w:numId w:val="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本项目不收取谈判保证金。</w:t>
      </w:r>
    </w:p>
    <w:p>
      <w:pPr>
        <w:pStyle w:val="121"/>
        <w:numPr>
          <w:ilvl w:val="1"/>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lang w:eastAsia="zh-CN"/>
        </w:rPr>
        <w:t>供应商应提供投标承诺函。</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谈判文件的数量和签署盖章</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供应商应提交响应文件份数见“供应商须知前附表”。</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在谈判文件中已明示需盖章及签名之处，电子响应文件应按谈判文件要求加盖供应商电子印章和法人电子印章或授权代表电子印章。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响应文件的密封</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供应商应将纸质响应文件“正本”、“ 副本”密封包装。使用电子介质存储的响应文件单独密封包装，并随纸质响应文件一并提交。</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响应文件如果未按规定密封，采购人、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将拒绝接收。</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供应商必须在“采购邀请”和“供应商须知前附表”中规定的谈判响应文件截止时间前，将所有响应文件送达谈判文件指定的地点。</w:t>
      </w:r>
      <w:r>
        <w:rPr>
          <w:rFonts w:hint="eastAsia" w:ascii="宋体" w:hAnsi="宋体" w:eastAsia="宋体" w:cs="宋体"/>
          <w:color w:val="auto"/>
        </w:rPr>
        <w:t>在递交截止时间以后送达的响应文件，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rPr>
        <w:t>将予以拒绝。</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迟交的响应文件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将将拒绝接收。</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响应文件的修改和撤回</w:t>
      </w:r>
    </w:p>
    <w:p>
      <w:pPr>
        <w:pStyle w:val="121"/>
        <w:numPr>
          <w:ilvl w:val="0"/>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供应商在谈判响应截止时间前，对所递交的纸质响应文件进行补充、修改或者撤回的，须书面通知采购人和</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供应商补充、修改的内容并作为响应文件的组成部分。补充或修改应当按谈判文件要求签署、盖章、密封、递交，并应注明“修改”或“补充”字样。</w:t>
      </w:r>
    </w:p>
    <w:p>
      <w:pPr>
        <w:pStyle w:val="121"/>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eastAsia="zh-CN"/>
        </w:rPr>
        <w:t>我方</w:t>
      </w:r>
      <w:r>
        <w:rPr>
          <w:rFonts w:hint="eastAsia" w:cs="Courier New" w:asciiTheme="minorEastAsia" w:hAnsiTheme="minorEastAsia" w:eastAsiaTheme="minorEastAsia"/>
          <w:color w:val="auto"/>
          <w:sz w:val="21"/>
          <w:szCs w:val="21"/>
        </w:rPr>
        <w:t>明白并同意，在规定的</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响应时间截止之后，响应有效期之内撤销</w:t>
      </w:r>
      <w:r>
        <w:rPr>
          <w:rFonts w:hint="eastAsia" w:cs="Courier New" w:asciiTheme="minorEastAsia" w:hAnsiTheme="minorEastAsia"/>
          <w:color w:val="auto"/>
          <w:sz w:val="21"/>
          <w:szCs w:val="21"/>
          <w:lang w:eastAsia="zh-CN"/>
        </w:rPr>
        <w:t>谈判</w:t>
      </w:r>
      <w:r>
        <w:rPr>
          <w:rFonts w:hint="eastAsia" w:cs="Courier New" w:asciiTheme="minorEastAsia" w:hAnsiTheme="minorEastAsia" w:eastAsiaTheme="minorEastAsia"/>
          <w:color w:val="auto"/>
          <w:sz w:val="21"/>
          <w:szCs w:val="21"/>
        </w:rPr>
        <w:t>响应的，则我方将承担违背投标承诺函的责任追究</w:t>
      </w:r>
      <w:r>
        <w:rPr>
          <w:rFonts w:hint="eastAsia" w:cs="Courier New" w:asciiTheme="minorEastAsia" w:hAnsiTheme="minorEastAsia"/>
          <w:color w:val="auto"/>
          <w:sz w:val="21"/>
          <w:szCs w:val="21"/>
          <w:lang w:eastAsia="zh-CN"/>
        </w:rPr>
        <w:t>。</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121"/>
        <w:numPr>
          <w:ilvl w:val="0"/>
          <w:numId w:val="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响应文件密封情况检查及解密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（1）电子谈判文件的解密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供应商解密：供应商使用本单位CA数字证书远程或现场进行解密。需递交响应文件现场使用一体机进行解密的，请在</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引导下进行。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b. </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解密：</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电子响应文件解密异常情况处理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供应商不足3家的，本项目谈判活动终止。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谈判小组组成</w:t>
      </w:r>
    </w:p>
    <w:p>
      <w:pPr>
        <w:pStyle w:val="121"/>
        <w:numPr>
          <w:ilvl w:val="0"/>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采购人将依法组建谈判小组，谈判小组</w:t>
      </w:r>
      <w:r>
        <w:rPr>
          <w:rFonts w:hint="eastAsia" w:ascii="宋体" w:hAnsi="宋体" w:eastAsia="宋体" w:cs="宋体"/>
          <w:color w:val="auto"/>
        </w:rPr>
        <w:t>由采购人代表和评审专家共3人以上单数组成，其中评审专家人数不得少于竞争性谈判小组成员总数</w:t>
      </w:r>
      <w:r>
        <w:rPr>
          <w:rFonts w:hint="eastAsia" w:ascii="宋体" w:hAnsi="宋体" w:eastAsia="宋体" w:cs="宋体"/>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24.1.1     采购人将依法组建谈判小组，谈判小组由评审专家组成，成员人数应当为</w:t>
      </w:r>
      <w:r>
        <w:rPr>
          <w:rFonts w:hint="eastAsia" w:ascii="宋体" w:hAnsi="宋体" w:eastAsia="宋体" w:cs="宋体"/>
          <w:color w:val="auto"/>
        </w:rPr>
        <w:t>3人以上单数组成</w:t>
      </w:r>
      <w:r>
        <w:rPr>
          <w:rFonts w:hint="eastAsia" w:ascii="宋体" w:hAnsi="宋体" w:eastAsia="宋体" w:cs="宋体"/>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24.1.2     </w:t>
      </w:r>
      <w:r>
        <w:rPr>
          <w:rFonts w:hint="eastAsia" w:ascii="宋体" w:hAnsi="宋体" w:eastAsia="宋体" w:cs="宋体"/>
          <w:color w:val="auto"/>
        </w:rPr>
        <w:t>达到公开招标数额标准的货物或者服务采购项目，或者达到招标规模标准的政府采购工程，竞争性谈判小组应当由5人以上单数组成。</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采购人不得以评审专家身份参加本部门或本单位采购项目的评审</w:t>
      </w:r>
      <w:r>
        <w:rPr>
          <w:rFonts w:hint="eastAsia" w:ascii="宋体" w:hAnsi="宋体" w:eastAsia="宋体" w:cs="宋体"/>
          <w:color w:val="auto"/>
          <w:kern w:val="0"/>
          <w:szCs w:val="21"/>
        </w:rPr>
        <w:t>。</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24.3.1     </w:t>
      </w:r>
      <w:r>
        <w:rPr>
          <w:rFonts w:hint="eastAsia" w:ascii="宋体" w:hAnsi="宋体" w:eastAsia="宋体" w:cs="宋体"/>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宋体" w:hAnsi="宋体" w:eastAsia="宋体" w:cs="宋体"/>
          <w:color w:val="auto"/>
        </w:rPr>
      </w:pPr>
      <w:r>
        <w:rPr>
          <w:rFonts w:hint="eastAsia" w:ascii="宋体" w:hAnsi="宋体" w:eastAsia="宋体" w:cs="宋体"/>
          <w:color w:val="auto"/>
          <w:kern w:val="0"/>
          <w:szCs w:val="21"/>
        </w:rPr>
        <w:t xml:space="preserve">24.3.2     </w:t>
      </w:r>
      <w:r>
        <w:rPr>
          <w:rFonts w:hint="eastAsia" w:ascii="宋体" w:hAnsi="宋体" w:eastAsia="宋体" w:cs="宋体"/>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24.3.3     </w:t>
      </w:r>
      <w:r>
        <w:rPr>
          <w:rFonts w:hint="eastAsia" w:ascii="宋体" w:hAnsi="宋体" w:eastAsia="宋体" w:cs="宋体"/>
          <w:color w:val="auto"/>
        </w:rPr>
        <w:t>与供应商有其他可能影响政府采购活动公平、公正进行的关系。</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评审专家发现本人与参加采购活动的供应商有利害关系的,应当主动提出回避。采购人或者</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发现评审专家与参加采购活动的供应商有利害关系的,应当要求其回避。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采购人不得担任谈判小组组长。</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谈判小组成员名单在成交结果公告前应当保密。</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pStyle w:val="121"/>
        <w:numPr>
          <w:ilvl w:val="0"/>
          <w:numId w:val="13"/>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b/>
          <w:color w:val="auto"/>
          <w:kern w:val="0"/>
          <w:szCs w:val="21"/>
        </w:rPr>
        <w:t>本项目具体资格审查详见（第六章 资格审查与评审）</w:t>
      </w:r>
      <w:r>
        <w:rPr>
          <w:rFonts w:hint="eastAsia" w:ascii="宋体" w:hAnsi="宋体" w:eastAsia="宋体" w:cs="宋体"/>
          <w:color w:val="auto"/>
          <w:kern w:val="0"/>
          <w:szCs w:val="21"/>
        </w:rPr>
        <w:t>。</w:t>
      </w: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0"/>
          <w:numId w:val="6"/>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符合性审查：</w:t>
      </w:r>
      <w:r>
        <w:rPr>
          <w:rFonts w:hint="eastAsia" w:ascii="宋体" w:hAnsi="宋体" w:eastAsia="宋体" w:cs="宋体"/>
          <w:color w:val="auto"/>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pStyle w:val="121"/>
        <w:numPr>
          <w:ilvl w:val="0"/>
          <w:numId w:val="14"/>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Cs w:val="21"/>
        </w:rPr>
        <w:t>。</w:t>
      </w:r>
      <w:r>
        <w:rPr>
          <w:rFonts w:hint="eastAsia" w:ascii="宋体" w:hAnsi="宋体" w:eastAsia="宋体" w:cs="宋体"/>
          <w:color w:val="auto"/>
        </w:rPr>
        <w:t>供应商的澄清、说明或者更正不得超出响应文件的范围或者改变响应文件的实质性内容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投标人的澄清、说明或者更正应当采用书面</w:t>
      </w:r>
      <w:r>
        <w:rPr>
          <w:rFonts w:hint="eastAsia" w:ascii="宋体" w:hAnsi="宋体" w:eastAsia="宋体" w:cs="宋体"/>
          <w:color w:val="auto"/>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Cs w:val="21"/>
        </w:rPr>
        <w:t>投标文件的范围或者改变投标文件的实质性内容。</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供应商的澄清文件是其响应文件的组成部分。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大写金额和小写金额不一致的，以大写金额为准；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单价金额小数点或者百分比有明显错位的，以开标一览表的总价为准，并修改单价；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响应无效情形</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响应文件属下列情况之一的，按照无效响应处理：</w:t>
      </w: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5"/>
        </w:numPr>
        <w:autoSpaceDE w:val="0"/>
        <w:autoSpaceDN w:val="0"/>
        <w:spacing w:line="360" w:lineRule="auto"/>
        <w:ind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未按照谈判文件的规定提交</w:t>
      </w:r>
      <w:r>
        <w:rPr>
          <w:rFonts w:hint="eastAsia" w:cs="宋体" w:asciiTheme="minorEastAsia" w:hAnsiTheme="minorEastAsia"/>
          <w:color w:val="auto"/>
          <w:kern w:val="0"/>
          <w:szCs w:val="21"/>
        </w:rPr>
        <w:t>投标承诺函</w:t>
      </w:r>
      <w:r>
        <w:rPr>
          <w:rFonts w:hint="eastAsia" w:ascii="宋体" w:hAnsi="宋体" w:eastAsia="宋体" w:cs="宋体"/>
          <w:color w:val="auto"/>
          <w:kern w:val="0"/>
          <w:szCs w:val="21"/>
        </w:rPr>
        <w:t>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28.1.2     响应文件未按招标文件要求签署、盖章的；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28.1.3     不具备谈判文件中规定的资格要求的；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28.1.4     报价超过谈判文件中规定的预算金额的；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28.1.5     响应文件含有采购人不能接受的附加条件的。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有下列情形之一的，视为供应商串通谈判，其响应无效：</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28.2.5     不同供应商的响应文件相互混装；</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rPr>
        <w:t>按照《关于推进全流程电子化交易和在线监管工作有关问题的通知》（许公管办[2019]3号）规定，</w:t>
      </w:r>
      <w:r>
        <w:rPr>
          <w:rFonts w:hint="eastAsia" w:ascii="宋体" w:hAnsi="宋体" w:cs="宋体"/>
          <w:color w:val="auto"/>
          <w:highlight w:val="none"/>
          <w:lang w:eastAsia="zh-CN"/>
        </w:rPr>
        <w:t>不同供应商电子响应文件制作硬件特征码（网卡MAC地址、CPU序号、硬盘序列号）均一致时</w:t>
      </w:r>
      <w:r>
        <w:rPr>
          <w:rFonts w:hint="eastAsia" w:ascii="宋体" w:hAnsi="宋体" w:eastAsia="宋体" w:cs="宋体"/>
          <w:color w:val="auto"/>
          <w:highlight w:val="none"/>
        </w:rPr>
        <w:t>，视为‘不同供应商的响应文件由同一单位或者个人编制’或‘不同供应商委托同一单位或者个人办理响应事宜’，其谈判响应无效。</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法律、法规和响应文件规定的其他无效情形。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响应文件评审与谈判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谈判小组所有成员应当集中与单一供应商分别进行谈判，并给予所有参加谈判的供应商平等的谈判机会。</w:t>
      </w:r>
    </w:p>
    <w:p>
      <w:pPr>
        <w:pStyle w:val="94"/>
        <w:numPr>
          <w:ilvl w:val="1"/>
          <w:numId w:val="11"/>
        </w:numPr>
        <w:spacing w:line="400" w:lineRule="exact"/>
        <w:rPr>
          <w:rFonts w:hint="eastAsia" w:ascii="宋体" w:hAnsi="宋体" w:eastAsia="宋体" w:cs="宋体"/>
          <w:color w:val="auto"/>
        </w:rPr>
      </w:pPr>
      <w:r>
        <w:rPr>
          <w:rFonts w:hint="eastAsia" w:ascii="宋体" w:hAnsi="宋体" w:eastAsia="宋体" w:cs="宋体"/>
          <w:color w:val="auto"/>
        </w:rPr>
        <w:t>在谈判中，谈判的任何一方不得透露与谈判有关的其他供应商的技术资料、价格和其他信息。</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最后报价是供应商响应文件的有效组成部分。</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已提交响应文件的供应商，在提交最后报价之前，可以根据谈判情况退出谈判。</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评审方法与提出成交候选人</w:t>
      </w:r>
    </w:p>
    <w:p>
      <w:pPr>
        <w:pStyle w:val="121"/>
        <w:autoSpaceDE w:val="0"/>
        <w:autoSpaceDN w:val="0"/>
        <w:spacing w:line="360" w:lineRule="auto"/>
        <w:ind w:left="424" w:leftChars="202" w:firstLine="0"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121"/>
        <w:numPr>
          <w:ilvl w:val="0"/>
          <w:numId w:val="11"/>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确定成交供应商</w:t>
      </w:r>
    </w:p>
    <w:p>
      <w:pPr>
        <w:pStyle w:val="121"/>
        <w:numPr>
          <w:ilvl w:val="0"/>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color w:val="auto"/>
        </w:rPr>
        <w:t>在谈判采购中，出现下列情形之一的，采购人应当终止竞争性谈判采购活动，发布项目终止公告并说明原因，重新开展采购活动：</w:t>
      </w:r>
    </w:p>
    <w:p>
      <w:pPr>
        <w:pStyle w:val="121"/>
        <w:numPr>
          <w:ilvl w:val="0"/>
          <w:numId w:val="11"/>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因情况变化，不再符合规定的竞争性谈判采购方式适用情形的；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出现影响采购公正的违法、违规行为的；</w:t>
      </w:r>
    </w:p>
    <w:p>
      <w:pPr>
        <w:pStyle w:val="121"/>
        <w:numPr>
          <w:ilvl w:val="1"/>
          <w:numId w:val="11"/>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采购人确认成交供应商后，采购人在公告成交结果的同时，向成交供应商发出</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通知书。</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成交通知书发出后，采购人不得违法改变成交结果，成交供应商无正当理由不得放弃成交。</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成交供应商在接到成交通知时，须向</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发送谈判报价及分项报价一览表（包含主要成交标的的名称、规格型号、数量、单价、服务要求等）电子文档，并同时电话告知</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联系人。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19"/>
        </w:numPr>
        <w:autoSpaceDE w:val="0"/>
        <w:autoSpaceDN w:val="0"/>
        <w:spacing w:line="360" w:lineRule="auto"/>
        <w:ind w:left="2127" w:hanging="113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对谈判文件提出质疑的，供应商应已依法获取谈判文件，且应当在</w:t>
      </w:r>
      <w:r>
        <w:rPr>
          <w:rFonts w:hint="eastAsia" w:ascii="宋体" w:hAnsi="宋体" w:cs="宋体"/>
          <w:color w:val="auto"/>
          <w:kern w:val="0"/>
          <w:szCs w:val="21"/>
          <w:lang w:eastAsia="zh-CN"/>
        </w:rPr>
        <w:t>谈判响应截止时间前</w:t>
      </w:r>
      <w:r>
        <w:rPr>
          <w:rFonts w:hint="eastAsia" w:ascii="宋体" w:hAnsi="宋体" w:eastAsia="宋体" w:cs="宋体"/>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采购人、采购代理机构认为供应商质疑不成立，或者成立但未对成交结果构成影响的，继续开展采购活动；认为供应商质疑成立且影响或者可能影响</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结果的，按照下列情况处理：</w:t>
      </w:r>
    </w:p>
    <w:p>
      <w:pPr>
        <w:autoSpaceDE w:val="0"/>
        <w:autoSpaceDN w:val="0"/>
        <w:spacing w:line="360" w:lineRule="auto"/>
        <w:ind w:left="2125" w:leftChars="450" w:hanging="1180" w:hangingChars="562"/>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pStyle w:val="121"/>
        <w:numPr>
          <w:ilvl w:val="0"/>
          <w:numId w:val="1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7"/>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spacing w:line="400" w:lineRule="exact"/>
        <w:ind w:firstLine="411" w:firstLineChars="196"/>
        <w:rPr>
          <w:rFonts w:hint="eastAsia" w:ascii="宋体" w:hAnsi="宋体" w:eastAsia="宋体" w:cs="宋体"/>
          <w:color w:val="auto"/>
          <w:sz w:val="24"/>
          <w:szCs w:val="24"/>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jc w:val="center"/>
        <w:rPr>
          <w:rFonts w:hint="eastAsia" w:ascii="宋体" w:hAnsi="宋体" w:eastAsia="宋体" w:cs="宋体"/>
          <w:b/>
          <w:color w:val="auto"/>
          <w:kern w:val="0"/>
          <w:sz w:val="36"/>
          <w:szCs w:val="36"/>
        </w:rPr>
      </w:pP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一、促进中小企业发展（不含民办非企业）</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二、支持监狱企业发展</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三、促进残疾人就业</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3、成交人为残疾人福利性单位的，招标人应当随成交结果同时公告其《残疾人福利性单位声明函》，接受社会监督。</w:t>
      </w:r>
      <w:r>
        <w:rPr>
          <w:rFonts w:hint="eastAsia" w:ascii="宋体" w:hAnsi="宋体" w:eastAsia="宋体" w:cs="宋体"/>
          <w:color w:val="auto"/>
          <w:sz w:val="21"/>
          <w:szCs w:val="21"/>
          <w:lang w:val="zh-CN"/>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第六章 资格审查与评标</w:t>
      </w:r>
    </w:p>
    <w:p>
      <w:pPr>
        <w:pStyle w:val="20"/>
        <w:spacing w:line="360" w:lineRule="auto"/>
        <w:contextualSpacing/>
        <w:rPr>
          <w:rFonts w:hint="eastAsia" w:ascii="宋体" w:hAnsi="宋体" w:eastAsia="宋体" w:cs="宋体"/>
          <w:color w:val="auto"/>
          <w:lang w:val="zh-CN"/>
        </w:rPr>
      </w:pPr>
    </w:p>
    <w:p>
      <w:pPr>
        <w:pStyle w:val="20"/>
        <w:spacing w:line="360" w:lineRule="auto"/>
        <w:contextualSpacing/>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一、资格审查</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bCs/>
          <w:color w:val="auto"/>
          <w:szCs w:val="21"/>
        </w:rPr>
        <w:t>（一）谈判小组依法对供应商资格进行审查</w:t>
      </w:r>
      <w:r>
        <w:rPr>
          <w:rFonts w:hint="eastAsia" w:ascii="宋体" w:hAnsi="宋体" w:eastAsia="宋体" w:cs="宋体"/>
          <w:color w:val="auto"/>
          <w:szCs w:val="21"/>
          <w:lang w:val="zh-CN"/>
        </w:rPr>
        <w:t>。确定符合资格的供应商不少于3家，将</w:t>
      </w:r>
      <w:r>
        <w:rPr>
          <w:rFonts w:hint="eastAsia" w:ascii="宋体" w:hAnsi="宋体" w:eastAsia="宋体" w:cs="宋体"/>
          <w:color w:val="auto"/>
        </w:rPr>
        <w:t>对响应文件的有效性、完整性和响应程度进行审查并对响应文件进行评审</w:t>
      </w:r>
      <w:r>
        <w:rPr>
          <w:rFonts w:hint="eastAsia" w:ascii="宋体" w:hAnsi="宋体" w:eastAsia="宋体" w:cs="宋体"/>
          <w:color w:val="auto"/>
          <w:szCs w:val="21"/>
          <w:lang w:val="zh-CN"/>
        </w:rPr>
        <w:t>。</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ind w:firstLine="420" w:firstLineChars="200"/>
        <w:rPr>
          <w:rFonts w:hint="eastAsia" w:ascii="宋体" w:hAnsi="宋体" w:eastAsia="宋体" w:cs="宋体"/>
          <w:b/>
          <w:color w:val="auto"/>
          <w:sz w:val="32"/>
          <w:szCs w:val="32"/>
        </w:rPr>
      </w:pPr>
      <w:r>
        <w:rPr>
          <w:rFonts w:hint="eastAsia" w:ascii="宋体" w:hAnsi="宋体" w:eastAsia="宋体" w:cs="宋体"/>
          <w:color w:val="auto"/>
          <w:szCs w:val="21"/>
          <w:lang w:val="zh-CN"/>
        </w:rPr>
        <w:t>（三）资格审查中所涉及到的证书及材料，均须在电子投标文件中提供原件扫描件（或图片）。</w:t>
      </w:r>
      <w:r>
        <w:rPr>
          <w:rFonts w:hint="eastAsia" w:ascii="宋体" w:hAnsi="宋体" w:eastAsia="宋体" w:cs="宋体"/>
          <w:color w:val="auto"/>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（1）企业法人营业执照或营业执照。（企业提供）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（2）事业单位法人证书。（事业单位提供）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（3）执业许可证。（非企业专业服务机构提供）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（4）个体工商户营业执照。（个体工商户提供）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（5）自然人身份证明。（自然人提供）</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如无重大违法记录请按照谈判文件提供格式填写。</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eastAsia="宋体" w:cs="宋体"/>
                <w:color w:val="auto"/>
                <w:szCs w:val="21"/>
              </w:rPr>
              <w:t>“中国社会组织公共服务平台”网站（www.chinanpo.gov.cn）严重违法失信社会组织名单的供应商</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www.creditchina.gov.cn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www.gsxt.gov.cn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④</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（3）信用信息查询记录和证据留存具体方式：经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确认确认的查询结果网页截图作为查询记录和证据，与其他采购文件一并保存；</w:t>
            </w:r>
          </w:p>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（4）信用信息的使用原则：经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确认认定的被列入失信被执行人、重大税收违法案件当事人名单、政府采购严重违法失信行为记录名单的供应商，严重违法失信企业名单（黑名单）、</w:t>
            </w:r>
            <w:r>
              <w:rPr>
                <w:rFonts w:hint="eastAsia" w:ascii="宋体" w:hAnsi="宋体" w:eastAsia="宋体" w:cs="宋体"/>
                <w:color w:val="auto"/>
                <w:szCs w:val="21"/>
              </w:rPr>
              <w:t>严重违法失信社会组织</w:t>
            </w:r>
            <w:r>
              <w:rPr>
                <w:rFonts w:hint="eastAsia" w:ascii="宋体" w:hAnsi="宋体" w:eastAsia="宋体" w:cs="宋体"/>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供应商须具备的特殊</w:t>
            </w:r>
          </w:p>
          <w:p>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投标人须具备市政公用工程施工总承包三级及以上企业资质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谈判</w:t>
            </w:r>
            <w:r>
              <w:rPr>
                <w:rFonts w:hint="eastAsia" w:ascii="宋体" w:hAnsi="宋体" w:eastAsia="宋体" w:cs="宋体"/>
                <w:b/>
                <w:color w:val="auto"/>
                <w:szCs w:val="21"/>
                <w:lang w:val="zh-CN"/>
              </w:rPr>
              <w:t>报价</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hint="eastAsia" w:ascii="宋体" w:hAnsi="宋体" w:eastAsia="宋体" w:cs="宋体"/>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hint="eastAsia" w:ascii="宋体" w:hAnsi="宋体" w:eastAsia="宋体" w:cs="宋体"/>
                <w:b/>
                <w:color w:val="auto"/>
                <w:szCs w:val="21"/>
              </w:rPr>
            </w:pPr>
            <w:r>
              <w:rPr>
                <w:rFonts w:hint="eastAsia" w:asciiTheme="minorEastAsia" w:hAnsiTheme="minorEastAsia"/>
                <w:color w:val="auto"/>
                <w:szCs w:val="21"/>
                <w:lang w:eastAsia="zh-CN"/>
              </w:rPr>
              <w:t>供应商</w:t>
            </w:r>
            <w:r>
              <w:rPr>
                <w:rFonts w:hint="eastAsia" w:asciiTheme="minorEastAsia" w:hAnsiTheme="minorEastAsia"/>
                <w:color w:val="auto"/>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hint="eastAsia" w:ascii="宋体" w:hAnsi="宋体" w:eastAsia="宋体" w:cs="宋体"/>
                <w:b/>
                <w:color w:val="auto"/>
                <w:szCs w:val="21"/>
              </w:rPr>
            </w:pPr>
            <w:r>
              <w:rPr>
                <w:rFonts w:hint="eastAsia" w:ascii="宋体" w:hAnsi="宋体" w:eastAsia="宋体" w:cs="宋体"/>
                <w:b/>
                <w:color w:val="auto"/>
                <w:szCs w:val="21"/>
              </w:rPr>
              <w:t>供应商身份证明及授权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Cs w:val="21"/>
              </w:rPr>
            </w:pPr>
          </w:p>
        </w:tc>
      </w:tr>
    </w:tbl>
    <w:p>
      <w:pPr>
        <w:pStyle w:val="20"/>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二、评审</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（一）评审方法</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20"/>
        <w:spacing w:line="360" w:lineRule="auto"/>
        <w:ind w:firstLine="422" w:firstLineChars="200"/>
        <w:contextualSpacing/>
        <w:jc w:val="left"/>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1、因落实政府采购政策进行价格调整的，以调整后的价格计算报价。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spacing w:line="360" w:lineRule="auto"/>
        <w:ind w:firstLine="422"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×6%</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hint="eastAsia"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对联合体总金额扣除</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u w:val="single"/>
              </w:rPr>
              <w:t xml:space="preserve"> 2 </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u w:val="single"/>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r>
        <w:rPr>
          <w:rFonts w:hint="eastAsia" w:ascii="宋体" w:hAnsi="宋体" w:eastAsia="宋体" w:cs="宋体"/>
          <w:bCs/>
          <w:color w:val="auto"/>
          <w:szCs w:val="21"/>
          <w:lang w:val="en-GB"/>
        </w:rPr>
        <w:t>。</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pStyle w:val="20"/>
        <w:numPr>
          <w:ilvl w:val="0"/>
          <w:numId w:val="20"/>
        </w:numPr>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谈判小组编写评审报告。</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eastAsia="宋体" w:cs="宋体"/>
          <w:color w:val="auto"/>
          <w:sz w:val="24"/>
          <w:szCs w:val="24"/>
          <w:highlight w:val="none"/>
          <w:lang w:val="zh-CN"/>
        </w:rPr>
        <w:br w:type="textWrapping"/>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第七章 合同条款及格式</w:t>
      </w:r>
    </w:p>
    <w:p>
      <w:pPr>
        <w:pStyle w:val="20"/>
        <w:spacing w:line="360" w:lineRule="auto"/>
        <w:contextualSpacing/>
        <w:jc w:val="center"/>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最终签定合同的主要条款不能与招标文件有冲突）</w:t>
      </w:r>
    </w:p>
    <w:p>
      <w:pPr>
        <w:pStyle w:val="30"/>
        <w:spacing w:before="75" w:after="75" w:line="360" w:lineRule="auto"/>
        <w:rPr>
          <w:rFonts w:hint="eastAsia" w:ascii="宋体" w:hAnsi="宋体" w:eastAsia="宋体" w:cs="宋体"/>
          <w:color w:val="auto"/>
          <w:highlight w:val="none"/>
          <w:u w:val="single"/>
        </w:rPr>
      </w:pP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1.2招标文件、乙方的投标文件；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5、合同标的应符合招标文件、乙方投标文件的规定或约定，具体如下：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6.1验收应按照招标文件、乙方投标文件的规定或约定进行，具体如下：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6.2本项目是否邀请其他投标人参与验收：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7、合同款项的支付应按照招标文件的规定进行，具体如下：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bCs/>
          <w:color w:val="auto"/>
          <w:sz w:val="44"/>
          <w:szCs w:val="44"/>
          <w:lang w:val="zh-CN"/>
        </w:rPr>
      </w:pPr>
      <w:r>
        <w:rPr>
          <w:rFonts w:hint="eastAsia" w:ascii="宋体" w:hAnsi="宋体" w:eastAsia="宋体" w:cs="宋体"/>
          <w:b/>
          <w:color w:val="auto"/>
          <w:kern w:val="0"/>
          <w:sz w:val="32"/>
          <w:szCs w:val="32"/>
        </w:rPr>
        <w:t>第八章 响应文件有关格式</w:t>
      </w:r>
    </w:p>
    <w:p>
      <w:pPr>
        <w:pStyle w:val="122"/>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33"/>
        <w:tblW w:w="93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投标人应答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供应商应答索引表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报价一览表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营业执照等证明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rPr>
              <w:t>依法纳税凭据复印件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技术人员职称证书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用工合同</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68" w:type="dxa"/>
            <w:vMerge w:val="continue"/>
            <w:vAlign w:val="center"/>
          </w:tcPr>
          <w:p>
            <w:pPr>
              <w:numPr>
                <w:ilvl w:val="0"/>
                <w:numId w:val="21"/>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供应商相关承诺函或声明</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没有重大违法记录的声明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供应商须具备的特殊资质证书</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投标分项报价表</w:t>
            </w:r>
          </w:p>
        </w:tc>
        <w:tc>
          <w:tcPr>
            <w:tcW w:w="1559" w:type="dxa"/>
            <w:tcBorders>
              <w:top w:val="double" w:color="auto" w:sz="4" w:space="0"/>
            </w:tcBorders>
            <w:vAlign w:val="center"/>
          </w:tcPr>
          <w:p>
            <w:pPr>
              <w:jc w:val="center"/>
              <w:rPr>
                <w:rFonts w:hint="eastAsia" w:ascii="宋体" w:hAnsi="宋体" w:eastAsia="宋体" w:cs="宋体"/>
                <w:color w:val="auto"/>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技术规格偏离表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技术方案（实施方案）</w:t>
            </w:r>
          </w:p>
        </w:tc>
        <w:tc>
          <w:tcPr>
            <w:tcW w:w="1559" w:type="dxa"/>
            <w:vAlign w:val="center"/>
          </w:tcPr>
          <w:p>
            <w:pPr>
              <w:jc w:val="center"/>
              <w:rPr>
                <w:rFonts w:hint="eastAsia" w:ascii="宋体" w:hAnsi="宋体" w:eastAsia="宋体" w:cs="宋体"/>
                <w:color w:val="auto"/>
                <w:szCs w:val="21"/>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售后服务方案</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业绩情况表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中小企业声明函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zh-CN"/>
              </w:rPr>
              <w:t>残疾人福利性单位声明函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监狱企业证明文件</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jc w:val="center"/>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认证机构颁发的认证证书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中国信息安全认证中心官网产品查询结果截图</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cs="微软雅黑" w:asciiTheme="minorEastAsia" w:hAnsiTheme="minorEastAsia" w:eastAsiaTheme="minorEastAsia"/>
                <w:bCs/>
                <w:color w:val="auto"/>
                <w:kern w:val="0"/>
                <w:sz w:val="21"/>
                <w:szCs w:val="21"/>
              </w:rPr>
              <w:t>国家级贫困县域注册地证明材料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inorEastAsia" w:hAnsiTheme="minorEastAsia" w:eastAsiaTheme="minorEastAsia"/>
                <w:color w:val="auto"/>
                <w:sz w:val="21"/>
                <w:szCs w:val="21"/>
                <w:lang w:val="en-GB"/>
              </w:rPr>
              <w:t>扶贫部门出具的聘用建档立卡贫困人员身份证明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29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Theme="minorEastAsia" w:hAnsiTheme="minorEastAsia" w:eastAsiaTheme="minorEastAsia"/>
                <w:color w:val="auto"/>
                <w:sz w:val="21"/>
                <w:szCs w:val="21"/>
                <w:lang w:val="en-GB"/>
              </w:rPr>
              <w:t>建档立卡贫困人员社保材料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hint="eastAsia" w:ascii="宋体" w:hAnsi="宋体" w:eastAsia="宋体" w:cs="宋体"/>
                <w:color w:val="auto"/>
                <w:szCs w:val="21"/>
                <w:lang w:val="en-US" w:eastAsia="zh-CN"/>
              </w:rPr>
            </w:pPr>
            <w:r>
              <w:rPr>
                <w:rFonts w:hint="eastAsia" w:cs="微软雅黑" w:asciiTheme="minorEastAsia" w:hAnsiTheme="minorEastAsia"/>
                <w:color w:val="auto"/>
                <w:szCs w:val="21"/>
              </w:rPr>
              <w:t>30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cs="微软雅黑" w:asciiTheme="minorEastAsia" w:hAnsiTheme="minorEastAsia" w:eastAsiaTheme="minorEastAsia"/>
                <w:bCs/>
                <w:color w:val="auto"/>
                <w:kern w:val="0"/>
                <w:sz w:val="21"/>
                <w:szCs w:val="21"/>
              </w:rPr>
              <w:t>其它资料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请根据所投产品提供证书或截图情况填写其中一项即可。</w:t>
      </w:r>
    </w:p>
    <w:p>
      <w:pPr>
        <w:ind w:firstLine="480" w:firstLineChars="200"/>
        <w:rPr>
          <w:rFonts w:hint="eastAsia" w:ascii="宋体" w:hAnsi="宋体" w:eastAsia="宋体" w:cs="宋体"/>
          <w:b/>
          <w:snapToGrid w:val="0"/>
          <w:color w:val="auto"/>
          <w:kern w:val="0"/>
          <w:sz w:val="28"/>
          <w:szCs w:val="28"/>
        </w:rPr>
      </w:pPr>
      <w:r>
        <w:rPr>
          <w:rFonts w:hint="eastAsia" w:ascii="宋体" w:hAnsi="宋体" w:eastAsia="宋体" w:cs="宋体"/>
          <w:color w:val="auto"/>
          <w:sz w:val="24"/>
          <w:szCs w:val="24"/>
          <w:lang w:val="en-US" w:eastAsia="zh-CN"/>
        </w:rPr>
        <w:t>④本表序号27-29仅适用于物业项目。</w:t>
      </w:r>
      <w:r>
        <w:rPr>
          <w:rFonts w:hint="eastAsia" w:ascii="宋体" w:hAnsi="宋体" w:eastAsia="宋体" w:cs="宋体"/>
          <w:b/>
          <w:snapToGrid w:val="0"/>
          <w:color w:val="auto"/>
          <w:kern w:val="0"/>
          <w:sz w:val="28"/>
          <w:szCs w:val="28"/>
        </w:rPr>
        <w:br w:type="page"/>
      </w:r>
    </w:p>
    <w:p>
      <w:pPr>
        <w:pStyle w:val="20"/>
        <w:spacing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二、报价一览表</w:t>
      </w:r>
    </w:p>
    <w:p>
      <w:pPr>
        <w:pStyle w:val="20"/>
        <w:spacing w:line="360" w:lineRule="auto"/>
        <w:jc w:val="center"/>
        <w:rPr>
          <w:rFonts w:hint="eastAsia" w:ascii="宋体" w:hAnsi="宋体" w:eastAsia="宋体" w:cs="宋体"/>
          <w:b/>
          <w:snapToGrid w:val="0"/>
          <w:color w:val="auto"/>
          <w:kern w:val="0"/>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注：1、交付（服务、完工）指完成该项目的最终时间（日历天）。</w:t>
      </w:r>
    </w:p>
    <w:p>
      <w:pPr>
        <w:autoSpaceDE w:val="0"/>
        <w:autoSpaceDN w:val="0"/>
        <w:adjustRightInd w:val="0"/>
        <w:spacing w:line="48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2、如谈判公告明确项目交付（服务、完工）以年为单位，本表应填写完成该项目的年限。</w:t>
      </w: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jc w:val="center"/>
        <w:rPr>
          <w:rFonts w:hint="eastAsia" w:ascii="宋体" w:hAnsi="宋体" w:eastAsia="宋体" w:cs="宋体"/>
          <w:b/>
          <w:snapToGrid w:val="0"/>
          <w:color w:val="auto"/>
          <w:kern w:val="0"/>
          <w:szCs w:val="24"/>
        </w:rPr>
      </w:pPr>
      <w:r>
        <w:rPr>
          <w:rFonts w:hint="eastAsia" w:ascii="宋体" w:hAnsi="宋体" w:eastAsia="宋体" w:cs="宋体"/>
          <w:b/>
          <w:bCs/>
          <w:color w:val="auto"/>
          <w:sz w:val="28"/>
          <w:szCs w:val="28"/>
          <w:lang w:val="zh-CN"/>
        </w:rPr>
        <w:br w:type="page"/>
      </w:r>
      <w:r>
        <w:rPr>
          <w:rFonts w:hint="eastAsia" w:ascii="宋体" w:hAnsi="宋体" w:eastAsia="宋体" w:cs="宋体"/>
          <w:b/>
          <w:bCs/>
          <w:color w:val="auto"/>
          <w:sz w:val="28"/>
          <w:szCs w:val="28"/>
          <w:lang w:val="zh-CN"/>
        </w:rPr>
        <w:t>三、资格审查证明材料</w:t>
      </w:r>
    </w:p>
    <w:p>
      <w:pPr>
        <w:pStyle w:val="2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snapToGrid w:val="0"/>
          <w:color w:val="auto"/>
          <w:kern w:val="0"/>
          <w:szCs w:val="24"/>
        </w:rPr>
        <w:t>3.1 投 标 函</w:t>
      </w:r>
    </w:p>
    <w:p>
      <w:pPr>
        <w:adjustRightInd w:val="0"/>
        <w:spacing w:line="360" w:lineRule="auto"/>
        <w:contextualSpacing/>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r>
        <w:rPr>
          <w:rFonts w:hint="eastAsia" w:ascii="宋体" w:hAnsi="宋体" w:eastAsia="宋体" w:cs="宋体"/>
          <w:b/>
          <w:snapToGrid w:val="0"/>
          <w:color w:val="auto"/>
          <w:kern w:val="0"/>
          <w:szCs w:val="21"/>
          <w:lang w:eastAsia="zh-CN"/>
        </w:rPr>
        <w:t>或采购代理机构</w:t>
      </w:r>
      <w:r>
        <w:rPr>
          <w:rFonts w:hint="eastAsia" w:ascii="宋体" w:hAnsi="宋体" w:eastAsia="宋体" w:cs="宋体"/>
          <w:b/>
          <w:snapToGrid w:val="0"/>
          <w:color w:val="auto"/>
          <w:kern w:val="0"/>
          <w:szCs w:val="21"/>
        </w:rPr>
        <w:t>）</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根据贵方_</w:t>
      </w:r>
      <w:r>
        <w:rPr>
          <w:rFonts w:hint="eastAsia" w:ascii="宋体" w:hAnsi="宋体" w:eastAsia="宋体" w:cs="宋体"/>
          <w:snapToGrid w:val="0"/>
          <w:color w:val="auto"/>
          <w:kern w:val="0"/>
          <w:szCs w:val="21"/>
          <w:u w:val="single"/>
        </w:rPr>
        <w:t xml:space="preserve">_    </w:t>
      </w:r>
      <w:r>
        <w:rPr>
          <w:rFonts w:hint="eastAsia" w:ascii="宋体" w:hAnsi="宋体" w:eastAsia="宋体" w:cs="宋体"/>
          <w:snapToGrid w:val="0"/>
          <w:color w:val="auto"/>
          <w:kern w:val="0"/>
          <w:szCs w:val="21"/>
        </w:rPr>
        <w:t>_（项目名称、招标编号）采购的竞争性谈判公告及谈判邀请，_______（姓名和职务）被正式授权并代表供应商</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（供应商名称、地址）提交。</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我方确认收到贵方提供的</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（项目名称、招标编号）谈判文件的全部内容。</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(授权代表全名, 职务)       </w:t>
      </w:r>
      <w:r>
        <w:rPr>
          <w:rFonts w:hint="eastAsia" w:ascii="宋体" w:hAnsi="宋体" w:eastAsia="宋体" w:cs="宋体"/>
          <w:snapToGrid w:val="0"/>
          <w:color w:val="auto"/>
          <w:kern w:val="0"/>
          <w:szCs w:val="21"/>
        </w:rPr>
        <w:t>代表我方全权处理有关本项目谈判响应的一切事宜。</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在此提交的响应文件，正本一份，副本</w:t>
      </w:r>
      <w:r>
        <w:rPr>
          <w:rFonts w:hint="eastAsia" w:ascii="宋体" w:hAnsi="宋体" w:eastAsia="宋体" w:cs="宋体"/>
          <w:snapToGrid w:val="0"/>
          <w:color w:val="auto"/>
          <w:kern w:val="0"/>
          <w:szCs w:val="21"/>
          <w:lang w:eastAsia="zh-CN"/>
        </w:rPr>
        <w:t>一</w:t>
      </w:r>
      <w:r>
        <w:rPr>
          <w:rFonts w:hint="eastAsia" w:ascii="宋体" w:hAnsi="宋体" w:eastAsia="宋体" w:cs="宋体"/>
          <w:snapToGrid w:val="0"/>
          <w:color w:val="auto"/>
          <w:kern w:val="0"/>
          <w:szCs w:val="21"/>
        </w:rPr>
        <w:t>份。</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我方已完全明白谈判文件的所有条款要求，并申明如下：</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一、按谈判文件提供的全部货物与相关服务的响应总价详见《报价一览表》。</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二、本谈判文件的有效期为谈判响应截止时间起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三、我方明白并同意，在规定的谈判响应时间截止之后，响应有效期之内</w:t>
      </w:r>
      <w:r>
        <w:rPr>
          <w:rFonts w:hint="eastAsia" w:cs="宋体"/>
          <w:color w:val="auto"/>
          <w:sz w:val="21"/>
          <w:szCs w:val="21"/>
          <w:lang w:val="en-US" w:eastAsia="zh-CN"/>
        </w:rPr>
        <w:t>不会</w:t>
      </w:r>
      <w:r>
        <w:rPr>
          <w:rFonts w:hint="eastAsia" w:ascii="宋体" w:hAnsi="宋体" w:eastAsia="宋体" w:cs="宋体"/>
          <w:color w:val="auto"/>
          <w:sz w:val="21"/>
          <w:szCs w:val="21"/>
        </w:rPr>
        <w:t>撤销谈判响应。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四、我方同意按照贵方可能提出的要求而提供与谈判响应有关的任何其它数据、信息或资料。</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五、我方理解贵方不一定接受最低响应价或任何贵方可能收到的谈判响应。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九、我方具备《政府采购法》第二十二条规定的条件；承诺如下：</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以上内容如有虚假或与事实不符的，谈判小组可将我方做无效投标处理，我方愿意承担相应的法律责任。</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十、我方具备履行合同所必需的设备和专业技术能力。</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十一、</w:t>
      </w:r>
      <w:r>
        <w:rPr>
          <w:rFonts w:hint="eastAsia" w:ascii="宋体" w:hAnsi="宋体" w:eastAsia="宋体" w:cs="宋体"/>
          <w:color w:val="auto"/>
          <w:sz w:val="21"/>
          <w:szCs w:val="21"/>
        </w:rPr>
        <w:t>我方对在本函及响应文件中所作的所有承诺承担法律责任。</w:t>
      </w: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所有与本项目谈判有关的一切正式往来请寄：</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供应商代表姓名：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供应商名称（盖章）：</w:t>
      </w:r>
      <w:r>
        <w:rPr>
          <w:rFonts w:hint="eastAsia" w:ascii="宋体" w:hAnsi="宋体" w:eastAsia="宋体" w:cs="宋体"/>
          <w:color w:val="auto"/>
          <w:szCs w:val="21"/>
          <w:u w:val="single"/>
        </w:rPr>
        <w:t xml:space="preserve">                   </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jc w:val="center"/>
        <w:rPr>
          <w:rFonts w:hint="eastAsia" w:ascii="宋体" w:hAnsi="宋体" w:eastAsia="宋体" w:cs="宋体"/>
          <w:color w:val="auto"/>
          <w:szCs w:val="21"/>
        </w:rPr>
      </w:pPr>
    </w:p>
    <w:p>
      <w:pPr>
        <w:jc w:val="center"/>
        <w:rPr>
          <w:rFonts w:hint="eastAsia" w:ascii="宋体" w:hAnsi="宋体" w:cs="宋体"/>
          <w:b/>
          <w:bCs/>
          <w:color w:val="auto"/>
          <w:sz w:val="24"/>
          <w:szCs w:val="24"/>
          <w:lang w:val="en-US" w:eastAsia="zh-CN"/>
        </w:rPr>
      </w:pPr>
    </w:p>
    <w:p>
      <w:pPr>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3.2</w:t>
      </w:r>
      <w:r>
        <w:rPr>
          <w:rFonts w:hint="eastAsia" w:ascii="宋体" w:hAnsi="宋体" w:eastAsia="宋体" w:cs="宋体"/>
          <w:b/>
          <w:bCs/>
          <w:color w:val="auto"/>
          <w:sz w:val="24"/>
          <w:szCs w:val="24"/>
        </w:rPr>
        <w:t>已标价工程量清单</w:t>
      </w:r>
    </w:p>
    <w:p>
      <w:pPr>
        <w:spacing w:line="480" w:lineRule="exact"/>
        <w:jc w:val="cente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 xml:space="preserve">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124"/>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125"/>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说明：法定代表人（单位负责人）参加本竞争性谈判项目响应的，仅须出具此证明书。</w:t>
      </w:r>
    </w:p>
    <w:p>
      <w:pPr>
        <w:spacing w:line="480" w:lineRule="exact"/>
        <w:jc w:val="center"/>
        <w:rPr>
          <w:rFonts w:hint="eastAsia" w:ascii="宋体" w:hAnsi="宋体" w:eastAsia="宋体" w:cs="宋体"/>
          <w:b/>
          <w:bCs/>
          <w:color w:val="auto"/>
          <w:sz w:val="36"/>
          <w:szCs w:val="36"/>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投标人名称：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rPr>
        <w:t>没有重大违法记录的声明</w:t>
      </w:r>
    </w:p>
    <w:p>
      <w:pPr>
        <w:spacing w:beforeLines="50"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hint="eastAsia" w:ascii="宋体" w:hAnsi="宋体" w:eastAsia="宋体" w:cs="宋体"/>
          <w:color w:val="auto"/>
          <w:szCs w:val="21"/>
          <w:lang w:val="zh-CN"/>
        </w:rPr>
      </w:pP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单位名称（盖章）：</w:t>
      </w: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6</w:t>
      </w:r>
      <w:r>
        <w:rPr>
          <w:rFonts w:hint="eastAsia" w:ascii="宋体" w:hAnsi="宋体"/>
          <w:b/>
          <w:bCs/>
          <w:color w:val="auto"/>
          <w:sz w:val="24"/>
          <w:szCs w:val="24"/>
        </w:rPr>
        <w:t>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spacing w:line="480" w:lineRule="auto"/>
        <w:ind w:firstLine="4357" w:firstLineChars="2075"/>
        <w:rPr>
          <w:rFonts w:hint="eastAsia"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 xml:space="preserve"> 其他资格证书或材料 </w:t>
      </w:r>
    </w:p>
    <w:p>
      <w:pPr>
        <w:pStyle w:val="32"/>
        <w:rPr>
          <w:rFonts w:hint="eastAsia"/>
          <w:color w:val="auto"/>
        </w:rPr>
      </w:pPr>
    </w:p>
    <w:p>
      <w:pPr>
        <w:autoSpaceDE w:val="0"/>
        <w:autoSpaceDN w:val="0"/>
        <w:adjustRightIn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480" w:lineRule="auto"/>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技术方案（实施方案）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供应商法定代表人（单位负责人）或授权代表签字： </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除谈判文件另有规定外，供应商认为需要提交的其他证明材料或资料加盖供应商公章后应在此项下提交。</w:t>
      </w:r>
    </w:p>
    <w:p>
      <w:pPr>
        <w:rPr>
          <w:rFonts w:hint="eastAsia" w:ascii="宋体" w:hAnsi="宋体" w:eastAsia="宋体" w:cs="宋体"/>
          <w:b/>
          <w:color w:val="auto"/>
          <w:szCs w:val="24"/>
        </w:rPr>
      </w:pPr>
    </w:p>
    <w:sectPr>
      <w:headerReference r:id="rId3" w:type="default"/>
      <w:footerReference r:id="rId4" w:type="default"/>
      <w:footerReference r:id="rId5" w:type="even"/>
      <w:pgSz w:w="11850" w:h="16783"/>
      <w:pgMar w:top="1440" w:right="1800" w:bottom="1440" w:left="1800"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hint="eastAsia" w:ascii="隶书" w:hAnsi="宋体" w:eastAsia="隶书"/>
      </w:rPr>
    </w:pPr>
    <w:r>
      <w:rPr>
        <w:rFonts w:hint="eastAsia" w:ascii="隶书" w:hAnsi="宋体" w:eastAsia="隶书"/>
      </w:rPr>
      <w:tab/>
    </w:r>
    <w:r>
      <w:rPr>
        <w:rFonts w:hint="eastAsia" w:ascii="隶书" w:hAnsi="宋体" w:eastAsia="隶书"/>
      </w:rPr>
      <w:t xml:space="preserve">           </w:t>
    </w:r>
  </w:p>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0717941"/>
    <w:multiLevelType w:val="singleLevel"/>
    <w:tmpl w:val="C0717941"/>
    <w:lvl w:ilvl="0" w:tentative="0">
      <w:start w:val="2"/>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0938F0"/>
    <w:multiLevelType w:val="singleLevel"/>
    <w:tmpl w:val="4C0938F0"/>
    <w:lvl w:ilvl="0" w:tentative="0">
      <w:start w:val="3"/>
      <w:numFmt w:val="chineseCounting"/>
      <w:suff w:val="space"/>
      <w:lvlText w:val="第%1章"/>
      <w:lvlJc w:val="left"/>
      <w:rPr>
        <w:rFonts w:hint="eastAsia"/>
      </w:rPr>
    </w:lvl>
  </w:abstractNum>
  <w:abstractNum w:abstractNumId="15">
    <w:nsid w:val="59F817E8"/>
    <w:multiLevelType w:val="singleLevel"/>
    <w:tmpl w:val="59F817E8"/>
    <w:lvl w:ilvl="0" w:tentative="0">
      <w:start w:val="1"/>
      <w:numFmt w:val="chineseCounting"/>
      <w:pStyle w:val="122"/>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15"/>
  </w:num>
  <w:num w:numId="4">
    <w:abstractNumId w:val="1"/>
  </w:num>
  <w:num w:numId="5">
    <w:abstractNumId w:val="14"/>
  </w:num>
  <w:num w:numId="6">
    <w:abstractNumId w:val="11"/>
  </w:num>
  <w:num w:numId="7">
    <w:abstractNumId w:val="16"/>
  </w:num>
  <w:num w:numId="8">
    <w:abstractNumId w:val="8"/>
  </w:num>
  <w:num w:numId="9">
    <w:abstractNumId w:val="3"/>
  </w:num>
  <w:num w:numId="10">
    <w:abstractNumId w:val="10"/>
  </w:num>
  <w:num w:numId="11">
    <w:abstractNumId w:val="12"/>
  </w:num>
  <w:num w:numId="12">
    <w:abstractNumId w:val="19"/>
  </w:num>
  <w:num w:numId="13">
    <w:abstractNumId w:val="7"/>
  </w:num>
  <w:num w:numId="14">
    <w:abstractNumId w:val="4"/>
  </w:num>
  <w:num w:numId="15">
    <w:abstractNumId w:val="17"/>
  </w:num>
  <w:num w:numId="16">
    <w:abstractNumId w:val="13"/>
  </w:num>
  <w:num w:numId="17">
    <w:abstractNumId w:val="6"/>
  </w:num>
  <w:num w:numId="18">
    <w:abstractNumId w:val="18"/>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0069"/>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AA226C"/>
    <w:rsid w:val="02D47D1E"/>
    <w:rsid w:val="02F93324"/>
    <w:rsid w:val="0313504C"/>
    <w:rsid w:val="032F2F41"/>
    <w:rsid w:val="0351778C"/>
    <w:rsid w:val="03597BB0"/>
    <w:rsid w:val="03697175"/>
    <w:rsid w:val="03960C45"/>
    <w:rsid w:val="03CD01C1"/>
    <w:rsid w:val="03F35D05"/>
    <w:rsid w:val="03FB46A9"/>
    <w:rsid w:val="046B34A3"/>
    <w:rsid w:val="04E41DD5"/>
    <w:rsid w:val="04EB2855"/>
    <w:rsid w:val="05046BDC"/>
    <w:rsid w:val="0509798A"/>
    <w:rsid w:val="051F6EC9"/>
    <w:rsid w:val="05493F08"/>
    <w:rsid w:val="055D79E5"/>
    <w:rsid w:val="05650C0A"/>
    <w:rsid w:val="063211C1"/>
    <w:rsid w:val="06BD79B6"/>
    <w:rsid w:val="07A45B36"/>
    <w:rsid w:val="08507AC3"/>
    <w:rsid w:val="088B2AB6"/>
    <w:rsid w:val="08CF54DB"/>
    <w:rsid w:val="092E53B1"/>
    <w:rsid w:val="09654DF5"/>
    <w:rsid w:val="096D32A9"/>
    <w:rsid w:val="09784F1E"/>
    <w:rsid w:val="09A8079E"/>
    <w:rsid w:val="09BD7257"/>
    <w:rsid w:val="09E17638"/>
    <w:rsid w:val="09FB1B9F"/>
    <w:rsid w:val="0A21279D"/>
    <w:rsid w:val="0A236FF4"/>
    <w:rsid w:val="0A53407A"/>
    <w:rsid w:val="0A651670"/>
    <w:rsid w:val="0A825EB5"/>
    <w:rsid w:val="0A8932C1"/>
    <w:rsid w:val="0A913948"/>
    <w:rsid w:val="0AAC5DF2"/>
    <w:rsid w:val="0AD314F2"/>
    <w:rsid w:val="0ADF21C3"/>
    <w:rsid w:val="0AF06B57"/>
    <w:rsid w:val="0B2D4B66"/>
    <w:rsid w:val="0B4A7F31"/>
    <w:rsid w:val="0B827BFF"/>
    <w:rsid w:val="0BAE7727"/>
    <w:rsid w:val="0BD62FE8"/>
    <w:rsid w:val="0C1F55C1"/>
    <w:rsid w:val="0C2F0136"/>
    <w:rsid w:val="0C4B42D7"/>
    <w:rsid w:val="0C631321"/>
    <w:rsid w:val="0C95499C"/>
    <w:rsid w:val="0CC13E98"/>
    <w:rsid w:val="0CD27F7B"/>
    <w:rsid w:val="0DB83337"/>
    <w:rsid w:val="0E140517"/>
    <w:rsid w:val="0E1A3AD1"/>
    <w:rsid w:val="0E8526DE"/>
    <w:rsid w:val="0E8A0B38"/>
    <w:rsid w:val="0EF0627C"/>
    <w:rsid w:val="0FAA40BA"/>
    <w:rsid w:val="106F74FD"/>
    <w:rsid w:val="10772D1D"/>
    <w:rsid w:val="10D52198"/>
    <w:rsid w:val="113C19D0"/>
    <w:rsid w:val="11A46367"/>
    <w:rsid w:val="11A73FC2"/>
    <w:rsid w:val="120C7431"/>
    <w:rsid w:val="12423642"/>
    <w:rsid w:val="12B65988"/>
    <w:rsid w:val="12B808E7"/>
    <w:rsid w:val="1308275A"/>
    <w:rsid w:val="135925DF"/>
    <w:rsid w:val="13851EEC"/>
    <w:rsid w:val="13B27C3E"/>
    <w:rsid w:val="13E253DB"/>
    <w:rsid w:val="1437235E"/>
    <w:rsid w:val="148A7024"/>
    <w:rsid w:val="14E27154"/>
    <w:rsid w:val="15267F9C"/>
    <w:rsid w:val="153F65E8"/>
    <w:rsid w:val="15496F8D"/>
    <w:rsid w:val="15864884"/>
    <w:rsid w:val="159B7FB3"/>
    <w:rsid w:val="15BD1DD2"/>
    <w:rsid w:val="160B3E63"/>
    <w:rsid w:val="1653127A"/>
    <w:rsid w:val="1667328A"/>
    <w:rsid w:val="16AB0F9A"/>
    <w:rsid w:val="16EF655D"/>
    <w:rsid w:val="17F507D1"/>
    <w:rsid w:val="17F872D1"/>
    <w:rsid w:val="180010FF"/>
    <w:rsid w:val="188B1EE8"/>
    <w:rsid w:val="18951A24"/>
    <w:rsid w:val="19117150"/>
    <w:rsid w:val="191C7CEB"/>
    <w:rsid w:val="1935292C"/>
    <w:rsid w:val="19442542"/>
    <w:rsid w:val="19806EAA"/>
    <w:rsid w:val="19857F58"/>
    <w:rsid w:val="19AA7D6A"/>
    <w:rsid w:val="1A262F7F"/>
    <w:rsid w:val="1A290D6B"/>
    <w:rsid w:val="1A5943FB"/>
    <w:rsid w:val="1AB25C7D"/>
    <w:rsid w:val="1AC32709"/>
    <w:rsid w:val="1ACB042B"/>
    <w:rsid w:val="1ACB74F2"/>
    <w:rsid w:val="1B0A0371"/>
    <w:rsid w:val="1B6C4927"/>
    <w:rsid w:val="1B770DD3"/>
    <w:rsid w:val="1B993970"/>
    <w:rsid w:val="1BA419F7"/>
    <w:rsid w:val="1BB0202F"/>
    <w:rsid w:val="1BE44736"/>
    <w:rsid w:val="1BE65CC8"/>
    <w:rsid w:val="1BEA00D1"/>
    <w:rsid w:val="1C383824"/>
    <w:rsid w:val="1C407658"/>
    <w:rsid w:val="1CB00BB2"/>
    <w:rsid w:val="1CD1261C"/>
    <w:rsid w:val="1D5A5F68"/>
    <w:rsid w:val="1D613E1E"/>
    <w:rsid w:val="1D704579"/>
    <w:rsid w:val="1EA23B2C"/>
    <w:rsid w:val="1EBA5ED6"/>
    <w:rsid w:val="1EBD273E"/>
    <w:rsid w:val="1EDB2053"/>
    <w:rsid w:val="1EE5603D"/>
    <w:rsid w:val="1EF87465"/>
    <w:rsid w:val="1F294332"/>
    <w:rsid w:val="1F347C37"/>
    <w:rsid w:val="1F483A7D"/>
    <w:rsid w:val="1F6D41C0"/>
    <w:rsid w:val="1FB766D1"/>
    <w:rsid w:val="20562A02"/>
    <w:rsid w:val="2056492B"/>
    <w:rsid w:val="20610C76"/>
    <w:rsid w:val="20784C7B"/>
    <w:rsid w:val="20B136DD"/>
    <w:rsid w:val="20E31259"/>
    <w:rsid w:val="20E95E96"/>
    <w:rsid w:val="20F00D1D"/>
    <w:rsid w:val="216F142E"/>
    <w:rsid w:val="217C3862"/>
    <w:rsid w:val="21EC6B11"/>
    <w:rsid w:val="21F74F4F"/>
    <w:rsid w:val="21F96BCC"/>
    <w:rsid w:val="221450AB"/>
    <w:rsid w:val="22255E18"/>
    <w:rsid w:val="22350A1A"/>
    <w:rsid w:val="224C536C"/>
    <w:rsid w:val="22B01C18"/>
    <w:rsid w:val="23154DA9"/>
    <w:rsid w:val="23172DF8"/>
    <w:rsid w:val="231F43AF"/>
    <w:rsid w:val="23201855"/>
    <w:rsid w:val="232C185A"/>
    <w:rsid w:val="233919BB"/>
    <w:rsid w:val="23A7190B"/>
    <w:rsid w:val="23C346C6"/>
    <w:rsid w:val="23D61F38"/>
    <w:rsid w:val="23FC24D8"/>
    <w:rsid w:val="24312922"/>
    <w:rsid w:val="243B53E4"/>
    <w:rsid w:val="24AD3292"/>
    <w:rsid w:val="24D16D5C"/>
    <w:rsid w:val="24EB00D9"/>
    <w:rsid w:val="2521507B"/>
    <w:rsid w:val="25357BB0"/>
    <w:rsid w:val="25AC0470"/>
    <w:rsid w:val="25BB60B1"/>
    <w:rsid w:val="26373B7B"/>
    <w:rsid w:val="26414896"/>
    <w:rsid w:val="2719221F"/>
    <w:rsid w:val="271E0072"/>
    <w:rsid w:val="27726A4E"/>
    <w:rsid w:val="27C44396"/>
    <w:rsid w:val="27DE7413"/>
    <w:rsid w:val="284A71A9"/>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A271BA"/>
    <w:rsid w:val="2AB2778A"/>
    <w:rsid w:val="2ABC3520"/>
    <w:rsid w:val="2B2C0D2C"/>
    <w:rsid w:val="2B562E23"/>
    <w:rsid w:val="2B5B42EA"/>
    <w:rsid w:val="2BA25B80"/>
    <w:rsid w:val="2BB658F9"/>
    <w:rsid w:val="2C7A6B94"/>
    <w:rsid w:val="2CAC542C"/>
    <w:rsid w:val="2CAD4518"/>
    <w:rsid w:val="2CB01872"/>
    <w:rsid w:val="2CD67175"/>
    <w:rsid w:val="2CF47D84"/>
    <w:rsid w:val="2D6362D3"/>
    <w:rsid w:val="2E4F24A0"/>
    <w:rsid w:val="2E5123BA"/>
    <w:rsid w:val="2E6A59CF"/>
    <w:rsid w:val="2F4F1DE1"/>
    <w:rsid w:val="2FF93897"/>
    <w:rsid w:val="30261489"/>
    <w:rsid w:val="30B159DD"/>
    <w:rsid w:val="30EB3D78"/>
    <w:rsid w:val="30EE28D0"/>
    <w:rsid w:val="310272B4"/>
    <w:rsid w:val="3107452E"/>
    <w:rsid w:val="31405B68"/>
    <w:rsid w:val="31C5220B"/>
    <w:rsid w:val="31F81421"/>
    <w:rsid w:val="31FB7DDB"/>
    <w:rsid w:val="32436CE6"/>
    <w:rsid w:val="329B2BF7"/>
    <w:rsid w:val="32BB3CDD"/>
    <w:rsid w:val="32C21237"/>
    <w:rsid w:val="33732267"/>
    <w:rsid w:val="338744FE"/>
    <w:rsid w:val="33C1433C"/>
    <w:rsid w:val="33FA3703"/>
    <w:rsid w:val="340705DB"/>
    <w:rsid w:val="348914E4"/>
    <w:rsid w:val="34C53782"/>
    <w:rsid w:val="351A26AF"/>
    <w:rsid w:val="35341B14"/>
    <w:rsid w:val="35494F7D"/>
    <w:rsid w:val="35D30274"/>
    <w:rsid w:val="366A5C4C"/>
    <w:rsid w:val="36DF21B0"/>
    <w:rsid w:val="37C416F7"/>
    <w:rsid w:val="37D903CC"/>
    <w:rsid w:val="3855531C"/>
    <w:rsid w:val="39CF104F"/>
    <w:rsid w:val="39FA5B2B"/>
    <w:rsid w:val="3A6D36AD"/>
    <w:rsid w:val="3A6E7C46"/>
    <w:rsid w:val="3B0E7A38"/>
    <w:rsid w:val="3BD57476"/>
    <w:rsid w:val="3C20303D"/>
    <w:rsid w:val="3C5B5E1C"/>
    <w:rsid w:val="3C9B0D63"/>
    <w:rsid w:val="3CB66F48"/>
    <w:rsid w:val="3CF3212D"/>
    <w:rsid w:val="3D787185"/>
    <w:rsid w:val="3DA76EFE"/>
    <w:rsid w:val="3DCD75E3"/>
    <w:rsid w:val="3DF63399"/>
    <w:rsid w:val="3E5F19E9"/>
    <w:rsid w:val="3E7C7F4D"/>
    <w:rsid w:val="3E9D0242"/>
    <w:rsid w:val="3F140E9A"/>
    <w:rsid w:val="3F3962B9"/>
    <w:rsid w:val="3F541805"/>
    <w:rsid w:val="3F7457AF"/>
    <w:rsid w:val="3F933318"/>
    <w:rsid w:val="3FB869B8"/>
    <w:rsid w:val="40132978"/>
    <w:rsid w:val="403D36F4"/>
    <w:rsid w:val="40471266"/>
    <w:rsid w:val="40560D75"/>
    <w:rsid w:val="40621376"/>
    <w:rsid w:val="40A35070"/>
    <w:rsid w:val="41273207"/>
    <w:rsid w:val="41543EE9"/>
    <w:rsid w:val="416C1384"/>
    <w:rsid w:val="41B660BB"/>
    <w:rsid w:val="423D4D75"/>
    <w:rsid w:val="425A706C"/>
    <w:rsid w:val="428F78D3"/>
    <w:rsid w:val="42C54B18"/>
    <w:rsid w:val="433D4E1F"/>
    <w:rsid w:val="43420C0E"/>
    <w:rsid w:val="43717460"/>
    <w:rsid w:val="43A834C2"/>
    <w:rsid w:val="43EA4668"/>
    <w:rsid w:val="43FC54AB"/>
    <w:rsid w:val="440304BA"/>
    <w:rsid w:val="442B0C80"/>
    <w:rsid w:val="445319CA"/>
    <w:rsid w:val="4456107B"/>
    <w:rsid w:val="44D36D16"/>
    <w:rsid w:val="450D3E1C"/>
    <w:rsid w:val="45132963"/>
    <w:rsid w:val="455970FD"/>
    <w:rsid w:val="458B79CA"/>
    <w:rsid w:val="45AA691F"/>
    <w:rsid w:val="45B87217"/>
    <w:rsid w:val="45DA43EA"/>
    <w:rsid w:val="460322AD"/>
    <w:rsid w:val="460E5C70"/>
    <w:rsid w:val="461E780F"/>
    <w:rsid w:val="46D11679"/>
    <w:rsid w:val="46FE4F7A"/>
    <w:rsid w:val="47036F6C"/>
    <w:rsid w:val="477830D2"/>
    <w:rsid w:val="47E76852"/>
    <w:rsid w:val="47F653C2"/>
    <w:rsid w:val="48391728"/>
    <w:rsid w:val="4844594B"/>
    <w:rsid w:val="4864773D"/>
    <w:rsid w:val="486D17CE"/>
    <w:rsid w:val="4872481A"/>
    <w:rsid w:val="487E5404"/>
    <w:rsid w:val="48A376EC"/>
    <w:rsid w:val="48FB14E2"/>
    <w:rsid w:val="491948A8"/>
    <w:rsid w:val="494257CC"/>
    <w:rsid w:val="494E454C"/>
    <w:rsid w:val="49796E27"/>
    <w:rsid w:val="49C40DF6"/>
    <w:rsid w:val="49E86C2B"/>
    <w:rsid w:val="4A2D0812"/>
    <w:rsid w:val="4A690DA2"/>
    <w:rsid w:val="4A6D24FF"/>
    <w:rsid w:val="4B2929AA"/>
    <w:rsid w:val="4B74759C"/>
    <w:rsid w:val="4B923520"/>
    <w:rsid w:val="4BE05207"/>
    <w:rsid w:val="4C3A18D6"/>
    <w:rsid w:val="4C4B7D43"/>
    <w:rsid w:val="4C8706B6"/>
    <w:rsid w:val="4CA71E5B"/>
    <w:rsid w:val="4CA95CA7"/>
    <w:rsid w:val="4CEB2F56"/>
    <w:rsid w:val="4CF16D8A"/>
    <w:rsid w:val="4D25409B"/>
    <w:rsid w:val="4D2729A1"/>
    <w:rsid w:val="4D896328"/>
    <w:rsid w:val="4E002587"/>
    <w:rsid w:val="4E157CC3"/>
    <w:rsid w:val="4E23511E"/>
    <w:rsid w:val="4E570C2E"/>
    <w:rsid w:val="4E691682"/>
    <w:rsid w:val="4F411E86"/>
    <w:rsid w:val="4F5C4B3F"/>
    <w:rsid w:val="4F7934F5"/>
    <w:rsid w:val="4FD1347A"/>
    <w:rsid w:val="500E6070"/>
    <w:rsid w:val="504317A7"/>
    <w:rsid w:val="50441E01"/>
    <w:rsid w:val="50563BE4"/>
    <w:rsid w:val="50746AF7"/>
    <w:rsid w:val="50A04479"/>
    <w:rsid w:val="50A908CA"/>
    <w:rsid w:val="50C7145E"/>
    <w:rsid w:val="50E511D7"/>
    <w:rsid w:val="51034F0C"/>
    <w:rsid w:val="511438C2"/>
    <w:rsid w:val="514A5ED5"/>
    <w:rsid w:val="51E45484"/>
    <w:rsid w:val="52127757"/>
    <w:rsid w:val="521A159D"/>
    <w:rsid w:val="523A774A"/>
    <w:rsid w:val="524B7B61"/>
    <w:rsid w:val="52844EFB"/>
    <w:rsid w:val="52D3219F"/>
    <w:rsid w:val="52E3326E"/>
    <w:rsid w:val="52FB615B"/>
    <w:rsid w:val="53244DB9"/>
    <w:rsid w:val="53BE0B3F"/>
    <w:rsid w:val="541D7038"/>
    <w:rsid w:val="544717E3"/>
    <w:rsid w:val="5451299D"/>
    <w:rsid w:val="546A6786"/>
    <w:rsid w:val="550C3471"/>
    <w:rsid w:val="555722B0"/>
    <w:rsid w:val="559823B8"/>
    <w:rsid w:val="55AE23A0"/>
    <w:rsid w:val="55E90A4C"/>
    <w:rsid w:val="563001CC"/>
    <w:rsid w:val="565C3D2E"/>
    <w:rsid w:val="56634B3B"/>
    <w:rsid w:val="56665AA9"/>
    <w:rsid w:val="56676289"/>
    <w:rsid w:val="56A32CC7"/>
    <w:rsid w:val="573314ED"/>
    <w:rsid w:val="573864B2"/>
    <w:rsid w:val="579656BA"/>
    <w:rsid w:val="58A84444"/>
    <w:rsid w:val="58FE65AD"/>
    <w:rsid w:val="594A5481"/>
    <w:rsid w:val="597A6995"/>
    <w:rsid w:val="5A551D6A"/>
    <w:rsid w:val="5A921B11"/>
    <w:rsid w:val="5ADA4BD5"/>
    <w:rsid w:val="5B2E7BE3"/>
    <w:rsid w:val="5B881208"/>
    <w:rsid w:val="5B8F6B0D"/>
    <w:rsid w:val="5D324280"/>
    <w:rsid w:val="5D5C7799"/>
    <w:rsid w:val="5DA5352D"/>
    <w:rsid w:val="5DC025A7"/>
    <w:rsid w:val="5DD23DBD"/>
    <w:rsid w:val="5DFD5C98"/>
    <w:rsid w:val="5E5A12C4"/>
    <w:rsid w:val="5E88036F"/>
    <w:rsid w:val="5E905351"/>
    <w:rsid w:val="5EBA127A"/>
    <w:rsid w:val="5EC823E0"/>
    <w:rsid w:val="5F2D0585"/>
    <w:rsid w:val="5F7D7200"/>
    <w:rsid w:val="5F927315"/>
    <w:rsid w:val="5FAB49D6"/>
    <w:rsid w:val="5FAD16ED"/>
    <w:rsid w:val="5FEE6B02"/>
    <w:rsid w:val="5FF87915"/>
    <w:rsid w:val="600E2031"/>
    <w:rsid w:val="601A3DD6"/>
    <w:rsid w:val="60A66C3C"/>
    <w:rsid w:val="60DB5548"/>
    <w:rsid w:val="61364B33"/>
    <w:rsid w:val="61481D34"/>
    <w:rsid w:val="62537A75"/>
    <w:rsid w:val="627153F8"/>
    <w:rsid w:val="62A34D91"/>
    <w:rsid w:val="62ED3579"/>
    <w:rsid w:val="62F75A8C"/>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4736FD"/>
    <w:rsid w:val="656804C8"/>
    <w:rsid w:val="662B30D6"/>
    <w:rsid w:val="665B21E1"/>
    <w:rsid w:val="667D7C35"/>
    <w:rsid w:val="66AB78E3"/>
    <w:rsid w:val="66B137E9"/>
    <w:rsid w:val="66D519C9"/>
    <w:rsid w:val="67062E96"/>
    <w:rsid w:val="671B6D32"/>
    <w:rsid w:val="675B3DD3"/>
    <w:rsid w:val="678C1181"/>
    <w:rsid w:val="67AF2518"/>
    <w:rsid w:val="67C245FA"/>
    <w:rsid w:val="67E858EB"/>
    <w:rsid w:val="68075FA1"/>
    <w:rsid w:val="681A4E23"/>
    <w:rsid w:val="690D5E3D"/>
    <w:rsid w:val="693D28E3"/>
    <w:rsid w:val="69C27B82"/>
    <w:rsid w:val="6A0E6A75"/>
    <w:rsid w:val="6A1C17E5"/>
    <w:rsid w:val="6A613C6C"/>
    <w:rsid w:val="6ABA08C1"/>
    <w:rsid w:val="6AE5503B"/>
    <w:rsid w:val="6AE9324E"/>
    <w:rsid w:val="6AF57F78"/>
    <w:rsid w:val="6B2C1023"/>
    <w:rsid w:val="6B4A519D"/>
    <w:rsid w:val="6B5E4527"/>
    <w:rsid w:val="6B6601A1"/>
    <w:rsid w:val="6B686438"/>
    <w:rsid w:val="6BBB51C4"/>
    <w:rsid w:val="6BD33D31"/>
    <w:rsid w:val="6C0A1C09"/>
    <w:rsid w:val="6C1B4F0F"/>
    <w:rsid w:val="6C4B0F58"/>
    <w:rsid w:val="6C71644E"/>
    <w:rsid w:val="6CA83BAD"/>
    <w:rsid w:val="6CDA5121"/>
    <w:rsid w:val="6D010F10"/>
    <w:rsid w:val="6D04469C"/>
    <w:rsid w:val="6D0B07B6"/>
    <w:rsid w:val="6D2B6C06"/>
    <w:rsid w:val="6D396B48"/>
    <w:rsid w:val="6D773602"/>
    <w:rsid w:val="6DA24987"/>
    <w:rsid w:val="6E1F380D"/>
    <w:rsid w:val="6E725C56"/>
    <w:rsid w:val="6E7C1A7C"/>
    <w:rsid w:val="6E961609"/>
    <w:rsid w:val="6E9D6C43"/>
    <w:rsid w:val="6EC371C8"/>
    <w:rsid w:val="6EC56D4A"/>
    <w:rsid w:val="6F3B57C8"/>
    <w:rsid w:val="6F450411"/>
    <w:rsid w:val="6F72409B"/>
    <w:rsid w:val="6F9B3A2C"/>
    <w:rsid w:val="6FB43DC7"/>
    <w:rsid w:val="6FC43A72"/>
    <w:rsid w:val="6FE17B6D"/>
    <w:rsid w:val="6FFE7454"/>
    <w:rsid w:val="70597661"/>
    <w:rsid w:val="70F76A59"/>
    <w:rsid w:val="718A743B"/>
    <w:rsid w:val="7192467D"/>
    <w:rsid w:val="719E3960"/>
    <w:rsid w:val="71A0304F"/>
    <w:rsid w:val="71DD369E"/>
    <w:rsid w:val="72173490"/>
    <w:rsid w:val="72A956FF"/>
    <w:rsid w:val="72AF27EE"/>
    <w:rsid w:val="72B33E38"/>
    <w:rsid w:val="72BD3B10"/>
    <w:rsid w:val="72D17DE3"/>
    <w:rsid w:val="72DE19D9"/>
    <w:rsid w:val="72E81654"/>
    <w:rsid w:val="73181722"/>
    <w:rsid w:val="731F65D2"/>
    <w:rsid w:val="733F7034"/>
    <w:rsid w:val="735E7295"/>
    <w:rsid w:val="73773B1B"/>
    <w:rsid w:val="73C90996"/>
    <w:rsid w:val="73D5662D"/>
    <w:rsid w:val="73DB551B"/>
    <w:rsid w:val="74193A43"/>
    <w:rsid w:val="74193A55"/>
    <w:rsid w:val="74213957"/>
    <w:rsid w:val="745F66ED"/>
    <w:rsid w:val="74857FF0"/>
    <w:rsid w:val="748D53A3"/>
    <w:rsid w:val="74996878"/>
    <w:rsid w:val="74A40D07"/>
    <w:rsid w:val="74B07D3F"/>
    <w:rsid w:val="74E90345"/>
    <w:rsid w:val="74FD1133"/>
    <w:rsid w:val="756532D7"/>
    <w:rsid w:val="757872FF"/>
    <w:rsid w:val="75AB102C"/>
    <w:rsid w:val="75B7322A"/>
    <w:rsid w:val="75C122FD"/>
    <w:rsid w:val="75E72981"/>
    <w:rsid w:val="75EB695D"/>
    <w:rsid w:val="765F7C55"/>
    <w:rsid w:val="76E6019F"/>
    <w:rsid w:val="772752EC"/>
    <w:rsid w:val="778C25A1"/>
    <w:rsid w:val="77DF76F9"/>
    <w:rsid w:val="7809439C"/>
    <w:rsid w:val="7838256E"/>
    <w:rsid w:val="786423BF"/>
    <w:rsid w:val="78882C13"/>
    <w:rsid w:val="78AC5F4E"/>
    <w:rsid w:val="78C114A6"/>
    <w:rsid w:val="78FC788A"/>
    <w:rsid w:val="79826C53"/>
    <w:rsid w:val="79BB3636"/>
    <w:rsid w:val="79D46A44"/>
    <w:rsid w:val="79F838F2"/>
    <w:rsid w:val="7A17238D"/>
    <w:rsid w:val="7A533329"/>
    <w:rsid w:val="7A7F0DE9"/>
    <w:rsid w:val="7A7F26E4"/>
    <w:rsid w:val="7AB35E28"/>
    <w:rsid w:val="7ADB562F"/>
    <w:rsid w:val="7AF45559"/>
    <w:rsid w:val="7B200A56"/>
    <w:rsid w:val="7B472661"/>
    <w:rsid w:val="7B505A98"/>
    <w:rsid w:val="7B661BE0"/>
    <w:rsid w:val="7B8D20BF"/>
    <w:rsid w:val="7BBA04AD"/>
    <w:rsid w:val="7BBE296A"/>
    <w:rsid w:val="7C1C2800"/>
    <w:rsid w:val="7C4043F7"/>
    <w:rsid w:val="7C8F2142"/>
    <w:rsid w:val="7C9F4D22"/>
    <w:rsid w:val="7CFA0A36"/>
    <w:rsid w:val="7CFF77E6"/>
    <w:rsid w:val="7D02404E"/>
    <w:rsid w:val="7D910386"/>
    <w:rsid w:val="7DB027D0"/>
    <w:rsid w:val="7DB1288A"/>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2"/>
    <w:qFormat/>
    <w:uiPriority w:val="9"/>
    <w:pPr>
      <w:keepNext/>
      <w:keepLines/>
      <w:spacing w:before="340" w:after="330" w:line="576" w:lineRule="auto"/>
      <w:outlineLvl w:val="0"/>
    </w:pPr>
    <w:rPr>
      <w:b/>
      <w:kern w:val="44"/>
      <w:sz w:val="44"/>
      <w:szCs w:val="20"/>
    </w:rPr>
  </w:style>
  <w:style w:type="paragraph" w:styleId="5">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after="260" w:line="415" w:lineRule="auto"/>
      <w:outlineLvl w:val="2"/>
    </w:pPr>
    <w:rPr>
      <w:b/>
      <w:sz w:val="32"/>
      <w:szCs w:val="20"/>
    </w:rPr>
  </w:style>
  <w:style w:type="paragraph" w:styleId="7">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style>
  <w:style w:type="paragraph" w:styleId="3">
    <w:name w:val="Body Text"/>
    <w:basedOn w:val="1"/>
    <w:link w:val="66"/>
    <w:qFormat/>
    <w:uiPriority w:val="0"/>
    <w:pPr>
      <w:adjustRightInd w:val="0"/>
      <w:spacing w:after="120" w:line="360" w:lineRule="atLeast"/>
      <w:jc w:val="left"/>
      <w:textAlignment w:val="baseline"/>
    </w:pPr>
    <w:rPr>
      <w:kern w:val="0"/>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kern w:val="0"/>
      <w:sz w:val="18"/>
      <w:szCs w:val="18"/>
    </w:rPr>
  </w:style>
  <w:style w:type="paragraph" w:styleId="16">
    <w:name w:val="annotation text"/>
    <w:basedOn w:val="1"/>
    <w:link w:val="61"/>
    <w:qFormat/>
    <w:uiPriority w:val="0"/>
    <w:pPr>
      <w:jc w:val="left"/>
    </w:pPr>
  </w:style>
  <w:style w:type="paragraph" w:styleId="17">
    <w:name w:val="Body Text 3"/>
    <w:basedOn w:val="1"/>
    <w:link w:val="50"/>
    <w:qFormat/>
    <w:uiPriority w:val="0"/>
    <w:pPr>
      <w:spacing w:after="120"/>
    </w:pPr>
    <w:rPr>
      <w:sz w:val="16"/>
      <w:szCs w:val="20"/>
    </w:rPr>
  </w:style>
  <w:style w:type="paragraph" w:styleId="18">
    <w:name w:val="Body Text Indent"/>
    <w:basedOn w:val="1"/>
    <w:link w:val="75"/>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8"/>
    <w:qFormat/>
    <w:uiPriority w:val="0"/>
    <w:rPr>
      <w:b/>
      <w:bCs/>
    </w:rPr>
  </w:style>
  <w:style w:type="paragraph" w:styleId="32">
    <w:name w:val="Body Text First Indent 2"/>
    <w:basedOn w:val="18"/>
    <w:qFormat/>
    <w:uiPriority w:val="99"/>
    <w:pPr>
      <w:tabs>
        <w:tab w:val="left" w:pos="945"/>
        <w:tab w:val="left" w:pos="1155"/>
      </w:tabs>
      <w:spacing w:after="120"/>
      <w:ind w:left="420" w:leftChars="200" w:firstLine="420" w:firstLineChars="20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3"/>
    <w:qFormat/>
    <w:uiPriority w:val="0"/>
    <w:pPr>
      <w:adjustRightInd w:val="0"/>
      <w:spacing w:line="420" w:lineRule="atLeast"/>
      <w:jc w:val="left"/>
      <w:textAlignment w:val="baseline"/>
    </w:pPr>
    <w:rPr>
      <w:kern w:val="0"/>
      <w:szCs w:val="20"/>
    </w:rPr>
  </w:style>
  <w:style w:type="character" w:customStyle="1" w:styleId="43">
    <w:name w:val="标题 7 Char"/>
    <w:link w:val="10"/>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2"/>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7"/>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2"/>
    <w:qFormat/>
    <w:uiPriority w:val="0"/>
    <w:rPr>
      <w:sz w:val="24"/>
    </w:rPr>
  </w:style>
  <w:style w:type="character" w:customStyle="1" w:styleId="55">
    <w:name w:val="标题 4 Char"/>
    <w:link w:val="7"/>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1"/>
    <w:qFormat/>
    <w:uiPriority w:val="0"/>
    <w:rPr>
      <w:b/>
      <w:bCs/>
      <w:kern w:val="2"/>
      <w:sz w:val="21"/>
      <w:szCs w:val="22"/>
    </w:rPr>
  </w:style>
  <w:style w:type="character" w:customStyle="1" w:styleId="59">
    <w:name w:val="标题 3 Char"/>
    <w:link w:val="6"/>
    <w:qFormat/>
    <w:uiPriority w:val="0"/>
    <w:rPr>
      <w:rFonts w:ascii="Times New Roman" w:hAnsi="Times New Roman"/>
      <w:b/>
      <w:kern w:val="2"/>
      <w:sz w:val="32"/>
    </w:rPr>
  </w:style>
  <w:style w:type="character" w:customStyle="1" w:styleId="60">
    <w:name w:val="标题 5 Char"/>
    <w:link w:val="8"/>
    <w:qFormat/>
    <w:uiPriority w:val="0"/>
    <w:rPr>
      <w:rFonts w:ascii="Times New Roman" w:hAnsi="Times New Roman"/>
      <w:b/>
      <w:bCs/>
      <w:sz w:val="28"/>
      <w:szCs w:val="28"/>
    </w:rPr>
  </w:style>
  <w:style w:type="character" w:customStyle="1" w:styleId="61">
    <w:name w:val="批注文字 Char"/>
    <w:link w:val="16"/>
    <w:qFormat/>
    <w:uiPriority w:val="0"/>
    <w:rPr>
      <w:kern w:val="2"/>
      <w:sz w:val="21"/>
      <w:szCs w:val="22"/>
    </w:rPr>
  </w:style>
  <w:style w:type="character" w:customStyle="1" w:styleId="62">
    <w:name w:val="标题 1 Char"/>
    <w:link w:val="4"/>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3"/>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5"/>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9"/>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18"/>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5"/>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1"/>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5"/>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qFormat/>
    <w:uiPriority w:val="0"/>
    <w:rPr>
      <w:color w:val="FF0000"/>
    </w:rPr>
  </w:style>
  <w:style w:type="character" w:customStyle="1" w:styleId="120">
    <w:name w:val="hover24"/>
    <w:basedOn w:val="35"/>
    <w:qFormat/>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25910</Words>
  <Characters>3026</Characters>
  <Lines>25</Lines>
  <Paragraphs>57</Paragraphs>
  <TotalTime>148</TotalTime>
  <ScaleCrop>false</ScaleCrop>
  <LinksUpToDate>false</LinksUpToDate>
  <CharactersWithSpaces>28879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甛╚＞</cp:lastModifiedBy>
  <cp:lastPrinted>2019-10-08T06:05:00Z</cp:lastPrinted>
  <dcterms:modified xsi:type="dcterms:W3CDTF">2019-10-09T00:40:18Z</dcterms:modified>
  <dc:title>许昌市市直政府采购项目</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