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hint="eastAsia" w:asciiTheme="majorEastAsia" w:hAnsiTheme="majorEastAsia" w:eastAsiaTheme="majorEastAsia" w:cstheme="majorEastAsia"/>
          <w:b/>
          <w:bCs/>
          <w:color w:val="000000"/>
          <w:sz w:val="44"/>
          <w:szCs w:val="44"/>
          <w:lang w:eastAsia="zh-CN"/>
        </w:rPr>
      </w:pPr>
      <w:r>
        <w:rPr>
          <w:rFonts w:hint="eastAsia" w:asciiTheme="majorEastAsia" w:hAnsiTheme="majorEastAsia" w:eastAsiaTheme="majorEastAsia" w:cstheme="majorEastAsia"/>
          <w:b/>
          <w:bCs/>
          <w:color w:val="000000"/>
          <w:sz w:val="44"/>
          <w:szCs w:val="44"/>
          <w:lang w:eastAsia="zh-CN"/>
        </w:rPr>
        <w:t>河南省第三强制隔离戒毒所</w:t>
      </w: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w:t>
      </w:r>
      <w:r>
        <w:rPr>
          <w:rFonts w:hint="eastAsia" w:asciiTheme="majorEastAsia" w:hAnsiTheme="majorEastAsia" w:eastAsiaTheme="majorEastAsia" w:cstheme="majorEastAsia"/>
          <w:b/>
          <w:bCs/>
          <w:color w:val="000000"/>
          <w:sz w:val="44"/>
          <w:szCs w:val="44"/>
          <w:lang w:eastAsia="zh-CN"/>
        </w:rPr>
        <w:t>指挥中心大屏显示系统</w:t>
      </w:r>
      <w:r>
        <w:rPr>
          <w:rFonts w:hint="eastAsia" w:asciiTheme="majorEastAsia" w:hAnsiTheme="majorEastAsia" w:eastAsiaTheme="majorEastAsia" w:cstheme="majorEastAsia"/>
          <w:b/>
          <w:bCs/>
          <w:color w:val="000000"/>
          <w:sz w:val="44"/>
          <w:szCs w:val="44"/>
        </w:rPr>
        <w:t>”项目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p>
    <w:p>
      <w:pPr>
        <w:ind w:firstLine="904" w:firstLineChars="25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ind w:firstLine="723" w:firstLineChars="2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项目编号：JZFCG-G2019</w:t>
      </w:r>
      <w:r>
        <w:rPr>
          <w:rFonts w:hint="eastAsia" w:asciiTheme="majorEastAsia" w:hAnsiTheme="majorEastAsia" w:eastAsiaTheme="majorEastAsia" w:cstheme="majorEastAsia"/>
          <w:b/>
          <w:bCs/>
          <w:color w:val="000000"/>
          <w:sz w:val="36"/>
          <w:szCs w:val="36"/>
          <w:lang w:val="en-US" w:eastAsia="zh-CN"/>
        </w:rPr>
        <w:t>108</w:t>
      </w:r>
      <w:r>
        <w:rPr>
          <w:rFonts w:hint="eastAsia" w:asciiTheme="majorEastAsia" w:hAnsiTheme="majorEastAsia" w:eastAsiaTheme="majorEastAsia" w:cstheme="majorEastAsia"/>
          <w:b/>
          <w:bCs/>
          <w:color w:val="000000"/>
          <w:sz w:val="36"/>
          <w:szCs w:val="36"/>
        </w:rPr>
        <w:t>号</w:t>
      </w:r>
    </w:p>
    <w:p>
      <w:pPr>
        <w:ind w:firstLine="2168" w:firstLineChars="6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lang w:eastAsia="zh-CN"/>
        </w:rPr>
        <w:t>（豫财招标采购-2019-1901）</w:t>
      </w:r>
    </w:p>
    <w:p>
      <w:pPr>
        <w:ind w:firstLine="723" w:firstLineChars="2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eastAsia="zh-CN"/>
        </w:rPr>
        <w:t>河南省第三强制隔离戒毒所</w:t>
      </w:r>
    </w:p>
    <w:p>
      <w:pPr>
        <w:ind w:firstLine="723" w:firstLineChars="2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eastAsia="zh-CN"/>
        </w:rPr>
        <w:t>许昌光大电子商务技术服务有限公司</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十</w:t>
      </w:r>
      <w:bookmarkStart w:id="12" w:name="_GoBack"/>
      <w:bookmarkEnd w:id="12"/>
      <w:r>
        <w:rPr>
          <w:rFonts w:hint="eastAsia" w:asciiTheme="majorEastAsia" w:hAnsiTheme="majorEastAsia" w:eastAsiaTheme="majorEastAsia" w:cstheme="majorEastAsia"/>
          <w:b/>
          <w:bCs/>
          <w:color w:val="000000"/>
          <w:sz w:val="36"/>
          <w:szCs w:val="36"/>
        </w:rPr>
        <w:t>月</w:t>
      </w: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4"/>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lang w:eastAsia="zh-CN"/>
        </w:rPr>
        <w:t>许昌光大电子商务技术服务有限公司</w:t>
      </w:r>
      <w:r>
        <w:rPr>
          <w:rFonts w:hint="eastAsia"/>
          <w:color w:val="000000"/>
          <w:sz w:val="21"/>
          <w:szCs w:val="21"/>
          <w:shd w:val="clear" w:color="auto" w:fill="FFFFFF"/>
        </w:rPr>
        <w:t>受</w:t>
      </w:r>
      <w:r>
        <w:rPr>
          <w:rFonts w:hint="eastAsia"/>
          <w:color w:val="000000"/>
          <w:sz w:val="21"/>
          <w:szCs w:val="21"/>
          <w:shd w:val="clear" w:color="auto" w:fill="FFFFFF"/>
          <w:lang w:eastAsia="zh-CN"/>
        </w:rPr>
        <w:t>河南省第三强制隔离戒毒所</w:t>
      </w:r>
      <w:r>
        <w:rPr>
          <w:rFonts w:hint="eastAsia"/>
          <w:color w:val="000000"/>
          <w:sz w:val="21"/>
          <w:szCs w:val="21"/>
          <w:shd w:val="clear" w:color="auto" w:fill="FFFFFF"/>
        </w:rPr>
        <w:t>的委托，对“</w:t>
      </w:r>
      <w:r>
        <w:rPr>
          <w:rFonts w:hint="eastAsia"/>
          <w:color w:val="000000"/>
          <w:sz w:val="21"/>
          <w:szCs w:val="21"/>
          <w:shd w:val="clear" w:color="auto" w:fill="FFFFFF"/>
          <w:lang w:eastAsia="zh-CN"/>
        </w:rPr>
        <w:t>指挥中心大屏显示系统</w:t>
      </w:r>
      <w:r>
        <w:rPr>
          <w:rFonts w:hint="eastAsia"/>
          <w:color w:val="000000"/>
          <w:sz w:val="21"/>
          <w:szCs w:val="21"/>
          <w:shd w:val="clear" w:color="auto" w:fill="FFFFFF"/>
        </w:rPr>
        <w:t>”项目进行公开招标。现邀请符合本招标文件规定条件的供应商前来投标。</w:t>
      </w:r>
    </w:p>
    <w:p>
      <w:pPr>
        <w:pStyle w:val="24"/>
        <w:widowControl/>
        <w:shd w:val="clear" w:color="auto" w:fill="FFFFFF"/>
        <w:spacing w:line="360" w:lineRule="auto"/>
        <w:ind w:firstLine="315" w:firstLineChars="150"/>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4"/>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rPr>
        <w:t>（一）项目名称：</w:t>
      </w:r>
      <w:r>
        <w:rPr>
          <w:rFonts w:hint="eastAsia" w:cs="仿宋_GB2312" w:asciiTheme="minorEastAsia" w:hAnsiTheme="minorEastAsia" w:eastAsiaTheme="minorEastAsia"/>
          <w:color w:val="000000"/>
          <w:sz w:val="21"/>
          <w:szCs w:val="21"/>
          <w:shd w:val="clear" w:color="auto" w:fill="FFFFFF"/>
          <w:lang w:eastAsia="zh-CN"/>
        </w:rPr>
        <w:t>指挥中心大屏显示系统</w:t>
      </w:r>
    </w:p>
    <w:p>
      <w:pPr>
        <w:pStyle w:val="24"/>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rPr>
        <w:t>（二）项目编号：</w:t>
      </w:r>
      <w:r>
        <w:rPr>
          <w:rFonts w:cs="仿宋_GB2312" w:asciiTheme="minorEastAsia" w:hAnsiTheme="minorEastAsia" w:eastAsiaTheme="minorEastAsia"/>
          <w:color w:val="000000"/>
          <w:sz w:val="21"/>
          <w:szCs w:val="21"/>
          <w:shd w:val="clear" w:color="auto" w:fill="FFFFFF"/>
        </w:rPr>
        <w:t>JZFCG-G2019</w:t>
      </w:r>
      <w:r>
        <w:rPr>
          <w:rFonts w:hint="eastAsia" w:cs="仿宋_GB2312" w:asciiTheme="minorEastAsia" w:hAnsiTheme="minorEastAsia" w:eastAsiaTheme="minorEastAsia"/>
          <w:color w:val="000000"/>
          <w:sz w:val="21"/>
          <w:szCs w:val="21"/>
          <w:shd w:val="clear" w:color="auto" w:fill="FFFFFF"/>
          <w:lang w:val="en-US" w:eastAsia="zh-CN"/>
        </w:rPr>
        <w:t>108</w:t>
      </w:r>
      <w:r>
        <w:rPr>
          <w:rFonts w:hint="eastAsia" w:cs="仿宋_GB2312" w:asciiTheme="minorEastAsia" w:hAnsiTheme="minorEastAsia" w:eastAsiaTheme="minorEastAsia"/>
          <w:color w:val="000000"/>
          <w:sz w:val="21"/>
          <w:szCs w:val="21"/>
          <w:shd w:val="clear" w:color="auto" w:fill="FFFFFF"/>
        </w:rPr>
        <w:t>号</w:t>
      </w:r>
      <w:r>
        <w:rPr>
          <w:rFonts w:hint="eastAsia" w:cs="仿宋_GB2312" w:asciiTheme="minorEastAsia" w:hAnsiTheme="minorEastAsia" w:eastAsiaTheme="minorEastAsia"/>
          <w:color w:val="000000"/>
          <w:sz w:val="21"/>
          <w:szCs w:val="21"/>
          <w:shd w:val="clear" w:color="auto" w:fill="FFFFFF"/>
          <w:lang w:eastAsia="zh-CN"/>
        </w:rPr>
        <w:t>（豫财招标采购</w:t>
      </w:r>
      <w:r>
        <w:rPr>
          <w:rFonts w:hint="eastAsia" w:cs="仿宋_GB2312" w:asciiTheme="minorEastAsia" w:hAnsiTheme="minorEastAsia" w:eastAsiaTheme="minorEastAsia"/>
          <w:color w:val="000000"/>
          <w:sz w:val="21"/>
          <w:szCs w:val="21"/>
          <w:shd w:val="clear" w:color="auto" w:fill="FFFFFF"/>
          <w:lang w:val="en-US" w:eastAsia="zh-CN"/>
        </w:rPr>
        <w:t>-2019-1901</w:t>
      </w:r>
      <w:r>
        <w:rPr>
          <w:rFonts w:hint="eastAsia" w:cs="仿宋_GB2312" w:asciiTheme="minorEastAsia" w:hAnsiTheme="minorEastAsia" w:eastAsiaTheme="minorEastAsia"/>
          <w:color w:val="000000"/>
          <w:sz w:val="21"/>
          <w:szCs w:val="21"/>
          <w:shd w:val="clear" w:color="auto" w:fill="FFFFFF"/>
          <w:lang w:eastAsia="zh-CN"/>
        </w:rPr>
        <w:t>）</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4"/>
        <w:widowControl/>
        <w:shd w:val="clear" w:color="auto" w:fill="FFFFFF"/>
        <w:spacing w:line="360" w:lineRule="auto"/>
        <w:ind w:firstLine="420"/>
        <w:contextualSpacing/>
        <w:jc w:val="left"/>
        <w:rPr>
          <w:rFonts w:hint="default" w:cs="仿宋_GB2312" w:asciiTheme="minorEastAsia" w:hAnsiTheme="minorEastAsia" w:eastAsiaTheme="minorEastAsia"/>
          <w:color w:val="000000"/>
          <w:sz w:val="21"/>
          <w:szCs w:val="21"/>
          <w:shd w:val="clear" w:color="auto" w:fill="FFFFFF"/>
          <w:lang w:val="en-US"/>
        </w:rPr>
      </w:pPr>
      <w:r>
        <w:rPr>
          <w:rFonts w:hint="eastAsia" w:cs="仿宋_GB2312" w:asciiTheme="minorEastAsia" w:hAnsiTheme="minorEastAsia" w:eastAsiaTheme="minorEastAsia"/>
          <w:color w:val="000000"/>
          <w:sz w:val="21"/>
          <w:szCs w:val="21"/>
          <w:shd w:val="clear" w:color="auto" w:fill="FFFFFF"/>
        </w:rPr>
        <w:t>（四）项目主要内容、数量及要求：</w:t>
      </w:r>
      <w:r>
        <w:rPr>
          <w:rFonts w:hint="eastAsia" w:cs="仿宋_GB2312" w:asciiTheme="minorEastAsia" w:hAnsiTheme="minorEastAsia" w:eastAsiaTheme="minorEastAsia"/>
          <w:color w:val="000000"/>
          <w:sz w:val="21"/>
          <w:szCs w:val="21"/>
          <w:shd w:val="clear" w:color="auto" w:fill="FFFFFF"/>
          <w:lang w:eastAsia="zh-CN"/>
        </w:rPr>
        <w:t>购买指挥中心大屏显示系统</w:t>
      </w:r>
      <w:r>
        <w:rPr>
          <w:rFonts w:hint="eastAsia" w:cs="仿宋_GB2312" w:asciiTheme="minorEastAsia" w:hAnsiTheme="minorEastAsia" w:eastAsiaTheme="minorEastAsia"/>
          <w:color w:val="000000"/>
          <w:sz w:val="21"/>
          <w:szCs w:val="21"/>
          <w:shd w:val="clear" w:color="auto" w:fill="FFFFFF"/>
          <w:lang w:val="en-US" w:eastAsia="zh-CN"/>
        </w:rPr>
        <w:t>。（详见招标文件）</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u w:val="single"/>
          <w:shd w:val="clear" w:color="auto" w:fill="FFFFFF"/>
          <w:lang w:eastAsia="zh-CN"/>
        </w:rPr>
        <w:t>1335538.00</w:t>
      </w:r>
      <w:r>
        <w:rPr>
          <w:rFonts w:hint="eastAsia" w:cs="仿宋_GB2312" w:asciiTheme="minorEastAsia" w:hAnsiTheme="minorEastAsia" w:eastAsiaTheme="minorEastAsia"/>
          <w:color w:val="000000"/>
          <w:sz w:val="21"/>
          <w:szCs w:val="21"/>
          <w:shd w:val="clear" w:color="auto" w:fill="FFFFFF"/>
        </w:rPr>
        <w:t>元。最高限价：</w:t>
      </w:r>
      <w:r>
        <w:rPr>
          <w:rFonts w:hint="eastAsia" w:cs="仿宋_GB2312" w:asciiTheme="minorEastAsia" w:hAnsiTheme="minorEastAsia" w:eastAsiaTheme="minorEastAsia"/>
          <w:color w:val="000000"/>
          <w:sz w:val="21"/>
          <w:szCs w:val="21"/>
          <w:u w:val="single"/>
          <w:shd w:val="clear" w:color="auto" w:fill="FFFFFF"/>
          <w:lang w:eastAsia="zh-CN"/>
        </w:rPr>
        <w:t>1335538.00</w:t>
      </w:r>
      <w:r>
        <w:rPr>
          <w:rFonts w:hint="eastAsia" w:cs="仿宋_GB2312" w:asciiTheme="minorEastAsia" w:hAnsiTheme="minorEastAsia" w:eastAsiaTheme="minorEastAsia"/>
          <w:color w:val="000000"/>
          <w:sz w:val="21"/>
          <w:szCs w:val="21"/>
          <w:shd w:val="clear" w:color="auto" w:fill="FFFFFF"/>
        </w:rPr>
        <w:t>元。</w:t>
      </w:r>
    </w:p>
    <w:p>
      <w:pPr>
        <w:pStyle w:val="24"/>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rPr>
        <w:t>（六）交付（服务、完工）时间</w:t>
      </w:r>
      <w:r>
        <w:rPr>
          <w:rFonts w:hint="eastAsia" w:cs="仿宋_GB2312" w:asciiTheme="minorEastAsia" w:hAnsiTheme="minorEastAsia" w:eastAsiaTheme="minorEastAsia"/>
          <w:color w:val="auto"/>
          <w:sz w:val="21"/>
          <w:szCs w:val="21"/>
          <w:shd w:val="clear" w:color="auto" w:fill="FFFFFF"/>
        </w:rPr>
        <w:t xml:space="preserve"> ：</w:t>
      </w:r>
      <w:r>
        <w:rPr>
          <w:rFonts w:hint="eastAsia" w:cs="仿宋_GB2312" w:asciiTheme="minorEastAsia" w:hAnsiTheme="minorEastAsia" w:eastAsiaTheme="minorEastAsia"/>
          <w:color w:val="auto"/>
          <w:sz w:val="21"/>
          <w:szCs w:val="21"/>
        </w:rPr>
        <w:t>自合同生效之日起</w:t>
      </w:r>
      <w:r>
        <w:rPr>
          <w:rFonts w:hint="eastAsia" w:cs="仿宋_GB2312" w:asciiTheme="minorEastAsia" w:hAnsiTheme="minorEastAsia" w:eastAsiaTheme="minorEastAsia"/>
          <w:color w:val="auto"/>
          <w:sz w:val="21"/>
          <w:szCs w:val="21"/>
          <w:u w:val="single"/>
          <w:lang w:val="en-US" w:eastAsia="zh-CN"/>
        </w:rPr>
        <w:t xml:space="preserve"> 15 </w:t>
      </w:r>
      <w:r>
        <w:rPr>
          <w:rFonts w:hint="eastAsia" w:cs="仿宋_GB2312" w:asciiTheme="minorEastAsia" w:hAnsiTheme="minorEastAsia" w:eastAsiaTheme="minorEastAsia"/>
          <w:color w:val="auto"/>
          <w:sz w:val="21"/>
          <w:szCs w:val="21"/>
        </w:rPr>
        <w:t>天</w:t>
      </w:r>
      <w:r>
        <w:rPr>
          <w:rFonts w:hint="eastAsia" w:cs="仿宋_GB2312" w:asciiTheme="minorEastAsia" w:hAnsiTheme="minorEastAsia" w:eastAsiaTheme="minorEastAsia"/>
          <w:color w:val="auto"/>
          <w:sz w:val="21"/>
          <w:szCs w:val="21"/>
          <w:lang w:eastAsia="zh-CN"/>
        </w:rPr>
        <w:t>。</w:t>
      </w:r>
    </w:p>
    <w:p>
      <w:pPr>
        <w:pStyle w:val="24"/>
        <w:widowControl/>
        <w:shd w:val="clear" w:color="auto" w:fill="FFFFFF"/>
        <w:spacing w:line="360" w:lineRule="auto"/>
        <w:ind w:firstLine="420"/>
        <w:contextualSpacing/>
        <w:jc w:val="left"/>
        <w:rPr>
          <w:rFonts w:hint="eastAsia" w:eastAsia="宋体" w:cs="仿宋_GB2312" w:asciiTheme="minorEastAsia" w:hAnsi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rPr>
        <w:t>（七）交付（服务、完工）地点：</w:t>
      </w:r>
      <w:r>
        <w:rPr>
          <w:rFonts w:hint="eastAsia" w:eastAsiaTheme="minorEastAsia"/>
          <w:color w:val="000000"/>
          <w:sz w:val="21"/>
          <w:szCs w:val="21"/>
          <w:shd w:val="clear" w:color="auto" w:fill="FFFFFF"/>
          <w:lang w:eastAsia="zh-CN"/>
        </w:rPr>
        <w:t>河南省第三强制隔离戒毒所</w:t>
      </w:r>
      <w:r>
        <w:rPr>
          <w:rFonts w:hint="eastAsia"/>
          <w:color w:val="000000"/>
          <w:sz w:val="21"/>
          <w:szCs w:val="21"/>
          <w:shd w:val="clear" w:color="auto" w:fill="FFFFFF"/>
        </w:rPr>
        <w:t>指定地点</w:t>
      </w:r>
      <w:r>
        <w:rPr>
          <w:rFonts w:hint="eastAsia"/>
          <w:color w:val="000000"/>
          <w:sz w:val="21"/>
          <w:szCs w:val="21"/>
          <w:shd w:val="clear" w:color="auto" w:fill="FFFFFF"/>
          <w:lang w:eastAsia="zh-CN"/>
        </w:rPr>
        <w:t>。</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4"/>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4"/>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eastAsia="zh-CN"/>
        </w:rPr>
        <w:t>（二）</w:t>
      </w:r>
      <w:r>
        <w:rPr>
          <w:rFonts w:hint="eastAsia" w:cs="仿宋_GB2312" w:asciiTheme="minorEastAsia" w:hAnsiTheme="minorEastAsia" w:eastAsiaTheme="minorEastAsia"/>
          <w:color w:val="000000"/>
          <w:sz w:val="21"/>
          <w:szCs w:val="21"/>
          <w:shd w:val="clear" w:color="auto" w:fill="FFFFFF"/>
        </w:rPr>
        <w:t>投标人需具有质量管理体系、环境管理体系、职业健康安全管理体系</w:t>
      </w:r>
      <w:r>
        <w:rPr>
          <w:rFonts w:hint="eastAsia" w:cs="仿宋_GB2312" w:asciiTheme="minorEastAsia" w:hAnsiTheme="minorEastAsia" w:eastAsiaTheme="minorEastAsia"/>
          <w:color w:val="000000"/>
          <w:sz w:val="21"/>
          <w:szCs w:val="21"/>
          <w:shd w:val="clear" w:color="auto" w:fill="FFFFFF"/>
          <w:lang w:eastAsia="zh-CN"/>
        </w:rPr>
        <w:t>认证证书。</w:t>
      </w:r>
    </w:p>
    <w:p>
      <w:pPr>
        <w:pStyle w:val="24"/>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 (</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color w:val="000000"/>
          <w:sz w:val="21"/>
          <w:szCs w:val="21"/>
          <w:shd w:val="clear" w:color="auto" w:fill="FFFFFF"/>
        </w:rPr>
        <w:t xml:space="preserve"> </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四</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u w:val="single"/>
          <w:lang w:val="en-US" w:eastAsia="zh-CN"/>
        </w:rPr>
        <w:t>10</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29</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rPr>
        <w:t xml:space="preserve"> 30 </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u w:val="single"/>
          <w:lang w:val="en-US" w:eastAsia="zh-CN"/>
        </w:rPr>
        <w:t>3</w:t>
      </w:r>
      <w:r>
        <w:rPr>
          <w:rFonts w:hint="eastAsia" w:cs="仿宋_GB2312" w:asciiTheme="minorEastAsia" w:hAnsiTheme="minorEastAsia" w:eastAsiaTheme="minorEastAsia"/>
          <w:color w:val="000000"/>
          <w:sz w:val="21"/>
          <w:szCs w:val="21"/>
        </w:rPr>
        <w:t>室。</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六、本次招标公告同时在《中国政府采购网》、《河南省政府采购网》、《全国公共资源交易平台（河南省·许昌市）》、发布。</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pStyle w:val="24"/>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eastAsia="zh-CN"/>
        </w:rPr>
      </w:pPr>
      <w:r>
        <w:rPr>
          <w:rFonts w:hint="eastAsia" w:cs="仿宋_GB2312" w:asciiTheme="minorEastAsia" w:hAnsiTheme="minorEastAsia" w:eastAsiaTheme="minorEastAsia"/>
          <w:color w:val="000000"/>
          <w:sz w:val="21"/>
          <w:szCs w:val="21"/>
        </w:rPr>
        <w:t>采购人：</w:t>
      </w:r>
      <w:r>
        <w:rPr>
          <w:rFonts w:hint="eastAsia" w:cs="仿宋_GB2312" w:asciiTheme="minorEastAsia" w:hAnsiTheme="minorEastAsia" w:eastAsiaTheme="minorEastAsia"/>
          <w:color w:val="000000"/>
          <w:sz w:val="21"/>
          <w:szCs w:val="21"/>
          <w:lang w:eastAsia="zh-CN"/>
        </w:rPr>
        <w:t>河南省第三强制隔离戒毒所</w:t>
      </w:r>
    </w:p>
    <w:p>
      <w:pPr>
        <w:pStyle w:val="24"/>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地址：许昌市新兴路西段</w:t>
      </w:r>
    </w:p>
    <w:p>
      <w:pPr>
        <w:pStyle w:val="24"/>
        <w:widowControl/>
        <w:shd w:val="clear" w:color="auto" w:fill="FFFFFF"/>
        <w:spacing w:line="360" w:lineRule="auto"/>
        <w:ind w:firstLine="420"/>
        <w:contextualSpacing/>
        <w:jc w:val="left"/>
        <w:rPr>
          <w:rFonts w:hint="default" w:cs="仿宋_GB2312" w:asciiTheme="minorEastAsia" w:hAnsiTheme="minorEastAsia" w:eastAsiaTheme="minorEastAsia"/>
          <w:color w:val="000000"/>
          <w:sz w:val="21"/>
          <w:szCs w:val="21"/>
          <w:lang w:val="en-US" w:eastAsia="zh-CN"/>
        </w:rPr>
      </w:pPr>
      <w:r>
        <w:rPr>
          <w:rFonts w:hint="eastAsia" w:cs="仿宋_GB2312" w:asciiTheme="minorEastAsia" w:hAnsiTheme="minorEastAsia" w:eastAsiaTheme="minorEastAsia"/>
          <w:color w:val="000000"/>
          <w:sz w:val="21"/>
          <w:szCs w:val="21"/>
        </w:rPr>
        <w:t>联系人：</w:t>
      </w:r>
      <w:r>
        <w:rPr>
          <w:rFonts w:hint="eastAsia" w:cs="仿宋_GB2312" w:asciiTheme="minorEastAsia" w:hAnsiTheme="minorEastAsia" w:eastAsiaTheme="minorEastAsia"/>
          <w:color w:val="000000"/>
          <w:sz w:val="21"/>
          <w:szCs w:val="21"/>
          <w:lang w:eastAsia="zh-CN"/>
        </w:rPr>
        <w:t>邓</w:t>
      </w:r>
      <w:r>
        <w:rPr>
          <w:rFonts w:hint="eastAsia" w:cs="仿宋_GB2312" w:asciiTheme="minorEastAsia" w:hAnsiTheme="minorEastAsia" w:eastAsiaTheme="minorEastAsia"/>
          <w:color w:val="000000"/>
          <w:sz w:val="21"/>
          <w:szCs w:val="21"/>
        </w:rPr>
        <w:t xml:space="preserve">先生          </w:t>
      </w:r>
      <w:r>
        <w:rPr>
          <w:rFonts w:hint="eastAsia" w:cs="仿宋_GB2312" w:asciiTheme="minorEastAsia" w:hAnsiTheme="minorEastAsia" w:eastAsiaTheme="minorEastAsia"/>
          <w:color w:val="000000"/>
          <w:sz w:val="21"/>
          <w:szCs w:val="21"/>
          <w:lang w:val="en-US" w:eastAsia="zh-CN"/>
        </w:rPr>
        <w:t xml:space="preserve">  </w:t>
      </w:r>
      <w:r>
        <w:rPr>
          <w:rFonts w:hint="eastAsia" w:cs="仿宋_GB2312" w:asciiTheme="minorEastAsia" w:hAnsiTheme="minorEastAsia" w:eastAsiaTheme="minorEastAsia"/>
          <w:color w:val="000000"/>
          <w:sz w:val="21"/>
          <w:szCs w:val="21"/>
        </w:rPr>
        <w:t>联系电话：0374-</w:t>
      </w:r>
      <w:r>
        <w:rPr>
          <w:rFonts w:hint="eastAsia" w:cs="仿宋_GB2312" w:asciiTheme="minorEastAsia" w:hAnsiTheme="minorEastAsia" w:eastAsiaTheme="minorEastAsia"/>
          <w:color w:val="000000"/>
          <w:sz w:val="21"/>
          <w:szCs w:val="21"/>
          <w:lang w:val="en-US" w:eastAsia="zh-CN"/>
        </w:rPr>
        <w:t>7369022</w:t>
      </w:r>
      <w:r>
        <w:rPr>
          <w:rFonts w:hint="eastAsia" w:cs="仿宋_GB2312" w:asciiTheme="minorEastAsia" w:hAnsiTheme="minorEastAsia" w:eastAsiaTheme="minorEastAsia"/>
          <w:color w:val="0000FF"/>
          <w:sz w:val="21"/>
          <w:szCs w:val="21"/>
          <w:lang w:val="en-US" w:eastAsia="zh-CN"/>
        </w:rPr>
        <w:t xml:space="preserve"> </w:t>
      </w:r>
      <w:r>
        <w:rPr>
          <w:rFonts w:hint="eastAsia" w:cs="仿宋_GB2312" w:asciiTheme="minorEastAsia" w:hAnsiTheme="minorEastAsia" w:eastAsiaTheme="minorEastAsia"/>
          <w:color w:val="000000"/>
          <w:sz w:val="21"/>
          <w:szCs w:val="21"/>
          <w:lang w:val="en-US" w:eastAsia="zh-CN"/>
        </w:rPr>
        <w:t xml:space="preserve">   </w:t>
      </w:r>
    </w:p>
    <w:p>
      <w:pPr>
        <w:pStyle w:val="24"/>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代理机构：</w:t>
      </w:r>
      <w:r>
        <w:rPr>
          <w:rFonts w:hint="eastAsia" w:cs="仿宋_GB2312" w:asciiTheme="minorEastAsia" w:hAnsiTheme="minorEastAsia" w:eastAsiaTheme="minorEastAsia"/>
          <w:color w:val="000000"/>
          <w:sz w:val="21"/>
          <w:szCs w:val="21"/>
          <w:lang w:eastAsia="zh-CN"/>
        </w:rPr>
        <w:t>许昌光大电子商务技术服务有限公司</w:t>
      </w:r>
      <w:r>
        <w:rPr>
          <w:rFonts w:hint="eastAsia" w:cs="仿宋_GB2312" w:asciiTheme="minorEastAsia" w:hAnsiTheme="minorEastAsia" w:eastAsiaTheme="minorEastAsia"/>
          <w:color w:val="000000"/>
          <w:sz w:val="21"/>
          <w:szCs w:val="21"/>
        </w:rPr>
        <w:t xml:space="preserve"> </w:t>
      </w:r>
    </w:p>
    <w:p>
      <w:pPr>
        <w:pStyle w:val="24"/>
        <w:widowControl/>
        <w:shd w:val="clear" w:color="auto" w:fill="FFFFFF"/>
        <w:spacing w:line="360" w:lineRule="auto"/>
        <w:ind w:firstLine="420"/>
        <w:contextualSpacing/>
        <w:jc w:val="left"/>
        <w:rPr>
          <w:rFonts w:hint="default" w:cs="仿宋_GB2312" w:asciiTheme="minorEastAsia" w:hAnsiTheme="minorEastAsia" w:eastAsiaTheme="minorEastAsia"/>
          <w:color w:val="000000"/>
          <w:sz w:val="21"/>
          <w:szCs w:val="21"/>
          <w:lang w:val="en-US" w:eastAsia="zh-CN"/>
        </w:rPr>
      </w:pPr>
      <w:r>
        <w:rPr>
          <w:rFonts w:hint="eastAsia" w:cs="仿宋_GB2312" w:asciiTheme="minorEastAsia" w:hAnsiTheme="minorEastAsia" w:eastAsiaTheme="minorEastAsia"/>
          <w:color w:val="000000"/>
          <w:sz w:val="21"/>
          <w:szCs w:val="21"/>
        </w:rPr>
        <w:t>地址：</w:t>
      </w:r>
      <w:r>
        <w:rPr>
          <w:rFonts w:hint="eastAsia" w:cs="仿宋_GB2312" w:asciiTheme="minorEastAsia" w:hAnsiTheme="minorEastAsia" w:eastAsiaTheme="minorEastAsia"/>
          <w:color w:val="000000"/>
          <w:sz w:val="21"/>
          <w:szCs w:val="21"/>
          <w:lang w:eastAsia="zh-CN"/>
        </w:rPr>
        <w:t>许昌市智慧大道亨源通世纪广场</w:t>
      </w:r>
      <w:r>
        <w:rPr>
          <w:rFonts w:hint="eastAsia" w:cs="仿宋_GB2312" w:asciiTheme="minorEastAsia" w:hAnsiTheme="minorEastAsia" w:eastAsiaTheme="minorEastAsia"/>
          <w:color w:val="000000"/>
          <w:sz w:val="21"/>
          <w:szCs w:val="21"/>
          <w:lang w:val="en-US" w:eastAsia="zh-CN"/>
        </w:rPr>
        <w:t>1号楼401室</w:t>
      </w:r>
    </w:p>
    <w:p>
      <w:pPr>
        <w:pStyle w:val="24"/>
        <w:widowControl/>
        <w:shd w:val="clear" w:color="auto" w:fill="FFFFFF"/>
        <w:spacing w:line="360" w:lineRule="auto"/>
        <w:ind w:firstLine="420"/>
        <w:contextualSpacing/>
        <w:jc w:val="left"/>
        <w:rPr>
          <w:rFonts w:ascii="宋体" w:hAnsi="宋体"/>
          <w:szCs w:val="21"/>
        </w:rPr>
      </w:pPr>
      <w:r>
        <w:rPr>
          <w:rFonts w:hint="eastAsia" w:cs="仿宋_GB2312" w:asciiTheme="minorEastAsia" w:hAnsiTheme="minorEastAsia" w:eastAsiaTheme="minorEastAsia"/>
          <w:color w:val="000000"/>
          <w:sz w:val="21"/>
          <w:szCs w:val="21"/>
        </w:rPr>
        <w:t>联系人：</w:t>
      </w:r>
      <w:r>
        <w:rPr>
          <w:rFonts w:hint="eastAsia" w:cs="仿宋_GB2312" w:asciiTheme="minorEastAsia" w:hAnsiTheme="minorEastAsia" w:eastAsiaTheme="minorEastAsia"/>
          <w:color w:val="000000"/>
          <w:sz w:val="21"/>
          <w:szCs w:val="21"/>
          <w:lang w:eastAsia="zh-CN"/>
        </w:rPr>
        <w:t>朱女士</w:t>
      </w:r>
      <w:r>
        <w:rPr>
          <w:rFonts w:hint="eastAsia" w:cs="仿宋_GB2312" w:asciiTheme="minorEastAsia" w:hAnsiTheme="minorEastAsia" w:eastAsiaTheme="minorEastAsia"/>
          <w:color w:val="000000"/>
          <w:sz w:val="21"/>
          <w:szCs w:val="21"/>
        </w:rPr>
        <w:t xml:space="preserve">            联系电话：</w:t>
      </w:r>
      <w:r>
        <w:rPr>
          <w:rFonts w:hint="eastAsia" w:cs="仿宋_GB2312" w:asciiTheme="minorEastAsia" w:hAnsiTheme="minorEastAsia" w:eastAsiaTheme="minorEastAsia"/>
          <w:color w:val="000000"/>
          <w:sz w:val="21"/>
          <w:szCs w:val="21"/>
          <w:lang w:val="en-US" w:eastAsia="zh-CN"/>
        </w:rPr>
        <w:t>13323993003</w:t>
      </w:r>
    </w:p>
    <w:p>
      <w:pPr>
        <w:adjustRightInd w:val="0"/>
        <w:snapToGrid w:val="0"/>
        <w:spacing w:line="360" w:lineRule="auto"/>
        <w:ind w:firstLine="840" w:firstLineChars="400"/>
        <w:jc w:val="right"/>
        <w:rPr>
          <w:rFonts w:hint="eastAsia" w:ascii="宋体" w:hAnsi="宋体" w:eastAsiaTheme="minorEastAsia"/>
          <w:szCs w:val="21"/>
          <w:lang w:eastAsia="zh-CN"/>
        </w:rPr>
      </w:pPr>
      <w:r>
        <w:rPr>
          <w:rFonts w:hint="eastAsia" w:ascii="宋体" w:hAnsi="宋体"/>
          <w:szCs w:val="21"/>
          <w:lang w:eastAsia="zh-CN"/>
        </w:rPr>
        <w:t>河南省第三强制隔离戒毒所</w:t>
      </w:r>
    </w:p>
    <w:p>
      <w:pPr>
        <w:wordWrap w:val="0"/>
        <w:adjustRightInd w:val="0"/>
        <w:snapToGrid w:val="0"/>
        <w:spacing w:line="360" w:lineRule="auto"/>
        <w:ind w:firstLine="840" w:firstLineChars="400"/>
        <w:jc w:val="right"/>
        <w:rPr>
          <w:rFonts w:ascii="宋体" w:hAnsi="宋体"/>
          <w:szCs w:val="21"/>
        </w:rPr>
      </w:pPr>
      <w:r>
        <w:rPr>
          <w:rFonts w:hint="eastAsia" w:ascii="宋体" w:hAnsi="宋体"/>
          <w:szCs w:val="21"/>
        </w:rPr>
        <w:t>二〇一九年</w:t>
      </w:r>
      <w:r>
        <w:rPr>
          <w:rFonts w:hint="eastAsia" w:ascii="宋体" w:hAnsi="宋体"/>
          <w:szCs w:val="21"/>
          <w:lang w:eastAsia="zh-CN"/>
        </w:rPr>
        <w:t>十</w:t>
      </w:r>
      <w:r>
        <w:rPr>
          <w:rFonts w:hint="eastAsia" w:ascii="宋体" w:hAnsi="宋体"/>
          <w:szCs w:val="21"/>
        </w:rPr>
        <w:t>月</w:t>
      </w:r>
      <w:r>
        <w:rPr>
          <w:rFonts w:hint="eastAsia" w:ascii="宋体" w:hAnsi="宋体"/>
          <w:szCs w:val="21"/>
          <w:lang w:val="en-US" w:eastAsia="zh-CN"/>
        </w:rPr>
        <w:t>八</w:t>
      </w:r>
      <w:r>
        <w:rPr>
          <w:rFonts w:hint="eastAsia" w:ascii="宋体" w:hAnsi="宋体"/>
          <w:szCs w:val="21"/>
        </w:rPr>
        <w:t>日</w:t>
      </w:r>
    </w:p>
    <w:p>
      <w:pPr>
        <w:adjustRightInd w:val="0"/>
        <w:snapToGrid w:val="0"/>
        <w:spacing w:line="360" w:lineRule="auto"/>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hint="eastAsia" w:cs="仿宋_GB2312" w:asciiTheme="minorEastAsia" w:hAnsiTheme="minorEastAsia" w:eastAsiaTheme="minorEastAsia"/>
          <w:color w:val="000000"/>
          <w:sz w:val="24"/>
          <w:szCs w:val="24"/>
          <w:lang w:eastAsia="zh-CN"/>
        </w:rPr>
      </w:pPr>
    </w:p>
    <w:p>
      <w:pPr>
        <w:numPr>
          <w:ilvl w:val="0"/>
          <w:numId w:val="0"/>
        </w:numPr>
        <w:jc w:val="center"/>
        <w:rPr>
          <w:rFonts w:hint="eastAsia" w:cs="宋体" w:asciiTheme="majorEastAsia" w:hAnsiTheme="majorEastAsia" w:eastAsiaTheme="majorEastAsia"/>
          <w:b/>
          <w:kern w:val="0"/>
          <w:sz w:val="32"/>
          <w:szCs w:val="32"/>
          <w:lang w:eastAsia="zh-CN"/>
        </w:rPr>
      </w:pPr>
    </w:p>
    <w:p>
      <w:pPr>
        <w:numPr>
          <w:ilvl w:val="0"/>
          <w:numId w:val="0"/>
        </w:numPr>
        <w:jc w:val="center"/>
        <w:rPr>
          <w:rFonts w:hint="eastAsia" w:cs="宋体" w:asciiTheme="majorEastAsia" w:hAnsiTheme="majorEastAsia" w:eastAsiaTheme="majorEastAsia"/>
          <w:b/>
          <w:kern w:val="0"/>
          <w:sz w:val="32"/>
          <w:szCs w:val="32"/>
          <w:lang w:eastAsia="zh-CN"/>
        </w:rPr>
      </w:pPr>
    </w:p>
    <w:p>
      <w:pPr>
        <w:numPr>
          <w:ilvl w:val="0"/>
          <w:numId w:val="0"/>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eastAsia="zh-CN"/>
        </w:rPr>
        <w:t>第二章</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项目需求</w:t>
      </w: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一、本项目需实现的功能或者目标</w:t>
      </w:r>
    </w:p>
    <w:p>
      <w:pPr>
        <w:widowControl/>
        <w:shd w:val="clear" w:color="auto" w:fill="FFFFFF"/>
        <w:spacing w:line="360" w:lineRule="auto"/>
        <w:ind w:firstLine="480" w:firstLineChars="200"/>
        <w:contextualSpacing/>
        <w:jc w:val="left"/>
        <w:rPr>
          <w:rFonts w:cs="仿宋" w:asciiTheme="minorEastAsia" w:hAnsiTheme="minorEastAsia"/>
          <w:sz w:val="24"/>
          <w:szCs w:val="24"/>
        </w:rPr>
      </w:pPr>
      <w:r>
        <w:rPr>
          <w:rFonts w:hint="eastAsia" w:cs="仿宋" w:asciiTheme="minorEastAsia" w:hAnsiTheme="minorEastAsia"/>
          <w:color w:val="000000"/>
          <w:kern w:val="0"/>
          <w:sz w:val="24"/>
          <w:szCs w:val="24"/>
          <w:shd w:val="clear" w:color="auto" w:fill="FFFFFF"/>
        </w:rPr>
        <w:t>购买</w:t>
      </w:r>
      <w:r>
        <w:rPr>
          <w:rFonts w:hint="eastAsia" w:cs="仿宋" w:asciiTheme="minorEastAsia" w:hAnsiTheme="minorEastAsia"/>
          <w:color w:val="000000"/>
          <w:kern w:val="0"/>
          <w:sz w:val="24"/>
          <w:szCs w:val="24"/>
          <w:shd w:val="clear" w:color="auto" w:fill="FFFFFF"/>
          <w:lang w:eastAsia="zh-CN"/>
        </w:rPr>
        <w:t>指挥中心大屏显示系统</w:t>
      </w:r>
      <w:r>
        <w:rPr>
          <w:rFonts w:hint="eastAsia" w:cs="仿宋" w:asciiTheme="minorEastAsia" w:hAnsiTheme="minorEastAsia"/>
          <w:color w:val="000000"/>
          <w:kern w:val="0"/>
          <w:sz w:val="24"/>
          <w:szCs w:val="24"/>
          <w:shd w:val="clear" w:color="auto" w:fill="FFFFFF"/>
        </w:rPr>
        <w:t>。</w:t>
      </w:r>
    </w:p>
    <w:p>
      <w:pPr>
        <w:widowControl/>
        <w:numPr>
          <w:ilvl w:val="0"/>
          <w:numId w:val="4"/>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tbl>
      <w:tblPr>
        <w:tblStyle w:val="26"/>
        <w:tblW w:w="9555"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305"/>
        <w:gridCol w:w="5430"/>
        <w:gridCol w:w="645"/>
        <w:gridCol w:w="675"/>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shd w:val="clear" w:color="auto" w:fill="FFFFFF"/>
                <w:vertAlign w:val="baseline"/>
              </w:rPr>
            </w:pPr>
            <w:r>
              <w:rPr>
                <w:rFonts w:hint="eastAsia" w:asciiTheme="minorEastAsia" w:hAnsiTheme="minorEastAsia" w:eastAsiaTheme="minorEastAsia" w:cstheme="minorEastAsia"/>
                <w:color w:val="000000"/>
                <w:sz w:val="21"/>
                <w:szCs w:val="21"/>
              </w:rPr>
              <w:t>序号</w:t>
            </w:r>
          </w:p>
        </w:tc>
        <w:tc>
          <w:tcPr>
            <w:tcW w:w="1305"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shd w:val="clear" w:color="auto" w:fill="FFFFFF"/>
                <w:vertAlign w:val="baseline"/>
              </w:rPr>
            </w:pPr>
            <w:r>
              <w:rPr>
                <w:rFonts w:hint="eastAsia" w:asciiTheme="minorEastAsia" w:hAnsiTheme="minorEastAsia" w:eastAsiaTheme="minorEastAsia" w:cstheme="minorEastAsia"/>
                <w:color w:val="000000"/>
                <w:sz w:val="21"/>
                <w:szCs w:val="21"/>
              </w:rPr>
              <w:t>货物名称</w:t>
            </w:r>
          </w:p>
        </w:tc>
        <w:tc>
          <w:tcPr>
            <w:tcW w:w="5430"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shd w:val="clear" w:color="auto" w:fill="FFFFFF"/>
                <w:vertAlign w:val="baseline"/>
              </w:rPr>
            </w:pPr>
            <w:r>
              <w:rPr>
                <w:rFonts w:hint="eastAsia" w:asciiTheme="minorEastAsia" w:hAnsiTheme="minorEastAsia" w:eastAsiaTheme="minorEastAsia" w:cstheme="minorEastAsia"/>
                <w:color w:val="000000"/>
                <w:sz w:val="21"/>
                <w:szCs w:val="21"/>
              </w:rPr>
              <w:t>技术规格及主要参数</w:t>
            </w:r>
          </w:p>
        </w:tc>
        <w:tc>
          <w:tcPr>
            <w:tcW w:w="645"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shd w:val="clear" w:color="auto" w:fill="FFFFFF"/>
                <w:vertAlign w:val="baseline"/>
              </w:rPr>
            </w:pPr>
            <w:r>
              <w:rPr>
                <w:rFonts w:hint="eastAsia" w:asciiTheme="minorEastAsia" w:hAnsiTheme="minorEastAsia" w:eastAsiaTheme="minorEastAsia" w:cstheme="minorEastAsia"/>
                <w:color w:val="000000"/>
                <w:sz w:val="21"/>
                <w:szCs w:val="21"/>
              </w:rPr>
              <w:t>单位</w:t>
            </w:r>
          </w:p>
        </w:tc>
        <w:tc>
          <w:tcPr>
            <w:tcW w:w="675"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shd w:val="clear" w:color="auto" w:fill="FFFFFF"/>
                <w:vertAlign w:val="baseline"/>
              </w:rPr>
            </w:pPr>
            <w:r>
              <w:rPr>
                <w:rFonts w:hint="eastAsia" w:asciiTheme="minorEastAsia" w:hAnsiTheme="minorEastAsia" w:eastAsiaTheme="minorEastAsia" w:cstheme="minorEastAsia"/>
                <w:color w:val="auto"/>
                <w:sz w:val="21"/>
                <w:szCs w:val="21"/>
              </w:rPr>
              <w:t>数量</w:t>
            </w:r>
          </w:p>
        </w:tc>
        <w:tc>
          <w:tcPr>
            <w:tcW w:w="870"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shd w:val="clear" w:color="auto" w:fill="FFFFFF"/>
                <w:vertAlign w:val="baseline"/>
              </w:rPr>
            </w:pPr>
            <w:r>
              <w:rPr>
                <w:rFonts w:hint="eastAsia" w:asciiTheme="minorEastAsia" w:hAnsiTheme="minorEastAsia" w:eastAsiaTheme="minorEastAsia" w:cstheme="minorEastAsia"/>
                <w:color w:val="auto"/>
                <w:sz w:val="21"/>
                <w:szCs w:val="21"/>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w:t>
            </w:r>
          </w:p>
        </w:tc>
        <w:tc>
          <w:tcPr>
            <w:tcW w:w="1305" w:type="dxa"/>
            <w:vAlign w:val="center"/>
          </w:tcPr>
          <w:p>
            <w:pPr>
              <w:widowControl/>
              <w:jc w:val="center"/>
              <w:rPr>
                <w:rFonts w:hint="default" w:asciiTheme="minorEastAsia" w:hAnsiTheme="minorEastAsia" w:eastAsiaTheme="minorEastAsia" w:cstheme="minorEastAsia"/>
                <w:color w:val="000000"/>
                <w:sz w:val="21"/>
                <w:szCs w:val="21"/>
                <w:lang w:val="en-US" w:eastAsia="zh-CN"/>
              </w:rPr>
            </w:pPr>
            <w:r>
              <w:rPr>
                <w:rFonts w:hint="eastAsia" w:ascii="宋体" w:hAnsi="宋体" w:eastAsia="宋体" w:cs="宋体"/>
                <w:color w:val="auto"/>
                <w:kern w:val="0"/>
                <w:sz w:val="21"/>
                <w:szCs w:val="21"/>
              </w:rPr>
              <w:t>液晶拼接屏</w:t>
            </w:r>
          </w:p>
        </w:tc>
        <w:tc>
          <w:tcPr>
            <w:tcW w:w="5430" w:type="dxa"/>
            <w:vAlign w:val="center"/>
          </w:tcPr>
          <w:p>
            <w:pPr>
              <w:widowControl/>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1.LCD显示单元</w:t>
            </w:r>
            <w:r>
              <w:rPr>
                <w:rFonts w:hint="eastAsia" w:ascii="宋体" w:hAnsi="宋体" w:eastAsia="宋体" w:cs="宋体"/>
                <w:color w:val="auto"/>
                <w:kern w:val="0"/>
                <w:sz w:val="21"/>
                <w:szCs w:val="21"/>
                <w:lang w:eastAsia="zh-CN"/>
              </w:rPr>
              <w:t>须</w:t>
            </w:r>
            <w:r>
              <w:rPr>
                <w:rFonts w:hint="eastAsia" w:ascii="宋体" w:hAnsi="宋体" w:eastAsia="宋体" w:cs="宋体"/>
                <w:color w:val="auto"/>
                <w:kern w:val="0"/>
                <w:sz w:val="21"/>
                <w:szCs w:val="21"/>
              </w:rPr>
              <w:t>采用</w:t>
            </w:r>
            <w:r>
              <w:rPr>
                <w:rFonts w:hint="eastAsia" w:ascii="宋体" w:hAnsi="宋体" w:eastAsia="宋体" w:cs="宋体"/>
                <w:color w:val="auto"/>
                <w:kern w:val="0"/>
                <w:sz w:val="21"/>
                <w:szCs w:val="21"/>
                <w:lang w:val="en-US" w:eastAsia="zh-CN"/>
              </w:rPr>
              <w:t>55英寸</w:t>
            </w:r>
            <w:r>
              <w:rPr>
                <w:rFonts w:hint="eastAsia" w:ascii="宋体" w:hAnsi="宋体" w:eastAsia="宋体" w:cs="宋体"/>
                <w:color w:val="auto"/>
                <w:kern w:val="0"/>
                <w:sz w:val="21"/>
                <w:szCs w:val="21"/>
                <w:lang w:eastAsia="zh-CN"/>
              </w:rPr>
              <w:t>三星</w:t>
            </w:r>
            <w:r>
              <w:rPr>
                <w:rFonts w:hint="eastAsia" w:ascii="宋体" w:hAnsi="宋体" w:eastAsia="宋体" w:cs="宋体"/>
                <w:color w:val="auto"/>
                <w:kern w:val="0"/>
                <w:sz w:val="21"/>
                <w:szCs w:val="21"/>
              </w:rPr>
              <w:t>超窄边液晶面板</w:t>
            </w:r>
            <w:r>
              <w:rPr>
                <w:rFonts w:hint="eastAsia" w:ascii="宋体" w:hAnsi="宋体" w:eastAsia="宋体" w:cs="宋体"/>
                <w:color w:val="auto"/>
                <w:kern w:val="0"/>
                <w:sz w:val="21"/>
                <w:szCs w:val="21"/>
                <w:lang w:eastAsia="zh-CN"/>
              </w:rPr>
              <w:t>。</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拼接边缝≤</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mm，物理分辨率为1920×1080，亮度≥500cd/㎡,对比度≥3500:1。</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显示单元可输入模拟/数字RGB、复合视频/高清视频、高清数字等信号，接口支持类型：1路HDMI，1路DVI，1路VGA，2路VIDEO。</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显示单元</w:t>
            </w:r>
            <w:r>
              <w:rPr>
                <w:rFonts w:hint="eastAsia" w:ascii="宋体" w:hAnsi="宋体" w:eastAsia="宋体" w:cs="宋体"/>
                <w:color w:val="auto"/>
                <w:kern w:val="0"/>
                <w:sz w:val="21"/>
                <w:szCs w:val="21"/>
                <w:lang w:eastAsia="zh-CN"/>
              </w:rPr>
              <w:t>须</w:t>
            </w:r>
            <w:r>
              <w:rPr>
                <w:rFonts w:hint="eastAsia" w:ascii="宋体" w:hAnsi="宋体" w:eastAsia="宋体" w:cs="宋体"/>
                <w:color w:val="auto"/>
                <w:kern w:val="0"/>
                <w:sz w:val="21"/>
                <w:szCs w:val="21"/>
              </w:rPr>
              <w:t>提供1路RS232（RJ45）入，2路RS232(RJ45)出串口控制，使控制信号可并联传输，有效防止因屏数量多而造成控制信号的衰减，并可通过远程控制</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5、★显示单元</w:t>
            </w:r>
            <w:r>
              <w:rPr>
                <w:rFonts w:hint="eastAsia" w:ascii="宋体" w:hAnsi="宋体" w:eastAsia="宋体" w:cs="宋体"/>
                <w:color w:val="auto"/>
                <w:kern w:val="0"/>
                <w:sz w:val="21"/>
                <w:szCs w:val="21"/>
                <w:lang w:eastAsia="zh-CN"/>
              </w:rPr>
              <w:t>须</w:t>
            </w:r>
            <w:r>
              <w:rPr>
                <w:rFonts w:hint="eastAsia" w:ascii="宋体" w:hAnsi="宋体" w:eastAsia="宋体" w:cs="宋体"/>
                <w:color w:val="auto"/>
                <w:kern w:val="0"/>
                <w:sz w:val="21"/>
                <w:szCs w:val="21"/>
              </w:rPr>
              <w:t>配置1路RJ45千兆网络输入接口，支持流媒体信号传输显示，处理器和液晶显示单元直接通过超五类网线传输数字图像信号。</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 ★</w:t>
            </w:r>
            <w:r>
              <w:rPr>
                <w:rFonts w:hint="eastAsia" w:ascii="宋体" w:hAnsi="宋体" w:eastAsia="宋体" w:cs="宋体"/>
                <w:color w:val="auto"/>
                <w:kern w:val="0"/>
                <w:sz w:val="21"/>
                <w:szCs w:val="21"/>
                <w:lang w:eastAsia="zh-CN"/>
              </w:rPr>
              <w:t>须支持</w:t>
            </w:r>
            <w:r>
              <w:rPr>
                <w:rFonts w:hint="eastAsia" w:ascii="宋体" w:hAnsi="宋体" w:eastAsia="宋体" w:cs="宋体"/>
                <w:color w:val="auto"/>
                <w:kern w:val="0"/>
                <w:sz w:val="21"/>
                <w:szCs w:val="21"/>
              </w:rPr>
              <w:t>智能温度控制，过热屏幕告警。</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 ★环境光侦测，</w:t>
            </w:r>
            <w:r>
              <w:rPr>
                <w:rFonts w:hint="eastAsia" w:ascii="宋体" w:hAnsi="宋体" w:eastAsia="宋体" w:cs="宋体"/>
                <w:color w:val="auto"/>
                <w:kern w:val="0"/>
                <w:sz w:val="21"/>
                <w:szCs w:val="21"/>
                <w:lang w:eastAsia="zh-CN"/>
              </w:rPr>
              <w:t>须</w:t>
            </w:r>
            <w:r>
              <w:rPr>
                <w:rFonts w:hint="eastAsia" w:ascii="宋体" w:hAnsi="宋体" w:eastAsia="宋体" w:cs="宋体"/>
                <w:color w:val="auto"/>
                <w:kern w:val="0"/>
                <w:sz w:val="21"/>
                <w:szCs w:val="21"/>
              </w:rPr>
              <w:t>具备屏幕输出亮度自动适应功能。</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 ★</w:t>
            </w:r>
            <w:r>
              <w:rPr>
                <w:rFonts w:hint="eastAsia" w:ascii="宋体" w:hAnsi="宋体" w:eastAsia="宋体" w:cs="宋体"/>
                <w:color w:val="auto"/>
                <w:kern w:val="0"/>
                <w:sz w:val="21"/>
                <w:szCs w:val="21"/>
                <w:lang w:eastAsia="zh-CN"/>
              </w:rPr>
              <w:t>须</w:t>
            </w:r>
            <w:r>
              <w:rPr>
                <w:rFonts w:hint="eastAsia" w:ascii="宋体" w:hAnsi="宋体" w:eastAsia="宋体" w:cs="宋体"/>
                <w:color w:val="auto"/>
                <w:kern w:val="0"/>
                <w:sz w:val="21"/>
                <w:szCs w:val="21"/>
              </w:rPr>
              <w:t>支持拼缝补偿功能，可在控制端对LCD 拼接时的缝隙进行屏幕数据补偿、几何修正，解决拼接墙图像边框处不连续现象。</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 ★低噪音，不影响正常工作；工作噪音不得高30dB(A)。</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r>
              <w:rPr>
                <w:rFonts w:hint="eastAsia" w:ascii="宋体" w:hAnsi="宋体" w:eastAsia="宋体" w:cs="宋体"/>
                <w:color w:val="auto"/>
                <w:kern w:val="0"/>
                <w:sz w:val="21"/>
                <w:szCs w:val="21"/>
                <w:lang w:eastAsia="zh-CN"/>
              </w:rPr>
              <w:t>须</w:t>
            </w:r>
            <w:r>
              <w:rPr>
                <w:rFonts w:hint="eastAsia" w:ascii="宋体" w:hAnsi="宋体" w:eastAsia="宋体" w:cs="宋体"/>
                <w:color w:val="auto"/>
                <w:kern w:val="0"/>
                <w:sz w:val="21"/>
                <w:szCs w:val="21"/>
              </w:rPr>
              <w:t>支持7*24小时不间断使用，背光系统平均无故障使用时间&gt;=50000小时。</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.后盖</w:t>
            </w:r>
            <w:r>
              <w:rPr>
                <w:rFonts w:hint="eastAsia" w:ascii="宋体" w:hAnsi="宋体" w:eastAsia="宋体" w:cs="宋体"/>
                <w:color w:val="auto"/>
                <w:kern w:val="0"/>
                <w:sz w:val="21"/>
                <w:szCs w:val="21"/>
                <w:lang w:eastAsia="zh-CN"/>
              </w:rPr>
              <w:t>应</w:t>
            </w:r>
            <w:r>
              <w:rPr>
                <w:rFonts w:hint="eastAsia" w:ascii="宋体" w:hAnsi="宋体" w:eastAsia="宋体" w:cs="宋体"/>
                <w:color w:val="auto"/>
                <w:kern w:val="0"/>
                <w:sz w:val="21"/>
                <w:szCs w:val="21"/>
              </w:rPr>
              <w:t>支持简易维护设计，支持墙上对电源、板卡和线缆等直接维护修理，无需拆解大屏系统和整机；</w:t>
            </w:r>
          </w:p>
          <w:p>
            <w:pPr>
              <w:widowControl/>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显示单元应满足不低于8级抗震烈度设计要求。</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显示单元应通过HB级阻燃测试。</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w:t>
            </w:r>
            <w:r>
              <w:rPr>
                <w:rFonts w:hint="eastAsia" w:ascii="宋体" w:hAnsi="宋体" w:eastAsia="宋体" w:cs="宋体"/>
                <w:color w:val="auto"/>
                <w:kern w:val="0"/>
                <w:sz w:val="20"/>
                <w:szCs w:val="20"/>
              </w:rPr>
              <w:t>显示单元</w:t>
            </w:r>
            <w:r>
              <w:rPr>
                <w:rFonts w:hint="eastAsia" w:ascii="宋体" w:hAnsi="宋体" w:eastAsia="宋体" w:cs="宋体"/>
                <w:color w:val="auto"/>
                <w:kern w:val="0"/>
                <w:sz w:val="20"/>
                <w:szCs w:val="20"/>
                <w:lang w:eastAsia="zh-CN"/>
              </w:rPr>
              <w:t>应</w:t>
            </w:r>
            <w:r>
              <w:rPr>
                <w:rFonts w:hint="eastAsia" w:ascii="宋体" w:hAnsi="宋体" w:eastAsia="宋体" w:cs="宋体"/>
                <w:color w:val="auto"/>
                <w:kern w:val="0"/>
                <w:sz w:val="20"/>
                <w:szCs w:val="20"/>
              </w:rPr>
              <w:t>通过CCC、CE、ROSH认证。</w:t>
            </w:r>
          </w:p>
          <w:p>
            <w:pPr>
              <w:widowControl/>
              <w:jc w:val="left"/>
              <w:rPr>
                <w:rFonts w:hint="default" w:asciiTheme="minorEastAsia" w:hAnsiTheme="minorEastAsia" w:eastAsiaTheme="minorEastAsia" w:cstheme="minorEastAsia"/>
                <w:color w:val="000000"/>
                <w:sz w:val="21"/>
                <w:szCs w:val="21"/>
                <w:lang w:val="en-US" w:eastAsia="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.★显示单元</w:t>
            </w:r>
            <w:r>
              <w:rPr>
                <w:rFonts w:hint="eastAsia" w:ascii="宋体" w:hAnsi="宋体" w:eastAsia="宋体" w:cs="宋体"/>
                <w:color w:val="auto"/>
                <w:kern w:val="0"/>
                <w:sz w:val="21"/>
                <w:szCs w:val="21"/>
                <w:lang w:eastAsia="zh-CN"/>
              </w:rPr>
              <w:t>应</w:t>
            </w:r>
            <w:r>
              <w:rPr>
                <w:rFonts w:hint="eastAsia" w:ascii="宋体" w:hAnsi="宋体" w:eastAsia="宋体" w:cs="宋体"/>
                <w:color w:val="auto"/>
                <w:kern w:val="0"/>
                <w:sz w:val="21"/>
                <w:szCs w:val="21"/>
              </w:rPr>
              <w:t>通过IP6X 防尘认证</w:t>
            </w:r>
            <w:r>
              <w:rPr>
                <w:rFonts w:hint="eastAsia" w:ascii="宋体" w:hAnsi="宋体" w:eastAsia="宋体" w:cs="宋体"/>
                <w:color w:val="auto"/>
                <w:kern w:val="0"/>
                <w:sz w:val="21"/>
                <w:szCs w:val="21"/>
                <w:lang w:eastAsia="zh-CN"/>
              </w:rPr>
              <w:t>。</w:t>
            </w:r>
          </w:p>
        </w:tc>
        <w:tc>
          <w:tcPr>
            <w:tcW w:w="645" w:type="dxa"/>
            <w:vAlign w:val="center"/>
          </w:tcPr>
          <w:p>
            <w:pPr>
              <w:widowControl/>
              <w:jc w:val="center"/>
              <w:rPr>
                <w:rFonts w:hint="eastAsia" w:asciiTheme="minorEastAsia" w:hAnsiTheme="minorEastAsia" w:eastAsiaTheme="minorEastAsia" w:cstheme="minorEastAsia"/>
                <w:color w:val="000000"/>
                <w:sz w:val="21"/>
                <w:szCs w:val="21"/>
                <w:lang w:eastAsia="zh-CN"/>
              </w:rPr>
            </w:pPr>
            <w:r>
              <w:rPr>
                <w:rFonts w:hint="eastAsia" w:ascii="宋体" w:hAnsi="宋体" w:eastAsia="宋体" w:cs="宋体"/>
                <w:color w:val="auto"/>
                <w:kern w:val="0"/>
                <w:sz w:val="21"/>
                <w:szCs w:val="21"/>
              </w:rPr>
              <w:t>70</w:t>
            </w:r>
          </w:p>
        </w:tc>
        <w:tc>
          <w:tcPr>
            <w:tcW w:w="675" w:type="dxa"/>
            <w:vAlign w:val="center"/>
          </w:tcPr>
          <w:p>
            <w:pPr>
              <w:widowControl/>
              <w:jc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color w:val="auto"/>
                <w:kern w:val="0"/>
                <w:sz w:val="21"/>
                <w:szCs w:val="21"/>
                <w:lang w:eastAsia="zh-CN"/>
              </w:rPr>
              <w:t>台</w:t>
            </w:r>
          </w:p>
        </w:tc>
        <w:tc>
          <w:tcPr>
            <w:tcW w:w="870"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cstheme="minorEastAsia"/>
                <w:color w:val="000000"/>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w:t>
            </w:r>
          </w:p>
        </w:tc>
        <w:tc>
          <w:tcPr>
            <w:tcW w:w="1305" w:type="dxa"/>
            <w:vAlign w:val="center"/>
          </w:tcPr>
          <w:p>
            <w:pPr>
              <w:widowControl/>
              <w:jc w:val="center"/>
              <w:rPr>
                <w:rFonts w:hint="default" w:asciiTheme="minorEastAsia" w:hAnsiTheme="minorEastAsia" w:eastAsiaTheme="minorEastAsia" w:cstheme="minorEastAsia"/>
                <w:color w:val="000000"/>
                <w:sz w:val="21"/>
                <w:szCs w:val="21"/>
                <w:lang w:val="en-US" w:eastAsia="zh-CN"/>
              </w:rPr>
            </w:pPr>
            <w:r>
              <w:rPr>
                <w:rFonts w:hint="eastAsia" w:ascii="宋体" w:hAnsi="宋体" w:eastAsia="宋体" w:cs="宋体"/>
                <w:color w:val="auto"/>
                <w:kern w:val="0"/>
                <w:sz w:val="21"/>
                <w:szCs w:val="21"/>
              </w:rPr>
              <w:t>拼接屏支架</w:t>
            </w:r>
          </w:p>
        </w:tc>
        <w:tc>
          <w:tcPr>
            <w:tcW w:w="5430" w:type="dxa"/>
            <w:vAlign w:val="center"/>
          </w:tcPr>
          <w:p>
            <w:pPr>
              <w:widowControl/>
              <w:jc w:val="left"/>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color w:val="auto"/>
                <w:kern w:val="0"/>
                <w:sz w:val="21"/>
                <w:szCs w:val="21"/>
                <w:lang w:eastAsia="zh-CN"/>
              </w:rPr>
              <w:t>双立柱</w:t>
            </w:r>
            <w:r>
              <w:rPr>
                <w:rFonts w:hint="eastAsia" w:ascii="宋体" w:hAnsi="宋体" w:eastAsia="宋体" w:cs="宋体"/>
                <w:color w:val="auto"/>
                <w:kern w:val="0"/>
                <w:sz w:val="21"/>
                <w:szCs w:val="21"/>
                <w:lang w:val="en-US" w:eastAsia="zh-CN"/>
              </w:rPr>
              <w:t>3.5mm</w:t>
            </w:r>
            <w:r>
              <w:rPr>
                <w:rFonts w:hint="eastAsia" w:ascii="宋体" w:hAnsi="宋体" w:eastAsia="宋体" w:cs="宋体"/>
                <w:color w:val="auto"/>
                <w:kern w:val="0"/>
                <w:sz w:val="21"/>
                <w:szCs w:val="21"/>
                <w:lang w:eastAsia="zh-CN"/>
              </w:rPr>
              <w:t>高强度专用钢材，</w:t>
            </w:r>
            <w:r>
              <w:rPr>
                <w:rFonts w:hint="eastAsia" w:ascii="宋体" w:hAnsi="宋体" w:eastAsia="宋体" w:cs="宋体"/>
                <w:color w:val="auto"/>
                <w:kern w:val="0"/>
                <w:sz w:val="21"/>
                <w:szCs w:val="21"/>
                <w:lang w:val="en-US" w:eastAsia="zh-CN"/>
              </w:rPr>
              <w:t>2.5mm厚专用方管，</w:t>
            </w:r>
            <w:r>
              <w:rPr>
                <w:rFonts w:hint="eastAsia" w:ascii="宋体" w:hAnsi="宋体" w:eastAsia="宋体" w:cs="宋体"/>
                <w:color w:val="auto"/>
                <w:kern w:val="0"/>
                <w:sz w:val="21"/>
                <w:szCs w:val="21"/>
                <w:lang w:eastAsia="zh-CN"/>
              </w:rPr>
              <w:t>三层人员维护通道，表面防静电喷塑。</w:t>
            </w:r>
          </w:p>
        </w:tc>
        <w:tc>
          <w:tcPr>
            <w:tcW w:w="645" w:type="dxa"/>
            <w:vAlign w:val="center"/>
          </w:tcPr>
          <w:p>
            <w:pPr>
              <w:widowControl/>
              <w:jc w:val="center"/>
              <w:rPr>
                <w:rFonts w:hint="eastAsia" w:asciiTheme="minorEastAsia" w:hAnsiTheme="minorEastAsia" w:eastAsiaTheme="minorEastAsia" w:cstheme="minorEastAsia"/>
                <w:color w:val="000000"/>
                <w:sz w:val="21"/>
                <w:szCs w:val="21"/>
                <w:lang w:eastAsia="zh-CN"/>
              </w:rPr>
            </w:pPr>
            <w:r>
              <w:rPr>
                <w:rFonts w:hint="eastAsia" w:ascii="宋体" w:hAnsi="宋体" w:eastAsia="宋体" w:cs="宋体"/>
                <w:color w:val="auto"/>
                <w:kern w:val="0"/>
                <w:sz w:val="21"/>
                <w:szCs w:val="21"/>
              </w:rPr>
              <w:t>70</w:t>
            </w:r>
          </w:p>
        </w:tc>
        <w:tc>
          <w:tcPr>
            <w:tcW w:w="675" w:type="dxa"/>
            <w:vAlign w:val="center"/>
          </w:tcPr>
          <w:p>
            <w:pPr>
              <w:widowControl/>
              <w:jc w:val="center"/>
              <w:rPr>
                <w:rFonts w:hint="default" w:asciiTheme="minorEastAsia" w:hAnsiTheme="minorEastAsia" w:eastAsiaTheme="minorEastAsia" w:cstheme="minorEastAsia"/>
                <w:color w:val="000000"/>
                <w:sz w:val="21"/>
                <w:szCs w:val="21"/>
                <w:lang w:val="en-US" w:eastAsia="zh-CN"/>
              </w:rPr>
            </w:pPr>
            <w:r>
              <w:rPr>
                <w:rFonts w:hint="eastAsia" w:ascii="宋体" w:hAnsi="宋体" w:eastAsia="宋体" w:cs="宋体"/>
                <w:color w:val="auto"/>
                <w:kern w:val="0"/>
                <w:sz w:val="21"/>
                <w:szCs w:val="21"/>
                <w:lang w:eastAsia="zh-CN"/>
              </w:rPr>
              <w:t>套</w:t>
            </w:r>
          </w:p>
        </w:tc>
        <w:tc>
          <w:tcPr>
            <w:tcW w:w="870"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cstheme="minorEastAsia"/>
                <w:color w:val="000000"/>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w:t>
            </w:r>
          </w:p>
        </w:tc>
        <w:tc>
          <w:tcPr>
            <w:tcW w:w="1305" w:type="dxa"/>
            <w:vAlign w:val="center"/>
          </w:tcPr>
          <w:p>
            <w:pPr>
              <w:widowControl/>
              <w:jc w:val="center"/>
              <w:rPr>
                <w:rFonts w:hint="default" w:asciiTheme="minorEastAsia" w:hAnsiTheme="minorEastAsia" w:eastAsiaTheme="minorEastAsia" w:cstheme="minorEastAsia"/>
                <w:color w:val="000000"/>
                <w:sz w:val="21"/>
                <w:szCs w:val="21"/>
                <w:lang w:val="en-US" w:eastAsia="zh-CN"/>
              </w:rPr>
            </w:pPr>
            <w:r>
              <w:rPr>
                <w:rFonts w:hint="eastAsia" w:ascii="宋体" w:hAnsi="宋体" w:eastAsia="宋体" w:cs="宋体"/>
                <w:color w:val="auto"/>
                <w:kern w:val="0"/>
                <w:sz w:val="21"/>
                <w:szCs w:val="21"/>
              </w:rPr>
              <w:t>高清图像处理器</w:t>
            </w:r>
          </w:p>
        </w:tc>
        <w:tc>
          <w:tcPr>
            <w:tcW w:w="5430" w:type="dxa"/>
            <w:vAlign w:val="center"/>
          </w:tcPr>
          <w:p>
            <w:pPr>
              <w:widowControl/>
              <w:numPr>
                <w:ilvl w:val="0"/>
                <w:numId w:val="0"/>
              </w:numPr>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须</w:t>
            </w:r>
            <w:r>
              <w:rPr>
                <w:rFonts w:hint="eastAsia" w:ascii="宋体" w:hAnsi="宋体" w:eastAsia="宋体" w:cs="宋体"/>
                <w:color w:val="auto"/>
                <w:kern w:val="0"/>
                <w:sz w:val="21"/>
                <w:szCs w:val="21"/>
              </w:rPr>
              <w:t>采用全数字纯硬件结构、所有输入输出信号处理都为板卡式热拔插结构，板卡全部集成在机箱内部，控制接口为RJ45网络接口（带IP地址）和RS232（DB9）双控制接口，完全杜绝计算机病毒侵扰。</w:t>
            </w:r>
          </w:p>
          <w:p>
            <w:pPr>
              <w:widowControl/>
              <w:numPr>
                <w:ilvl w:val="0"/>
                <w:numId w:val="0"/>
              </w:numPr>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开机时间≤5秒，系统总带宽：≥200Gbps。</w:t>
            </w:r>
          </w:p>
          <w:p>
            <w:pPr>
              <w:widowControl/>
              <w:numPr>
                <w:ilvl w:val="0"/>
                <w:numId w:val="0"/>
              </w:numPr>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图像处理器</w:t>
            </w:r>
            <w:r>
              <w:rPr>
                <w:rFonts w:hint="eastAsia" w:ascii="宋体" w:hAnsi="宋体" w:eastAsia="宋体" w:cs="宋体"/>
                <w:color w:val="auto"/>
                <w:kern w:val="0"/>
                <w:sz w:val="21"/>
                <w:szCs w:val="21"/>
                <w:lang w:eastAsia="zh-CN"/>
              </w:rPr>
              <w:t>须</w:t>
            </w:r>
            <w:r>
              <w:rPr>
                <w:rFonts w:hint="eastAsia" w:ascii="宋体" w:hAnsi="宋体" w:eastAsia="宋体" w:cs="宋体"/>
                <w:color w:val="auto"/>
                <w:kern w:val="0"/>
                <w:sz w:val="21"/>
                <w:szCs w:val="21"/>
              </w:rPr>
              <w:t>配置</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路</w:t>
            </w:r>
            <w:r>
              <w:rPr>
                <w:rFonts w:hint="eastAsia" w:ascii="宋体" w:hAnsi="宋体" w:eastAsia="宋体" w:cs="宋体"/>
                <w:color w:val="auto"/>
                <w:kern w:val="0"/>
                <w:sz w:val="21"/>
                <w:szCs w:val="21"/>
                <w:lang w:val="en-US" w:eastAsia="zh-CN"/>
              </w:rPr>
              <w:t>4K（3840*2160）</w:t>
            </w:r>
            <w:r>
              <w:rPr>
                <w:rFonts w:hint="eastAsia" w:ascii="宋体" w:hAnsi="宋体" w:eastAsia="宋体" w:cs="宋体"/>
                <w:color w:val="auto"/>
                <w:kern w:val="0"/>
                <w:sz w:val="21"/>
                <w:szCs w:val="21"/>
              </w:rPr>
              <w:t>输入，6</w:t>
            </w: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路HDMI输入，</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路</w:t>
            </w:r>
            <w:r>
              <w:rPr>
                <w:rFonts w:hint="eastAsia" w:ascii="宋体" w:hAnsi="宋体" w:eastAsia="宋体" w:cs="宋体"/>
                <w:color w:val="auto"/>
                <w:kern w:val="0"/>
                <w:sz w:val="21"/>
                <w:szCs w:val="21"/>
                <w:lang w:eastAsia="zh-CN"/>
              </w:rPr>
              <w:t>高清</w:t>
            </w:r>
            <w:r>
              <w:rPr>
                <w:rFonts w:hint="eastAsia" w:ascii="宋体" w:hAnsi="宋体" w:eastAsia="宋体" w:cs="宋体"/>
                <w:color w:val="auto"/>
                <w:kern w:val="0"/>
                <w:sz w:val="21"/>
                <w:szCs w:val="21"/>
              </w:rPr>
              <w:t>输出。</w:t>
            </w:r>
          </w:p>
          <w:p>
            <w:pPr>
              <w:widowControl/>
              <w:numPr>
                <w:ilvl w:val="0"/>
                <w:numId w:val="0"/>
              </w:numPr>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 xml:space="preserve"> 必须支持同时显示多种视频信号：最大</w:t>
            </w:r>
            <w:r>
              <w:rPr>
                <w:rFonts w:hint="eastAsia" w:ascii="宋体" w:hAnsi="宋体" w:eastAsia="宋体" w:cs="宋体"/>
                <w:color w:val="auto"/>
                <w:kern w:val="0"/>
                <w:sz w:val="21"/>
                <w:szCs w:val="21"/>
                <w:lang w:val="en-US" w:eastAsia="zh-CN"/>
              </w:rPr>
              <w:t>3840</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2160</w:t>
            </w:r>
            <w:r>
              <w:rPr>
                <w:rFonts w:hint="eastAsia" w:ascii="宋体" w:hAnsi="宋体" w:eastAsia="宋体" w:cs="宋体"/>
                <w:color w:val="auto"/>
                <w:kern w:val="0"/>
                <w:sz w:val="21"/>
                <w:szCs w:val="21"/>
              </w:rPr>
              <w:t>@60Hz 的PC机和工作站</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所有信号可以切换成整屏一路显示，多路分屏和跨屏显示</w:t>
            </w:r>
            <w:r>
              <w:rPr>
                <w:rFonts w:hint="eastAsia" w:ascii="宋体" w:hAnsi="宋体" w:eastAsia="宋体" w:cs="宋体"/>
                <w:color w:val="auto"/>
                <w:kern w:val="0"/>
                <w:sz w:val="21"/>
                <w:szCs w:val="21"/>
                <w:lang w:eastAsia="zh-CN"/>
              </w:rPr>
              <w:t>，单屏可开</w:t>
            </w:r>
            <w:r>
              <w:rPr>
                <w:rFonts w:hint="eastAsia" w:ascii="宋体" w:hAnsi="宋体" w:eastAsia="宋体" w:cs="宋体"/>
                <w:color w:val="auto"/>
                <w:kern w:val="0"/>
                <w:sz w:val="21"/>
                <w:szCs w:val="21"/>
                <w:lang w:val="en-US" w:eastAsia="zh-CN"/>
              </w:rPr>
              <w:t>4路窗口</w:t>
            </w:r>
            <w:r>
              <w:rPr>
                <w:rFonts w:hint="eastAsia" w:ascii="宋体" w:hAnsi="宋体" w:eastAsia="宋体" w:cs="宋体"/>
                <w:color w:val="auto"/>
                <w:kern w:val="0"/>
                <w:sz w:val="21"/>
                <w:szCs w:val="21"/>
              </w:rPr>
              <w:t>；输入数字显示拼墙系统多屏处理器系统的任一信号都可在M×N 的全墙显示范围内任意放大、缩小、移动显示。</w:t>
            </w:r>
          </w:p>
          <w:p>
            <w:pPr>
              <w:widowControl/>
              <w:numPr>
                <w:ilvl w:val="0"/>
                <w:numId w:val="0"/>
              </w:numPr>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 每个输出通道都可以设置为固定输出分辨率、自动读取EDID、随入随出（不改变输入信号的源的分辨率）三种调整模式。</w:t>
            </w:r>
          </w:p>
          <w:p>
            <w:pPr>
              <w:widowControl/>
              <w:numPr>
                <w:ilvl w:val="0"/>
                <w:numId w:val="0"/>
              </w:numPr>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.★图像处理器</w:t>
            </w:r>
            <w:r>
              <w:rPr>
                <w:rFonts w:hint="eastAsia" w:ascii="宋体" w:hAnsi="宋体" w:eastAsia="宋体" w:cs="宋体"/>
                <w:color w:val="auto"/>
                <w:kern w:val="0"/>
                <w:sz w:val="21"/>
                <w:szCs w:val="21"/>
                <w:lang w:eastAsia="zh-CN"/>
              </w:rPr>
              <w:t>须</w:t>
            </w:r>
            <w:r>
              <w:rPr>
                <w:rFonts w:hint="eastAsia" w:ascii="宋体" w:hAnsi="宋体" w:eastAsia="宋体" w:cs="宋体"/>
                <w:color w:val="auto"/>
                <w:kern w:val="0"/>
                <w:sz w:val="21"/>
                <w:szCs w:val="21"/>
              </w:rPr>
              <w:t>支持选配网络镜像处理模块，可以把电脑、手机、平板电脑的屏幕内容和声音通过网络同步镜像至图像处理器的输入通道在大屏上任意开窗显示。需提供镜像功能软件国家认证证书，加盖厂家公章。</w:t>
            </w:r>
          </w:p>
          <w:p>
            <w:pPr>
              <w:widowControl/>
              <w:numPr>
                <w:ilvl w:val="0"/>
                <w:numId w:val="0"/>
              </w:numPr>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 ★接入到图像处理器的任意信号（视频、VGA、DVI、HDMI等信号源）能通过图像处理器任意显示一个或多个信号的局部细节，放大倍数不受限制。</w:t>
            </w:r>
          </w:p>
          <w:p>
            <w:pPr>
              <w:widowControl/>
              <w:numPr>
                <w:ilvl w:val="0"/>
                <w:numId w:val="0"/>
              </w:numPr>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 ★</w:t>
            </w:r>
            <w:r>
              <w:rPr>
                <w:rFonts w:hint="eastAsia" w:ascii="宋体" w:hAnsi="宋体" w:eastAsia="宋体" w:cs="宋体"/>
                <w:color w:val="auto"/>
                <w:kern w:val="0"/>
                <w:sz w:val="21"/>
                <w:szCs w:val="21"/>
                <w:lang w:eastAsia="zh-CN"/>
              </w:rPr>
              <w:t>应</w:t>
            </w:r>
            <w:r>
              <w:rPr>
                <w:rFonts w:hint="eastAsia" w:ascii="宋体" w:hAnsi="宋体" w:eastAsia="宋体" w:cs="宋体"/>
                <w:color w:val="auto"/>
                <w:kern w:val="0"/>
                <w:sz w:val="21"/>
                <w:szCs w:val="21"/>
              </w:rPr>
              <w:t>采用抗高温高湿低温设计。</w:t>
            </w:r>
          </w:p>
          <w:p>
            <w:pPr>
              <w:widowControl/>
              <w:numPr>
                <w:ilvl w:val="0"/>
                <w:numId w:val="0"/>
              </w:numPr>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 ★</w:t>
            </w:r>
            <w:r>
              <w:rPr>
                <w:rFonts w:hint="eastAsia" w:ascii="宋体" w:hAnsi="宋体" w:eastAsia="宋体" w:cs="宋体"/>
                <w:color w:val="auto"/>
                <w:kern w:val="0"/>
                <w:sz w:val="21"/>
                <w:szCs w:val="21"/>
                <w:lang w:eastAsia="zh-CN"/>
              </w:rPr>
              <w:t>须</w:t>
            </w:r>
            <w:r>
              <w:rPr>
                <w:rFonts w:hint="eastAsia" w:ascii="宋体" w:hAnsi="宋体" w:eastAsia="宋体" w:cs="宋体"/>
                <w:color w:val="auto"/>
                <w:kern w:val="0"/>
                <w:sz w:val="21"/>
                <w:szCs w:val="21"/>
              </w:rPr>
              <w:t>具备7×24 小时的连续工作能力，保证系统工作的稳定与安全。具备高可靠性和高维护性的特点，并且所有图形卡、信号处理板卡均可以支持在不停机的状态下进行带电热插拔维护工作。具备业务智能自动恢复功能，更换后无需任何设置，就可以回复到原来正常的工作状态。1</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.★图像处理器</w:t>
            </w:r>
            <w:r>
              <w:rPr>
                <w:rFonts w:hint="eastAsia" w:ascii="宋体" w:hAnsi="宋体" w:eastAsia="宋体" w:cs="宋体"/>
                <w:color w:val="auto"/>
                <w:kern w:val="0"/>
                <w:sz w:val="21"/>
                <w:szCs w:val="21"/>
                <w:lang w:eastAsia="zh-CN"/>
              </w:rPr>
              <w:t>应</w:t>
            </w:r>
            <w:r>
              <w:rPr>
                <w:rFonts w:hint="eastAsia" w:ascii="宋体" w:hAnsi="宋体" w:eastAsia="宋体" w:cs="宋体"/>
                <w:color w:val="auto"/>
                <w:kern w:val="0"/>
                <w:sz w:val="21"/>
                <w:szCs w:val="21"/>
              </w:rPr>
              <w:t>通过CCC、CE、ROSH认证。</w:t>
            </w:r>
          </w:p>
          <w:p>
            <w:pPr>
              <w:widowControl/>
              <w:numPr>
                <w:ilvl w:val="0"/>
                <w:numId w:val="0"/>
              </w:numPr>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 ★图像处理器</w:t>
            </w:r>
            <w:r>
              <w:rPr>
                <w:rFonts w:hint="eastAsia" w:ascii="宋体" w:hAnsi="宋体" w:eastAsia="宋体" w:cs="宋体"/>
                <w:color w:val="auto"/>
                <w:kern w:val="0"/>
                <w:sz w:val="21"/>
                <w:szCs w:val="21"/>
                <w:lang w:eastAsia="zh-CN"/>
              </w:rPr>
              <w:t>应</w:t>
            </w:r>
            <w:r>
              <w:rPr>
                <w:rFonts w:hint="eastAsia" w:ascii="宋体" w:hAnsi="宋体" w:eastAsia="宋体" w:cs="宋体"/>
                <w:color w:val="auto"/>
                <w:kern w:val="0"/>
                <w:sz w:val="21"/>
                <w:szCs w:val="21"/>
              </w:rPr>
              <w:t>通过IP6X 防尘认证</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br w:type="page"/>
            </w:r>
          </w:p>
        </w:tc>
        <w:tc>
          <w:tcPr>
            <w:tcW w:w="645" w:type="dxa"/>
            <w:vAlign w:val="center"/>
          </w:tcPr>
          <w:p>
            <w:pPr>
              <w:widowControl/>
              <w:jc w:val="center"/>
              <w:rPr>
                <w:rFonts w:hint="eastAsia" w:asciiTheme="minorEastAsia" w:hAnsiTheme="minorEastAsia" w:eastAsiaTheme="minorEastAsia" w:cstheme="minorEastAsia"/>
                <w:color w:val="000000"/>
                <w:sz w:val="21"/>
                <w:szCs w:val="21"/>
                <w:lang w:eastAsia="zh-CN"/>
              </w:rPr>
            </w:pPr>
            <w:r>
              <w:rPr>
                <w:rFonts w:hint="eastAsia" w:ascii="宋体" w:hAnsi="宋体" w:eastAsia="宋体" w:cs="宋体"/>
                <w:color w:val="auto"/>
                <w:kern w:val="0"/>
                <w:sz w:val="21"/>
                <w:szCs w:val="21"/>
              </w:rPr>
              <w:t>1</w:t>
            </w:r>
          </w:p>
        </w:tc>
        <w:tc>
          <w:tcPr>
            <w:tcW w:w="675" w:type="dxa"/>
            <w:vAlign w:val="center"/>
          </w:tcPr>
          <w:p>
            <w:pPr>
              <w:widowControl/>
              <w:jc w:val="center"/>
              <w:rPr>
                <w:rFonts w:hint="default" w:asciiTheme="minorEastAsia" w:hAnsiTheme="minorEastAsia" w:eastAsiaTheme="minorEastAsia" w:cstheme="minorEastAsia"/>
                <w:color w:val="000000"/>
                <w:sz w:val="21"/>
                <w:szCs w:val="21"/>
                <w:lang w:val="en-US" w:eastAsia="zh-CN"/>
              </w:rPr>
            </w:pPr>
            <w:r>
              <w:rPr>
                <w:rFonts w:hint="eastAsia" w:ascii="宋体" w:hAnsi="宋体" w:eastAsia="宋体" w:cs="宋体"/>
                <w:color w:val="auto"/>
                <w:kern w:val="0"/>
                <w:sz w:val="21"/>
                <w:szCs w:val="21"/>
              </w:rPr>
              <w:t>台</w:t>
            </w:r>
          </w:p>
        </w:tc>
        <w:tc>
          <w:tcPr>
            <w:tcW w:w="870"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cstheme="minorEastAsia"/>
                <w:color w:val="000000"/>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5" w:hRule="atLeast"/>
        </w:trPr>
        <w:tc>
          <w:tcPr>
            <w:tcW w:w="630"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w:t>
            </w:r>
          </w:p>
        </w:tc>
        <w:tc>
          <w:tcPr>
            <w:tcW w:w="1305" w:type="dxa"/>
            <w:vAlign w:val="center"/>
          </w:tcPr>
          <w:p>
            <w:pPr>
              <w:widowControl/>
              <w:jc w:val="center"/>
              <w:rPr>
                <w:rFonts w:hint="default" w:asciiTheme="minorEastAsia" w:hAnsiTheme="minorEastAsia" w:eastAsiaTheme="minorEastAsia" w:cstheme="minorEastAsia"/>
                <w:color w:val="000000"/>
                <w:sz w:val="21"/>
                <w:szCs w:val="21"/>
                <w:lang w:val="en-US"/>
              </w:rPr>
            </w:pPr>
            <w:r>
              <w:rPr>
                <w:rFonts w:hint="eastAsia" w:ascii="宋体" w:hAnsi="宋体" w:eastAsia="宋体" w:cs="宋体"/>
                <w:color w:val="auto"/>
                <w:kern w:val="0"/>
                <w:sz w:val="21"/>
                <w:szCs w:val="21"/>
              </w:rPr>
              <w:t>控制软件</w:t>
            </w:r>
          </w:p>
        </w:tc>
        <w:tc>
          <w:tcPr>
            <w:tcW w:w="5430" w:type="dxa"/>
            <w:vAlign w:val="center"/>
          </w:tcPr>
          <w:p>
            <w:pPr>
              <w:widowControl/>
              <w:numPr>
                <w:ilvl w:val="0"/>
                <w:numId w:val="0"/>
              </w:numPr>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 大屏控制软件</w:t>
            </w:r>
            <w:r>
              <w:rPr>
                <w:rFonts w:hint="eastAsia" w:ascii="宋体" w:hAnsi="宋体" w:eastAsia="宋体" w:cs="宋体"/>
                <w:color w:val="auto"/>
                <w:kern w:val="0"/>
                <w:sz w:val="21"/>
                <w:szCs w:val="21"/>
                <w:lang w:eastAsia="zh-CN"/>
              </w:rPr>
              <w:t>应</w:t>
            </w:r>
            <w:r>
              <w:rPr>
                <w:rFonts w:hint="eastAsia" w:ascii="宋体" w:hAnsi="宋体" w:eastAsia="宋体" w:cs="宋体"/>
                <w:color w:val="auto"/>
                <w:kern w:val="0"/>
                <w:sz w:val="21"/>
                <w:szCs w:val="21"/>
              </w:rPr>
              <w:t>提供中文操作、控制和维护界面</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必须具备方便直观的中文界面</w:t>
            </w:r>
            <w:r>
              <w:rPr>
                <w:rFonts w:hint="eastAsia" w:ascii="宋体" w:hAnsi="宋体" w:eastAsia="宋体" w:cs="宋体"/>
                <w:color w:val="auto"/>
                <w:kern w:val="0"/>
                <w:sz w:val="21"/>
                <w:szCs w:val="21"/>
                <w:lang w:eastAsia="zh-CN"/>
              </w:rPr>
              <w:t>；</w:t>
            </w:r>
          </w:p>
          <w:p>
            <w:pPr>
              <w:widowControl/>
              <w:numPr>
                <w:ilvl w:val="0"/>
                <w:numId w:val="0"/>
              </w:numPr>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2. 系统的各种功能操作</w:t>
            </w:r>
            <w:r>
              <w:rPr>
                <w:rFonts w:hint="eastAsia" w:ascii="宋体" w:hAnsi="宋体" w:eastAsia="宋体" w:cs="宋体"/>
                <w:color w:val="auto"/>
                <w:kern w:val="0"/>
                <w:sz w:val="21"/>
                <w:szCs w:val="21"/>
                <w:lang w:eastAsia="zh-CN"/>
              </w:rPr>
              <w:t>应</w:t>
            </w:r>
            <w:r>
              <w:rPr>
                <w:rFonts w:hint="eastAsia" w:ascii="宋体" w:hAnsi="宋体" w:eastAsia="宋体" w:cs="宋体"/>
                <w:color w:val="auto"/>
                <w:kern w:val="0"/>
                <w:sz w:val="21"/>
                <w:szCs w:val="21"/>
              </w:rPr>
              <w:t>实行全计算机控制、网络控制。所有显示单元的开关、参数配置和控制、信号调用、远程监控维护均在同一套控制软件上统一实现</w:t>
            </w:r>
            <w:r>
              <w:rPr>
                <w:rFonts w:hint="eastAsia" w:ascii="宋体" w:hAnsi="宋体" w:eastAsia="宋体" w:cs="宋体"/>
                <w:color w:val="auto"/>
                <w:kern w:val="0"/>
                <w:sz w:val="21"/>
                <w:szCs w:val="21"/>
                <w:lang w:eastAsia="zh-CN"/>
              </w:rPr>
              <w:t>；</w:t>
            </w:r>
          </w:p>
          <w:p>
            <w:pPr>
              <w:widowControl/>
              <w:numPr>
                <w:ilvl w:val="0"/>
                <w:numId w:val="0"/>
              </w:numPr>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3. 用户可根据需要设置多个含有不同信号窗口组合的模式，不同模式间切换迅速，切换时间不大于2 秒</w:t>
            </w:r>
            <w:r>
              <w:rPr>
                <w:rFonts w:hint="eastAsia" w:ascii="宋体" w:hAnsi="宋体" w:eastAsia="宋体" w:cs="宋体"/>
                <w:color w:val="auto"/>
                <w:kern w:val="0"/>
                <w:sz w:val="21"/>
                <w:szCs w:val="21"/>
                <w:lang w:eastAsia="zh-CN"/>
              </w:rPr>
              <w:t>；</w:t>
            </w:r>
          </w:p>
          <w:p>
            <w:pPr>
              <w:widowControl/>
              <w:numPr>
                <w:ilvl w:val="0"/>
                <w:numId w:val="0"/>
              </w:numPr>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4. 系统可执行显示事先编辑的预案（如：定时显示画面以及自动显示某些画面等）；支持直通窗口、处理器窗口混合显示的预案</w:t>
            </w:r>
            <w:r>
              <w:rPr>
                <w:rFonts w:hint="eastAsia" w:ascii="宋体" w:hAnsi="宋体" w:eastAsia="宋体" w:cs="宋体"/>
                <w:color w:val="auto"/>
                <w:kern w:val="0"/>
                <w:sz w:val="21"/>
                <w:szCs w:val="21"/>
                <w:lang w:eastAsia="zh-CN"/>
              </w:rPr>
              <w:t>；</w:t>
            </w:r>
          </w:p>
          <w:p>
            <w:pPr>
              <w:widowControl/>
              <w:numPr>
                <w:ilvl w:val="0"/>
                <w:numId w:val="0"/>
              </w:numPr>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5. 可以实现对多种信号源定义、调度和管理；实现任意信号源窗口模式组合的定义、编辑；实现指定信号在窗口轮询查看</w:t>
            </w:r>
            <w:r>
              <w:rPr>
                <w:rFonts w:hint="eastAsia" w:ascii="宋体" w:hAnsi="宋体" w:eastAsia="宋体" w:cs="宋体"/>
                <w:color w:val="auto"/>
                <w:kern w:val="0"/>
                <w:sz w:val="21"/>
                <w:szCs w:val="21"/>
                <w:lang w:eastAsia="zh-CN"/>
              </w:rPr>
              <w:t>；</w:t>
            </w:r>
          </w:p>
          <w:p>
            <w:pPr>
              <w:widowControl/>
              <w:numPr>
                <w:ilvl w:val="0"/>
                <w:numId w:val="0"/>
              </w:numPr>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 大屏控制软件</w:t>
            </w:r>
            <w:r>
              <w:rPr>
                <w:rFonts w:hint="eastAsia" w:ascii="宋体" w:hAnsi="宋体" w:eastAsia="宋体" w:cs="宋体"/>
                <w:color w:val="auto"/>
                <w:kern w:val="0"/>
                <w:sz w:val="21"/>
                <w:szCs w:val="21"/>
                <w:lang w:eastAsia="zh-CN"/>
              </w:rPr>
              <w:t>应</w:t>
            </w:r>
            <w:r>
              <w:rPr>
                <w:rFonts w:hint="eastAsia" w:ascii="宋体" w:hAnsi="宋体" w:eastAsia="宋体" w:cs="宋体"/>
                <w:color w:val="auto"/>
                <w:kern w:val="0"/>
                <w:sz w:val="21"/>
                <w:szCs w:val="21"/>
              </w:rPr>
              <w:t>提供模式和预案的管理。操作员可对各种信号窗口的显示方式和布局保存成模式，或者根据时序定制为预案，并可通过快捷键对模式和预案进行快速调用，实现自动化控制管理功能；</w:t>
            </w:r>
          </w:p>
          <w:p>
            <w:pPr>
              <w:widowControl/>
              <w:numPr>
                <w:ilvl w:val="0"/>
                <w:numId w:val="0"/>
              </w:numPr>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7. 软件可以安装在用户PC 机上，并与用户系统兼容，不影响用户原来各种应用系统的运行。网络上的任意一台用户机安装控制软件后，便成为一台控制终端，既可管理控制大屏，也可同时被调用显示</w:t>
            </w:r>
            <w:r>
              <w:rPr>
                <w:rFonts w:hint="eastAsia" w:ascii="宋体" w:hAnsi="宋体" w:eastAsia="宋体" w:cs="宋体"/>
                <w:color w:val="auto"/>
                <w:kern w:val="0"/>
                <w:sz w:val="21"/>
                <w:szCs w:val="21"/>
                <w:lang w:eastAsia="zh-CN"/>
              </w:rPr>
              <w:t>；</w:t>
            </w:r>
          </w:p>
          <w:p>
            <w:pPr>
              <w:widowControl/>
              <w:numPr>
                <w:ilvl w:val="0"/>
                <w:numId w:val="0"/>
              </w:numPr>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 大屏控制软件</w:t>
            </w:r>
            <w:r>
              <w:rPr>
                <w:rFonts w:hint="eastAsia" w:ascii="宋体" w:hAnsi="宋体" w:eastAsia="宋体" w:cs="宋体"/>
                <w:color w:val="auto"/>
                <w:kern w:val="0"/>
                <w:sz w:val="21"/>
                <w:szCs w:val="21"/>
                <w:lang w:eastAsia="zh-CN"/>
              </w:rPr>
              <w:t>应</w:t>
            </w:r>
            <w:r>
              <w:rPr>
                <w:rFonts w:hint="eastAsia" w:ascii="宋体" w:hAnsi="宋体" w:eastAsia="宋体" w:cs="宋体"/>
                <w:color w:val="auto"/>
                <w:kern w:val="0"/>
                <w:sz w:val="21"/>
                <w:szCs w:val="21"/>
              </w:rPr>
              <w:t>具有完整的二次开发接口，提供对其他系统的控制接口，且系统建设方必须保证免费提供控制软件系统的升级和更新；</w:t>
            </w:r>
          </w:p>
          <w:p>
            <w:pPr>
              <w:widowControl/>
              <w:numPr>
                <w:ilvl w:val="0"/>
                <w:numId w:val="0"/>
              </w:numPr>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 ★</w:t>
            </w:r>
            <w:r>
              <w:rPr>
                <w:rFonts w:hint="eastAsia" w:ascii="宋体" w:hAnsi="宋体" w:eastAsia="宋体" w:cs="宋体"/>
                <w:color w:val="auto"/>
                <w:kern w:val="0"/>
                <w:sz w:val="21"/>
                <w:szCs w:val="21"/>
                <w:lang w:eastAsia="zh-CN"/>
              </w:rPr>
              <w:t>须</w:t>
            </w:r>
            <w:r>
              <w:rPr>
                <w:rFonts w:hint="eastAsia" w:ascii="宋体" w:hAnsi="宋体" w:eastAsia="宋体" w:cs="宋体"/>
                <w:color w:val="auto"/>
                <w:kern w:val="0"/>
                <w:sz w:val="21"/>
                <w:szCs w:val="21"/>
              </w:rPr>
              <w:t>提供图像处理控制软件的软件著作权证书</w:t>
            </w:r>
            <w:r>
              <w:rPr>
                <w:rFonts w:hint="eastAsia" w:ascii="宋体" w:hAnsi="宋体" w:eastAsia="宋体" w:cs="宋体"/>
                <w:color w:val="auto"/>
                <w:kern w:val="0"/>
                <w:sz w:val="21"/>
                <w:szCs w:val="21"/>
                <w:lang w:eastAsia="zh-CN"/>
              </w:rPr>
              <w:t>。</w:t>
            </w:r>
          </w:p>
          <w:p>
            <w:pPr>
              <w:widowControl/>
              <w:numPr>
                <w:ilvl w:val="0"/>
                <w:numId w:val="0"/>
              </w:numPr>
              <w:jc w:val="left"/>
              <w:rPr>
                <w:rFonts w:hint="default"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rPr>
              <w:t>10.★安卓及苹果</w:t>
            </w:r>
            <w:r>
              <w:rPr>
                <w:rFonts w:hint="default" w:ascii="宋体" w:hAnsi="宋体" w:eastAsia="宋体" w:cs="宋体"/>
                <w:color w:val="auto"/>
                <w:kern w:val="0"/>
                <w:sz w:val="21"/>
                <w:szCs w:val="21"/>
                <w:lang w:val="en-US" w:eastAsia="zh-CN"/>
              </w:rPr>
              <w:t>控制端软件可以通过无线网络和多屏拼接图像处理器连接，直接调用预存在多屏拼接图像处理器中的预案。</w:t>
            </w:r>
          </w:p>
        </w:tc>
        <w:tc>
          <w:tcPr>
            <w:tcW w:w="645" w:type="dxa"/>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auto"/>
                <w:kern w:val="0"/>
                <w:sz w:val="21"/>
                <w:szCs w:val="21"/>
              </w:rPr>
              <w:t>1</w:t>
            </w:r>
          </w:p>
        </w:tc>
        <w:tc>
          <w:tcPr>
            <w:tcW w:w="675" w:type="dxa"/>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auto"/>
                <w:kern w:val="0"/>
                <w:sz w:val="21"/>
                <w:szCs w:val="21"/>
              </w:rPr>
              <w:t>套</w:t>
            </w:r>
          </w:p>
        </w:tc>
        <w:tc>
          <w:tcPr>
            <w:tcW w:w="870"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cstheme="minorEastAsia"/>
                <w:color w:val="000000"/>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w:t>
            </w:r>
          </w:p>
        </w:tc>
        <w:tc>
          <w:tcPr>
            <w:tcW w:w="1305" w:type="dxa"/>
            <w:vAlign w:val="center"/>
          </w:tcPr>
          <w:p>
            <w:pPr>
              <w:widowControl/>
              <w:jc w:val="center"/>
              <w:rPr>
                <w:rFonts w:hint="default" w:asciiTheme="minorEastAsia" w:hAnsiTheme="minorEastAsia" w:eastAsiaTheme="minorEastAsia" w:cstheme="minorEastAsia"/>
                <w:color w:val="000000"/>
                <w:sz w:val="21"/>
                <w:szCs w:val="21"/>
                <w:lang w:val="en-US" w:eastAsia="zh-CN"/>
              </w:rPr>
            </w:pPr>
            <w:r>
              <w:rPr>
                <w:rFonts w:hint="eastAsia" w:ascii="宋体" w:hAnsi="宋体" w:eastAsia="宋体" w:cs="宋体"/>
                <w:color w:val="auto"/>
                <w:kern w:val="0"/>
                <w:sz w:val="21"/>
                <w:szCs w:val="21"/>
              </w:rPr>
              <w:t>LED显示屏</w:t>
            </w:r>
          </w:p>
        </w:tc>
        <w:tc>
          <w:tcPr>
            <w:tcW w:w="5430" w:type="dxa"/>
            <w:vAlign w:val="center"/>
          </w:tcPr>
          <w:p>
            <w:pPr>
              <w:widowControl/>
              <w:jc w:val="left"/>
              <w:rPr>
                <w:rFonts w:hint="default" w:asciiTheme="minorEastAsia" w:hAnsiTheme="minorEastAsia" w:eastAsiaTheme="minorEastAsia" w:cstheme="minorEastAsia"/>
                <w:color w:val="000000"/>
                <w:sz w:val="21"/>
                <w:szCs w:val="21"/>
                <w:lang w:val="en-US" w:eastAsia="zh-CN"/>
              </w:rPr>
            </w:pPr>
            <w:r>
              <w:rPr>
                <w:rFonts w:hint="eastAsia" w:ascii="宋体" w:hAnsi="宋体" w:eastAsia="宋体" w:cs="宋体"/>
                <w:color w:val="auto"/>
                <w:kern w:val="0"/>
                <w:sz w:val="21"/>
                <w:szCs w:val="21"/>
              </w:rPr>
              <w:t>1、屏幕尺寸608mm*1</w:t>
            </w:r>
            <w:r>
              <w:rPr>
                <w:rFonts w:hint="eastAsia" w:ascii="宋体" w:hAnsi="宋体" w:eastAsia="宋体" w:cs="宋体"/>
                <w:color w:val="auto"/>
                <w:kern w:val="0"/>
                <w:sz w:val="21"/>
                <w:szCs w:val="21"/>
                <w:lang w:val="en-US" w:eastAsia="zh-CN"/>
              </w:rPr>
              <w:t>2160</w:t>
            </w:r>
            <w:r>
              <w:rPr>
                <w:rFonts w:hint="eastAsia" w:ascii="宋体" w:hAnsi="宋体" w:eastAsia="宋体" w:cs="宋体"/>
                <w:color w:val="auto"/>
                <w:kern w:val="0"/>
                <w:sz w:val="21"/>
                <w:szCs w:val="21"/>
              </w:rPr>
              <w:t>mm</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2、单色3.75显示屏</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eastAsia="zh-CN"/>
              </w:rPr>
              <w:t>须</w:t>
            </w:r>
            <w:r>
              <w:rPr>
                <w:rFonts w:hint="eastAsia" w:ascii="宋体" w:hAnsi="宋体" w:eastAsia="宋体" w:cs="宋体"/>
                <w:color w:val="auto"/>
                <w:kern w:val="0"/>
                <w:sz w:val="21"/>
                <w:szCs w:val="21"/>
              </w:rPr>
              <w:t>包含控制卡</w:t>
            </w:r>
            <w:r>
              <w:rPr>
                <w:rFonts w:hint="eastAsia" w:ascii="宋体" w:hAnsi="宋体" w:eastAsia="宋体" w:cs="宋体"/>
                <w:color w:val="auto"/>
                <w:kern w:val="0"/>
                <w:sz w:val="21"/>
                <w:szCs w:val="21"/>
                <w:lang w:eastAsia="zh-CN"/>
              </w:rPr>
              <w:t>、辅材</w:t>
            </w:r>
            <w:r>
              <w:rPr>
                <w:rFonts w:hint="eastAsia" w:ascii="宋体" w:hAnsi="宋体" w:eastAsia="宋体" w:cs="宋体"/>
                <w:color w:val="auto"/>
                <w:kern w:val="0"/>
                <w:sz w:val="21"/>
                <w:szCs w:val="21"/>
              </w:rPr>
              <w:t>及</w:t>
            </w:r>
            <w:r>
              <w:rPr>
                <w:rFonts w:hint="eastAsia" w:ascii="宋体" w:hAnsi="宋体" w:eastAsia="宋体" w:cs="宋体"/>
                <w:color w:val="auto"/>
                <w:kern w:val="0"/>
                <w:sz w:val="21"/>
                <w:szCs w:val="21"/>
                <w:lang w:eastAsia="zh-CN"/>
              </w:rPr>
              <w:t>外框。</w:t>
            </w:r>
          </w:p>
        </w:tc>
        <w:tc>
          <w:tcPr>
            <w:tcW w:w="645" w:type="dxa"/>
            <w:vAlign w:val="center"/>
          </w:tcPr>
          <w:p>
            <w:pPr>
              <w:widowControl/>
              <w:jc w:val="center"/>
              <w:rPr>
                <w:rFonts w:hint="eastAsia" w:asciiTheme="minorEastAsia" w:hAnsiTheme="minorEastAsia" w:eastAsiaTheme="minorEastAsia" w:cstheme="minorEastAsia"/>
                <w:color w:val="000000"/>
                <w:sz w:val="21"/>
                <w:szCs w:val="21"/>
                <w:lang w:eastAsia="zh-CN"/>
              </w:rPr>
            </w:pPr>
            <w:r>
              <w:rPr>
                <w:rFonts w:hint="eastAsia" w:ascii="宋体" w:hAnsi="宋体" w:eastAsia="宋体" w:cs="宋体"/>
                <w:color w:val="auto"/>
                <w:kern w:val="0"/>
                <w:sz w:val="21"/>
                <w:szCs w:val="21"/>
              </w:rPr>
              <w:t>1</w:t>
            </w:r>
          </w:p>
        </w:tc>
        <w:tc>
          <w:tcPr>
            <w:tcW w:w="675" w:type="dxa"/>
            <w:vAlign w:val="center"/>
          </w:tcPr>
          <w:p>
            <w:pPr>
              <w:widowControl/>
              <w:jc w:val="center"/>
              <w:rPr>
                <w:rFonts w:hint="default" w:asciiTheme="minorEastAsia" w:hAnsiTheme="minorEastAsia" w:eastAsiaTheme="minorEastAsia" w:cstheme="minorEastAsia"/>
                <w:color w:val="000000"/>
                <w:sz w:val="21"/>
                <w:szCs w:val="21"/>
                <w:lang w:val="en-US" w:eastAsia="zh-CN"/>
              </w:rPr>
            </w:pPr>
            <w:r>
              <w:rPr>
                <w:rFonts w:hint="eastAsia" w:ascii="宋体" w:hAnsi="宋体" w:eastAsia="宋体" w:cs="宋体"/>
                <w:color w:val="auto"/>
                <w:kern w:val="0"/>
                <w:sz w:val="21"/>
                <w:szCs w:val="21"/>
              </w:rPr>
              <w:t>块</w:t>
            </w:r>
          </w:p>
        </w:tc>
        <w:tc>
          <w:tcPr>
            <w:tcW w:w="870"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cstheme="minorEastAsia"/>
                <w:color w:val="000000"/>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6</w:t>
            </w:r>
          </w:p>
        </w:tc>
        <w:tc>
          <w:tcPr>
            <w:tcW w:w="1305" w:type="dxa"/>
            <w:vAlign w:val="center"/>
          </w:tcPr>
          <w:p>
            <w:pPr>
              <w:widowControl/>
              <w:jc w:val="center"/>
              <w:rPr>
                <w:rFonts w:hint="default" w:asciiTheme="minorEastAsia" w:hAnsiTheme="minorEastAsia" w:cstheme="minorEastAsia"/>
                <w:color w:val="000000"/>
                <w:sz w:val="21"/>
                <w:szCs w:val="21"/>
                <w:lang w:val="en-US" w:eastAsia="zh-CN"/>
              </w:rPr>
            </w:pPr>
            <w:r>
              <w:rPr>
                <w:rFonts w:hint="eastAsia" w:ascii="宋体" w:hAnsi="宋体" w:eastAsia="宋体" w:cs="宋体"/>
                <w:color w:val="auto"/>
                <w:kern w:val="0"/>
                <w:sz w:val="21"/>
                <w:szCs w:val="21"/>
                <w:lang w:eastAsia="zh-CN"/>
              </w:rPr>
              <w:t>机柜</w:t>
            </w:r>
          </w:p>
        </w:tc>
        <w:tc>
          <w:tcPr>
            <w:tcW w:w="5430" w:type="dxa"/>
            <w:vAlign w:val="center"/>
          </w:tcPr>
          <w:p>
            <w:pPr>
              <w:widowControl/>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600*800*2000设备机柜；</w:t>
            </w:r>
          </w:p>
          <w:p>
            <w:pPr>
              <w:widowControl/>
              <w:jc w:val="left"/>
              <w:rPr>
                <w:rFonts w:hint="eastAsia" w:eastAsia="宋体" w:asciiTheme="minorEastAsia" w:hAnsiTheme="minorEastAsia" w:cstheme="minorEastAsia"/>
                <w:color w:val="000000"/>
                <w:sz w:val="21"/>
                <w:szCs w:val="21"/>
                <w:lang w:val="en-US" w:eastAsia="zh-CN"/>
              </w:rPr>
            </w:pPr>
            <w:r>
              <w:rPr>
                <w:rFonts w:hint="eastAsia" w:ascii="宋体" w:hAnsi="宋体" w:eastAsia="宋体" w:cs="宋体"/>
                <w:color w:val="auto"/>
                <w:kern w:val="0"/>
                <w:sz w:val="21"/>
                <w:szCs w:val="21"/>
              </w:rPr>
              <w:t>防护等级:IP20</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 </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主要材料:SPCC优质冷扎钢板制作；厚度：方孔条2.0mm,其他1.2mm</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表面处理:脱脂、酸洗、磷化、静电喷塑</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高密度六角网孔前后门，解决机械保护、通风散热、外部观察机器运行状态三方面的使用要求</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外观设计高贵典雅，工艺精湛，尺寸精密 </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可方便地安装图腾机柜集中配电单元结构坚固，最大静载达800KG</w:t>
            </w:r>
            <w:r>
              <w:rPr>
                <w:rFonts w:hint="eastAsia" w:ascii="宋体" w:hAnsi="宋体" w:eastAsia="宋体" w:cs="宋体"/>
                <w:color w:val="auto"/>
                <w:kern w:val="0"/>
                <w:sz w:val="21"/>
                <w:szCs w:val="21"/>
                <w:lang w:eastAsia="zh-CN"/>
              </w:rPr>
              <w:t>。</w:t>
            </w:r>
          </w:p>
        </w:tc>
        <w:tc>
          <w:tcPr>
            <w:tcW w:w="645" w:type="dxa"/>
            <w:vAlign w:val="center"/>
          </w:tcPr>
          <w:p>
            <w:pPr>
              <w:widowControl/>
              <w:jc w:val="center"/>
              <w:rPr>
                <w:rFonts w:hint="eastAsia" w:asciiTheme="minorEastAsia" w:hAnsiTheme="minorEastAsia" w:cstheme="minorEastAsia"/>
                <w:color w:val="000000"/>
                <w:sz w:val="21"/>
                <w:szCs w:val="21"/>
                <w:lang w:eastAsia="zh-CN"/>
              </w:rPr>
            </w:pPr>
            <w:r>
              <w:rPr>
                <w:rFonts w:hint="eastAsia" w:ascii="宋体" w:hAnsi="宋体" w:eastAsia="宋体" w:cs="宋体"/>
                <w:color w:val="auto"/>
                <w:kern w:val="0"/>
                <w:sz w:val="21"/>
                <w:szCs w:val="21"/>
                <w:lang w:val="en-US" w:eastAsia="zh-CN"/>
              </w:rPr>
              <w:t>1</w:t>
            </w:r>
          </w:p>
        </w:tc>
        <w:tc>
          <w:tcPr>
            <w:tcW w:w="675" w:type="dxa"/>
            <w:vAlign w:val="center"/>
          </w:tcPr>
          <w:p>
            <w:pPr>
              <w:widowControl/>
              <w:jc w:val="center"/>
              <w:rPr>
                <w:rFonts w:hint="default" w:asciiTheme="minorEastAsia" w:hAnsiTheme="minorEastAsia" w:cstheme="minorEastAsia"/>
                <w:color w:val="000000"/>
                <w:sz w:val="21"/>
                <w:szCs w:val="21"/>
                <w:lang w:val="en-US" w:eastAsia="zh-CN"/>
              </w:rPr>
            </w:pPr>
            <w:r>
              <w:rPr>
                <w:rFonts w:hint="eastAsia" w:ascii="宋体" w:hAnsi="宋体" w:eastAsia="宋体" w:cs="宋体"/>
                <w:color w:val="auto"/>
                <w:kern w:val="0"/>
                <w:sz w:val="21"/>
                <w:szCs w:val="21"/>
                <w:lang w:eastAsia="zh-CN"/>
              </w:rPr>
              <w:t>台</w:t>
            </w:r>
          </w:p>
        </w:tc>
        <w:tc>
          <w:tcPr>
            <w:tcW w:w="870"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cstheme="minorEastAsia"/>
                <w:color w:val="000000"/>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Theme="minorEastAsia" w:hAnsi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7</w:t>
            </w:r>
          </w:p>
        </w:tc>
        <w:tc>
          <w:tcPr>
            <w:tcW w:w="1305" w:type="dxa"/>
            <w:vAlign w:val="center"/>
          </w:tcPr>
          <w:p>
            <w:pPr>
              <w:widowControl/>
              <w:jc w:val="center"/>
              <w:rPr>
                <w:rFonts w:hint="default" w:asciiTheme="minorEastAsia" w:hAnsiTheme="minorEastAsia" w:cstheme="minorEastAsia"/>
                <w:color w:val="000000"/>
                <w:sz w:val="21"/>
                <w:szCs w:val="21"/>
                <w:lang w:val="en-US" w:eastAsia="zh-CN"/>
              </w:rPr>
            </w:pPr>
            <w:r>
              <w:rPr>
                <w:rFonts w:hint="eastAsia" w:ascii="宋体" w:hAnsi="宋体" w:eastAsia="宋体" w:cs="宋体"/>
                <w:color w:val="auto"/>
                <w:kern w:val="0"/>
                <w:sz w:val="21"/>
                <w:szCs w:val="21"/>
              </w:rPr>
              <w:t>辅材</w:t>
            </w:r>
          </w:p>
        </w:tc>
        <w:tc>
          <w:tcPr>
            <w:tcW w:w="5430" w:type="dxa"/>
            <w:vAlign w:val="center"/>
          </w:tcPr>
          <w:p>
            <w:pPr>
              <w:widowControl/>
              <w:jc w:val="left"/>
              <w:rPr>
                <w:rFonts w:hint="eastAsia" w:eastAsia="宋体" w:asciiTheme="minorEastAsia" w:hAnsiTheme="minorEastAsia" w:cstheme="minorEastAsia"/>
                <w:color w:val="000000"/>
                <w:sz w:val="21"/>
                <w:szCs w:val="21"/>
                <w:lang w:val="en-US" w:eastAsia="zh-CN"/>
              </w:rPr>
            </w:pPr>
            <w:r>
              <w:rPr>
                <w:rFonts w:hint="eastAsia" w:ascii="宋体" w:hAnsi="宋体" w:eastAsia="宋体" w:cs="宋体"/>
                <w:color w:val="auto"/>
                <w:kern w:val="0"/>
                <w:sz w:val="21"/>
                <w:szCs w:val="21"/>
              </w:rPr>
              <w:t>包含</w:t>
            </w:r>
            <w:r>
              <w:rPr>
                <w:rFonts w:hint="eastAsia" w:ascii="宋体" w:hAnsi="宋体" w:eastAsia="宋体" w:cs="宋体"/>
                <w:color w:val="auto"/>
                <w:kern w:val="0"/>
                <w:sz w:val="21"/>
                <w:szCs w:val="21"/>
                <w:lang w:eastAsia="zh-CN"/>
              </w:rPr>
              <w:t>输入主电缆、配电箱、</w:t>
            </w:r>
            <w:r>
              <w:rPr>
                <w:rFonts w:hint="eastAsia" w:ascii="宋体" w:hAnsi="宋体" w:eastAsia="宋体" w:cs="宋体"/>
                <w:color w:val="auto"/>
                <w:kern w:val="0"/>
                <w:sz w:val="21"/>
                <w:szCs w:val="21"/>
              </w:rPr>
              <w:t>电源线、控制线、信号线、PDU等配套设备</w:t>
            </w:r>
            <w:r>
              <w:rPr>
                <w:rFonts w:hint="eastAsia" w:ascii="宋体" w:hAnsi="宋体" w:eastAsia="宋体" w:cs="宋体"/>
                <w:color w:val="auto"/>
                <w:kern w:val="0"/>
                <w:sz w:val="21"/>
                <w:szCs w:val="21"/>
                <w:lang w:eastAsia="zh-CN"/>
              </w:rPr>
              <w:t>。</w:t>
            </w:r>
          </w:p>
        </w:tc>
        <w:tc>
          <w:tcPr>
            <w:tcW w:w="645" w:type="dxa"/>
            <w:vAlign w:val="center"/>
          </w:tcPr>
          <w:p>
            <w:pPr>
              <w:widowControl/>
              <w:jc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color w:val="auto"/>
                <w:kern w:val="0"/>
                <w:sz w:val="21"/>
                <w:szCs w:val="21"/>
              </w:rPr>
              <w:t>70</w:t>
            </w:r>
          </w:p>
        </w:tc>
        <w:tc>
          <w:tcPr>
            <w:tcW w:w="675" w:type="dxa"/>
            <w:vAlign w:val="center"/>
          </w:tcPr>
          <w:p>
            <w:pPr>
              <w:widowControl/>
              <w:jc w:val="center"/>
              <w:rPr>
                <w:rFonts w:hint="default" w:asciiTheme="minorEastAsia" w:hAnsiTheme="minorEastAsia" w:cstheme="minorEastAsia"/>
                <w:color w:val="000000"/>
                <w:sz w:val="21"/>
                <w:szCs w:val="21"/>
                <w:lang w:val="en-US" w:eastAsia="zh-CN"/>
              </w:rPr>
            </w:pPr>
            <w:r>
              <w:rPr>
                <w:rFonts w:hint="eastAsia" w:ascii="宋体" w:hAnsi="宋体" w:eastAsia="宋体" w:cs="宋体"/>
                <w:color w:val="auto"/>
                <w:kern w:val="0"/>
                <w:sz w:val="21"/>
                <w:szCs w:val="21"/>
              </w:rPr>
              <w:t>套</w:t>
            </w:r>
          </w:p>
        </w:tc>
        <w:tc>
          <w:tcPr>
            <w:tcW w:w="870"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cstheme="minorEastAsia"/>
                <w:color w:val="000000"/>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Theme="minorEastAsia" w:hAnsi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8</w:t>
            </w:r>
          </w:p>
        </w:tc>
        <w:tc>
          <w:tcPr>
            <w:tcW w:w="1305" w:type="dxa"/>
            <w:vAlign w:val="center"/>
          </w:tcPr>
          <w:p>
            <w:pPr>
              <w:widowControl/>
              <w:jc w:val="center"/>
              <w:rPr>
                <w:rFonts w:hint="eastAsia" w:asciiTheme="minorEastAsia" w:hAnsiTheme="minorEastAsia" w:cstheme="minorEastAsia"/>
                <w:color w:val="000000"/>
                <w:sz w:val="21"/>
                <w:szCs w:val="21"/>
                <w:lang w:val="en-US" w:eastAsia="zh-CN"/>
              </w:rPr>
            </w:pPr>
            <w:r>
              <w:rPr>
                <w:rFonts w:hint="eastAsia" w:ascii="宋体" w:hAnsi="宋体" w:eastAsia="宋体" w:cs="宋体"/>
                <w:color w:val="auto"/>
                <w:kern w:val="0"/>
                <w:sz w:val="21"/>
                <w:szCs w:val="21"/>
                <w:lang w:eastAsia="zh-CN"/>
              </w:rPr>
              <w:t>安装调试</w:t>
            </w:r>
          </w:p>
        </w:tc>
        <w:tc>
          <w:tcPr>
            <w:tcW w:w="5430" w:type="dxa"/>
            <w:vAlign w:val="center"/>
          </w:tcPr>
          <w:p>
            <w:pPr>
              <w:widowControl/>
              <w:jc w:val="left"/>
              <w:rPr>
                <w:rFonts w:hint="eastAsia" w:ascii="宋体" w:hAnsi="宋体" w:eastAsia="宋体" w:cs="宋体"/>
                <w:kern w:val="0"/>
                <w:sz w:val="21"/>
                <w:szCs w:val="21"/>
              </w:rPr>
            </w:pPr>
            <w:r>
              <w:rPr>
                <w:rFonts w:hint="eastAsia" w:ascii="宋体" w:hAnsi="宋体" w:eastAsia="宋体" w:cs="宋体"/>
                <w:color w:val="auto"/>
                <w:kern w:val="0"/>
                <w:sz w:val="21"/>
                <w:szCs w:val="21"/>
                <w:lang w:eastAsia="zh-CN"/>
              </w:rPr>
              <w:t>包含运费、安装调试、税金、售后等。</w:t>
            </w:r>
          </w:p>
        </w:tc>
        <w:tc>
          <w:tcPr>
            <w:tcW w:w="64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val="en-US" w:eastAsia="zh-CN"/>
              </w:rPr>
              <w:t>1</w:t>
            </w:r>
          </w:p>
        </w:tc>
        <w:tc>
          <w:tcPr>
            <w:tcW w:w="675" w:type="dxa"/>
            <w:vAlign w:val="center"/>
          </w:tcPr>
          <w:p>
            <w:pPr>
              <w:widowControl/>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eastAsia="zh-CN"/>
              </w:rPr>
              <w:t>项</w:t>
            </w:r>
          </w:p>
        </w:tc>
        <w:tc>
          <w:tcPr>
            <w:tcW w:w="870"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cstheme="minorEastAsia"/>
                <w:color w:val="000000"/>
                <w:sz w:val="21"/>
                <w:szCs w:val="21"/>
                <w:lang w:eastAsia="zh-CN"/>
              </w:rPr>
              <w:t>否</w:t>
            </w:r>
          </w:p>
        </w:tc>
      </w:tr>
    </w:tbl>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1、投标人须明确投标产品的厂家、产地、品牌、型号、详细参数，</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2、投标人应就本项目完整投标，</w:t>
      </w:r>
      <w:r>
        <w:rPr>
          <w:rFonts w:hint="eastAsia" w:ascii="宋体" w:cs="宋体"/>
          <w:b/>
          <w:sz w:val="24"/>
          <w:lang w:val="zh-CN"/>
        </w:rPr>
        <w:t>否则为无效投标。</w:t>
      </w:r>
    </w:p>
    <w:p>
      <w:pPr>
        <w:wordWrap w:val="0"/>
        <w:topLinePunct/>
        <w:spacing w:line="360" w:lineRule="auto"/>
        <w:ind w:firstLine="480" w:firstLineChars="200"/>
        <w:rPr>
          <w:rFonts w:ascii="宋体" w:cs="宋体"/>
          <w:sz w:val="24"/>
          <w:lang w:val="zh-CN"/>
        </w:rPr>
      </w:pPr>
      <w:r>
        <w:rPr>
          <w:rFonts w:hint="eastAsia" w:ascii="宋体" w:cs="宋体"/>
          <w:sz w:val="24"/>
          <w:lang w:val="zh-CN"/>
        </w:rPr>
        <w:t>3、所投产品必须符合国家质量检测标准和本招标文件规定标准的全新正品现货。</w:t>
      </w:r>
    </w:p>
    <w:p>
      <w:pPr>
        <w:wordWrap w:val="0"/>
        <w:topLinePunct/>
        <w:spacing w:line="360" w:lineRule="auto"/>
        <w:ind w:firstLine="480" w:firstLineChars="200"/>
        <w:rPr>
          <w:rFonts w:ascii="宋体" w:cs="宋体"/>
          <w:b/>
          <w:sz w:val="24"/>
          <w:lang w:val="zh-CN"/>
        </w:rPr>
      </w:pPr>
      <w:r>
        <w:rPr>
          <w:rFonts w:hint="eastAsia" w:ascii="宋体" w:cs="宋体"/>
          <w:sz w:val="24"/>
          <w:lang w:val="zh-CN"/>
        </w:rPr>
        <w:t>4、本项目为交钥匙工程。</w:t>
      </w:r>
    </w:p>
    <w:p>
      <w:pPr>
        <w:wordWrap w:val="0"/>
        <w:topLinePunct/>
        <w:spacing w:line="360" w:lineRule="auto"/>
        <w:ind w:firstLine="480" w:firstLineChars="200"/>
        <w:rPr>
          <w:rFonts w:ascii="宋体" w:cs="宋体"/>
          <w:color w:val="auto"/>
          <w:sz w:val="24"/>
          <w:lang w:val="zh-CN"/>
        </w:rPr>
      </w:pPr>
      <w:r>
        <w:rPr>
          <w:rFonts w:hint="eastAsia" w:ascii="宋体" w:cs="宋体"/>
          <w:color w:val="auto"/>
          <w:sz w:val="24"/>
          <w:lang w:val="zh-CN"/>
        </w:rPr>
        <w:t>5、</w:t>
      </w:r>
      <w:r>
        <w:rPr>
          <w:rFonts w:hint="eastAsia" w:cs="宋体" w:asciiTheme="minorEastAsia" w:hAnsiTheme="minorEastAsia"/>
          <w:color w:val="auto"/>
          <w:kern w:val="0"/>
          <w:sz w:val="24"/>
          <w:szCs w:val="24"/>
          <w:lang w:val="zh-CN"/>
        </w:rPr>
        <w:t>质保期</w:t>
      </w:r>
      <w:r>
        <w:rPr>
          <w:rFonts w:hint="eastAsia" w:ascii="宋体" w:cs="宋体"/>
          <w:color w:val="auto"/>
          <w:sz w:val="24"/>
          <w:lang w:val="zh-CN"/>
        </w:rPr>
        <w:t>：所投产品满足</w:t>
      </w:r>
      <w:r>
        <w:rPr>
          <w:rFonts w:hint="eastAsia" w:ascii="宋体" w:cs="宋体"/>
          <w:color w:val="auto"/>
          <w:sz w:val="24"/>
          <w:lang w:val="en-US" w:eastAsia="zh-CN"/>
        </w:rPr>
        <w:t>2</w:t>
      </w:r>
      <w:r>
        <w:rPr>
          <w:rFonts w:hint="eastAsia" w:ascii="宋体" w:cs="宋体"/>
          <w:color w:val="auto"/>
          <w:sz w:val="24"/>
          <w:lang w:val="zh-CN"/>
        </w:rPr>
        <w:t>年免费质保期。</w:t>
      </w:r>
    </w:p>
    <w:p>
      <w:pPr>
        <w:widowControl/>
        <w:shd w:val="clear" w:color="auto" w:fill="FFFFFF"/>
        <w:spacing w:line="360" w:lineRule="auto"/>
        <w:ind w:firstLine="482" w:firstLineChars="200"/>
        <w:contextualSpacing/>
        <w:jc w:val="left"/>
        <w:rPr>
          <w:rFonts w:ascii="楷体" w:hAnsi="楷体" w:eastAsia="楷体" w:cs="宋体"/>
          <w:color w:val="auto"/>
          <w:kern w:val="0"/>
          <w:szCs w:val="21"/>
          <w:lang w:val="zh-CN"/>
        </w:rPr>
      </w:pPr>
      <w:r>
        <w:rPr>
          <w:rFonts w:hint="eastAsia" w:cs="宋体" w:asciiTheme="minorEastAsia" w:hAnsiTheme="minorEastAsia"/>
          <w:b/>
          <w:color w:val="auto"/>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hd w:val="clear" w:color="auto" w:fill="FFFFFF"/>
        </w:rPr>
        <w:t>六、本项目预算金额</w:t>
      </w:r>
      <w:r>
        <w:rPr>
          <w:rFonts w:hint="eastAsia" w:cs="黑体" w:asciiTheme="minorEastAsia" w:hAnsiTheme="minorEastAsia" w:eastAsiaTheme="minorEastAsia"/>
          <w:b/>
          <w:bCs/>
          <w:color w:val="auto"/>
          <w:shd w:val="clear" w:color="auto" w:fill="FFFFFF"/>
          <w:lang w:eastAsia="zh-CN"/>
        </w:rPr>
        <w:t>1335538.00</w:t>
      </w:r>
      <w:r>
        <w:rPr>
          <w:rFonts w:hint="eastAsia" w:cs="黑体" w:asciiTheme="minorEastAsia" w:hAnsiTheme="minorEastAsia" w:eastAsiaTheme="minorEastAsia"/>
          <w:b/>
          <w:bCs/>
          <w:color w:val="auto"/>
          <w:shd w:val="clear" w:color="auto" w:fill="FFFFFF"/>
        </w:rPr>
        <w:t>元。最高限价</w:t>
      </w:r>
      <w:r>
        <w:rPr>
          <w:rFonts w:hint="eastAsia" w:cs="黑体" w:asciiTheme="minorEastAsia" w:hAnsiTheme="minorEastAsia" w:eastAsiaTheme="minorEastAsia"/>
          <w:b/>
          <w:bCs/>
          <w:color w:val="auto"/>
          <w:shd w:val="clear" w:color="auto" w:fill="FFFFFF"/>
          <w:lang w:eastAsia="zh-CN"/>
        </w:rPr>
        <w:t>1335538.00</w:t>
      </w:r>
      <w:r>
        <w:rPr>
          <w:rFonts w:hint="eastAsia" w:cs="宋体" w:asciiTheme="minorEastAsia" w:hAnsiTheme="minorEastAsia" w:eastAsiaTheme="minorEastAsia"/>
          <w:b/>
          <w:color w:val="auto"/>
          <w:kern w:val="0"/>
          <w:lang w:val="zh-CN"/>
        </w:rPr>
        <w:t>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宋体" w:asciiTheme="minorEastAsia" w:hAnsiTheme="minorEastAsia"/>
          <w:b/>
          <w:color w:val="auto"/>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（一）支付方式：银行转账</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（二）支付时间及条件：经验收合格付合同总价款的</w:t>
      </w:r>
      <w:r>
        <w:rPr>
          <w:rFonts w:hint="eastAsia" w:cs="宋体" w:asciiTheme="minorEastAsia" w:hAnsiTheme="minorEastAsia"/>
          <w:color w:val="auto"/>
          <w:kern w:val="0"/>
          <w:sz w:val="24"/>
          <w:szCs w:val="24"/>
          <w:u w:val="single"/>
          <w:lang w:val="en-US" w:eastAsia="zh-CN"/>
        </w:rPr>
        <w:t xml:space="preserve"> 95 </w:t>
      </w:r>
      <w:r>
        <w:rPr>
          <w:rFonts w:hint="eastAsia" w:cs="宋体" w:asciiTheme="minorEastAsia" w:hAnsiTheme="minorEastAsia"/>
          <w:color w:val="auto"/>
          <w:kern w:val="0"/>
          <w:sz w:val="24"/>
          <w:szCs w:val="24"/>
          <w:lang w:val="zh-CN"/>
        </w:rPr>
        <w:t>%，剩余</w:t>
      </w:r>
      <w:r>
        <w:rPr>
          <w:rFonts w:hint="eastAsia" w:cs="宋体" w:asciiTheme="minorEastAsia" w:hAnsiTheme="minorEastAsia"/>
          <w:color w:val="auto"/>
          <w:kern w:val="0"/>
          <w:sz w:val="24"/>
          <w:szCs w:val="24"/>
          <w:u w:val="single"/>
          <w:lang w:val="en-US" w:eastAsia="zh-CN"/>
        </w:rPr>
        <w:t xml:space="preserve">5 </w:t>
      </w:r>
      <w:r>
        <w:rPr>
          <w:rFonts w:hint="eastAsia" w:cs="宋体" w:asciiTheme="minorEastAsia" w:hAnsiTheme="minorEastAsia"/>
          <w:color w:val="auto"/>
          <w:kern w:val="0"/>
          <w:sz w:val="24"/>
          <w:szCs w:val="24"/>
          <w:lang w:val="zh-CN"/>
        </w:rPr>
        <w:t>%质保金满一年质保无质量问题一次性付清。</w:t>
      </w: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5"/>
        <w:rPr>
          <w:rFonts w:hint="eastAsia" w:cs="宋体" w:asciiTheme="majorEastAsia" w:hAnsiTheme="majorEastAsia" w:eastAsiaTheme="majorEastAsia"/>
          <w:b/>
          <w:kern w:val="0"/>
          <w:sz w:val="32"/>
          <w:szCs w:val="32"/>
        </w:rPr>
      </w:pPr>
    </w:p>
    <w:p>
      <w:pPr>
        <w:pStyle w:val="5"/>
        <w:rPr>
          <w:rFonts w:hint="eastAsia" w:cs="宋体" w:asciiTheme="majorEastAsia" w:hAnsiTheme="majorEastAsia" w:eastAsiaTheme="majorEastAsia"/>
          <w:b/>
          <w:kern w:val="0"/>
          <w:sz w:val="32"/>
          <w:szCs w:val="32"/>
        </w:rPr>
      </w:pPr>
    </w:p>
    <w:p>
      <w:pPr>
        <w:widowControl/>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left="0" w:leftChars="0" w:right="-11" w:firstLine="422" w:firstLineChars="200"/>
        <w:jc w:val="left"/>
        <w:rPr>
          <w:rFonts w:cs="宋体" w:asciiTheme="minorEastAsia" w:hAnsiTheme="minorEastAsia"/>
          <w:b/>
          <w:color w:val="auto"/>
          <w:kern w:val="0"/>
          <w:szCs w:val="21"/>
        </w:rPr>
      </w:pPr>
      <w:r>
        <w:rPr>
          <w:rFonts w:hint="eastAsia" w:cs="微软雅黑"/>
          <w:b/>
          <w:color w:val="auto"/>
          <w:szCs w:val="21"/>
        </w:rPr>
        <w:t>招标文件中凡标有</w:t>
      </w:r>
      <w:r>
        <w:rPr>
          <w:rFonts w:hint="eastAsia" w:cs="微软雅黑" w:asciiTheme="minorEastAsia" w:hAnsiTheme="minorEastAsia"/>
          <w:b/>
          <w:color w:val="FF0000"/>
          <w:szCs w:val="21"/>
        </w:rPr>
        <w:t>★</w:t>
      </w:r>
      <w:r>
        <w:rPr>
          <w:rFonts w:hint="eastAsia" w:cs="微软雅黑"/>
          <w:b/>
          <w:color w:val="auto"/>
          <w:szCs w:val="21"/>
        </w:rPr>
        <w:t>条款均为实质性要求条款，投标文件须完全响应，未实质响应的，按照无效投标处理。</w:t>
      </w:r>
    </w:p>
    <w:tbl>
      <w:tblPr>
        <w:tblStyle w:val="25"/>
        <w:tblW w:w="9370" w:type="dxa"/>
        <w:jc w:val="center"/>
        <w:tblInd w:w="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889"/>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6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1889"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1889"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指挥中心大屏显示系统</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w:t>
            </w:r>
            <w:r>
              <w:rPr>
                <w:rFonts w:cs="仿宋_GB2312" w:asciiTheme="minorEastAsia" w:hAnsiTheme="minorEastAsia"/>
                <w:color w:val="000000"/>
                <w:szCs w:val="21"/>
                <w:shd w:val="clear" w:color="auto" w:fill="FFFFFF"/>
              </w:rPr>
              <w:t>JZFCG-G2019</w:t>
            </w:r>
            <w:r>
              <w:rPr>
                <w:rFonts w:hint="eastAsia" w:cs="仿宋_GB2312" w:asciiTheme="minorEastAsia" w:hAnsiTheme="minorEastAsia"/>
                <w:color w:val="000000"/>
                <w:szCs w:val="21"/>
                <w:shd w:val="clear" w:color="auto" w:fill="FFFFFF"/>
                <w:lang w:val="en-US" w:eastAsia="zh-CN"/>
              </w:rPr>
              <w:t>108</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项目内容：购买</w:t>
            </w:r>
            <w:r>
              <w:rPr>
                <w:rFonts w:hint="eastAsia" w:cs="仿宋_GB2312" w:asciiTheme="minorEastAsia" w:hAnsiTheme="minorEastAsia"/>
                <w:szCs w:val="21"/>
                <w:lang w:eastAsia="zh-CN"/>
              </w:rPr>
              <w:t>指挥中心大屏显示系统。</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项目地址：许昌市新兴路西段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668"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1889"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河南省第三强制隔离戒毒所</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地址：许昌市新兴路西段</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邓先生</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7369022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1889"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许昌光大电子商务技术服务有限公司</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rPr>
              <w:t>地址：</w:t>
            </w:r>
            <w:r>
              <w:rPr>
                <w:rFonts w:hint="eastAsia" w:cs="仿宋_GB2312" w:asciiTheme="minorEastAsia" w:hAnsiTheme="minorEastAsia"/>
                <w:szCs w:val="21"/>
                <w:lang w:eastAsia="zh-CN"/>
              </w:rPr>
              <w:t>许昌市智慧大道亨源通世纪广场</w:t>
            </w:r>
            <w:r>
              <w:rPr>
                <w:rFonts w:hint="eastAsia" w:cs="仿宋_GB2312" w:asciiTheme="minorEastAsia" w:hAnsiTheme="minorEastAsia"/>
                <w:szCs w:val="21"/>
                <w:lang w:val="en-US" w:eastAsia="zh-CN"/>
              </w:rPr>
              <w:t>1号楼401</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朱</w:t>
            </w:r>
            <w:r>
              <w:rPr>
                <w:rFonts w:hint="eastAsia" w:cs="仿宋_GB2312" w:asciiTheme="minorEastAsia" w:hAnsiTheme="minorEastAsia"/>
                <w:szCs w:val="21"/>
              </w:rPr>
              <w:t>女士           电话：</w:t>
            </w:r>
            <w:r>
              <w:rPr>
                <w:rFonts w:hint="eastAsia" w:cs="仿宋_GB2312" w:asciiTheme="minorEastAsia" w:hAnsiTheme="minorEastAsia"/>
                <w:szCs w:val="21"/>
                <w:lang w:val="en-US" w:eastAsia="zh-CN"/>
              </w:rPr>
              <w:t>13323993003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1889"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en-US" w:eastAsia="zh-CN"/>
              </w:rPr>
              <w:t>3</w:t>
            </w:r>
            <w:r>
              <w:rPr>
                <w:rFonts w:hint="eastAsia" w:cs="宋体" w:asciiTheme="minorEastAsia" w:hAnsiTheme="minorEastAsia"/>
                <w:bCs/>
                <w:szCs w:val="21"/>
                <w:lang w:val="zh-CN"/>
              </w:rPr>
              <w:t>、个体工商户营业执照。（个体工商户投标提供）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en-US" w:eastAsia="zh-CN"/>
              </w:rPr>
              <w:t>4</w:t>
            </w:r>
            <w:r>
              <w:rPr>
                <w:rFonts w:hint="eastAsia" w:cs="宋体" w:asciiTheme="minorEastAsia" w:hAnsiTheme="minorEastAsia"/>
                <w:bCs/>
                <w:szCs w:val="21"/>
                <w:lang w:val="zh-CN"/>
              </w:rPr>
              <w:t>、自然人身份证明。（自然人投标提供）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hint="eastAsia" w:asciiTheme="minorEastAsia" w:hAnsiTheme="minorEastAsia" w:eastAsiaTheme="minorEastAsia"/>
                <w:bCs/>
                <w:szCs w:val="21"/>
                <w:lang w:eastAsia="zh-CN"/>
              </w:rPr>
            </w:pPr>
            <w:r>
              <w:rPr>
                <w:rFonts w:hint="eastAsia" w:asciiTheme="minorEastAsia" w:hAnsiTheme="minorEastAsia"/>
                <w:bCs/>
                <w:szCs w:val="21"/>
              </w:rPr>
              <w:t>①2018年度经审计的财务报告，包括资产负债表、利润表、现金流量表、所有者权益变动表及其附注，成立不足一年的提供上个月的财务报表</w:t>
            </w:r>
            <w:r>
              <w:rPr>
                <w:rFonts w:hint="eastAsia" w:asciiTheme="minorEastAsia" w:hAnsiTheme="minorEastAsia"/>
                <w:bCs/>
                <w:szCs w:val="21"/>
                <w:lang w:eastAsia="zh-CN"/>
              </w:rPr>
              <w:t>；</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Theme="minorEastAsia" w:hAnsiTheme="minorEastAsia"/>
                <w:bCs/>
                <w:szCs w:val="21"/>
              </w:rPr>
              <w:t>注：仅需提供序号①～③其中之一即可。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Theme="minorEastAsia" w:hAnsiTheme="minorEastAsia"/>
                <w:bCs/>
                <w:szCs w:val="21"/>
              </w:rPr>
              <w:t>注：仅需提供序号①～③其中之一即可。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spacing w:line="360" w:lineRule="auto"/>
              <w:rPr>
                <w:rFonts w:asciiTheme="minorEastAsia" w:hAnsiTheme="minorEastAsia"/>
                <w:bCs/>
                <w:szCs w:val="21"/>
              </w:rPr>
            </w:pPr>
            <w:r>
              <w:rPr>
                <w:rFonts w:hint="eastAsia" w:asciiTheme="minorEastAsia" w:hAnsiTheme="minorEastAsia"/>
                <w:bCs/>
                <w:szCs w:val="21"/>
              </w:rPr>
              <w:t>注：仅需提供序号1～2其中之一即可。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r>
              <w:rPr>
                <w:rFonts w:hint="eastAsia" w:cs="宋体" w:asciiTheme="minorEastAsia" w:hAnsiTheme="minorEastAsia"/>
                <w:kern w:val="0"/>
                <w:szCs w:val="21"/>
                <w:lang w:eastAsia="zh-CN"/>
              </w:rPr>
              <w:t>；</w:t>
            </w:r>
          </w:p>
          <w:p>
            <w:pPr>
              <w:autoSpaceDE w:val="0"/>
              <w:autoSpaceDN w:val="0"/>
              <w:spacing w:line="360" w:lineRule="auto"/>
              <w:contextualSpacing/>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r>
              <w:rPr>
                <w:rFonts w:hint="eastAsia" w:cs="宋体" w:asciiTheme="minorEastAsia" w:hAnsiTheme="minorEastAsia"/>
                <w:kern w:val="0"/>
                <w:szCs w:val="21"/>
                <w:lang w:eastAsia="zh-CN"/>
              </w:rPr>
              <w:t>；</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1889"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1889"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rPr>
              <w:t>1335538.00元，超出最高限价的投标无效。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1889"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1889"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1889"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1889"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1889" w:type="dxa"/>
            <w:vAlign w:val="center"/>
          </w:tcPr>
          <w:p>
            <w:pPr>
              <w:autoSpaceDE w:val="0"/>
              <w:autoSpaceDN w:val="0"/>
              <w:adjustRightInd w:val="0"/>
              <w:spacing w:line="360" w:lineRule="auto"/>
              <w:jc w:val="center"/>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188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eastAsiaTheme="minorEastAsia"/>
                <w:color w:val="000000"/>
                <w:sz w:val="21"/>
                <w:szCs w:val="21"/>
              </w:rPr>
              <w:t>2019年</w:t>
            </w:r>
            <w:r>
              <w:rPr>
                <w:rFonts w:hint="eastAsia" w:cs="仿宋_GB2312" w:asciiTheme="minorEastAsia" w:hAnsiTheme="minorEastAsia" w:eastAsiaTheme="minorEastAsia"/>
                <w:color w:val="000000"/>
                <w:sz w:val="21"/>
                <w:szCs w:val="21"/>
                <w:u w:val="single"/>
                <w:lang w:val="en-US" w:eastAsia="zh-CN"/>
              </w:rPr>
              <w:t>10</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29</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rPr>
              <w:t xml:space="preserve"> 30 </w:t>
            </w:r>
            <w:r>
              <w:rPr>
                <w:rFonts w:hint="eastAsia" w:cs="仿宋_GB2312" w:asciiTheme="minorEastAsia" w:hAnsiTheme="minorEastAsia" w:eastAsiaTheme="minorEastAsia"/>
                <w:color w:val="000000"/>
                <w:sz w:val="21"/>
                <w:szCs w:val="21"/>
              </w:rPr>
              <w:t>分</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1889"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single"/>
                <w:lang w:val="en-US" w:eastAsia="zh-CN"/>
              </w:rPr>
              <w:t>3</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1889"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1889"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1889" w:type="dxa"/>
            <w:vAlign w:val="center"/>
          </w:tcPr>
          <w:p>
            <w:pPr>
              <w:autoSpaceDE w:val="0"/>
              <w:autoSpaceDN w:val="0"/>
              <w:adjustRightInd w:val="0"/>
              <w:spacing w:line="360" w:lineRule="auto"/>
              <w:ind w:right="-178" w:rightChars="-85"/>
              <w:jc w:val="left"/>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1889" w:type="dxa"/>
            <w:vAlign w:val="center"/>
          </w:tcPr>
          <w:p>
            <w:pPr>
              <w:autoSpaceDE w:val="0"/>
              <w:autoSpaceDN w:val="0"/>
              <w:adjustRightInd w:val="0"/>
              <w:spacing w:line="360" w:lineRule="auto"/>
              <w:ind w:right="-178" w:rightChars="-85"/>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1889"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1889"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1889"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188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188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188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sym w:font="Wingdings 2" w:char="0052"/>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2"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188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不收取</w:t>
            </w:r>
          </w:p>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收取</w:t>
            </w:r>
          </w:p>
          <w:p>
            <w:pPr>
              <w:autoSpaceDE w:val="0"/>
              <w:autoSpaceDN w:val="0"/>
              <w:spacing w:line="360" w:lineRule="auto"/>
              <w:contextualSpacing/>
              <w:rPr>
                <w:rFonts w:cs="宋体" w:asciiTheme="minorEastAsia" w:hAnsiTheme="minorEastAsia"/>
                <w:bCs/>
                <w:szCs w:val="21"/>
                <w:lang w:val="zh-CN"/>
              </w:rPr>
            </w:pPr>
            <w:r>
              <w:rPr>
                <w:rFonts w:hint="eastAsia" w:cs="仿宋_GB2312" w:asciiTheme="minorEastAsia" w:hAnsiTheme="minorEastAsia"/>
                <w:szCs w:val="21"/>
                <w:lang w:val="zh-CN"/>
              </w:rPr>
              <w:t>中标合同金额的1.5%。一次性以银行划账、电汇、汇票或支票的形式支付。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2"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188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向代理机构发</w:t>
            </w:r>
            <w:r>
              <w:rPr>
                <w:rFonts w:hint="eastAsia" w:cs="宋体" w:asciiTheme="minorEastAsia" w:hAnsiTheme="minorEastAsia"/>
                <w:bCs/>
                <w:szCs w:val="21"/>
                <w:lang w:val="zh-CN"/>
              </w:rPr>
              <w:t>送投标报价及分项报价一览表（包含主要中标标的的名称、规格型号、数量、单价、服务要求等）电子文档，并同时通知代理机构。联系电话：</w:t>
            </w:r>
            <w:r>
              <w:rPr>
                <w:rFonts w:hint="eastAsia" w:cs="宋体" w:asciiTheme="minorEastAsia" w:hAnsiTheme="minorEastAsia"/>
                <w:bCs/>
                <w:szCs w:val="21"/>
                <w:lang w:val="en-US" w:eastAsia="zh-CN"/>
              </w:rPr>
              <w:t>13323993003</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jzbxcgd</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163</w:t>
            </w:r>
            <w:r>
              <w:rPr>
                <w:rFonts w:hint="eastAsia" w:cs="宋体" w:asciiTheme="minorEastAsia" w:hAnsiTheme="minorEastAsia"/>
                <w:bCs/>
                <w:szCs w:val="21"/>
                <w:lang w:val="zh-CN"/>
              </w:rPr>
              <w:t xml:space="preserve">.com。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188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188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b/>
                <w:bCs/>
              </w:rPr>
              <w:t>不同投标人电子投标文件记录的网卡MAC地址、CPU序号、硬盘序列号等硬件特征码均相同时，视为“不同投标人的投标文件由同一单位或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2"/>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2"/>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2"/>
        <w:numPr>
          <w:ilvl w:val="1"/>
          <w:numId w:val="5"/>
        </w:numPr>
        <w:autoSpaceDE w:val="0"/>
        <w:autoSpaceDN w:val="0"/>
        <w:spacing w:line="360" w:lineRule="auto"/>
        <w:ind w:left="4" w:leftChars="0" w:firstLine="416"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2"/>
        <w:numPr>
          <w:ilvl w:val="1"/>
          <w:numId w:val="5"/>
        </w:numPr>
        <w:autoSpaceDE w:val="0"/>
        <w:autoSpaceDN w:val="0"/>
        <w:spacing w:line="360" w:lineRule="auto"/>
        <w:ind w:left="4" w:leftChars="0" w:firstLine="416"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0" w:leftChars="0" w:firstLine="409" w:firstLineChars="195"/>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10" w:leftChars="0" w:firstLine="409" w:firstLineChars="195"/>
        <w:contextualSpacing/>
        <w:rPr>
          <w:rFonts w:hint="eastAsia" w:cs="宋体" w:asciiTheme="minorEastAsia" w:hAnsiTheme="minorEastAsia"/>
          <w:kern w:val="0"/>
          <w:szCs w:val="21"/>
        </w:rPr>
      </w:pPr>
      <w:r>
        <w:rPr>
          <w:rFonts w:hint="eastAsia" w:cs="宋体" w:asciiTheme="minorEastAsia" w:hAnsiTheme="minorEastAsia"/>
          <w:kern w:val="0"/>
          <w:szCs w:val="21"/>
        </w:rPr>
        <w:t>2.7.2  如招标文件中已说明，经财政部门审核同意，允许部分或全部产品采购进口产品，投标人既可提供本国产品，也可以提供进口产品。</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2"/>
        <w:numPr>
          <w:ilvl w:val="0"/>
          <w:numId w:val="6"/>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2"/>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2"/>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42"/>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42"/>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政府采购严重违法失信名单、政府采购严重违法失信行为记录名单、严重违法失信社会组织名单的投标人，将拒绝其参与本次政府采购活动。</w:t>
      </w:r>
    </w:p>
    <w:p>
      <w:pPr>
        <w:pStyle w:val="42"/>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10" w:leftChars="0" w:firstLine="415" w:firstLineChars="198"/>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10" w:leftChars="5" w:firstLine="411" w:firstLineChars="196"/>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10" w:leftChars="5" w:firstLine="411" w:firstLineChars="196"/>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rPr>
        <w:t>3.6.5  联合体各方应当共同与采购人签订采购合同，就采购合同约定的事项对采购人</w:t>
      </w:r>
      <w:r>
        <w:rPr>
          <w:rFonts w:hint="eastAsia" w:cs="宋体" w:asciiTheme="minorEastAsia" w:hAnsiTheme="minorEastAsia"/>
          <w:kern w:val="0"/>
          <w:szCs w:val="21"/>
        </w:rPr>
        <w:fldChar w:fldCharType="begin"/>
      </w:r>
      <w:r>
        <w:rPr>
          <w:rFonts w:hint="eastAsia" w:cs="宋体" w:asciiTheme="minorEastAsia" w:hAnsiTheme="minorEastAsia"/>
          <w:kern w:val="0"/>
          <w:szCs w:val="21"/>
        </w:rPr>
        <w:instrText xml:space="preserve"> HYPERLINK "https://baike.baidu.com/item/%E6%89%BF%E6%8B%85%E8%BF%9E%E5%B8%A6%E8%B4%A3%E4%BB%BB" \t "_blank" </w:instrText>
      </w:r>
      <w:r>
        <w:rPr>
          <w:rFonts w:hint="eastAsia" w:cs="宋体" w:asciiTheme="minorEastAsia" w:hAnsiTheme="minorEastAsia"/>
          <w:kern w:val="0"/>
          <w:szCs w:val="21"/>
        </w:rPr>
        <w:fldChar w:fldCharType="separate"/>
      </w:r>
      <w:r>
        <w:rPr>
          <w:rFonts w:hint="eastAsia" w:cs="宋体" w:asciiTheme="minorEastAsia" w:hAnsiTheme="minorEastAsia"/>
          <w:kern w:val="0"/>
          <w:szCs w:val="21"/>
        </w:rPr>
        <w:t>承担连带责任</w:t>
      </w:r>
      <w:r>
        <w:rPr>
          <w:rFonts w:hint="eastAsia" w:cs="宋体" w:asciiTheme="minorEastAsia" w:hAnsiTheme="minorEastAsia"/>
          <w:kern w:val="0"/>
          <w:szCs w:val="21"/>
        </w:rPr>
        <w:fldChar w:fldCharType="end"/>
      </w:r>
      <w:r>
        <w:rPr>
          <w:rFonts w:hint="eastAsia"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2"/>
        <w:numPr>
          <w:ilvl w:val="0"/>
          <w:numId w:val="0"/>
        </w:num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4.1</w:t>
      </w: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42"/>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本项目收取代理费用。详见投标人须知前附表。</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2"/>
        <w:numPr>
          <w:ilvl w:val="0"/>
          <w:numId w:val="0"/>
        </w:num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9.1 </w:t>
      </w:r>
      <w:r>
        <w:rPr>
          <w:rFonts w:hint="eastAsia" w:cs="宋体" w:asciiTheme="minorEastAsia" w:hAnsiTheme="minorEastAsia"/>
          <w:kern w:val="0"/>
          <w:szCs w:val="21"/>
        </w:rPr>
        <w:t>招标文件由以下部分组成：</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2"/>
        <w:numPr>
          <w:ilvl w:val="0"/>
          <w:numId w:val="0"/>
        </w:num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10.1 </w:t>
      </w: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2"/>
        <w:numPr>
          <w:ilvl w:val="0"/>
          <w:numId w:val="7"/>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2"/>
        <w:numPr>
          <w:ilvl w:val="0"/>
          <w:numId w:val="8"/>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42"/>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2"/>
        <w:numPr>
          <w:ilvl w:val="1"/>
          <w:numId w:val="5"/>
        </w:numPr>
        <w:autoSpaceDE w:val="0"/>
        <w:autoSpaceDN w:val="0"/>
        <w:spacing w:line="360" w:lineRule="auto"/>
        <w:ind w:left="4" w:leftChars="0" w:firstLine="416"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2"/>
        <w:numPr>
          <w:ilvl w:val="0"/>
          <w:numId w:val="8"/>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2"/>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2"/>
        <w:numPr>
          <w:ilvl w:val="0"/>
          <w:numId w:val="8"/>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2"/>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2"/>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42"/>
        <w:numPr>
          <w:ilvl w:val="0"/>
          <w:numId w:val="8"/>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2"/>
        <w:numPr>
          <w:ilvl w:val="0"/>
          <w:numId w:val="8"/>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2"/>
        <w:numPr>
          <w:ilvl w:val="0"/>
          <w:numId w:val="9"/>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pStyle w:val="42"/>
        <w:numPr>
          <w:ilvl w:val="0"/>
          <w:numId w:val="5"/>
        </w:numPr>
        <w:autoSpaceDE w:val="0"/>
        <w:autoSpaceDN w:val="0"/>
        <w:spacing w:line="360" w:lineRule="auto"/>
        <w:ind w:left="0" w:leftChars="0"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2"/>
        <w:numPr>
          <w:ilvl w:val="0"/>
          <w:numId w:val="10"/>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15" w:leftChars="7" w:firstLine="403" w:firstLineChars="192"/>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15" w:leftChars="7" w:firstLine="403" w:firstLineChars="192"/>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代理机构解密：代理机构按电子投标文件到达交易系统的先后顺序，使用本单位CA数字证书进行再次解密。</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left="15" w:leftChars="7" w:firstLine="403" w:firstLineChars="192"/>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15" w:leftChars="7" w:firstLine="403" w:firstLineChars="192"/>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42"/>
        <w:numPr>
          <w:ilvl w:val="0"/>
          <w:numId w:val="11"/>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9" w:leftChars="9" w:firstLine="399" w:firstLineChars="190"/>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10" w:leftChars="0" w:firstLine="409" w:firstLineChars="195"/>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2"/>
        <w:numPr>
          <w:ilvl w:val="0"/>
          <w:numId w:val="11"/>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2"/>
        <w:numPr>
          <w:ilvl w:val="0"/>
          <w:numId w:val="11"/>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3" w:leftChars="6" w:firstLine="411" w:firstLineChars="196"/>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10" w:leftChars="5" w:firstLine="407" w:firstLineChars="194"/>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2"/>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r>
        <w:rPr>
          <w:rFonts w:cs="宋体" w:asciiTheme="minorEastAsia" w:hAnsiTheme="minorEastAsia"/>
          <w:kern w:val="0"/>
          <w:szCs w:val="21"/>
        </w:rPr>
        <w:t xml:space="preserve"> </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按照《关于推进全流程电子化交易和在线监管工作有关问题的通知》（许公管办[2019]3号）规定，不同投标人电子投标文件制作硬件特征码（网卡MAC地址、CPU序号、硬盘序列号等）雷同时，视为‘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2"/>
        <w:numPr>
          <w:ilvl w:val="0"/>
          <w:numId w:val="12"/>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0" w:leftChars="0" w:firstLine="417" w:firstLineChars="199"/>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2"/>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3"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3"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3"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3"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0" w:leftChars="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3"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3"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2"/>
        <w:numPr>
          <w:ilvl w:val="0"/>
          <w:numId w:val="13"/>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3"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3"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3"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3"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3"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3"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3"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2"/>
        <w:numPr>
          <w:ilvl w:val="0"/>
          <w:numId w:val="14"/>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2"/>
        <w:numPr>
          <w:ilvl w:val="1"/>
          <w:numId w:val="5"/>
        </w:numPr>
        <w:autoSpaceDE w:val="0"/>
        <w:autoSpaceDN w:val="0"/>
        <w:spacing w:line="360" w:lineRule="auto"/>
        <w:ind w:left="4" w:leftChars="0" w:firstLine="416" w:firstLineChars="0"/>
        <w:contextualSpacing/>
        <w:rPr>
          <w:rFonts w:cs="仿宋_GB2312" w:asciiTheme="minorEastAsia" w:hAnsiTheme="minorEastAsia"/>
          <w:szCs w:val="21"/>
          <w:lang w:val="zh-CN"/>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hint="eastAsia"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2"/>
        <w:numPr>
          <w:ilvl w:val="0"/>
          <w:numId w:val="14"/>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2"/>
        <w:numPr>
          <w:ilvl w:val="0"/>
          <w:numId w:val="14"/>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2"/>
        <w:numPr>
          <w:ilvl w:val="1"/>
          <w:numId w:val="5"/>
        </w:numPr>
        <w:autoSpaceDE w:val="0"/>
        <w:autoSpaceDN w:val="0"/>
        <w:spacing w:line="360" w:lineRule="auto"/>
        <w:ind w:left="4" w:leftChars="0"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2"/>
        <w:numPr>
          <w:ilvl w:val="0"/>
          <w:numId w:val="0"/>
        </w:num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39.1</w:t>
      </w: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对采购过程提出质疑的，为各采购程序环节结束之日起七个工作日内，以书面形式向采购人和采购代理机构一次性提出；</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42"/>
        <w:numPr>
          <w:ilvl w:val="0"/>
          <w:numId w:val="0"/>
        </w:numPr>
        <w:tabs>
          <w:tab w:val="left" w:pos="0"/>
        </w:tabs>
        <w:autoSpaceDE w:val="0"/>
        <w:autoSpaceDN w:val="0"/>
        <w:spacing w:line="360" w:lineRule="auto"/>
        <w:ind w:left="15" w:leftChars="7" w:firstLine="399" w:firstLineChars="19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39.2 </w:t>
      </w: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4" w:leftChars="0"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0" w:leftChars="0" w:firstLine="420" w:firstLineChars="200"/>
        <w:contextualSpacing/>
        <w:jc w:val="left"/>
        <w:rPr>
          <w:rFonts w:hint="eastAsia" w:cs="宋体" w:asciiTheme="majorEastAsia" w:hAnsiTheme="majorEastAsia" w:eastAsiaTheme="majorEastAsia"/>
          <w:b/>
          <w:kern w:val="0"/>
          <w:sz w:val="32"/>
          <w:szCs w:val="32"/>
          <w:lang w:val="en-US" w:eastAsia="zh-CN"/>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w:t>
      </w:r>
      <w:r>
        <w:rPr>
          <w:rFonts w:hint="eastAsia" w:cs="宋体" w:asciiTheme="majorEastAsia" w:hAnsiTheme="majorEastAsia" w:eastAsiaTheme="majorEastAsia"/>
          <w:b/>
          <w:kern w:val="0"/>
          <w:sz w:val="32"/>
          <w:szCs w:val="32"/>
          <w:lang w:val="en-US" w:eastAsia="zh-CN"/>
        </w:rPr>
        <w:t xml:space="preserve">         </w:t>
      </w:r>
    </w:p>
    <w:p>
      <w:pPr>
        <w:rPr>
          <w:rFonts w:hint="eastAsia" w:cs="宋体" w:asciiTheme="majorEastAsia" w:hAnsiTheme="majorEastAsia" w:eastAsiaTheme="majorEastAsia"/>
          <w:b/>
          <w:kern w:val="0"/>
          <w:sz w:val="32"/>
          <w:szCs w:val="32"/>
          <w:lang w:val="en-US" w:eastAsia="zh-CN"/>
        </w:rPr>
      </w:pPr>
      <w:r>
        <w:rPr>
          <w:rFonts w:hint="eastAsia" w:cs="宋体" w:asciiTheme="majorEastAsia" w:hAnsiTheme="majorEastAsia" w:eastAsiaTheme="majorEastAsia"/>
          <w:b/>
          <w:kern w:val="0"/>
          <w:sz w:val="32"/>
          <w:szCs w:val="32"/>
          <w:lang w:val="en-US" w:eastAsia="zh-CN"/>
        </w:rPr>
        <w:br w:type="page"/>
      </w:r>
    </w:p>
    <w:p>
      <w:pPr>
        <w:autoSpaceDE w:val="0"/>
        <w:autoSpaceDN w:val="0"/>
        <w:spacing w:line="360" w:lineRule="auto"/>
        <w:ind w:left="0" w:leftChars="0" w:firstLine="2570" w:firstLineChars="80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7"/>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仿宋_GB2312" w:asciiTheme="minorEastAsia" w:hAnsiTheme="minorEastAsia"/>
          <w:szCs w:val="21"/>
          <w:lang w:val="en-US" w:eastAsia="zh-CN"/>
        </w:rPr>
        <w:t>.</w:t>
      </w:r>
      <w:r>
        <w:rPr>
          <w:rFonts w:hint="eastAsia" w:cs="仿宋_GB2312" w:asciiTheme="minorEastAsia" w:hAnsiTheme="minorEastAsia"/>
          <w:szCs w:val="21"/>
          <w:lang w:val="zh-CN"/>
        </w:rPr>
        <w:t>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w:t>
      </w:r>
      <w:r>
        <w:rPr>
          <w:rFonts w:hint="eastAsia" w:cs="仿宋_GB2312" w:asciiTheme="minorEastAsia" w:hAnsiTheme="minorEastAsia"/>
          <w:szCs w:val="21"/>
          <w:lang w:val="en-US" w:eastAsia="zh-CN"/>
        </w:rPr>
        <w:t>.</w:t>
      </w:r>
      <w:r>
        <w:rPr>
          <w:rFonts w:hint="eastAsia" w:cs="仿宋_GB2312" w:asciiTheme="minorEastAsia" w:hAnsiTheme="minorEastAsia"/>
          <w:szCs w:val="21"/>
          <w:lang w:val="zh-CN"/>
        </w:rPr>
        <w:t>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w:t>
      </w:r>
      <w:r>
        <w:rPr>
          <w:rFonts w:hint="eastAsia" w:cs="仿宋_GB2312" w:asciiTheme="minorEastAsia" w:hAnsiTheme="minorEastAsia"/>
          <w:szCs w:val="21"/>
          <w:lang w:val="en-US" w:eastAsia="zh-CN"/>
        </w:rPr>
        <w:t>.</w:t>
      </w:r>
      <w:r>
        <w:rPr>
          <w:rFonts w:hint="eastAsia" w:cs="仿宋_GB2312" w:asciiTheme="minorEastAsia" w:hAnsiTheme="minorEastAsia"/>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w:t>
      </w:r>
      <w:r>
        <w:rPr>
          <w:rFonts w:hint="eastAsia" w:cs="仿宋_GB2312" w:asciiTheme="minorEastAsia" w:hAnsiTheme="minorEastAsia"/>
          <w:szCs w:val="21"/>
          <w:lang w:val="en-US" w:eastAsia="zh-CN"/>
        </w:rPr>
        <w:t>.</w:t>
      </w:r>
      <w:r>
        <w:rPr>
          <w:rFonts w:hint="eastAsia" w:cs="仿宋_GB2312" w:asciiTheme="minorEastAsia" w:hAnsiTheme="minorEastAsia"/>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w:t>
      </w:r>
      <w:r>
        <w:rPr>
          <w:rFonts w:hint="eastAsia" w:cs="仿宋_GB2312" w:asciiTheme="minorEastAsia" w:hAnsiTheme="minorEastAsia" w:eastAsiaTheme="minorEastAsia"/>
          <w:sz w:val="21"/>
          <w:szCs w:val="21"/>
          <w:lang w:val="en-US" w:eastAsia="zh-CN"/>
        </w:rPr>
        <w:t>.</w:t>
      </w:r>
      <w:r>
        <w:rPr>
          <w:rFonts w:hint="eastAsia" w:cs="仿宋_GB2312" w:asciiTheme="minorEastAsia" w:hAnsiTheme="minorEastAsia" w:eastAsiaTheme="minorEastAsia"/>
          <w:sz w:val="21"/>
          <w:szCs w:val="21"/>
          <w:lang w:val="zh-CN"/>
        </w:rPr>
        <w:t>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eastAsiaTheme="minorEastAsia"/>
          <w:sz w:val="21"/>
          <w:szCs w:val="21"/>
          <w:lang w:val="en-US" w:eastAsia="zh-CN"/>
        </w:rPr>
        <w:t>.</w:t>
      </w:r>
      <w:r>
        <w:rPr>
          <w:rFonts w:hint="eastAsia" w:cs="仿宋_GB2312" w:asciiTheme="minorEastAsia" w:hAnsiTheme="minorEastAsia" w:eastAsiaTheme="minorEastAsia"/>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en-US" w:eastAsia="zh-CN"/>
        </w:rPr>
        <w:t>.</w:t>
      </w:r>
      <w:r>
        <w:rPr>
          <w:rFonts w:hint="eastAsia" w:cs="仿宋_GB2312" w:asciiTheme="minorEastAsia" w:hAnsiTheme="minorEastAsia" w:eastAsiaTheme="minorEastAsia"/>
          <w:sz w:val="21"/>
          <w:szCs w:val="21"/>
          <w:lang w:val="zh-CN"/>
        </w:rPr>
        <w:t>中标人为残疾人福利性单位的，招标人应当随中标结果同时公告其《残疾人福利性单位声明函》，接受社会监督。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7"/>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7"/>
        <w:spacing w:line="360" w:lineRule="auto"/>
        <w:contextualSpacing/>
        <w:rPr>
          <w:rFonts w:cs="仿宋_GB2312" w:asciiTheme="minorEastAsia" w:hAnsiTheme="minorEastAsia"/>
          <w:lang w:val="zh-CN"/>
        </w:rPr>
      </w:pPr>
    </w:p>
    <w:p>
      <w:pPr>
        <w:pStyle w:val="17"/>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98"/>
        <w:gridCol w:w="6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098"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6266"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098"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6266"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098" w:type="dxa"/>
            <w:vAlign w:val="center"/>
          </w:tcPr>
          <w:p>
            <w:pPr>
              <w:spacing w:line="360" w:lineRule="auto"/>
              <w:jc w:val="center"/>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6266"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w:t>
            </w:r>
            <w:r>
              <w:rPr>
                <w:rFonts w:hint="eastAsia" w:asciiTheme="minorEastAsia" w:hAnsiTheme="minorEastAsia"/>
                <w:bCs/>
                <w:szCs w:val="21"/>
                <w:lang w:val="en-US" w:eastAsia="zh-CN"/>
              </w:rPr>
              <w:t>3</w:t>
            </w:r>
            <w:r>
              <w:rPr>
                <w:rFonts w:hint="eastAsia" w:asciiTheme="minorEastAsia" w:hAnsiTheme="minorEastAsia"/>
                <w:bCs/>
                <w:szCs w:val="21"/>
              </w:rPr>
              <w:t>）个体工商户营业执照。（个体工商户投标提供）</w:t>
            </w:r>
          </w:p>
          <w:p>
            <w:pPr>
              <w:spacing w:line="360" w:lineRule="auto"/>
              <w:jc w:val="left"/>
              <w:rPr>
                <w:rFonts w:asciiTheme="minorEastAsia" w:hAnsiTheme="minorEastAsia"/>
                <w:b/>
                <w:bCs/>
                <w:szCs w:val="21"/>
              </w:rPr>
            </w:pPr>
            <w:r>
              <w:rPr>
                <w:rFonts w:hint="eastAsia" w:asciiTheme="minorEastAsia" w:hAnsiTheme="minorEastAsia"/>
                <w:bCs/>
                <w:szCs w:val="21"/>
              </w:rPr>
              <w:t>（</w:t>
            </w:r>
            <w:r>
              <w:rPr>
                <w:rFonts w:hint="eastAsia" w:asciiTheme="minorEastAsia" w:hAnsiTheme="minorEastAsia"/>
                <w:bCs/>
                <w:szCs w:val="21"/>
                <w:lang w:val="en-US" w:eastAsia="zh-CN"/>
              </w:rPr>
              <w:t>4</w:t>
            </w:r>
            <w:r>
              <w:rPr>
                <w:rFonts w:hint="eastAsia" w:asciiTheme="minorEastAsia" w:hAnsiTheme="minorEastAsia"/>
                <w:bCs/>
                <w:szCs w:val="21"/>
              </w:rPr>
              <w:t>）自然人身份证明。（自然人投标提供）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098" w:type="dxa"/>
            <w:vAlign w:val="center"/>
          </w:tcPr>
          <w:p>
            <w:pPr>
              <w:spacing w:line="360" w:lineRule="auto"/>
              <w:jc w:val="center"/>
              <w:rPr>
                <w:rFonts w:asciiTheme="minorEastAsia" w:hAnsiTheme="minorEastAsia"/>
                <w:b/>
                <w:szCs w:val="21"/>
              </w:rPr>
            </w:pPr>
            <w:r>
              <w:rPr>
                <w:rFonts w:hint="eastAsia" w:asciiTheme="minorEastAsia" w:hAnsiTheme="minorEastAsia"/>
                <w:b/>
                <w:bCs/>
                <w:szCs w:val="21"/>
              </w:rPr>
              <w:t>财务状况报告相关材料</w:t>
            </w:r>
          </w:p>
        </w:tc>
        <w:tc>
          <w:tcPr>
            <w:tcW w:w="6266"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①2018年度经审计的财务报告，包括资产负债表、利润表、现金流量表、所有者权益变动表及其附注，成立不足一年的提供上个月的财务报表。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098" w:type="dxa"/>
            <w:vAlign w:val="center"/>
          </w:tcPr>
          <w:p>
            <w:pPr>
              <w:spacing w:line="360" w:lineRule="auto"/>
              <w:jc w:val="center"/>
              <w:rPr>
                <w:rFonts w:asciiTheme="minorEastAsia" w:hAnsiTheme="minorEastAsia"/>
                <w:b/>
                <w:szCs w:val="21"/>
              </w:rPr>
            </w:pPr>
            <w:r>
              <w:rPr>
                <w:rFonts w:hint="eastAsia" w:asciiTheme="minorEastAsia" w:hAnsiTheme="minorEastAsia"/>
                <w:b/>
                <w:bCs/>
                <w:szCs w:val="21"/>
              </w:rPr>
              <w:t>依法缴纳税收相关材料</w:t>
            </w:r>
          </w:p>
        </w:tc>
        <w:tc>
          <w:tcPr>
            <w:tcW w:w="6266"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098" w:type="dxa"/>
            <w:vAlign w:val="center"/>
          </w:tcPr>
          <w:p>
            <w:pPr>
              <w:spacing w:line="360" w:lineRule="auto"/>
              <w:jc w:val="center"/>
              <w:rPr>
                <w:rFonts w:asciiTheme="minorEastAsia" w:hAnsiTheme="minorEastAsia"/>
                <w:bCs/>
                <w:szCs w:val="21"/>
              </w:rPr>
            </w:pPr>
            <w:r>
              <w:rPr>
                <w:rFonts w:hint="eastAsia" w:asciiTheme="minorEastAsia" w:hAnsiTheme="minorEastAsia"/>
                <w:b/>
                <w:bCs/>
                <w:szCs w:val="21"/>
              </w:rPr>
              <w:t>依法缴纳社会保障资金的证明材料</w:t>
            </w:r>
          </w:p>
        </w:tc>
        <w:tc>
          <w:tcPr>
            <w:tcW w:w="6266"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098" w:type="dxa"/>
            <w:vAlign w:val="center"/>
          </w:tcPr>
          <w:p>
            <w:pPr>
              <w:spacing w:line="360" w:lineRule="auto"/>
              <w:jc w:val="center"/>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6266"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098" w:type="dxa"/>
            <w:vAlign w:val="center"/>
          </w:tcPr>
          <w:p>
            <w:pPr>
              <w:spacing w:line="360" w:lineRule="auto"/>
              <w:jc w:val="center"/>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6266"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098" w:type="dxa"/>
            <w:vAlign w:val="center"/>
          </w:tcPr>
          <w:p>
            <w:pPr>
              <w:spacing w:line="360" w:lineRule="auto"/>
              <w:jc w:val="center"/>
              <w:rPr>
                <w:rFonts w:asciiTheme="minorEastAsia" w:hAnsiTheme="minorEastAsia"/>
                <w:bCs/>
                <w:szCs w:val="21"/>
              </w:rPr>
            </w:pPr>
            <w:r>
              <w:rPr>
                <w:rFonts w:hint="eastAsia" w:asciiTheme="minorEastAsia" w:hAnsiTheme="minorEastAsia"/>
                <w:b/>
                <w:bCs/>
                <w:szCs w:val="21"/>
              </w:rPr>
              <w:t>信用记录查询及使用</w:t>
            </w:r>
          </w:p>
        </w:tc>
        <w:tc>
          <w:tcPr>
            <w:tcW w:w="6266"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bCs/>
                <w:szCs w:val="21"/>
              </w:rPr>
              <w:t>www.creditchina.gov.cn</w:t>
            </w:r>
            <w:r>
              <w:rPr>
                <w:rStyle w:val="29"/>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098"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投标人须具备的特殊资质证书</w:t>
            </w:r>
          </w:p>
        </w:tc>
        <w:tc>
          <w:tcPr>
            <w:tcW w:w="6266" w:type="dxa"/>
            <w:vAlign w:val="center"/>
          </w:tcPr>
          <w:p>
            <w:pPr>
              <w:spacing w:line="360" w:lineRule="auto"/>
              <w:rPr>
                <w:rFonts w:hint="default" w:asciiTheme="minorEastAsia" w:hAnsiTheme="minorEastAsia"/>
                <w:b/>
                <w:bCs/>
                <w:szCs w:val="21"/>
                <w:lang w:val="en-US"/>
              </w:rPr>
            </w:pPr>
            <w:r>
              <w:rPr>
                <w:rFonts w:hint="eastAsia" w:cs="仿宋_GB2312" w:asciiTheme="minorEastAsia" w:hAnsiTheme="minorEastAsia"/>
                <w:szCs w:val="21"/>
                <w:lang w:val="zh-CN"/>
              </w:rPr>
              <w:t>投标人需同时具有质量管理体系、环境管理体系、职业健康安全管理体系</w:t>
            </w:r>
            <w:r>
              <w:rPr>
                <w:rFonts w:hint="eastAsia" w:cs="仿宋_GB2312" w:asciiTheme="minorEastAsia" w:hAnsiTheme="minorEastAsia"/>
                <w:szCs w:val="21"/>
                <w:lang w:val="zh-CN" w:eastAsia="zh-CN"/>
              </w:rPr>
              <w:t>认证证书</w:t>
            </w:r>
            <w:r>
              <w:rPr>
                <w:rFonts w:hint="eastAsia" w:cs="仿宋_GB2312" w:asciiTheme="minorEastAsia" w:hAnsiTheme="minor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098"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6266"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098" w:type="dxa"/>
            <w:vAlign w:val="center"/>
          </w:tcPr>
          <w:p>
            <w:pPr>
              <w:spacing w:line="360" w:lineRule="auto"/>
              <w:jc w:val="center"/>
              <w:rPr>
                <w:rFonts w:asciiTheme="minorEastAsia" w:hAnsiTheme="minorEastAsia"/>
                <w:szCs w:val="21"/>
              </w:rPr>
            </w:pPr>
            <w:r>
              <w:rPr>
                <w:rFonts w:hint="eastAsia" w:asciiTheme="minorEastAsia" w:hAnsiTheme="minorEastAsia"/>
                <w:b/>
                <w:szCs w:val="21"/>
              </w:rPr>
              <w:t>投标承诺函</w:t>
            </w:r>
          </w:p>
        </w:tc>
        <w:tc>
          <w:tcPr>
            <w:tcW w:w="6266"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098"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6266"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098"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投标人身份证明及授权</w:t>
            </w:r>
          </w:p>
        </w:tc>
        <w:tc>
          <w:tcPr>
            <w:tcW w:w="6266"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color w:val="000000"/>
                <w:sz w:val="21"/>
                <w:szCs w:val="21"/>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Theme="minorEastAsia" w:hAnsiTheme="minorEastAsia" w:eastAsiaTheme="minorEastAsia" w:cstheme="minorEastAsia"/>
                <w:color w:val="000000"/>
                <w:sz w:val="21"/>
                <w:szCs w:val="21"/>
              </w:rPr>
              <w:t>③</w:t>
            </w:r>
            <w:r>
              <w:rPr>
                <w:rFonts w:hint="eastAsia" w:asciiTheme="minorEastAsia" w:hAnsiTheme="minorEastAsia" w:eastAsiaTheme="minorEastAsia" w:cstheme="minorEastAsia"/>
                <w:color w:val="000000"/>
                <w:kern w:val="0"/>
                <w:sz w:val="21"/>
                <w:szCs w:val="21"/>
              </w:rPr>
              <w:t>投标人为自然人的，无需填写法定代表人授权书</w:t>
            </w:r>
            <w:r>
              <w:rPr>
                <w:rFonts w:hint="eastAsia" w:ascii="楷体" w:hAnsi="楷体" w:eastAsia="楷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098"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6266"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098"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6266"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7"/>
        <w:spacing w:line="360" w:lineRule="auto"/>
        <w:ind w:firstLine="482" w:firstLineChars="200"/>
        <w:contextualSpacing/>
        <w:rPr>
          <w:rFonts w:cs="仿宋_GB2312" w:asciiTheme="minorEastAsia" w:hAnsiTheme="minorEastAsia" w:eastAsiaTheme="minorEastAsia"/>
          <w:b/>
          <w:szCs w:val="24"/>
          <w:lang w:val="zh-CN"/>
        </w:rPr>
      </w:pPr>
    </w:p>
    <w:p>
      <w:pPr>
        <w:pStyle w:val="17"/>
        <w:spacing w:line="360" w:lineRule="auto"/>
        <w:ind w:left="0" w:leftChars="0"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7"/>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7"/>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7"/>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7"/>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7"/>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7"/>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7"/>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7"/>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7"/>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7"/>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7"/>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7"/>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7"/>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（5）支持脱贫攻坚（指物业服务项目）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5"/>
        <w:tblW w:w="9060" w:type="dxa"/>
        <w:tblInd w:w="0" w:type="dxa"/>
        <w:tblLayout w:type="fixed"/>
        <w:tblCellMar>
          <w:top w:w="0" w:type="dxa"/>
          <w:left w:w="108" w:type="dxa"/>
          <w:bottom w:w="0" w:type="dxa"/>
          <w:right w:w="108" w:type="dxa"/>
        </w:tblCellMar>
      </w:tblPr>
      <w:tblGrid>
        <w:gridCol w:w="1226"/>
        <w:gridCol w:w="1350"/>
        <w:gridCol w:w="6484"/>
      </w:tblGrid>
      <w:tr>
        <w:tblPrEx>
          <w:tblLayout w:type="fixed"/>
          <w:tblCellMar>
            <w:top w:w="0" w:type="dxa"/>
            <w:left w:w="108" w:type="dxa"/>
            <w:bottom w:w="0" w:type="dxa"/>
            <w:right w:w="108" w:type="dxa"/>
          </w:tblCellMar>
        </w:tblPrEx>
        <w:trPr>
          <w:trHeight w:val="983" w:hRule="atLeast"/>
        </w:trPr>
        <w:tc>
          <w:tcPr>
            <w:tcW w:w="257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sz w:val="21"/>
                <w:szCs w:val="21"/>
              </w:rPr>
            </w:pPr>
            <w:r>
              <w:rPr>
                <w:rFonts w:hint="eastAsia" w:ascii="宋体" w:hAnsi="宋体" w:cs="Times New Roman"/>
                <w:color w:val="000000"/>
                <w:sz w:val="21"/>
                <w:szCs w:val="21"/>
              </w:rPr>
              <w:t>分值构成</w:t>
            </w:r>
          </w:p>
          <w:p>
            <w:pPr>
              <w:widowControl/>
              <w:spacing w:beforeLines="50" w:line="300" w:lineRule="exact"/>
              <w:jc w:val="center"/>
              <w:rPr>
                <w:sz w:val="21"/>
                <w:szCs w:val="21"/>
              </w:rPr>
            </w:pPr>
            <w:r>
              <w:rPr>
                <w:rFonts w:hint="eastAsia" w:ascii="宋体" w:hAnsi="宋体" w:cs="Times New Roman"/>
                <w:color w:val="000000"/>
                <w:sz w:val="21"/>
                <w:szCs w:val="21"/>
              </w:rPr>
              <w:t>(总分100分)</w:t>
            </w:r>
          </w:p>
        </w:tc>
        <w:tc>
          <w:tcPr>
            <w:tcW w:w="6484" w:type="dxa"/>
            <w:tcBorders>
              <w:top w:val="single" w:color="auto" w:sz="4" w:space="0"/>
              <w:left w:val="nil"/>
              <w:bottom w:val="single" w:color="auto" w:sz="4" w:space="0"/>
              <w:right w:val="single" w:color="auto" w:sz="4" w:space="0"/>
            </w:tcBorders>
            <w:vAlign w:val="center"/>
          </w:tcPr>
          <w:p>
            <w:pPr>
              <w:widowControl/>
              <w:spacing w:line="300" w:lineRule="exact"/>
              <w:jc w:val="both"/>
              <w:rPr>
                <w:sz w:val="21"/>
                <w:szCs w:val="21"/>
              </w:rPr>
            </w:pPr>
            <w:r>
              <w:rPr>
                <w:rFonts w:hint="eastAsia"/>
                <w:sz w:val="21"/>
                <w:szCs w:val="21"/>
                <w:lang w:val="en-US" w:eastAsia="zh-CN"/>
              </w:rPr>
              <w:t>报价部分</w:t>
            </w:r>
            <w:r>
              <w:rPr>
                <w:rFonts w:hint="eastAsia"/>
                <w:sz w:val="21"/>
                <w:szCs w:val="21"/>
              </w:rPr>
              <w:t>：</w:t>
            </w:r>
            <w:r>
              <w:rPr>
                <w:rFonts w:hint="eastAsia"/>
                <w:sz w:val="21"/>
                <w:szCs w:val="21"/>
                <w:u w:val="single"/>
              </w:rPr>
              <w:t xml:space="preserve"> 30 </w:t>
            </w:r>
            <w:r>
              <w:rPr>
                <w:rFonts w:hint="eastAsia"/>
                <w:sz w:val="21"/>
                <w:szCs w:val="21"/>
              </w:rPr>
              <w:t>分</w:t>
            </w:r>
          </w:p>
          <w:p>
            <w:pPr>
              <w:widowControl/>
              <w:spacing w:line="300" w:lineRule="exact"/>
              <w:jc w:val="both"/>
              <w:rPr>
                <w:sz w:val="21"/>
                <w:szCs w:val="21"/>
              </w:rPr>
            </w:pPr>
            <w:r>
              <w:rPr>
                <w:rFonts w:hint="eastAsia"/>
                <w:sz w:val="21"/>
                <w:szCs w:val="21"/>
              </w:rPr>
              <w:t>商务部分：</w:t>
            </w:r>
            <w:r>
              <w:rPr>
                <w:rFonts w:hint="eastAsia"/>
                <w:sz w:val="21"/>
                <w:szCs w:val="21"/>
                <w:u w:val="single"/>
              </w:rPr>
              <w:t xml:space="preserve"> </w:t>
            </w:r>
            <w:r>
              <w:rPr>
                <w:rFonts w:hint="eastAsia"/>
                <w:sz w:val="21"/>
                <w:szCs w:val="21"/>
                <w:u w:val="single"/>
                <w:lang w:val="en-US" w:eastAsia="zh-CN"/>
              </w:rPr>
              <w:t>19</w:t>
            </w:r>
            <w:r>
              <w:rPr>
                <w:rFonts w:hint="eastAsia"/>
                <w:sz w:val="21"/>
                <w:szCs w:val="21"/>
              </w:rPr>
              <w:t>分</w:t>
            </w:r>
          </w:p>
          <w:p>
            <w:pPr>
              <w:widowControl/>
              <w:spacing w:line="300" w:lineRule="exact"/>
              <w:jc w:val="both"/>
              <w:rPr>
                <w:sz w:val="21"/>
                <w:szCs w:val="21"/>
              </w:rPr>
            </w:pPr>
            <w:r>
              <w:rPr>
                <w:rFonts w:hint="eastAsia"/>
                <w:sz w:val="21"/>
                <w:szCs w:val="21"/>
              </w:rPr>
              <w:t>技术部分：</w:t>
            </w:r>
            <w:r>
              <w:rPr>
                <w:rFonts w:hint="eastAsia"/>
                <w:sz w:val="21"/>
                <w:szCs w:val="21"/>
                <w:u w:val="single"/>
              </w:rPr>
              <w:t xml:space="preserve"> </w:t>
            </w:r>
            <w:r>
              <w:rPr>
                <w:rFonts w:hint="eastAsia"/>
                <w:sz w:val="21"/>
                <w:szCs w:val="21"/>
                <w:u w:val="single"/>
                <w:lang w:val="en-US" w:eastAsia="zh-CN"/>
              </w:rPr>
              <w:t>51</w:t>
            </w:r>
            <w:r>
              <w:rPr>
                <w:rFonts w:hint="eastAsia"/>
                <w:sz w:val="21"/>
                <w:szCs w:val="21"/>
                <w:u w:val="single"/>
              </w:rPr>
              <w:t xml:space="preserve"> </w:t>
            </w:r>
            <w:r>
              <w:rPr>
                <w:rFonts w:hint="eastAsia"/>
                <w:sz w:val="21"/>
                <w:szCs w:val="21"/>
              </w:rPr>
              <w:t>分</w:t>
            </w:r>
          </w:p>
        </w:tc>
      </w:tr>
      <w:tr>
        <w:tblPrEx>
          <w:tblLayout w:type="fixed"/>
          <w:tblCellMar>
            <w:top w:w="0" w:type="dxa"/>
            <w:left w:w="108" w:type="dxa"/>
            <w:bottom w:w="0" w:type="dxa"/>
            <w:right w:w="108" w:type="dxa"/>
          </w:tblCellMar>
        </w:tblPrEx>
        <w:trPr>
          <w:trHeight w:val="416" w:hRule="atLeast"/>
        </w:trPr>
        <w:tc>
          <w:tcPr>
            <w:tcW w:w="1226" w:type="dxa"/>
            <w:tcBorders>
              <w:top w:val="single" w:color="auto" w:sz="4" w:space="0"/>
              <w:left w:val="single" w:color="auto" w:sz="4" w:space="0"/>
              <w:bottom w:val="single" w:color="auto" w:sz="4" w:space="0"/>
              <w:right w:val="single" w:color="auto" w:sz="4" w:space="0"/>
            </w:tcBorders>
            <w:vAlign w:val="center"/>
          </w:tcPr>
          <w:p>
            <w:pPr>
              <w:widowControl/>
              <w:spacing w:beforeLines="50"/>
              <w:jc w:val="center"/>
              <w:rPr>
                <w:sz w:val="21"/>
                <w:szCs w:val="21"/>
              </w:rPr>
            </w:pPr>
            <w:r>
              <w:rPr>
                <w:rFonts w:hint="eastAsia" w:ascii="宋体" w:hAnsi="宋体" w:cs="宋体"/>
                <w:b/>
                <w:color w:val="000000"/>
                <w:kern w:val="0"/>
                <w:sz w:val="21"/>
                <w:szCs w:val="21"/>
              </w:rPr>
              <w:t>评审项</w:t>
            </w:r>
          </w:p>
        </w:tc>
        <w:tc>
          <w:tcPr>
            <w:tcW w:w="1350" w:type="dxa"/>
            <w:tcBorders>
              <w:top w:val="single" w:color="auto" w:sz="4" w:space="0"/>
              <w:left w:val="nil"/>
              <w:bottom w:val="single" w:color="auto" w:sz="4" w:space="0"/>
              <w:right w:val="single" w:color="auto" w:sz="4" w:space="0"/>
            </w:tcBorders>
            <w:vAlign w:val="center"/>
          </w:tcPr>
          <w:p>
            <w:pPr>
              <w:widowControl/>
              <w:spacing w:beforeLines="50"/>
              <w:jc w:val="center"/>
              <w:rPr>
                <w:sz w:val="21"/>
                <w:szCs w:val="21"/>
              </w:rPr>
            </w:pPr>
            <w:r>
              <w:rPr>
                <w:rFonts w:hint="eastAsia" w:ascii="宋体" w:hAnsi="宋体" w:cs="宋体"/>
                <w:b/>
                <w:color w:val="000000"/>
                <w:kern w:val="0"/>
                <w:sz w:val="21"/>
                <w:szCs w:val="21"/>
              </w:rPr>
              <w:t>评分因素</w:t>
            </w:r>
          </w:p>
        </w:tc>
        <w:tc>
          <w:tcPr>
            <w:tcW w:w="6484" w:type="dxa"/>
            <w:tcBorders>
              <w:top w:val="single" w:color="auto" w:sz="4" w:space="0"/>
              <w:left w:val="nil"/>
              <w:bottom w:val="single" w:color="auto" w:sz="4" w:space="0"/>
              <w:right w:val="single" w:color="auto" w:sz="4" w:space="0"/>
            </w:tcBorders>
            <w:vAlign w:val="center"/>
          </w:tcPr>
          <w:p>
            <w:pPr>
              <w:widowControl/>
              <w:spacing w:beforeLines="50"/>
              <w:jc w:val="center"/>
              <w:rPr>
                <w:sz w:val="21"/>
                <w:szCs w:val="21"/>
              </w:rPr>
            </w:pPr>
            <w:r>
              <w:rPr>
                <w:rFonts w:hint="eastAsia" w:ascii="宋体" w:hAnsi="宋体" w:cs="宋体"/>
                <w:b/>
                <w:color w:val="000000"/>
                <w:kern w:val="0"/>
                <w:sz w:val="21"/>
                <w:szCs w:val="21"/>
              </w:rPr>
              <w:t>评标标准</w:t>
            </w:r>
          </w:p>
        </w:tc>
      </w:tr>
      <w:tr>
        <w:tblPrEx>
          <w:tblLayout w:type="fixed"/>
          <w:tblCellMar>
            <w:top w:w="0" w:type="dxa"/>
            <w:left w:w="108" w:type="dxa"/>
            <w:bottom w:w="0" w:type="dxa"/>
            <w:right w:w="108" w:type="dxa"/>
          </w:tblCellMar>
        </w:tblPrEx>
        <w:trPr>
          <w:trHeight w:val="936" w:hRule="atLeast"/>
        </w:trPr>
        <w:tc>
          <w:tcPr>
            <w:tcW w:w="1226" w:type="dxa"/>
            <w:tcBorders>
              <w:top w:val="single" w:color="auto" w:sz="4" w:space="0"/>
              <w:left w:val="single" w:color="auto" w:sz="4" w:space="0"/>
              <w:bottom w:val="single" w:color="auto" w:sz="4" w:space="0"/>
              <w:right w:val="single" w:color="auto" w:sz="4" w:space="0"/>
            </w:tcBorders>
            <w:vAlign w:val="center"/>
          </w:tcPr>
          <w:p>
            <w:pPr>
              <w:tabs>
                <w:tab w:val="center" w:pos="685"/>
                <w:tab w:val="right" w:pos="1251"/>
              </w:tabs>
              <w:spacing w:line="36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报价部分</w:t>
            </w:r>
          </w:p>
          <w:p>
            <w:pPr>
              <w:tabs>
                <w:tab w:val="center" w:pos="685"/>
                <w:tab w:val="right" w:pos="1251"/>
              </w:tabs>
              <w:spacing w:line="36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（30分）</w:t>
            </w:r>
          </w:p>
        </w:tc>
        <w:tc>
          <w:tcPr>
            <w:tcW w:w="1350" w:type="dxa"/>
            <w:tcBorders>
              <w:top w:val="single" w:color="auto" w:sz="4" w:space="0"/>
              <w:left w:val="nil"/>
              <w:bottom w:val="single" w:color="auto" w:sz="4" w:space="0"/>
              <w:right w:val="single" w:color="auto" w:sz="4" w:space="0"/>
            </w:tcBorders>
            <w:vAlign w:val="center"/>
          </w:tcPr>
          <w:p>
            <w:pPr>
              <w:tabs>
                <w:tab w:val="center" w:pos="685"/>
                <w:tab w:val="right" w:pos="1251"/>
              </w:tabs>
              <w:spacing w:line="36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报价</w:t>
            </w:r>
          </w:p>
          <w:p>
            <w:pPr>
              <w:tabs>
                <w:tab w:val="center" w:pos="685"/>
                <w:tab w:val="right" w:pos="1251"/>
              </w:tabs>
              <w:spacing w:line="36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（30分）</w:t>
            </w:r>
          </w:p>
        </w:tc>
        <w:tc>
          <w:tcPr>
            <w:tcW w:w="6484" w:type="dxa"/>
            <w:tcBorders>
              <w:top w:val="single" w:color="auto" w:sz="4" w:space="0"/>
              <w:left w:val="nil"/>
              <w:bottom w:val="single" w:color="auto" w:sz="4" w:space="0"/>
              <w:right w:val="single" w:color="auto" w:sz="4" w:space="0"/>
            </w:tcBorders>
            <w:vAlign w:val="center"/>
          </w:tcPr>
          <w:p>
            <w:pPr>
              <w:spacing w:line="360" w:lineRule="exact"/>
              <w:rPr>
                <w:rFonts w:hint="eastAsia" w:ascii="宋体" w:hAnsi="宋体" w:cs="宋体"/>
                <w:sz w:val="21"/>
                <w:szCs w:val="21"/>
              </w:rPr>
            </w:pPr>
            <w:r>
              <w:rPr>
                <w:rFonts w:hint="eastAsia" w:ascii="宋体" w:hAnsi="宋体" w:cs="宋体"/>
                <w:sz w:val="21"/>
                <w:szCs w:val="21"/>
              </w:rPr>
              <w:t>评标基准价：满足招标文件要求的有效投标报价中，最低的投标报价为评标基准价。</w:t>
            </w:r>
          </w:p>
          <w:p>
            <w:pPr>
              <w:spacing w:line="360" w:lineRule="exact"/>
              <w:rPr>
                <w:rFonts w:hint="eastAsia" w:ascii="宋体" w:hAnsi="宋体" w:cs="宋体"/>
                <w:sz w:val="21"/>
                <w:szCs w:val="21"/>
              </w:rPr>
            </w:pPr>
            <w:r>
              <w:rPr>
                <w:rFonts w:hint="eastAsia" w:ascii="宋体" w:hAnsi="宋体" w:cs="宋体"/>
                <w:sz w:val="21"/>
                <w:szCs w:val="21"/>
              </w:rPr>
              <w:t xml:space="preserve">投标报价得分=（评标基准价/投标报价）× 30 </w:t>
            </w:r>
          </w:p>
        </w:tc>
      </w:tr>
      <w:tr>
        <w:tblPrEx>
          <w:tblLayout w:type="fixed"/>
          <w:tblCellMar>
            <w:top w:w="0" w:type="dxa"/>
            <w:left w:w="108" w:type="dxa"/>
            <w:bottom w:w="0" w:type="dxa"/>
            <w:right w:w="108" w:type="dxa"/>
          </w:tblCellMar>
        </w:tblPrEx>
        <w:trPr>
          <w:trHeight w:val="3310" w:hRule="atLeast"/>
        </w:trPr>
        <w:tc>
          <w:tcPr>
            <w:tcW w:w="1226" w:type="dxa"/>
            <w:vMerge w:val="restart"/>
            <w:tcBorders>
              <w:top w:val="single" w:color="auto" w:sz="4" w:space="0"/>
              <w:left w:val="single" w:color="auto" w:sz="4" w:space="0"/>
              <w:right w:val="single" w:color="auto" w:sz="4" w:space="0"/>
            </w:tcBorders>
            <w:vAlign w:val="center"/>
          </w:tcPr>
          <w:p>
            <w:pPr>
              <w:tabs>
                <w:tab w:val="center" w:pos="685"/>
                <w:tab w:val="right" w:pos="1251"/>
              </w:tabs>
              <w:spacing w:line="36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商务部分</w:t>
            </w:r>
          </w:p>
          <w:p>
            <w:pPr>
              <w:tabs>
                <w:tab w:val="center" w:pos="685"/>
                <w:tab w:val="right" w:pos="1251"/>
              </w:tabs>
              <w:spacing w:line="36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（19分）</w:t>
            </w:r>
          </w:p>
        </w:tc>
        <w:tc>
          <w:tcPr>
            <w:tcW w:w="1350" w:type="dxa"/>
            <w:tcBorders>
              <w:top w:val="single" w:color="auto" w:sz="4" w:space="0"/>
              <w:left w:val="nil"/>
              <w:bottom w:val="single" w:color="auto" w:sz="4" w:space="0"/>
              <w:right w:val="single" w:color="auto" w:sz="4" w:space="0"/>
            </w:tcBorders>
            <w:vAlign w:val="center"/>
          </w:tcPr>
          <w:p>
            <w:pPr>
              <w:tabs>
                <w:tab w:val="center" w:pos="685"/>
                <w:tab w:val="right" w:pos="1251"/>
              </w:tabs>
              <w:spacing w:line="36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供应商综合能力（13分）</w:t>
            </w:r>
          </w:p>
        </w:tc>
        <w:tc>
          <w:tcPr>
            <w:tcW w:w="6484" w:type="dxa"/>
            <w:tcBorders>
              <w:top w:val="single" w:color="auto" w:sz="4" w:space="0"/>
              <w:left w:val="nil"/>
              <w:bottom w:val="single" w:color="auto" w:sz="4" w:space="0"/>
              <w:right w:val="single" w:color="auto" w:sz="4" w:space="0"/>
            </w:tcBorders>
            <w:vAlign w:val="center"/>
          </w:tcPr>
          <w:p>
            <w:pPr>
              <w:spacing w:line="360" w:lineRule="exact"/>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投标人同时具有信息安全管理体系认证证书和信息技术服务管理体系认证证书的，得2分，没有不得分。</w:t>
            </w:r>
          </w:p>
          <w:p>
            <w:pPr>
              <w:spacing w:line="360" w:lineRule="exact"/>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、投标人具有CMMI三级及以上资质，得2分，没有不得分。</w:t>
            </w:r>
          </w:p>
          <w:p>
            <w:pPr>
              <w:spacing w:line="360" w:lineRule="exact"/>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、投标人具有双软企业认定资质证书，得2分，没有不得分。</w:t>
            </w:r>
          </w:p>
          <w:p>
            <w:pPr>
              <w:spacing w:line="360" w:lineRule="exact"/>
              <w:rPr>
                <w:rFonts w:hint="eastAsia"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、投标人为省级及以上高新技术企业，得2分，没有不得分。</w:t>
            </w:r>
          </w:p>
          <w:p>
            <w:pPr>
              <w:spacing w:line="360" w:lineRule="exact"/>
              <w:rPr>
                <w:rFonts w:hint="eastAsia"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、投标人具有电子与智能化工程专业承包二级及以上资质得2分，没有不得分。</w:t>
            </w:r>
          </w:p>
          <w:p>
            <w:pPr>
              <w:jc w:val="left"/>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6</w:t>
            </w:r>
            <w:r>
              <w:rPr>
                <w:rFonts w:hint="eastAsia" w:ascii="宋体" w:hAnsi="宋体" w:cs="宋体" w:eastAsiaTheme="minorEastAsia"/>
                <w:kern w:val="2"/>
                <w:sz w:val="21"/>
                <w:szCs w:val="21"/>
                <w:lang w:val="en-US" w:eastAsia="zh-CN" w:bidi="ar-SA"/>
              </w:rPr>
              <w:t>、投标人具有省级及以上公安部门备案的信息系统安全等级保护备案三级及以上资质的，得</w:t>
            </w:r>
            <w:r>
              <w:rPr>
                <w:rFonts w:hint="eastAsia" w:ascii="宋体" w:hAnsi="宋体" w:cs="宋体"/>
                <w:kern w:val="2"/>
                <w:sz w:val="21"/>
                <w:szCs w:val="21"/>
                <w:lang w:val="en-US" w:eastAsia="zh-CN" w:bidi="ar-SA"/>
              </w:rPr>
              <w:t>3</w:t>
            </w:r>
            <w:r>
              <w:rPr>
                <w:rFonts w:hint="eastAsia" w:ascii="宋体" w:hAnsi="宋体" w:cs="宋体" w:eastAsiaTheme="minorEastAsia"/>
                <w:kern w:val="2"/>
                <w:sz w:val="21"/>
                <w:szCs w:val="21"/>
                <w:lang w:val="en-US" w:eastAsia="zh-CN" w:bidi="ar-SA"/>
              </w:rPr>
              <w:t>分；没有不得分。</w:t>
            </w:r>
          </w:p>
          <w:p>
            <w:pPr>
              <w:jc w:val="left"/>
              <w:rPr>
                <w:rFonts w:hint="eastAsia" w:ascii="宋体" w:hAnsi="宋体" w:cs="宋体" w:eastAsiaTheme="minorEastAsia"/>
                <w:sz w:val="21"/>
                <w:szCs w:val="21"/>
                <w:lang w:eastAsia="zh-CN"/>
              </w:rPr>
            </w:pPr>
            <w:r>
              <w:rPr>
                <w:rFonts w:hint="eastAsia" w:ascii="宋体" w:hAnsi="宋体" w:cs="宋体"/>
                <w:b/>
                <w:bCs/>
                <w:sz w:val="21"/>
                <w:szCs w:val="21"/>
              </w:rPr>
              <w:t>注：以上</w:t>
            </w:r>
            <w:r>
              <w:rPr>
                <w:rFonts w:hint="eastAsia" w:ascii="宋体" w:hAnsi="宋体" w:cs="宋体"/>
                <w:b/>
                <w:bCs/>
                <w:sz w:val="21"/>
                <w:szCs w:val="21"/>
                <w:lang w:eastAsia="zh-CN"/>
              </w:rPr>
              <w:t>证明</w:t>
            </w:r>
            <w:r>
              <w:rPr>
                <w:rFonts w:hint="eastAsia" w:ascii="宋体" w:hAnsi="宋体" w:cs="宋体"/>
                <w:b/>
                <w:bCs/>
                <w:sz w:val="21"/>
                <w:szCs w:val="21"/>
              </w:rPr>
              <w:t>资料</w:t>
            </w:r>
            <w:r>
              <w:rPr>
                <w:rFonts w:hint="eastAsia" w:ascii="宋体" w:hAnsi="宋体" w:eastAsia="宋体" w:cs="宋体"/>
                <w:b/>
                <w:bCs/>
                <w:color w:val="auto"/>
                <w:sz w:val="21"/>
                <w:szCs w:val="21"/>
                <w:lang w:eastAsia="zh-CN"/>
              </w:rPr>
              <w:t>投标文件中附复印件或扫描件</w:t>
            </w:r>
            <w:r>
              <w:rPr>
                <w:rFonts w:hint="eastAsia" w:ascii="宋体" w:hAnsi="宋体" w:cs="宋体"/>
                <w:b/>
                <w:bCs/>
                <w:sz w:val="21"/>
                <w:szCs w:val="21"/>
              </w:rPr>
              <w:t>。</w:t>
            </w:r>
          </w:p>
        </w:tc>
      </w:tr>
      <w:tr>
        <w:tblPrEx>
          <w:tblLayout w:type="fixed"/>
          <w:tblCellMar>
            <w:top w:w="0" w:type="dxa"/>
            <w:left w:w="108" w:type="dxa"/>
            <w:bottom w:w="0" w:type="dxa"/>
            <w:right w:w="108" w:type="dxa"/>
          </w:tblCellMar>
        </w:tblPrEx>
        <w:trPr>
          <w:trHeight w:val="903" w:hRule="atLeast"/>
        </w:trPr>
        <w:tc>
          <w:tcPr>
            <w:tcW w:w="1226" w:type="dxa"/>
            <w:vMerge w:val="continue"/>
            <w:tcBorders>
              <w:left w:val="single" w:color="auto" w:sz="4" w:space="0"/>
              <w:right w:val="single" w:color="auto" w:sz="4" w:space="0"/>
            </w:tcBorders>
            <w:vAlign w:val="center"/>
          </w:tcPr>
          <w:p>
            <w:pPr>
              <w:tabs>
                <w:tab w:val="center" w:pos="685"/>
                <w:tab w:val="right" w:pos="1251"/>
              </w:tabs>
              <w:spacing w:line="360" w:lineRule="exact"/>
              <w:jc w:val="center"/>
              <w:rPr>
                <w:rFonts w:hint="eastAsia" w:ascii="宋体" w:hAnsi="宋体" w:cs="宋体"/>
                <w:sz w:val="21"/>
                <w:szCs w:val="21"/>
                <w:lang w:val="en-US" w:eastAsia="zh-CN"/>
              </w:rPr>
            </w:pPr>
          </w:p>
        </w:tc>
        <w:tc>
          <w:tcPr>
            <w:tcW w:w="1350" w:type="dxa"/>
            <w:tcBorders>
              <w:top w:val="single" w:color="auto" w:sz="4" w:space="0"/>
              <w:left w:val="nil"/>
              <w:right w:val="single" w:color="auto" w:sz="4" w:space="0"/>
            </w:tcBorders>
            <w:vAlign w:val="center"/>
          </w:tcPr>
          <w:p>
            <w:pPr>
              <w:tabs>
                <w:tab w:val="center" w:pos="685"/>
                <w:tab w:val="right" w:pos="1251"/>
              </w:tabs>
              <w:spacing w:line="36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业绩</w:t>
            </w:r>
          </w:p>
          <w:p>
            <w:pPr>
              <w:tabs>
                <w:tab w:val="center" w:pos="685"/>
                <w:tab w:val="right" w:pos="1251"/>
              </w:tabs>
              <w:spacing w:line="36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（6分）</w:t>
            </w:r>
          </w:p>
        </w:tc>
        <w:tc>
          <w:tcPr>
            <w:tcW w:w="6484" w:type="dxa"/>
            <w:tcBorders>
              <w:top w:val="single" w:color="auto" w:sz="4" w:space="0"/>
              <w:left w:val="nil"/>
              <w:bottom w:val="single" w:color="auto" w:sz="4" w:space="0"/>
              <w:right w:val="single" w:color="auto" w:sz="4" w:space="0"/>
            </w:tcBorders>
            <w:vAlign w:val="center"/>
          </w:tcPr>
          <w:p>
            <w:pPr>
              <w:spacing w:line="360" w:lineRule="exact"/>
              <w:rPr>
                <w:rFonts w:hint="eastAsia" w:ascii="宋体" w:hAnsi="宋体" w:cs="宋体" w:eastAsiaTheme="minorEastAsia"/>
                <w:b/>
                <w:bCs/>
                <w:sz w:val="21"/>
                <w:szCs w:val="21"/>
                <w:lang w:eastAsia="zh-CN"/>
              </w:rPr>
            </w:pPr>
            <w:r>
              <w:rPr>
                <w:rFonts w:hint="eastAsia" w:ascii="宋体" w:hAnsi="宋体" w:cs="宋体"/>
                <w:color w:val="auto"/>
                <w:sz w:val="21"/>
                <w:szCs w:val="21"/>
                <w:highlight w:val="none"/>
              </w:rPr>
              <w:t>投标人2018年以来</w:t>
            </w:r>
            <w:r>
              <w:rPr>
                <w:rFonts w:hint="eastAsia" w:ascii="宋体" w:hAnsi="宋体" w:cs="宋体"/>
                <w:color w:val="auto"/>
                <w:sz w:val="21"/>
                <w:szCs w:val="21"/>
                <w:highlight w:val="none"/>
                <w:lang w:eastAsia="zh-CN"/>
              </w:rPr>
              <w:t>签订具有</w:t>
            </w:r>
            <w:r>
              <w:rPr>
                <w:rFonts w:hint="eastAsia" w:ascii="宋体" w:hAnsi="宋体" w:cs="宋体"/>
                <w:color w:val="auto"/>
                <w:sz w:val="21"/>
                <w:szCs w:val="21"/>
                <w:highlight w:val="none"/>
              </w:rPr>
              <w:t>类似</w:t>
            </w:r>
            <w:r>
              <w:rPr>
                <w:rFonts w:hint="eastAsia" w:ascii="宋体" w:hAnsi="宋体" w:cs="宋体"/>
                <w:color w:val="auto"/>
                <w:sz w:val="21"/>
                <w:szCs w:val="21"/>
                <w:highlight w:val="none"/>
                <w:lang w:eastAsia="zh-CN"/>
              </w:rPr>
              <w:t>政府采购</w:t>
            </w:r>
            <w:r>
              <w:rPr>
                <w:rFonts w:hint="eastAsia" w:ascii="宋体" w:hAnsi="宋体" w:cs="宋体"/>
                <w:color w:val="auto"/>
                <w:sz w:val="21"/>
                <w:szCs w:val="21"/>
                <w:highlight w:val="none"/>
              </w:rPr>
              <w:t>项目业绩，</w:t>
            </w:r>
            <w:r>
              <w:rPr>
                <w:rFonts w:hint="eastAsia" w:ascii="宋体" w:hAnsi="宋体" w:cs="宋体"/>
                <w:color w:val="auto"/>
                <w:sz w:val="21"/>
                <w:szCs w:val="21"/>
                <w:highlight w:val="none"/>
                <w:lang w:eastAsia="zh-CN"/>
              </w:rPr>
              <w:t>合同要素齐全，</w:t>
            </w:r>
            <w:r>
              <w:rPr>
                <w:rFonts w:hint="eastAsia" w:ascii="宋体" w:hAnsi="宋体" w:cs="宋体"/>
                <w:color w:val="auto"/>
                <w:sz w:val="21"/>
                <w:szCs w:val="21"/>
                <w:highlight w:val="none"/>
              </w:rPr>
              <w:t>合同额</w:t>
            </w:r>
            <w:r>
              <w:rPr>
                <w:rFonts w:hint="eastAsia" w:ascii="宋体" w:hAnsi="宋体" w:cs="宋体"/>
                <w:color w:val="auto"/>
                <w:sz w:val="21"/>
                <w:szCs w:val="21"/>
                <w:highlight w:val="none"/>
                <w:lang w:eastAsia="zh-CN"/>
              </w:rPr>
              <w:t>大</w:t>
            </w:r>
            <w:r>
              <w:rPr>
                <w:rFonts w:hint="eastAsia" w:ascii="宋体" w:hAnsi="宋体" w:cs="宋体"/>
                <w:color w:val="auto"/>
                <w:sz w:val="21"/>
                <w:szCs w:val="21"/>
                <w:highlight w:val="none"/>
              </w:rPr>
              <w:t>于</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0万的</w:t>
            </w:r>
            <w:r>
              <w:rPr>
                <w:rFonts w:hint="eastAsia" w:ascii="宋体" w:hAnsi="宋体" w:cs="宋体"/>
                <w:color w:val="auto"/>
                <w:sz w:val="21"/>
                <w:szCs w:val="21"/>
                <w:highlight w:val="none"/>
                <w:lang w:eastAsia="zh-CN"/>
              </w:rPr>
              <w:t>每份</w:t>
            </w:r>
            <w:r>
              <w:rPr>
                <w:rFonts w:hint="eastAsia" w:ascii="宋体" w:hAnsi="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分，最高得</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需提供</w:t>
            </w:r>
            <w:r>
              <w:rPr>
                <w:rFonts w:hint="eastAsia" w:ascii="宋体" w:hAnsi="宋体" w:cs="宋体"/>
                <w:color w:val="auto"/>
                <w:sz w:val="21"/>
                <w:szCs w:val="21"/>
                <w:highlight w:val="none"/>
                <w:lang w:eastAsia="zh-CN"/>
              </w:rPr>
              <w:t>中标公示截图、</w:t>
            </w:r>
            <w:r>
              <w:rPr>
                <w:rFonts w:hint="eastAsia" w:ascii="宋体" w:hAnsi="宋体" w:cs="宋体"/>
                <w:color w:val="auto"/>
                <w:sz w:val="21"/>
                <w:szCs w:val="21"/>
                <w:highlight w:val="none"/>
              </w:rPr>
              <w:t>中标通知书、合同及验收单</w:t>
            </w:r>
            <w:r>
              <w:rPr>
                <w:rFonts w:hint="eastAsia" w:ascii="宋体" w:hAnsi="宋体" w:cs="宋体"/>
                <w:color w:val="auto"/>
                <w:sz w:val="21"/>
                <w:szCs w:val="21"/>
                <w:highlight w:val="none"/>
                <w:lang w:eastAsia="zh-CN"/>
              </w:rPr>
              <w:t>复印件。）</w:t>
            </w:r>
          </w:p>
        </w:tc>
      </w:tr>
      <w:tr>
        <w:tblPrEx>
          <w:tblLayout w:type="fixed"/>
          <w:tblCellMar>
            <w:top w:w="0" w:type="dxa"/>
            <w:left w:w="108" w:type="dxa"/>
            <w:bottom w:w="0" w:type="dxa"/>
            <w:right w:w="108" w:type="dxa"/>
          </w:tblCellMar>
        </w:tblPrEx>
        <w:trPr>
          <w:trHeight w:val="90" w:hRule="atLeast"/>
        </w:trPr>
        <w:tc>
          <w:tcPr>
            <w:tcW w:w="1226" w:type="dxa"/>
            <w:vMerge w:val="restart"/>
            <w:tcBorders>
              <w:top w:val="single" w:color="auto" w:sz="4" w:space="0"/>
              <w:left w:val="single" w:color="auto" w:sz="4" w:space="0"/>
              <w:right w:val="single" w:color="auto" w:sz="4" w:space="0"/>
            </w:tcBorders>
            <w:vAlign w:val="center"/>
          </w:tcPr>
          <w:p>
            <w:pPr>
              <w:tabs>
                <w:tab w:val="center" w:pos="685"/>
                <w:tab w:val="right" w:pos="1251"/>
              </w:tabs>
              <w:spacing w:line="36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技术部分</w:t>
            </w:r>
          </w:p>
          <w:p>
            <w:pPr>
              <w:tabs>
                <w:tab w:val="center" w:pos="685"/>
                <w:tab w:val="right" w:pos="1251"/>
              </w:tabs>
              <w:spacing w:line="36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（51分）</w:t>
            </w:r>
          </w:p>
        </w:tc>
        <w:tc>
          <w:tcPr>
            <w:tcW w:w="1350" w:type="dxa"/>
            <w:tcBorders>
              <w:top w:val="single" w:color="auto" w:sz="4" w:space="0"/>
              <w:left w:val="nil"/>
              <w:bottom w:val="single" w:color="auto" w:sz="4" w:space="0"/>
              <w:right w:val="single" w:color="auto" w:sz="4" w:space="0"/>
            </w:tcBorders>
            <w:vAlign w:val="center"/>
          </w:tcPr>
          <w:p>
            <w:pPr>
              <w:tabs>
                <w:tab w:val="center" w:pos="685"/>
                <w:tab w:val="right" w:pos="1251"/>
              </w:tabs>
              <w:spacing w:line="36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专业技术人员（7分）</w:t>
            </w:r>
          </w:p>
        </w:tc>
        <w:tc>
          <w:tcPr>
            <w:tcW w:w="6484" w:type="dxa"/>
            <w:tcBorders>
              <w:top w:val="single" w:color="auto" w:sz="4" w:space="0"/>
              <w:left w:val="nil"/>
              <w:bottom w:val="single" w:color="auto" w:sz="4" w:space="0"/>
              <w:right w:val="single" w:color="auto" w:sz="4" w:space="0"/>
            </w:tcBorders>
            <w:vAlign w:val="center"/>
          </w:tcPr>
          <w:p>
            <w:pPr>
              <w:spacing w:line="360" w:lineRule="exact"/>
              <w:rPr>
                <w:rFonts w:hint="eastAsia" w:ascii="宋体" w:hAnsi="宋体" w:cs="宋体"/>
                <w:sz w:val="21"/>
                <w:szCs w:val="21"/>
                <w:lang w:val="en-US" w:eastAsia="zh-CN"/>
              </w:rPr>
            </w:pPr>
            <w:r>
              <w:rPr>
                <w:rFonts w:hint="eastAsia" w:ascii="宋体" w:hAnsi="宋体" w:cs="宋体"/>
                <w:sz w:val="21"/>
                <w:szCs w:val="21"/>
                <w:lang w:val="en-US" w:eastAsia="zh-CN"/>
              </w:rPr>
              <w:t>1、</w:t>
            </w:r>
            <w:r>
              <w:rPr>
                <w:rFonts w:hint="eastAsia" w:ascii="宋体" w:hAnsi="宋体" w:cs="宋体"/>
                <w:sz w:val="21"/>
                <w:szCs w:val="21"/>
              </w:rPr>
              <w:t>拟派本项目</w:t>
            </w:r>
            <w:r>
              <w:rPr>
                <w:rFonts w:hint="eastAsia" w:ascii="宋体" w:hAnsi="宋体" w:cs="宋体"/>
                <w:sz w:val="21"/>
                <w:szCs w:val="21"/>
                <w:lang w:eastAsia="zh-CN"/>
              </w:rPr>
              <w:t>主要技术人员具有</w:t>
            </w:r>
            <w:r>
              <w:rPr>
                <w:rFonts w:hint="eastAsia" w:ascii="宋体" w:hAnsi="宋体" w:cs="宋体"/>
                <w:sz w:val="21"/>
                <w:szCs w:val="21"/>
              </w:rPr>
              <w:t>全国计算机技术与软件专业技术资格（水平）高级</w:t>
            </w:r>
            <w:r>
              <w:rPr>
                <w:rFonts w:hint="eastAsia" w:ascii="宋体" w:hAnsi="宋体" w:cs="宋体"/>
                <w:sz w:val="21"/>
                <w:szCs w:val="21"/>
                <w:lang w:eastAsia="zh-CN"/>
              </w:rPr>
              <w:t>信息系统</w:t>
            </w:r>
            <w:r>
              <w:rPr>
                <w:rFonts w:hint="eastAsia" w:ascii="宋体" w:hAnsi="宋体" w:cs="宋体"/>
                <w:sz w:val="21"/>
                <w:szCs w:val="21"/>
                <w:lang w:val="en-US" w:eastAsia="zh-CN"/>
              </w:rPr>
              <w:t>项目</w:t>
            </w:r>
            <w:r>
              <w:rPr>
                <w:rFonts w:hint="eastAsia" w:ascii="宋体" w:hAnsi="宋体" w:cs="宋体"/>
                <w:sz w:val="21"/>
                <w:szCs w:val="21"/>
              </w:rPr>
              <w:t>管理师资格证书</w:t>
            </w:r>
            <w:r>
              <w:rPr>
                <w:rFonts w:hint="eastAsia" w:ascii="宋体" w:hAnsi="宋体" w:cs="宋体"/>
                <w:sz w:val="21"/>
                <w:szCs w:val="21"/>
                <w:lang w:eastAsia="zh-CN"/>
              </w:rPr>
              <w:t>者得</w:t>
            </w:r>
            <w:r>
              <w:rPr>
                <w:rFonts w:hint="eastAsia" w:ascii="宋体" w:hAnsi="宋体" w:cs="宋体"/>
                <w:sz w:val="21"/>
                <w:szCs w:val="21"/>
                <w:lang w:val="en-US" w:eastAsia="zh-CN"/>
              </w:rPr>
              <w:t>3分；中级</w:t>
            </w:r>
            <w:r>
              <w:rPr>
                <w:rFonts w:hint="eastAsia" w:ascii="宋体" w:hAnsi="宋体" w:cs="宋体"/>
                <w:sz w:val="21"/>
                <w:szCs w:val="21"/>
                <w:lang w:eastAsia="zh-CN"/>
              </w:rPr>
              <w:t>系统集成项目管理工程师</w:t>
            </w:r>
            <w:r>
              <w:rPr>
                <w:rFonts w:hint="eastAsia" w:ascii="宋体" w:hAnsi="宋体" w:cs="宋体"/>
                <w:sz w:val="21"/>
                <w:szCs w:val="21"/>
                <w:lang w:val="en-US" w:eastAsia="zh-CN"/>
              </w:rPr>
              <w:t>者得2分。最多得5分。（该</w:t>
            </w:r>
            <w:r>
              <w:rPr>
                <w:rFonts w:hint="eastAsia" w:ascii="宋体" w:hAnsi="宋体" w:cs="宋体"/>
                <w:sz w:val="21"/>
                <w:szCs w:val="21"/>
              </w:rPr>
              <w:t>项</w:t>
            </w:r>
            <w:r>
              <w:rPr>
                <w:rFonts w:hint="eastAsia" w:ascii="宋体" w:hAnsi="宋体" w:cs="宋体"/>
                <w:sz w:val="21"/>
                <w:szCs w:val="21"/>
                <w:lang w:eastAsia="zh-CN"/>
              </w:rPr>
              <w:t>技术人员须为本单位人员，且</w:t>
            </w:r>
            <w:r>
              <w:rPr>
                <w:rFonts w:hint="eastAsia" w:ascii="宋体" w:hAnsi="宋体" w:cs="宋体"/>
                <w:sz w:val="21"/>
                <w:szCs w:val="21"/>
              </w:rPr>
              <w:t>连续</w:t>
            </w:r>
            <w:r>
              <w:rPr>
                <w:rFonts w:hint="eastAsia" w:ascii="宋体" w:hAnsi="宋体" w:cs="宋体"/>
                <w:sz w:val="21"/>
                <w:szCs w:val="21"/>
                <w:lang w:val="en-US" w:eastAsia="zh-CN"/>
              </w:rPr>
              <w:t>5</w:t>
            </w:r>
            <w:r>
              <w:rPr>
                <w:rFonts w:hint="eastAsia" w:ascii="宋体" w:hAnsi="宋体" w:cs="宋体"/>
                <w:sz w:val="21"/>
                <w:szCs w:val="21"/>
              </w:rPr>
              <w:t>年</w:t>
            </w:r>
            <w:r>
              <w:rPr>
                <w:rFonts w:hint="eastAsia" w:ascii="宋体" w:hAnsi="宋体" w:cs="宋体"/>
                <w:sz w:val="21"/>
                <w:szCs w:val="21"/>
                <w:lang w:eastAsia="zh-CN"/>
              </w:rPr>
              <w:t>及以上</w:t>
            </w:r>
            <w:r>
              <w:rPr>
                <w:rFonts w:hint="eastAsia" w:ascii="宋体" w:hAnsi="宋体" w:cs="宋体"/>
                <w:sz w:val="21"/>
                <w:szCs w:val="21"/>
              </w:rPr>
              <w:t>在本企业缴纳社保，没有不得分。</w:t>
            </w:r>
            <w:r>
              <w:rPr>
                <w:rFonts w:hint="eastAsia" w:ascii="宋体" w:hAnsi="宋体" w:cs="宋体"/>
                <w:sz w:val="21"/>
                <w:szCs w:val="21"/>
                <w:lang w:eastAsia="zh-CN"/>
              </w:rPr>
              <w:t>需提供缴纳社保证明材料）</w:t>
            </w:r>
          </w:p>
          <w:p>
            <w:pPr>
              <w:spacing w:line="360" w:lineRule="exact"/>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投标人</w:t>
            </w:r>
            <w:r>
              <w:rPr>
                <w:rFonts w:hint="eastAsia" w:ascii="宋体" w:hAnsi="宋体" w:cs="宋体"/>
                <w:sz w:val="21"/>
                <w:szCs w:val="21"/>
                <w:lang w:eastAsia="zh-CN"/>
              </w:rPr>
              <w:t>拟派技术人员</w:t>
            </w:r>
            <w:r>
              <w:rPr>
                <w:rFonts w:hint="eastAsia" w:ascii="宋体" w:hAnsi="宋体" w:cs="宋体"/>
                <w:sz w:val="21"/>
                <w:szCs w:val="21"/>
              </w:rPr>
              <w:t>具有中国网络安全审查技术与认证中心颁发的信息安全保障人员证书，每有一个得 1 分，最多得</w:t>
            </w:r>
            <w:r>
              <w:rPr>
                <w:rFonts w:hint="eastAsia" w:ascii="宋体" w:hAnsi="宋体" w:cs="宋体"/>
                <w:sz w:val="21"/>
                <w:szCs w:val="21"/>
                <w:lang w:val="en-US" w:eastAsia="zh-CN"/>
              </w:rPr>
              <w:t>2</w:t>
            </w:r>
            <w:r>
              <w:rPr>
                <w:rFonts w:hint="eastAsia" w:ascii="宋体" w:hAnsi="宋体" w:cs="宋体"/>
                <w:sz w:val="21"/>
                <w:szCs w:val="21"/>
              </w:rPr>
              <w:t>分。</w:t>
            </w:r>
          </w:p>
          <w:p>
            <w:pPr>
              <w:jc w:val="left"/>
              <w:rPr>
                <w:rFonts w:hint="eastAsia"/>
                <w:lang w:eastAsia="zh-CN"/>
              </w:rPr>
            </w:pPr>
            <w:r>
              <w:rPr>
                <w:rFonts w:hint="eastAsia" w:hAnsi="宋体" w:cs="宋体"/>
                <w:b/>
                <w:bCs/>
                <w:sz w:val="21"/>
                <w:szCs w:val="21"/>
                <w:lang w:eastAsia="zh-CN"/>
              </w:rPr>
              <w:t>注：</w:t>
            </w:r>
            <w:r>
              <w:rPr>
                <w:rFonts w:hint="eastAsia" w:ascii="宋体" w:hAnsi="宋体" w:cs="宋体"/>
                <w:b/>
                <w:bCs/>
                <w:sz w:val="21"/>
                <w:szCs w:val="21"/>
              </w:rPr>
              <w:t>以上</w:t>
            </w:r>
            <w:r>
              <w:rPr>
                <w:rFonts w:hint="eastAsia" w:ascii="宋体" w:hAnsi="宋体" w:cs="宋体"/>
                <w:b/>
                <w:bCs/>
                <w:sz w:val="21"/>
                <w:szCs w:val="21"/>
                <w:lang w:eastAsia="zh-CN"/>
              </w:rPr>
              <w:t>证明</w:t>
            </w:r>
            <w:r>
              <w:rPr>
                <w:rFonts w:hint="eastAsia" w:ascii="宋体" w:hAnsi="宋体" w:cs="宋体"/>
                <w:b/>
                <w:bCs/>
                <w:sz w:val="21"/>
                <w:szCs w:val="21"/>
              </w:rPr>
              <w:t>资料</w:t>
            </w:r>
            <w:r>
              <w:rPr>
                <w:rFonts w:hint="eastAsia" w:ascii="宋体" w:hAnsi="宋体" w:eastAsia="宋体" w:cs="宋体"/>
                <w:b/>
                <w:bCs/>
                <w:color w:val="auto"/>
                <w:sz w:val="21"/>
                <w:szCs w:val="21"/>
                <w:lang w:eastAsia="zh-CN"/>
              </w:rPr>
              <w:t>投标文件中附复印件或扫描件，开标时查验原件</w:t>
            </w:r>
            <w:r>
              <w:rPr>
                <w:rFonts w:hint="eastAsia" w:ascii="宋体" w:hAnsi="宋体" w:cs="宋体"/>
                <w:b/>
                <w:bCs/>
                <w:sz w:val="21"/>
                <w:szCs w:val="21"/>
              </w:rPr>
              <w:t>。</w:t>
            </w:r>
          </w:p>
        </w:tc>
      </w:tr>
      <w:tr>
        <w:tblPrEx>
          <w:tblLayout w:type="fixed"/>
          <w:tblCellMar>
            <w:top w:w="0" w:type="dxa"/>
            <w:left w:w="108" w:type="dxa"/>
            <w:bottom w:w="0" w:type="dxa"/>
            <w:right w:w="108" w:type="dxa"/>
          </w:tblCellMar>
        </w:tblPrEx>
        <w:trPr>
          <w:trHeight w:val="90" w:hRule="atLeast"/>
        </w:trPr>
        <w:tc>
          <w:tcPr>
            <w:tcW w:w="1226" w:type="dxa"/>
            <w:vMerge w:val="continue"/>
            <w:tcBorders>
              <w:left w:val="single" w:color="auto" w:sz="4" w:space="0"/>
              <w:right w:val="single" w:color="auto" w:sz="4" w:space="0"/>
            </w:tcBorders>
            <w:vAlign w:val="center"/>
          </w:tcPr>
          <w:p>
            <w:pPr>
              <w:tabs>
                <w:tab w:val="center" w:pos="685"/>
                <w:tab w:val="right" w:pos="1251"/>
              </w:tabs>
              <w:spacing w:line="360" w:lineRule="exact"/>
              <w:jc w:val="center"/>
              <w:rPr>
                <w:rFonts w:hint="eastAsia" w:ascii="宋体" w:hAnsi="宋体" w:cs="宋体"/>
                <w:sz w:val="21"/>
                <w:szCs w:val="21"/>
                <w:lang w:val="en-US" w:eastAsia="zh-CN"/>
              </w:rPr>
            </w:pPr>
          </w:p>
        </w:tc>
        <w:tc>
          <w:tcPr>
            <w:tcW w:w="1350" w:type="dxa"/>
            <w:tcBorders>
              <w:top w:val="single" w:color="auto" w:sz="4" w:space="0"/>
              <w:left w:val="nil"/>
              <w:bottom w:val="single" w:color="auto" w:sz="4" w:space="0"/>
              <w:right w:val="single" w:color="auto" w:sz="4" w:space="0"/>
            </w:tcBorders>
            <w:vAlign w:val="center"/>
          </w:tcPr>
          <w:p>
            <w:pPr>
              <w:tabs>
                <w:tab w:val="center" w:pos="685"/>
                <w:tab w:val="right" w:pos="1251"/>
              </w:tabs>
              <w:spacing w:line="36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技术参数（30分）</w:t>
            </w:r>
          </w:p>
        </w:tc>
        <w:tc>
          <w:tcPr>
            <w:tcW w:w="6484" w:type="dxa"/>
            <w:tcBorders>
              <w:top w:val="single" w:color="auto" w:sz="4" w:space="0"/>
              <w:left w:val="nil"/>
              <w:bottom w:val="single" w:color="auto" w:sz="4" w:space="0"/>
              <w:right w:val="single" w:color="auto" w:sz="4" w:space="0"/>
            </w:tcBorders>
            <w:vAlign w:val="center"/>
          </w:tcPr>
          <w:p>
            <w:pPr>
              <w:numPr>
                <w:ilvl w:val="0"/>
                <w:numId w:val="0"/>
              </w:numPr>
              <w:spacing w:line="360" w:lineRule="exact"/>
              <w:rPr>
                <w:rFonts w:hint="eastAsia" w:ascii="宋体" w:hAnsi="宋体" w:cs="宋体"/>
                <w:sz w:val="21"/>
                <w:szCs w:val="21"/>
                <w:lang w:val="en-US" w:eastAsia="zh-CN"/>
              </w:rPr>
            </w:pPr>
            <w:r>
              <w:rPr>
                <w:rFonts w:hint="eastAsia" w:ascii="宋体" w:hAnsi="宋体" w:cs="宋体"/>
                <w:sz w:val="21"/>
                <w:szCs w:val="21"/>
                <w:lang w:val="en-US" w:eastAsia="zh-CN"/>
              </w:rPr>
              <w:t>1、</w:t>
            </w:r>
            <w:r>
              <w:rPr>
                <w:rFonts w:hint="eastAsia" w:ascii="宋体" w:hAnsi="宋体" w:cs="宋体"/>
                <w:sz w:val="21"/>
                <w:szCs w:val="21"/>
              </w:rPr>
              <w:t>技术参数及要求完全符合招标文件要求</w:t>
            </w:r>
            <w:r>
              <w:rPr>
                <w:rFonts w:hint="eastAsia" w:ascii="宋体" w:hAnsi="宋体" w:cs="宋体"/>
                <w:sz w:val="21"/>
                <w:szCs w:val="21"/>
                <w:lang w:val="en-US" w:eastAsia="zh-CN"/>
              </w:rPr>
              <w:t>12分；</w:t>
            </w:r>
          </w:p>
          <w:p>
            <w:pPr>
              <w:numPr>
                <w:ilvl w:val="0"/>
                <w:numId w:val="0"/>
              </w:numPr>
              <w:spacing w:line="360" w:lineRule="exact"/>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lang w:eastAsia="zh-CN"/>
              </w:rPr>
              <w:t>技术参数带</w:t>
            </w:r>
            <w:r>
              <w:rPr>
                <w:rFonts w:hint="eastAsia" w:ascii="宋体" w:hAnsi="宋体" w:eastAsia="宋体" w:cs="宋体"/>
                <w:sz w:val="21"/>
                <w:szCs w:val="21"/>
                <w:lang w:eastAsia="zh-CN"/>
              </w:rPr>
              <w:t>★</w:t>
            </w:r>
            <w:r>
              <w:rPr>
                <w:rFonts w:hint="eastAsia" w:ascii="宋体" w:hAnsi="宋体" w:cs="宋体"/>
                <w:sz w:val="21"/>
                <w:szCs w:val="21"/>
                <w:lang w:eastAsia="zh-CN"/>
              </w:rPr>
              <w:t>项必须提供加盖厂家公章的检测报告（或认证证书），</w:t>
            </w:r>
            <w:r>
              <w:rPr>
                <w:rFonts w:hint="eastAsia" w:ascii="宋体" w:hAnsi="宋体" w:cs="宋体"/>
                <w:sz w:val="21"/>
                <w:szCs w:val="21"/>
              </w:rPr>
              <w:t>并证明</w:t>
            </w:r>
            <w:r>
              <w:rPr>
                <w:rFonts w:hint="eastAsia" w:ascii="宋体" w:hAnsi="宋体" w:cs="宋体"/>
                <w:sz w:val="21"/>
                <w:szCs w:val="21"/>
                <w:lang w:eastAsia="zh-CN"/>
              </w:rPr>
              <w:t>其相关技术性能标准</w:t>
            </w:r>
            <w:r>
              <w:rPr>
                <w:rFonts w:hint="eastAsia" w:ascii="宋体" w:hAnsi="宋体" w:cs="宋体"/>
                <w:sz w:val="21"/>
                <w:szCs w:val="21"/>
              </w:rPr>
              <w:t>的，</w:t>
            </w:r>
            <w:r>
              <w:rPr>
                <w:rFonts w:hint="eastAsia" w:ascii="宋体" w:hAnsi="宋体" w:cs="宋体"/>
                <w:sz w:val="21"/>
                <w:szCs w:val="21"/>
                <w:lang w:eastAsia="zh-CN"/>
              </w:rPr>
              <w:t>每提供一项得</w:t>
            </w:r>
            <w:r>
              <w:rPr>
                <w:rFonts w:hint="eastAsia" w:ascii="宋体" w:hAnsi="宋体" w:cs="宋体"/>
                <w:sz w:val="21"/>
                <w:szCs w:val="21"/>
                <w:lang w:val="en-US" w:eastAsia="zh-CN"/>
              </w:rPr>
              <w:t>1分，最多得18分。未提供厂家检测报告(或认证证书）或所提的厂家证明文件不能证明该项技术参数或性能要求的，本项不得分</w:t>
            </w:r>
            <w:r>
              <w:rPr>
                <w:rFonts w:hint="eastAsia" w:ascii="宋体" w:hAnsi="宋体" w:cs="宋体"/>
                <w:sz w:val="21"/>
                <w:szCs w:val="21"/>
              </w:rPr>
              <w:t>。</w:t>
            </w:r>
          </w:p>
        </w:tc>
      </w:tr>
      <w:tr>
        <w:tblPrEx>
          <w:tblLayout w:type="fixed"/>
          <w:tblCellMar>
            <w:top w:w="0" w:type="dxa"/>
            <w:left w:w="108" w:type="dxa"/>
            <w:bottom w:w="0" w:type="dxa"/>
            <w:right w:w="108" w:type="dxa"/>
          </w:tblCellMar>
        </w:tblPrEx>
        <w:trPr>
          <w:trHeight w:val="90" w:hRule="atLeast"/>
        </w:trPr>
        <w:tc>
          <w:tcPr>
            <w:tcW w:w="1226" w:type="dxa"/>
            <w:vMerge w:val="continue"/>
            <w:tcBorders>
              <w:left w:val="single" w:color="auto" w:sz="4" w:space="0"/>
              <w:right w:val="single" w:color="auto" w:sz="4" w:space="0"/>
            </w:tcBorders>
            <w:vAlign w:val="center"/>
          </w:tcPr>
          <w:p>
            <w:pPr>
              <w:tabs>
                <w:tab w:val="center" w:pos="685"/>
                <w:tab w:val="right" w:pos="1251"/>
              </w:tabs>
              <w:spacing w:line="360" w:lineRule="exact"/>
              <w:jc w:val="center"/>
              <w:rPr>
                <w:rFonts w:hint="eastAsia" w:ascii="宋体" w:hAnsi="宋体" w:cs="宋体"/>
                <w:sz w:val="21"/>
                <w:szCs w:val="21"/>
                <w:lang w:val="en-US" w:eastAsia="zh-CN"/>
              </w:rPr>
            </w:pPr>
          </w:p>
        </w:tc>
        <w:tc>
          <w:tcPr>
            <w:tcW w:w="1350" w:type="dxa"/>
            <w:tcBorders>
              <w:top w:val="single" w:color="auto" w:sz="4" w:space="0"/>
              <w:left w:val="nil"/>
              <w:bottom w:val="single" w:color="auto" w:sz="4" w:space="0"/>
              <w:right w:val="single" w:color="auto" w:sz="4" w:space="0"/>
            </w:tcBorders>
            <w:vAlign w:val="center"/>
          </w:tcPr>
          <w:p>
            <w:pPr>
              <w:tabs>
                <w:tab w:val="center" w:pos="685"/>
                <w:tab w:val="right" w:pos="1251"/>
              </w:tabs>
              <w:spacing w:line="36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投标产品品质（3分）</w:t>
            </w:r>
          </w:p>
        </w:tc>
        <w:tc>
          <w:tcPr>
            <w:tcW w:w="6484" w:type="dxa"/>
            <w:tcBorders>
              <w:top w:val="single" w:color="auto" w:sz="4" w:space="0"/>
              <w:left w:val="nil"/>
              <w:bottom w:val="single" w:color="auto" w:sz="4" w:space="0"/>
              <w:right w:val="single" w:color="auto" w:sz="4" w:space="0"/>
            </w:tcBorders>
            <w:vAlign w:val="center"/>
          </w:tcPr>
          <w:p>
            <w:pPr>
              <w:spacing w:line="360" w:lineRule="exact"/>
              <w:rPr>
                <w:rFonts w:hint="eastAsia" w:ascii="宋体" w:hAnsi="宋体" w:cs="宋体"/>
                <w:sz w:val="21"/>
                <w:szCs w:val="21"/>
              </w:rPr>
            </w:pPr>
            <w:r>
              <w:rPr>
                <w:rFonts w:hint="eastAsia" w:ascii="宋体" w:hAnsi="宋体" w:cs="宋体"/>
                <w:sz w:val="21"/>
                <w:szCs w:val="21"/>
                <w:lang w:eastAsia="zh-CN"/>
              </w:rPr>
              <w:t>所投拼接屏、高清图像处理器</w:t>
            </w:r>
            <w:r>
              <w:rPr>
                <w:rFonts w:hint="eastAsia" w:ascii="宋体" w:hAnsi="宋体" w:cs="宋体"/>
                <w:sz w:val="21"/>
                <w:szCs w:val="21"/>
              </w:rPr>
              <w:t>制造</w:t>
            </w:r>
            <w:r>
              <w:rPr>
                <w:rFonts w:hint="eastAsia" w:ascii="宋体" w:hAnsi="宋体" w:cs="宋体"/>
                <w:sz w:val="21"/>
                <w:szCs w:val="21"/>
                <w:lang w:eastAsia="zh-CN"/>
              </w:rPr>
              <w:t>商具有</w:t>
            </w:r>
            <w:r>
              <w:rPr>
                <w:rFonts w:hint="eastAsia" w:ascii="宋体" w:hAnsi="宋体" w:cs="宋体"/>
                <w:sz w:val="21"/>
                <w:szCs w:val="21"/>
              </w:rPr>
              <w:t>有效的ISO9001:2015 质量管理体系认证</w:t>
            </w:r>
            <w:r>
              <w:rPr>
                <w:rFonts w:hint="eastAsia" w:ascii="宋体" w:hAnsi="宋体" w:cs="宋体"/>
                <w:sz w:val="21"/>
                <w:szCs w:val="21"/>
                <w:lang w:eastAsia="zh-CN"/>
              </w:rPr>
              <w:t>、</w:t>
            </w:r>
            <w:r>
              <w:rPr>
                <w:rFonts w:hint="eastAsia" w:ascii="宋体" w:hAnsi="宋体" w:cs="宋体"/>
                <w:sz w:val="21"/>
                <w:szCs w:val="21"/>
              </w:rPr>
              <w:t>ISO14001:2015环境管理体系认证</w:t>
            </w:r>
            <w:r>
              <w:rPr>
                <w:rFonts w:hint="eastAsia" w:ascii="宋体" w:hAnsi="宋体" w:cs="宋体"/>
                <w:sz w:val="21"/>
                <w:szCs w:val="21"/>
                <w:lang w:eastAsia="zh-CN"/>
              </w:rPr>
              <w:t>、</w:t>
            </w:r>
            <w:r>
              <w:rPr>
                <w:rFonts w:hint="eastAsia" w:ascii="宋体" w:hAnsi="宋体" w:cs="宋体"/>
                <w:sz w:val="21"/>
                <w:szCs w:val="21"/>
              </w:rPr>
              <w:t>OHSAS18001:2007 职业健康安全管理体系认证</w:t>
            </w:r>
            <w:r>
              <w:rPr>
                <w:rFonts w:hint="eastAsia" w:ascii="宋体" w:hAnsi="宋体" w:cs="宋体"/>
                <w:sz w:val="21"/>
                <w:szCs w:val="21"/>
                <w:lang w:eastAsia="zh-CN"/>
              </w:rPr>
              <w:t>者得</w:t>
            </w:r>
            <w:r>
              <w:rPr>
                <w:rFonts w:hint="eastAsia" w:ascii="宋体" w:hAnsi="宋体" w:cs="宋体"/>
                <w:sz w:val="21"/>
                <w:szCs w:val="21"/>
                <w:lang w:val="en-US" w:eastAsia="zh-CN"/>
              </w:rPr>
              <w:t>3分，提供不全或者不提供者不得分，（</w:t>
            </w:r>
            <w:r>
              <w:rPr>
                <w:rFonts w:hint="eastAsia" w:ascii="宋体" w:hAnsi="宋体" w:cs="宋体"/>
                <w:sz w:val="21"/>
                <w:szCs w:val="21"/>
                <w:lang w:eastAsia="zh-CN"/>
              </w:rPr>
              <w:t>提供证书加盖厂商公章复印件）</w:t>
            </w:r>
          </w:p>
        </w:tc>
      </w:tr>
      <w:tr>
        <w:tblPrEx>
          <w:tblLayout w:type="fixed"/>
          <w:tblCellMar>
            <w:top w:w="0" w:type="dxa"/>
            <w:left w:w="108" w:type="dxa"/>
            <w:bottom w:w="0" w:type="dxa"/>
            <w:right w:w="108" w:type="dxa"/>
          </w:tblCellMar>
        </w:tblPrEx>
        <w:trPr>
          <w:trHeight w:val="314" w:hRule="atLeast"/>
        </w:trPr>
        <w:tc>
          <w:tcPr>
            <w:tcW w:w="1226" w:type="dxa"/>
            <w:vMerge w:val="continue"/>
            <w:tcBorders>
              <w:left w:val="single" w:color="auto" w:sz="4" w:space="0"/>
              <w:bottom w:val="single" w:color="auto" w:sz="4" w:space="0"/>
              <w:right w:val="single" w:color="auto" w:sz="4" w:space="0"/>
            </w:tcBorders>
            <w:vAlign w:val="center"/>
          </w:tcPr>
          <w:p>
            <w:pPr>
              <w:tabs>
                <w:tab w:val="center" w:pos="685"/>
                <w:tab w:val="right" w:pos="1251"/>
              </w:tabs>
              <w:spacing w:line="360" w:lineRule="exact"/>
              <w:jc w:val="center"/>
              <w:rPr>
                <w:rFonts w:hint="eastAsia" w:ascii="宋体" w:hAnsi="宋体" w:cs="宋体"/>
                <w:sz w:val="21"/>
                <w:szCs w:val="21"/>
                <w:lang w:val="en-US" w:eastAsia="zh-CN"/>
              </w:rPr>
            </w:pPr>
          </w:p>
        </w:tc>
        <w:tc>
          <w:tcPr>
            <w:tcW w:w="1350" w:type="dxa"/>
            <w:tcBorders>
              <w:top w:val="single" w:color="auto" w:sz="4" w:space="0"/>
              <w:left w:val="nil"/>
              <w:bottom w:val="single" w:color="auto" w:sz="4" w:space="0"/>
              <w:right w:val="single" w:color="auto" w:sz="4" w:space="0"/>
            </w:tcBorders>
            <w:vAlign w:val="center"/>
          </w:tcPr>
          <w:p>
            <w:pPr>
              <w:spacing w:line="340" w:lineRule="exact"/>
              <w:ind w:left="105" w:leftChars="50" w:right="105" w:rightChars="50"/>
              <w:jc w:val="center"/>
              <w:rPr>
                <w:rFonts w:hint="eastAsia" w:ascii="宋体" w:hAnsi="宋体" w:cs="宋体"/>
                <w:szCs w:val="21"/>
              </w:rPr>
            </w:pPr>
            <w:r>
              <w:rPr>
                <w:rFonts w:hint="eastAsia" w:ascii="宋体" w:hAnsi="宋体" w:cs="宋体"/>
                <w:szCs w:val="21"/>
              </w:rPr>
              <w:t>实施方案</w:t>
            </w:r>
          </w:p>
          <w:p>
            <w:pPr>
              <w:tabs>
                <w:tab w:val="center" w:pos="685"/>
                <w:tab w:val="right" w:pos="1251"/>
              </w:tabs>
              <w:spacing w:line="36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（3）</w:t>
            </w:r>
          </w:p>
        </w:tc>
        <w:tc>
          <w:tcPr>
            <w:tcW w:w="6484" w:type="dxa"/>
            <w:tcBorders>
              <w:top w:val="single" w:color="auto" w:sz="4" w:space="0"/>
              <w:left w:val="nil"/>
              <w:bottom w:val="single" w:color="auto" w:sz="4" w:space="0"/>
              <w:right w:val="single" w:color="auto" w:sz="4" w:space="0"/>
            </w:tcBorders>
            <w:vAlign w:val="center"/>
          </w:tcPr>
          <w:p>
            <w:pPr>
              <w:spacing w:line="360" w:lineRule="exact"/>
              <w:rPr>
                <w:rFonts w:hint="eastAsia" w:ascii="宋体" w:hAnsi="宋体" w:cs="宋体"/>
                <w:sz w:val="21"/>
                <w:szCs w:val="21"/>
                <w:lang w:val="en-US" w:eastAsia="zh-CN"/>
              </w:rPr>
            </w:pPr>
            <w:r>
              <w:rPr>
                <w:rFonts w:hint="eastAsia" w:ascii="宋体" w:hAnsi="宋体" w:cs="宋体"/>
                <w:kern w:val="0"/>
                <w:szCs w:val="21"/>
              </w:rPr>
              <w:t>根据投标人提供的实施方案精细程度进行打分，方案中至少包括企业优势、技术人员介绍、需求理解响应情况、项目管理与质量控制、风险控制、安全措施等。</w:t>
            </w:r>
            <w:r>
              <w:rPr>
                <w:rFonts w:hint="eastAsia" w:ascii="宋体" w:hAnsi="宋体" w:cs="宋体"/>
                <w:szCs w:val="21"/>
              </w:rPr>
              <w:t>优秀得</w:t>
            </w:r>
            <w:r>
              <w:rPr>
                <w:rFonts w:hint="eastAsia" w:ascii="宋体" w:hAnsi="宋体" w:cs="宋体"/>
                <w:szCs w:val="21"/>
                <w:lang w:val="en-US" w:eastAsia="zh-CN"/>
              </w:rPr>
              <w:t>3</w:t>
            </w:r>
            <w:r>
              <w:rPr>
                <w:rFonts w:hint="eastAsia" w:ascii="宋体" w:hAnsi="宋体" w:cs="宋体"/>
                <w:szCs w:val="21"/>
              </w:rPr>
              <w:t>分，良好得</w:t>
            </w:r>
            <w:r>
              <w:rPr>
                <w:rFonts w:hint="eastAsia" w:ascii="宋体" w:hAnsi="宋体" w:cs="宋体"/>
                <w:szCs w:val="21"/>
                <w:lang w:val="en-US" w:eastAsia="zh-CN"/>
              </w:rPr>
              <w:t>2</w:t>
            </w:r>
            <w:r>
              <w:rPr>
                <w:rFonts w:hint="eastAsia" w:ascii="宋体" w:hAnsi="宋体" w:cs="宋体"/>
                <w:szCs w:val="21"/>
              </w:rPr>
              <w:t>分，一般得</w:t>
            </w:r>
            <w:r>
              <w:rPr>
                <w:rFonts w:hint="eastAsia" w:ascii="宋体" w:hAnsi="宋体" w:cs="宋体"/>
                <w:szCs w:val="21"/>
                <w:lang w:val="en-US" w:eastAsia="zh-CN"/>
              </w:rPr>
              <w:t>1</w:t>
            </w:r>
            <w:r>
              <w:rPr>
                <w:rFonts w:hint="eastAsia" w:ascii="宋体" w:hAnsi="宋体" w:cs="宋体"/>
                <w:szCs w:val="21"/>
              </w:rPr>
              <w:t>分。</w:t>
            </w:r>
          </w:p>
        </w:tc>
      </w:tr>
      <w:tr>
        <w:tblPrEx>
          <w:tblLayout w:type="fixed"/>
          <w:tblCellMar>
            <w:top w:w="0" w:type="dxa"/>
            <w:left w:w="108" w:type="dxa"/>
            <w:bottom w:w="0" w:type="dxa"/>
            <w:right w:w="108" w:type="dxa"/>
          </w:tblCellMar>
        </w:tblPrEx>
        <w:trPr>
          <w:trHeight w:val="314" w:hRule="atLeast"/>
        </w:trPr>
        <w:tc>
          <w:tcPr>
            <w:tcW w:w="1226" w:type="dxa"/>
            <w:vMerge w:val="continue"/>
            <w:tcBorders>
              <w:left w:val="single" w:color="auto" w:sz="4" w:space="0"/>
              <w:bottom w:val="single" w:color="auto" w:sz="4" w:space="0"/>
              <w:right w:val="single" w:color="auto" w:sz="4" w:space="0"/>
            </w:tcBorders>
            <w:vAlign w:val="center"/>
          </w:tcPr>
          <w:p>
            <w:pPr>
              <w:tabs>
                <w:tab w:val="center" w:pos="685"/>
                <w:tab w:val="right" w:pos="1251"/>
              </w:tabs>
              <w:spacing w:line="360" w:lineRule="exact"/>
              <w:jc w:val="center"/>
              <w:rPr>
                <w:rFonts w:hint="eastAsia" w:ascii="宋体" w:hAnsi="宋体" w:cs="宋体"/>
                <w:sz w:val="21"/>
                <w:szCs w:val="21"/>
                <w:lang w:val="en-US" w:eastAsia="zh-CN"/>
              </w:rPr>
            </w:pPr>
          </w:p>
        </w:tc>
        <w:tc>
          <w:tcPr>
            <w:tcW w:w="1350" w:type="dxa"/>
            <w:tcBorders>
              <w:top w:val="single" w:color="auto" w:sz="4" w:space="0"/>
              <w:left w:val="nil"/>
              <w:bottom w:val="single" w:color="auto" w:sz="4" w:space="0"/>
              <w:right w:val="single" w:color="auto" w:sz="4" w:space="0"/>
            </w:tcBorders>
            <w:vAlign w:val="center"/>
          </w:tcPr>
          <w:p>
            <w:pPr>
              <w:tabs>
                <w:tab w:val="center" w:pos="685"/>
                <w:tab w:val="right" w:pos="1251"/>
              </w:tabs>
              <w:spacing w:line="36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售后服务及培训（8分）</w:t>
            </w:r>
          </w:p>
        </w:tc>
        <w:tc>
          <w:tcPr>
            <w:tcW w:w="6484" w:type="dxa"/>
            <w:tcBorders>
              <w:top w:val="single" w:color="auto" w:sz="4" w:space="0"/>
              <w:left w:val="nil"/>
              <w:bottom w:val="single" w:color="auto" w:sz="4" w:space="0"/>
              <w:right w:val="single" w:color="auto" w:sz="4" w:space="0"/>
            </w:tcBorders>
            <w:vAlign w:val="center"/>
          </w:tcPr>
          <w:p>
            <w:pPr>
              <w:spacing w:line="360" w:lineRule="exact"/>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根据投标人是否响应招标文件中要求的问题响应时间、形式、维修时间及生产厂家提供的售后承诺，由评委根据各投标人差异横向对比酌情评分；优</w:t>
            </w:r>
            <w:r>
              <w:rPr>
                <w:rFonts w:hint="eastAsia" w:ascii="宋体" w:hAnsi="宋体" w:cs="宋体"/>
                <w:sz w:val="21"/>
                <w:szCs w:val="21"/>
                <w:lang w:eastAsia="zh-CN"/>
              </w:rPr>
              <w:t>秀</w:t>
            </w:r>
            <w:r>
              <w:rPr>
                <w:rFonts w:hint="eastAsia" w:ascii="宋体" w:hAnsi="宋体" w:cs="宋体"/>
                <w:sz w:val="21"/>
                <w:szCs w:val="21"/>
              </w:rPr>
              <w:t>得</w:t>
            </w:r>
            <w:r>
              <w:rPr>
                <w:rFonts w:hint="eastAsia" w:ascii="宋体" w:hAnsi="宋体" w:cs="宋体"/>
                <w:sz w:val="21"/>
                <w:szCs w:val="21"/>
                <w:lang w:val="en-US" w:eastAsia="zh-CN"/>
              </w:rPr>
              <w:t>4</w:t>
            </w:r>
            <w:r>
              <w:rPr>
                <w:rFonts w:hint="eastAsia" w:ascii="宋体" w:hAnsi="宋体" w:cs="宋体"/>
                <w:sz w:val="21"/>
                <w:szCs w:val="21"/>
              </w:rPr>
              <w:t>分，</w:t>
            </w:r>
            <w:r>
              <w:rPr>
                <w:rFonts w:hint="eastAsia" w:ascii="宋体" w:hAnsi="宋体" w:cs="宋体"/>
                <w:szCs w:val="21"/>
              </w:rPr>
              <w:t>良好得</w:t>
            </w:r>
            <w:r>
              <w:rPr>
                <w:rFonts w:hint="eastAsia" w:ascii="宋体" w:hAnsi="宋体" w:cs="宋体"/>
                <w:sz w:val="21"/>
                <w:szCs w:val="21"/>
                <w:lang w:val="en-US" w:eastAsia="zh-CN"/>
              </w:rPr>
              <w:t>3分，</w:t>
            </w:r>
            <w:r>
              <w:rPr>
                <w:rFonts w:hint="eastAsia" w:ascii="宋体" w:hAnsi="宋体" w:cs="宋体"/>
                <w:sz w:val="21"/>
                <w:szCs w:val="21"/>
              </w:rPr>
              <w:t>一般得</w:t>
            </w:r>
            <w:r>
              <w:rPr>
                <w:rFonts w:hint="eastAsia" w:ascii="宋体" w:hAnsi="宋体" w:cs="宋体"/>
                <w:sz w:val="21"/>
                <w:szCs w:val="21"/>
                <w:lang w:val="en-US" w:eastAsia="zh-CN"/>
              </w:rPr>
              <w:t>1-2</w:t>
            </w:r>
            <w:r>
              <w:rPr>
                <w:rFonts w:hint="eastAsia" w:ascii="宋体" w:hAnsi="宋体" w:cs="宋体"/>
                <w:sz w:val="21"/>
                <w:szCs w:val="21"/>
              </w:rPr>
              <w:t>分。</w:t>
            </w:r>
          </w:p>
          <w:p>
            <w:pPr>
              <w:spacing w:line="360" w:lineRule="exact"/>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须具有详细的培训方案、培训方式有效（包含培训地点、人员、课程体系、培训方式等内容），由评委根据各投标人差异横向对比酌情评分保证措施；优</w:t>
            </w:r>
            <w:r>
              <w:rPr>
                <w:rFonts w:hint="eastAsia" w:ascii="宋体" w:hAnsi="宋体" w:cs="宋体"/>
                <w:sz w:val="21"/>
                <w:szCs w:val="21"/>
                <w:lang w:eastAsia="zh-CN"/>
              </w:rPr>
              <w:t>秀</w:t>
            </w:r>
            <w:r>
              <w:rPr>
                <w:rFonts w:hint="eastAsia" w:ascii="宋体" w:hAnsi="宋体" w:cs="宋体"/>
                <w:sz w:val="21"/>
                <w:szCs w:val="21"/>
              </w:rPr>
              <w:t>得</w:t>
            </w:r>
            <w:r>
              <w:rPr>
                <w:rFonts w:hint="eastAsia" w:ascii="宋体" w:hAnsi="宋体" w:cs="宋体"/>
                <w:sz w:val="21"/>
                <w:szCs w:val="21"/>
                <w:lang w:val="en-US" w:eastAsia="zh-CN"/>
              </w:rPr>
              <w:t>4</w:t>
            </w:r>
            <w:r>
              <w:rPr>
                <w:rFonts w:hint="eastAsia" w:ascii="宋体" w:hAnsi="宋体" w:cs="宋体"/>
                <w:sz w:val="21"/>
                <w:szCs w:val="21"/>
              </w:rPr>
              <w:t>分，</w:t>
            </w:r>
            <w:r>
              <w:rPr>
                <w:rFonts w:hint="eastAsia" w:ascii="宋体" w:hAnsi="宋体" w:cs="宋体"/>
                <w:szCs w:val="21"/>
              </w:rPr>
              <w:t>良好得</w:t>
            </w:r>
            <w:r>
              <w:rPr>
                <w:rFonts w:hint="eastAsia" w:ascii="宋体" w:hAnsi="宋体" w:cs="宋体"/>
                <w:sz w:val="21"/>
                <w:szCs w:val="21"/>
                <w:lang w:val="en-US" w:eastAsia="zh-CN"/>
              </w:rPr>
              <w:t>3分，</w:t>
            </w:r>
            <w:r>
              <w:rPr>
                <w:rFonts w:hint="eastAsia" w:ascii="宋体" w:hAnsi="宋体" w:cs="宋体"/>
                <w:sz w:val="21"/>
                <w:szCs w:val="21"/>
              </w:rPr>
              <w:t>一般得1</w:t>
            </w:r>
            <w:r>
              <w:rPr>
                <w:rFonts w:hint="eastAsia" w:ascii="宋体" w:hAnsi="宋体" w:cs="宋体"/>
                <w:sz w:val="21"/>
                <w:szCs w:val="21"/>
                <w:lang w:val="en-US" w:eastAsia="zh-CN"/>
              </w:rPr>
              <w:t>-2</w:t>
            </w:r>
            <w:r>
              <w:rPr>
                <w:rFonts w:hint="eastAsia" w:ascii="宋体" w:hAnsi="宋体" w:cs="宋体"/>
                <w:sz w:val="21"/>
                <w:szCs w:val="21"/>
              </w:rPr>
              <w:t>分。</w:t>
            </w:r>
          </w:p>
        </w:tc>
      </w:tr>
    </w:tbl>
    <w:p>
      <w:pPr>
        <w:spacing w:line="360" w:lineRule="auto"/>
        <w:ind w:firstLine="211" w:firstLineChars="1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854"/>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854"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533"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854"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533" w:type="dxa"/>
            <w:vMerge w:val="restart"/>
            <w:shd w:val="clear" w:color="auto" w:fill="auto"/>
            <w:vAlign w:val="center"/>
          </w:tcPr>
          <w:p>
            <w:pPr>
              <w:jc w:val="center"/>
              <w:rPr>
                <w:rFonts w:ascii="宋体" w:hAnsi="宋体"/>
                <w:b/>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854"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533"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854"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533"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u w:val="none"/>
                <w14:textFill>
                  <w14:solidFill>
                    <w14:schemeClr w14:val="tx1"/>
                  </w14:solidFill>
                </w14:textFill>
              </w:rPr>
              <w:t>(1-</w:t>
            </w:r>
            <w:r>
              <w:rPr>
                <w:rFonts w:ascii="宋体" w:hAnsi="宋体"/>
                <w:color w:val="000000" w:themeColor="text1"/>
                <w:szCs w:val="21"/>
                <w:u w:val="none"/>
                <w14:textFill>
                  <w14:solidFill>
                    <w14:schemeClr w14:val="tx1"/>
                  </w14:solidFill>
                </w14:textFill>
              </w:rPr>
              <w:t>2</w:t>
            </w:r>
            <w:r>
              <w:rPr>
                <w:rFonts w:hint="eastAsia" w:ascii="宋体" w:hAnsi="宋体"/>
                <w:color w:val="000000" w:themeColor="text1"/>
                <w:szCs w:val="21"/>
                <w:u w:val="non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854"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533"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854"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533"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7"/>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甲方：</w:t>
      </w:r>
      <w:r>
        <w:rPr>
          <w:rFonts w:hint="eastAsia" w:asciiTheme="minorEastAsia" w:hAnsiTheme="minorEastAsia" w:eastAsiaTheme="minorEastAsia" w:cstheme="minorEastAsia"/>
          <w:color w:val="000000"/>
          <w:sz w:val="21"/>
          <w:szCs w:val="21"/>
          <w:u w:val="single"/>
        </w:rPr>
        <w:t>（采购人全称）</w:t>
      </w:r>
    </w:p>
    <w:p>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乙方：</w:t>
      </w:r>
      <w:r>
        <w:rPr>
          <w:rFonts w:hint="eastAsia" w:asciiTheme="minorEastAsia" w:hAnsiTheme="minorEastAsia" w:eastAsiaTheme="minorEastAsia" w:cstheme="minorEastAsia"/>
          <w:color w:val="000000"/>
          <w:sz w:val="21"/>
          <w:szCs w:val="21"/>
          <w:u w:val="single"/>
        </w:rPr>
        <w:t>（中标人全称）</w:t>
      </w:r>
    </w:p>
    <w:p>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根据招标编号为</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的</w:t>
      </w:r>
      <w:r>
        <w:rPr>
          <w:rFonts w:hint="eastAsia" w:asciiTheme="minorEastAsia" w:hAnsiTheme="minorEastAsia" w:eastAsiaTheme="minorEastAsia" w:cstheme="minorEastAsia"/>
          <w:color w:val="000000"/>
          <w:sz w:val="21"/>
          <w:szCs w:val="21"/>
          <w:u w:val="single"/>
        </w:rPr>
        <w:t>（填写“项目名称”）</w:t>
      </w:r>
      <w:r>
        <w:rPr>
          <w:rFonts w:hint="eastAsia" w:asciiTheme="minorEastAsia" w:hAnsiTheme="minorEastAsia" w:eastAsiaTheme="minorEastAsia" w:cstheme="minorEastAsia"/>
          <w:color w:val="000000"/>
          <w:sz w:val="21"/>
          <w:szCs w:val="21"/>
        </w:rPr>
        <w:t>项目（以下简称：“本项目”）的招标结果，乙方为中标人。现经甲乙双方友好协商，就以下事项达成一致并签订本合同：</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1、下列合同文件是构成本合同不可分割的部分：</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1.1合同条款；</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1.2招标文件、乙方的投标文件；</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1.3其他文件或材料：□无。□</w:t>
      </w:r>
      <w:r>
        <w:rPr>
          <w:rFonts w:hint="eastAsia" w:asciiTheme="minorEastAsia" w:hAnsiTheme="minorEastAsia" w:eastAsiaTheme="minorEastAsia" w:cstheme="minorEastAsia"/>
          <w:color w:val="000000"/>
          <w:sz w:val="21"/>
          <w:szCs w:val="21"/>
          <w:u w:val="single"/>
        </w:rPr>
        <w:t>（按照实际情况编制填写需要增加的内容）</w:t>
      </w:r>
      <w:r>
        <w:rPr>
          <w:rFonts w:hint="eastAsia" w:asciiTheme="minorEastAsia" w:hAnsiTheme="minorEastAsia" w:eastAsiaTheme="minorEastAsia" w:cstheme="minorEastAsia"/>
          <w:color w:val="000000"/>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2、合同标的</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3、合同总金额</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3.1合同总金额为人民币大写：</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元（￥</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4、合同标的交付时间、地点和条件</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4.1交付时间：</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4.2交付地点：</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4.3交付条件：</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5、合同标的应符合招标文件、乙方投标文件的规定或约定，具体如下：</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6、验收</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6.1验收应按照招标文件、乙方投标文件的规定或约定进行，具体如下：</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6.2本项目是否邀请其他投标人参与验收：</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sym w:font="Wingdings 2" w:char="0052"/>
      </w:r>
      <w:r>
        <w:rPr>
          <w:rFonts w:hint="eastAsia" w:asciiTheme="minorEastAsia" w:hAnsiTheme="minorEastAsia" w:eastAsiaTheme="minorEastAsia" w:cstheme="minorEastAsia"/>
          <w:color w:val="000000"/>
          <w:sz w:val="21"/>
          <w:szCs w:val="21"/>
        </w:rPr>
        <w:t>不邀请。□邀请，具体如下：</w:t>
      </w:r>
      <w:r>
        <w:rPr>
          <w:rFonts w:hint="eastAsia" w:asciiTheme="minorEastAsia" w:hAnsiTheme="minorEastAsia" w:eastAsiaTheme="minorEastAsia" w:cstheme="minorEastAsia"/>
          <w:color w:val="000000"/>
          <w:sz w:val="21"/>
          <w:szCs w:val="21"/>
          <w:u w:val="single"/>
        </w:rPr>
        <w:t>（按照招标文件规定填写）</w:t>
      </w:r>
      <w:r>
        <w:rPr>
          <w:rFonts w:hint="eastAsia" w:asciiTheme="minorEastAsia" w:hAnsiTheme="minorEastAsia" w:eastAsiaTheme="minorEastAsia" w:cstheme="minorEastAsia"/>
          <w:color w:val="000000"/>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7、合同款项的支付应按照招标文件的规定进行，具体如下：</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（按照实际情况编制填写，可以是表格或文字描述，包括一次性支付或分期支付等）</w:t>
      </w:r>
      <w:r>
        <w:rPr>
          <w:rFonts w:hint="eastAsia" w:asciiTheme="minorEastAsia" w:hAnsiTheme="minorEastAsia" w:eastAsiaTheme="minorEastAsia" w:cstheme="minorEastAsia"/>
          <w:color w:val="000000"/>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8、履约保证金</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sym w:font="Wingdings 2" w:char="0052"/>
      </w:r>
      <w:r>
        <w:rPr>
          <w:rFonts w:hint="eastAsia" w:asciiTheme="minorEastAsia" w:hAnsiTheme="minorEastAsia" w:eastAsiaTheme="minorEastAsia" w:cstheme="minorEastAsia"/>
          <w:color w:val="000000"/>
          <w:sz w:val="21"/>
          <w:szCs w:val="21"/>
        </w:rPr>
        <w:t>无。□有，具体如下：</w:t>
      </w:r>
      <w:r>
        <w:rPr>
          <w:rFonts w:hint="eastAsia" w:asciiTheme="minorEastAsia" w:hAnsiTheme="minorEastAsia" w:eastAsiaTheme="minorEastAsia" w:cstheme="minorEastAsia"/>
          <w:color w:val="000000"/>
          <w:sz w:val="21"/>
          <w:szCs w:val="21"/>
          <w:u w:val="single"/>
        </w:rPr>
        <w:t>（按照招标文件规定填写）</w:t>
      </w:r>
      <w:r>
        <w:rPr>
          <w:rFonts w:hint="eastAsia" w:asciiTheme="minorEastAsia" w:hAnsiTheme="minorEastAsia" w:eastAsiaTheme="minorEastAsia" w:cstheme="minorEastAsia"/>
          <w:color w:val="000000"/>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9、合同有效期</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10、违约责任</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11、知识产权</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Theme="minorEastAsia" w:hAnsiTheme="minorEastAsia" w:eastAsiaTheme="minorEastAsia" w:cstheme="minorEastAsia"/>
          <w:color w:val="000000"/>
          <w:sz w:val="21"/>
          <w:szCs w:val="21"/>
          <w:u w:val="single"/>
        </w:rPr>
        <w:t>（按照实际情况编制填写）</w:t>
      </w:r>
      <w:r>
        <w:rPr>
          <w:rFonts w:hint="eastAsia" w:asciiTheme="minorEastAsia" w:hAnsiTheme="minorEastAsia" w:eastAsiaTheme="minorEastAsia" w:cstheme="minorEastAsia"/>
          <w:color w:val="000000"/>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12、解决争议的方法</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12.1甲、乙双方协商解决。</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12.2若协商解决不成，则通过下列途径之一解决：</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□提交仲裁委员会仲裁，具体如下：</w:t>
      </w:r>
      <w:r>
        <w:rPr>
          <w:rFonts w:hint="eastAsia" w:asciiTheme="minorEastAsia" w:hAnsiTheme="minorEastAsia" w:eastAsiaTheme="minorEastAsia" w:cstheme="minorEastAsia"/>
          <w:color w:val="000000"/>
          <w:sz w:val="21"/>
          <w:szCs w:val="21"/>
          <w:u w:val="single"/>
        </w:rPr>
        <w:t>（按照实际情况编制填写）</w:t>
      </w:r>
      <w:r>
        <w:rPr>
          <w:rFonts w:hint="eastAsia" w:asciiTheme="minorEastAsia" w:hAnsiTheme="minorEastAsia" w:eastAsiaTheme="minorEastAsia" w:cstheme="minorEastAsia"/>
          <w:color w:val="000000"/>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□向人民法院提起诉讼，具体如下：</w:t>
      </w:r>
      <w:r>
        <w:rPr>
          <w:rFonts w:hint="eastAsia" w:asciiTheme="minorEastAsia" w:hAnsiTheme="minorEastAsia" w:eastAsiaTheme="minorEastAsia" w:cstheme="minorEastAsia"/>
          <w:color w:val="000000"/>
          <w:sz w:val="21"/>
          <w:szCs w:val="21"/>
          <w:u w:val="single"/>
        </w:rPr>
        <w:t>（按照实际情况编制填写）</w:t>
      </w:r>
      <w:r>
        <w:rPr>
          <w:rFonts w:hint="eastAsia" w:asciiTheme="minorEastAsia" w:hAnsiTheme="minorEastAsia" w:eastAsiaTheme="minorEastAsia" w:cstheme="minorEastAsia"/>
          <w:color w:val="000000"/>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13、不可抗力</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14、合同条款</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（按照实际情况编制填写。招标文件已有规定的，双方均不得变更或调整；招标文件未作规定的，双方可通过友好协商进行约定）</w:t>
      </w:r>
      <w:r>
        <w:rPr>
          <w:rFonts w:hint="eastAsia" w:asciiTheme="minorEastAsia" w:hAnsiTheme="minorEastAsia" w:eastAsiaTheme="minorEastAsia" w:cstheme="minorEastAsia"/>
          <w:color w:val="000000"/>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15、其他约定</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15.1合同文件与本合同具有同等法律效力。</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15.2本合同未尽事宜，双方可另行补充。</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15.3合同生效：自签订之日起生效。</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15.4本合同一式</w:t>
      </w:r>
      <w:r>
        <w:rPr>
          <w:rFonts w:hint="eastAsia" w:asciiTheme="minorEastAsia" w:hAnsiTheme="minorEastAsia" w:eastAsiaTheme="minorEastAsia" w:cstheme="minorEastAsia"/>
          <w:color w:val="000000"/>
          <w:sz w:val="21"/>
          <w:szCs w:val="21"/>
          <w:u w:val="single"/>
        </w:rPr>
        <w:t>（填写具体份数）</w:t>
      </w:r>
      <w:r>
        <w:rPr>
          <w:rFonts w:hint="eastAsia" w:asciiTheme="minorEastAsia" w:hAnsiTheme="minorEastAsia" w:eastAsiaTheme="minorEastAsia" w:cstheme="minorEastAsia"/>
          <w:color w:val="000000"/>
          <w:sz w:val="21"/>
          <w:szCs w:val="21"/>
        </w:rPr>
        <w:t>份，经双方授权代表签字并盖章后生效。甲方、乙方各执</w:t>
      </w:r>
      <w:r>
        <w:rPr>
          <w:rFonts w:hint="eastAsia" w:asciiTheme="minorEastAsia" w:hAnsiTheme="minorEastAsia" w:eastAsiaTheme="minorEastAsia" w:cstheme="minorEastAsia"/>
          <w:color w:val="000000"/>
          <w:sz w:val="21"/>
          <w:szCs w:val="21"/>
          <w:u w:val="single"/>
        </w:rPr>
        <w:t>（填写具体份数）</w:t>
      </w:r>
      <w:r>
        <w:rPr>
          <w:rFonts w:hint="eastAsia" w:asciiTheme="minorEastAsia" w:hAnsiTheme="minorEastAsia" w:eastAsiaTheme="minorEastAsia" w:cstheme="minorEastAsia"/>
          <w:color w:val="000000"/>
          <w:sz w:val="21"/>
          <w:szCs w:val="21"/>
        </w:rPr>
        <w:t>份，送</w:t>
      </w:r>
      <w:r>
        <w:rPr>
          <w:rFonts w:hint="eastAsia" w:asciiTheme="minorEastAsia" w:hAnsiTheme="minorEastAsia" w:eastAsiaTheme="minorEastAsia" w:cstheme="minorEastAsia"/>
          <w:color w:val="000000"/>
          <w:sz w:val="21"/>
          <w:szCs w:val="21"/>
          <w:u w:val="single"/>
        </w:rPr>
        <w:t>（填写需要备案的监管部门的全称）</w:t>
      </w:r>
      <w:r>
        <w:rPr>
          <w:rFonts w:hint="eastAsia" w:asciiTheme="minorEastAsia" w:hAnsiTheme="minorEastAsia" w:eastAsiaTheme="minorEastAsia" w:cstheme="minorEastAsia"/>
          <w:color w:val="000000"/>
          <w:sz w:val="21"/>
          <w:szCs w:val="21"/>
        </w:rPr>
        <w:t>备案</w:t>
      </w:r>
      <w:r>
        <w:rPr>
          <w:rFonts w:hint="eastAsia" w:asciiTheme="minorEastAsia" w:hAnsiTheme="minorEastAsia" w:eastAsiaTheme="minorEastAsia" w:cstheme="minorEastAsia"/>
          <w:color w:val="000000"/>
          <w:sz w:val="21"/>
          <w:szCs w:val="21"/>
          <w:u w:val="single"/>
        </w:rPr>
        <w:t>（填写具体份数）</w:t>
      </w:r>
      <w:r>
        <w:rPr>
          <w:rFonts w:hint="eastAsia" w:asciiTheme="minorEastAsia" w:hAnsiTheme="minorEastAsia" w:eastAsiaTheme="minorEastAsia" w:cstheme="minorEastAsia"/>
          <w:color w:val="000000"/>
          <w:sz w:val="21"/>
          <w:szCs w:val="21"/>
        </w:rPr>
        <w:t>份，具有同等效力。</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15.5其他：□无。□</w:t>
      </w:r>
      <w:r>
        <w:rPr>
          <w:rFonts w:hint="eastAsia" w:asciiTheme="minorEastAsia" w:hAnsiTheme="minorEastAsia" w:eastAsiaTheme="minorEastAsia" w:cstheme="minorEastAsia"/>
          <w:color w:val="000000"/>
          <w:sz w:val="21"/>
          <w:szCs w:val="21"/>
          <w:u w:val="single"/>
        </w:rPr>
        <w:t>（按照实际情况编制填写需要增加的内容）</w:t>
      </w:r>
      <w:r>
        <w:rPr>
          <w:rFonts w:hint="eastAsia" w:asciiTheme="minorEastAsia" w:hAnsiTheme="minorEastAsia" w:eastAsiaTheme="minorEastAsia" w:cstheme="minorEastAsia"/>
          <w:color w:val="000000"/>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甲方：                        乙方：</w:t>
      </w:r>
    </w:p>
    <w:p>
      <w:pPr>
        <w:pStyle w:val="24"/>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住所：                        住所：</w:t>
      </w:r>
    </w:p>
    <w:p>
      <w:pPr>
        <w:pStyle w:val="24"/>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法定代表人（单位负责人）：                 法定代表人（单位负责人）：</w:t>
      </w:r>
    </w:p>
    <w:p>
      <w:pPr>
        <w:pStyle w:val="24"/>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联系方法：                      联系方法：</w:t>
      </w:r>
    </w:p>
    <w:p>
      <w:pPr>
        <w:pStyle w:val="24"/>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开户银行：                      开户银行：</w:t>
      </w:r>
    </w:p>
    <w:p>
      <w:pPr>
        <w:pStyle w:val="24"/>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账号：                        账号：</w:t>
      </w:r>
    </w:p>
    <w:p>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签订地点：</w:t>
      </w:r>
      <w:r>
        <w:rPr>
          <w:rFonts w:hint="eastAsia" w:asciiTheme="minorEastAsia" w:hAnsiTheme="minorEastAsia" w:eastAsiaTheme="minorEastAsia" w:cstheme="minorEastAsia"/>
          <w:color w:val="000000"/>
          <w:sz w:val="21"/>
          <w:szCs w:val="21"/>
          <w:u w:val="single"/>
        </w:rPr>
        <w:t>                </w:t>
      </w:r>
    </w:p>
    <w:p>
      <w:pPr>
        <w:pStyle w:val="24"/>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签订日期：</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年</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月</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日</w:t>
      </w: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74185203"/>
      <w:bookmarkStart w:id="5" w:name="_Toc184023138"/>
      <w:bookmarkStart w:id="6" w:name="_Toc186274126"/>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7"/>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7"/>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7"/>
              <w:kinsoku w:val="0"/>
              <w:overflowPunct w:val="0"/>
              <w:autoSpaceDE w:val="0"/>
              <w:autoSpaceDN w:val="0"/>
              <w:spacing w:line="320" w:lineRule="exact"/>
              <w:rPr>
                <w:rFonts w:hint="eastAsia" w:hAnsi="宋体" w:eastAsia="宋体" w:cs="微软雅黑"/>
                <w:bCs/>
                <w:kern w:val="0"/>
                <w:sz w:val="21"/>
                <w:szCs w:val="21"/>
                <w:lang w:eastAsia="zh-CN"/>
              </w:rPr>
            </w:pPr>
            <w:r>
              <w:rPr>
                <w:rFonts w:hint="eastAsia" w:hAnsi="宋体" w:cs="微软雅黑"/>
                <w:bCs/>
                <w:kern w:val="0"/>
                <w:sz w:val="21"/>
                <w:szCs w:val="21"/>
              </w:rPr>
              <w:t>技术规格偏离表</w:t>
            </w:r>
            <w:r>
              <w:rPr>
                <w:rFonts w:hint="eastAsia" w:hAnsi="宋体" w:cs="微软雅黑"/>
                <w:bCs/>
                <w:kern w:val="0"/>
                <w:sz w:val="21"/>
                <w:szCs w:val="21"/>
                <w:lang w:eastAsia="zh-CN"/>
              </w:rPr>
              <w:t>及商务响应表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7"/>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7"/>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7"/>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7"/>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7"/>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 xml:space="preserve"> </w:t>
            </w: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default" w:cs="宋体" w:asciiTheme="minorEastAsia" w:hAnsiTheme="minorEastAsia"/>
                <w:szCs w:val="21"/>
                <w:lang w:val="en-US"/>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Cs w:val="24"/>
        </w:rPr>
      </w:pPr>
    </w:p>
    <w:p>
      <w:pPr>
        <w:pStyle w:val="17"/>
        <w:spacing w:line="360" w:lineRule="auto"/>
        <w:jc w:val="center"/>
        <w:rPr>
          <w:rFonts w:asciiTheme="majorEastAsia" w:hAnsiTheme="majorEastAsia" w:eastAsiaTheme="majorEastAsia"/>
          <w:b/>
          <w:snapToGrid w:val="0"/>
          <w:kern w:val="0"/>
          <w:szCs w:val="24"/>
        </w:rPr>
      </w:pPr>
    </w:p>
    <w:p>
      <w:pPr>
        <w:pStyle w:val="17"/>
        <w:spacing w:line="360" w:lineRule="auto"/>
        <w:jc w:val="center"/>
        <w:rPr>
          <w:rFonts w:asciiTheme="majorEastAsia" w:hAnsiTheme="majorEastAsia" w:eastAsiaTheme="majorEastAsia"/>
          <w:b/>
          <w:snapToGrid w:val="0"/>
          <w:kern w:val="0"/>
          <w:szCs w:val="24"/>
        </w:rPr>
      </w:pPr>
    </w:p>
    <w:p>
      <w:pPr>
        <w:pStyle w:val="17"/>
        <w:spacing w:line="360" w:lineRule="auto"/>
        <w:jc w:val="center"/>
        <w:rPr>
          <w:rFonts w:hint="eastAsia" w:asciiTheme="majorEastAsia" w:hAnsiTheme="majorEastAsia" w:eastAsiaTheme="majorEastAsia"/>
          <w:b/>
          <w:snapToGrid w:val="0"/>
          <w:kern w:val="0"/>
          <w:szCs w:val="24"/>
        </w:rPr>
      </w:pPr>
    </w:p>
    <w:p>
      <w:pPr>
        <w:pStyle w:val="17"/>
        <w:spacing w:line="360" w:lineRule="auto"/>
        <w:jc w:val="center"/>
        <w:rPr>
          <w:rFonts w:hint="eastAsia" w:asciiTheme="majorEastAsia" w:hAnsiTheme="majorEastAsia" w:eastAsiaTheme="majorEastAsia"/>
          <w:b/>
          <w:snapToGrid w:val="0"/>
          <w:kern w:val="0"/>
          <w:szCs w:val="24"/>
        </w:rPr>
      </w:pPr>
    </w:p>
    <w:p>
      <w:pPr>
        <w:pStyle w:val="17"/>
        <w:spacing w:line="360" w:lineRule="auto"/>
        <w:jc w:val="center"/>
        <w:rPr>
          <w:rFonts w:hint="eastAsia" w:asciiTheme="majorEastAsia" w:hAnsiTheme="majorEastAsia" w:eastAsiaTheme="majorEastAsia"/>
          <w:b/>
          <w:snapToGrid w:val="0"/>
          <w:kern w:val="0"/>
          <w:szCs w:val="24"/>
        </w:rPr>
      </w:pPr>
    </w:p>
    <w:p>
      <w:pPr>
        <w:pStyle w:val="17"/>
        <w:spacing w:line="360" w:lineRule="auto"/>
        <w:jc w:val="center"/>
        <w:rPr>
          <w:rFonts w:hint="eastAsia" w:asciiTheme="majorEastAsia" w:hAnsiTheme="majorEastAsia" w:eastAsiaTheme="majorEastAsia"/>
          <w:b/>
          <w:snapToGrid w:val="0"/>
          <w:kern w:val="0"/>
          <w:szCs w:val="24"/>
        </w:rPr>
      </w:pPr>
    </w:p>
    <w:p>
      <w:pPr>
        <w:pStyle w:val="17"/>
        <w:spacing w:line="360" w:lineRule="auto"/>
        <w:jc w:val="center"/>
        <w:rPr>
          <w:rFonts w:hint="eastAsia" w:asciiTheme="majorEastAsia" w:hAnsiTheme="majorEastAsia" w:eastAsiaTheme="majorEastAsia"/>
          <w:b/>
          <w:snapToGrid w:val="0"/>
          <w:kern w:val="0"/>
          <w:szCs w:val="24"/>
        </w:rPr>
      </w:pPr>
    </w:p>
    <w:p>
      <w:pPr>
        <w:pStyle w:val="17"/>
        <w:spacing w:line="360" w:lineRule="auto"/>
        <w:jc w:val="center"/>
        <w:rPr>
          <w:rFonts w:hint="eastAsia" w:asciiTheme="majorEastAsia" w:hAnsiTheme="majorEastAsia" w:eastAsiaTheme="majorEastAsia"/>
          <w:b/>
          <w:snapToGrid w:val="0"/>
          <w:kern w:val="0"/>
          <w:szCs w:val="24"/>
        </w:rPr>
      </w:pPr>
    </w:p>
    <w:p>
      <w:pPr>
        <w:pStyle w:val="17"/>
        <w:spacing w:line="360" w:lineRule="auto"/>
        <w:jc w:val="center"/>
        <w:rPr>
          <w:rFonts w:hint="eastAsia" w:asciiTheme="majorEastAsia" w:hAnsiTheme="majorEastAsia" w:eastAsiaTheme="majorEastAsia"/>
          <w:b/>
          <w:snapToGrid w:val="0"/>
          <w:kern w:val="0"/>
          <w:szCs w:val="24"/>
        </w:rPr>
      </w:pPr>
    </w:p>
    <w:p>
      <w:pPr>
        <w:pStyle w:val="17"/>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7"/>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hint="eastAsia" w:asciiTheme="minorEastAsia" w:hAnsiTheme="minorEastAsia" w:eastAsiaTheme="minorEastAsia"/>
          <w:b/>
          <w:snapToGrid w:val="0"/>
          <w:kern w:val="0"/>
          <w:szCs w:val="21"/>
          <w:lang w:eastAsia="zh-CN"/>
        </w:rPr>
      </w:pPr>
      <w:r>
        <w:rPr>
          <w:rFonts w:hint="eastAsia" w:asciiTheme="minorEastAsia" w:hAnsiTheme="minorEastAsia"/>
          <w:snapToGrid w:val="0"/>
          <w:kern w:val="0"/>
          <w:szCs w:val="21"/>
        </w:rPr>
        <w:t>致：</w:t>
      </w:r>
      <w:r>
        <w:rPr>
          <w:rFonts w:hint="eastAsia" w:asciiTheme="minorEastAsia" w:hAnsiTheme="minorEastAsia"/>
          <w:snapToGrid w:val="0"/>
          <w:kern w:val="0"/>
          <w:szCs w:val="21"/>
          <w:lang w:eastAsia="zh-CN"/>
        </w:rPr>
        <w:t>许昌光大电子商务技术服务有限公司</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u w:val="single"/>
          <w:lang w:val="en-US" w:eastAsia="zh-CN"/>
        </w:rPr>
        <w:t xml:space="preserve">  </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1</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w:t>
      </w:r>
      <w:r>
        <w:rPr>
          <w:rFonts w:hint="eastAsia" w:ascii="宋体" w:hAnsi="宋体"/>
          <w:szCs w:val="21"/>
          <w:u w:val="single"/>
          <w:lang w:val="en-US" w:eastAsia="zh-CN"/>
        </w:rPr>
        <w:t xml:space="preserve">    </w:t>
      </w:r>
      <w:r>
        <w:rPr>
          <w:rFonts w:hint="eastAsia" w:ascii="宋体" w:hAnsi="宋体"/>
          <w:szCs w:val="21"/>
        </w:rPr>
        <w:t>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4"/>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7"/>
        <w:adjustRightInd w:val="0"/>
        <w:snapToGrid w:val="0"/>
        <w:spacing w:line="360" w:lineRule="auto"/>
        <w:rPr>
          <w:rFonts w:asciiTheme="minorEastAsia" w:hAnsiTheme="minorEastAsia" w:eastAsiaTheme="minorEastAsia"/>
          <w:sz w:val="21"/>
          <w:szCs w:val="21"/>
        </w:rPr>
      </w:pPr>
    </w:p>
    <w:p>
      <w:pPr>
        <w:pStyle w:val="17"/>
        <w:adjustRightInd w:val="0"/>
        <w:snapToGrid w:val="0"/>
        <w:spacing w:line="360" w:lineRule="auto"/>
        <w:rPr>
          <w:rFonts w:asciiTheme="minorEastAsia" w:hAnsiTheme="minorEastAsia" w:eastAsiaTheme="minorEastAsia"/>
          <w:sz w:val="21"/>
          <w:szCs w:val="21"/>
        </w:rPr>
      </w:pPr>
    </w:p>
    <w:p>
      <w:pPr>
        <w:pStyle w:val="17"/>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widowControl/>
        <w:jc w:val="left"/>
        <w:rPr>
          <w:rFonts w:ascii="宋体" w:hAnsi="宋体"/>
          <w:b/>
          <w:bCs/>
          <w:color w:val="000000"/>
          <w:sz w:val="36"/>
          <w:szCs w:val="36"/>
        </w:rPr>
      </w:pPr>
      <w:r>
        <w:rPr>
          <w:rFonts w:ascii="宋体" w:hAnsi="宋体"/>
          <w:b/>
          <w:bCs/>
          <w:color w:val="000000"/>
          <w:sz w:val="36"/>
          <w:szCs w:val="36"/>
        </w:rPr>
        <w:br w:type="page"/>
      </w: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u w:val="single"/>
        </w:rPr>
        <w:t xml:space="preserve">      </w:t>
      </w:r>
      <w:r>
        <w:rPr>
          <w:rFonts w:hint="eastAsia" w:asciiTheme="minorEastAsia" w:hAnsiTheme="minorEastAsia"/>
          <w:szCs w:val="21"/>
          <w:u w:val="single"/>
          <w:lang w:val="en-US" w:eastAsia="zh-CN"/>
        </w:rPr>
        <w:t xml:space="preserve"> </w:t>
      </w:r>
      <w:r>
        <w:rPr>
          <w:rFonts w:hint="eastAsia" w:asciiTheme="minorEastAsia" w:hAnsiTheme="minorEastAsia"/>
          <w:szCs w:val="21"/>
          <w:u w:val="single"/>
        </w:rPr>
        <w:t xml:space="preserve">   </w:t>
      </w:r>
      <w:r>
        <w:rPr>
          <w:rFonts w:hint="eastAsia" w:asciiTheme="minorEastAsia" w:hAnsiTheme="minorEastAsia"/>
          <w:szCs w:val="21"/>
        </w:rPr>
        <w:t xml:space="preserve"> </w:t>
      </w:r>
      <w:r>
        <w:rPr>
          <w:rFonts w:hint="eastAsia" w:cs="Arial"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7"/>
        <w:gridCol w:w="449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77"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92"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77" w:type="dxa"/>
            <w:vAlign w:val="center"/>
          </w:tcPr>
          <w:p>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8"/>
          </w:p>
        </w:tc>
        <w:tc>
          <w:tcPr>
            <w:tcW w:w="4506" w:type="dxa"/>
            <w:gridSpan w:val="2"/>
            <w:vAlign w:val="center"/>
          </w:tcPr>
          <w:p>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9"/>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投标人名称（盖章）：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许昌光大电子商务技术服务有限公司</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3"/>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3"/>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3"/>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3"/>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hint="eastAsia" w:ascii="宋体" w:hAnsi="宋体" w:eastAsiaTheme="minorEastAsia"/>
          <w:b/>
          <w:bCs/>
          <w:color w:val="000000"/>
          <w:sz w:val="24"/>
          <w:szCs w:val="24"/>
          <w:lang w:val="en-US" w:eastAsia="zh-CN"/>
        </w:rPr>
      </w:pPr>
      <w:r>
        <w:rPr>
          <w:rFonts w:hint="eastAsia" w:ascii="宋体" w:hAnsi="宋体"/>
          <w:b/>
          <w:bCs/>
          <w:color w:val="000000"/>
          <w:sz w:val="24"/>
          <w:szCs w:val="24"/>
          <w:lang w:val="en-US" w:eastAsia="zh-CN"/>
        </w:rPr>
        <w:t>4.2-1 商务要求响应表</w:t>
      </w:r>
    </w:p>
    <w:p>
      <w:pPr>
        <w:autoSpaceDE w:val="0"/>
        <w:autoSpaceDN w:val="0"/>
        <w:adjustRightInd w:val="0"/>
        <w:spacing w:line="360" w:lineRule="auto"/>
        <w:jc w:val="center"/>
        <w:outlineLvl w:val="0"/>
        <w:rPr>
          <w:rFonts w:ascii="宋体" w:hAnsi="宋体"/>
          <w:b/>
          <w:bCs/>
          <w:color w:val="000000"/>
          <w:sz w:val="24"/>
          <w:szCs w:val="24"/>
        </w:rPr>
      </w:pPr>
    </w:p>
    <w:tbl>
      <w:tblPr>
        <w:tblStyle w:val="25"/>
        <w:tblW w:w="8660" w:type="dxa"/>
        <w:tblInd w:w="0" w:type="dxa"/>
        <w:tblLayout w:type="fixed"/>
        <w:tblCellMar>
          <w:top w:w="0" w:type="dxa"/>
          <w:left w:w="108" w:type="dxa"/>
          <w:bottom w:w="0" w:type="dxa"/>
          <w:right w:w="108" w:type="dxa"/>
        </w:tblCellMar>
      </w:tblPr>
      <w:tblGrid>
        <w:gridCol w:w="727"/>
        <w:gridCol w:w="1526"/>
        <w:gridCol w:w="1678"/>
        <w:gridCol w:w="1525"/>
        <w:gridCol w:w="1679"/>
        <w:gridCol w:w="1525"/>
      </w:tblGrid>
      <w:tr>
        <w:tblPrEx>
          <w:tblLayout w:type="fixed"/>
          <w:tblCellMar>
            <w:top w:w="0" w:type="dxa"/>
            <w:left w:w="108" w:type="dxa"/>
            <w:bottom w:w="0" w:type="dxa"/>
            <w:right w:w="108" w:type="dxa"/>
          </w:tblCellMar>
        </w:tblPrEx>
        <w:trPr>
          <w:trHeight w:val="970" w:hRule="atLeast"/>
        </w:trPr>
        <w:tc>
          <w:tcPr>
            <w:tcW w:w="72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52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条款号或分项名称</w:t>
            </w:r>
          </w:p>
        </w:tc>
        <w:tc>
          <w:tcPr>
            <w:tcW w:w="167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rPr>
              <w:t>招标文件</w:t>
            </w:r>
            <w:r>
              <w:rPr>
                <w:rFonts w:hint="eastAsia" w:ascii="宋体" w:hAnsi="宋体" w:eastAsia="宋体" w:cs="宋体"/>
                <w:b/>
                <w:bCs/>
                <w:sz w:val="21"/>
                <w:szCs w:val="21"/>
                <w:lang w:eastAsia="zh-CN"/>
              </w:rPr>
              <w:t>要求</w:t>
            </w:r>
          </w:p>
        </w:tc>
        <w:tc>
          <w:tcPr>
            <w:tcW w:w="152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hint="eastAsia" w:ascii="宋体" w:hAnsi="宋体" w:eastAsia="宋体" w:cs="宋体"/>
                <w:b/>
                <w:bCs/>
                <w:sz w:val="21"/>
                <w:szCs w:val="21"/>
                <w:lang w:eastAsia="zh-CN"/>
              </w:rPr>
            </w:pPr>
            <w:r>
              <w:rPr>
                <w:rFonts w:hint="eastAsia" w:ascii="宋体" w:hAnsi="宋体" w:eastAsia="宋体" w:cs="宋体"/>
                <w:b/>
                <w:bCs/>
                <w:sz w:val="21"/>
                <w:szCs w:val="21"/>
              </w:rPr>
              <w:t>投标</w:t>
            </w:r>
            <w:r>
              <w:rPr>
                <w:rFonts w:hint="eastAsia" w:ascii="宋体" w:hAnsi="宋体" w:eastAsia="宋体" w:cs="宋体"/>
                <w:b/>
                <w:bCs/>
                <w:sz w:val="21"/>
                <w:szCs w:val="21"/>
                <w:lang w:eastAsia="zh-CN"/>
              </w:rPr>
              <w:t>文件响应</w:t>
            </w:r>
          </w:p>
        </w:tc>
        <w:tc>
          <w:tcPr>
            <w:tcW w:w="167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52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3"/>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505" w:hRule="atLeast"/>
        </w:trPr>
        <w:tc>
          <w:tcPr>
            <w:tcW w:w="7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5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505" w:hRule="atLeast"/>
        </w:trPr>
        <w:tc>
          <w:tcPr>
            <w:tcW w:w="7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5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520" w:hRule="atLeast"/>
        </w:trPr>
        <w:tc>
          <w:tcPr>
            <w:tcW w:w="7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5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360" w:lineRule="auto"/>
        <w:jc w:val="both"/>
        <w:outlineLvl w:val="0"/>
        <w:rPr>
          <w:rFonts w:ascii="宋体" w:hAnsi="宋体"/>
          <w:b/>
          <w:bCs/>
          <w:color w:val="000000"/>
          <w:sz w:val="24"/>
          <w:szCs w:val="24"/>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3"/>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3"/>
              <w:spacing w:line="360" w:lineRule="auto"/>
              <w:rPr>
                <w:rFonts w:ascii="宋体" w:hAnsi="宋体" w:eastAsia="宋体" w:cs="Times New Roman"/>
                <w:sz w:val="21"/>
                <w:szCs w:val="21"/>
              </w:rPr>
            </w:pPr>
          </w:p>
        </w:tc>
        <w:tc>
          <w:tcPr>
            <w:tcW w:w="3579" w:type="dxa"/>
            <w:vAlign w:val="center"/>
          </w:tcPr>
          <w:p>
            <w:pPr>
              <w:pStyle w:val="13"/>
              <w:spacing w:line="360" w:lineRule="auto"/>
              <w:rPr>
                <w:rFonts w:ascii="宋体" w:hAnsi="宋体" w:eastAsia="宋体" w:cs="Times New Roman"/>
                <w:sz w:val="21"/>
                <w:szCs w:val="21"/>
              </w:rPr>
            </w:pPr>
          </w:p>
        </w:tc>
        <w:tc>
          <w:tcPr>
            <w:tcW w:w="1440" w:type="dxa"/>
            <w:vAlign w:val="center"/>
          </w:tcPr>
          <w:p>
            <w:pPr>
              <w:pStyle w:val="13"/>
              <w:spacing w:line="360" w:lineRule="auto"/>
              <w:rPr>
                <w:rFonts w:ascii="宋体" w:hAnsi="宋体" w:eastAsia="宋体" w:cs="Times New Roman"/>
                <w:sz w:val="21"/>
                <w:szCs w:val="21"/>
              </w:rPr>
            </w:pPr>
          </w:p>
        </w:tc>
        <w:tc>
          <w:tcPr>
            <w:tcW w:w="1706" w:type="dxa"/>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3"/>
              <w:spacing w:line="360" w:lineRule="auto"/>
              <w:rPr>
                <w:rFonts w:ascii="宋体" w:hAnsi="宋体" w:eastAsia="宋体" w:cs="Times New Roman"/>
                <w:sz w:val="21"/>
                <w:szCs w:val="21"/>
              </w:rPr>
            </w:pPr>
          </w:p>
        </w:tc>
        <w:tc>
          <w:tcPr>
            <w:tcW w:w="3579" w:type="dxa"/>
            <w:vAlign w:val="center"/>
          </w:tcPr>
          <w:p>
            <w:pPr>
              <w:pStyle w:val="13"/>
              <w:spacing w:line="360" w:lineRule="auto"/>
              <w:rPr>
                <w:rFonts w:ascii="宋体" w:hAnsi="宋体" w:eastAsia="宋体" w:cs="Times New Roman"/>
                <w:sz w:val="21"/>
                <w:szCs w:val="21"/>
              </w:rPr>
            </w:pPr>
          </w:p>
        </w:tc>
        <w:tc>
          <w:tcPr>
            <w:tcW w:w="1440" w:type="dxa"/>
            <w:vAlign w:val="center"/>
          </w:tcPr>
          <w:p>
            <w:pPr>
              <w:pStyle w:val="13"/>
              <w:spacing w:line="360" w:lineRule="auto"/>
              <w:rPr>
                <w:rFonts w:ascii="宋体" w:hAnsi="宋体" w:eastAsia="宋体" w:cs="Times New Roman"/>
                <w:sz w:val="21"/>
                <w:szCs w:val="21"/>
              </w:rPr>
            </w:pPr>
          </w:p>
        </w:tc>
        <w:tc>
          <w:tcPr>
            <w:tcW w:w="1706" w:type="dxa"/>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3"/>
              <w:spacing w:line="360" w:lineRule="auto"/>
              <w:rPr>
                <w:rFonts w:ascii="宋体" w:hAnsi="宋体" w:eastAsia="宋体" w:cs="Times New Roman"/>
                <w:sz w:val="21"/>
                <w:szCs w:val="21"/>
              </w:rPr>
            </w:pPr>
          </w:p>
        </w:tc>
        <w:tc>
          <w:tcPr>
            <w:tcW w:w="3579" w:type="dxa"/>
            <w:vAlign w:val="center"/>
          </w:tcPr>
          <w:p>
            <w:pPr>
              <w:pStyle w:val="13"/>
              <w:spacing w:line="360" w:lineRule="auto"/>
              <w:rPr>
                <w:rFonts w:ascii="宋体" w:hAnsi="宋体" w:eastAsia="宋体" w:cs="Times New Roman"/>
                <w:sz w:val="21"/>
                <w:szCs w:val="21"/>
              </w:rPr>
            </w:pPr>
          </w:p>
        </w:tc>
        <w:tc>
          <w:tcPr>
            <w:tcW w:w="1440" w:type="dxa"/>
            <w:vAlign w:val="center"/>
          </w:tcPr>
          <w:p>
            <w:pPr>
              <w:pStyle w:val="13"/>
              <w:spacing w:line="360" w:lineRule="auto"/>
              <w:rPr>
                <w:rFonts w:ascii="宋体" w:hAnsi="宋体" w:eastAsia="宋体" w:cs="Times New Roman"/>
                <w:sz w:val="21"/>
                <w:szCs w:val="21"/>
              </w:rPr>
            </w:pPr>
          </w:p>
        </w:tc>
        <w:tc>
          <w:tcPr>
            <w:tcW w:w="1706" w:type="dxa"/>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附合同等复印件</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说明：所投产品节能认证证书须附后。（无可不提供）</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说明：所投产品节能认证证书须附后。（无可不提供）</w:t>
      </w:r>
    </w:p>
    <w:p>
      <w:pPr>
        <w:spacing w:line="360" w:lineRule="auto"/>
        <w:rPr>
          <w:rFonts w:ascii="宋体" w:hAnsi="宋体"/>
          <w:b/>
          <w:bCs/>
          <w:color w:val="000000"/>
          <w:sz w:val="36"/>
          <w:szCs w:val="36"/>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说明：所投产品节能认证证书须附后。（无可不提供）</w:t>
      </w:r>
    </w:p>
    <w:p>
      <w:pPr>
        <w:ind w:left="630" w:hanging="630" w:hangingChars="300"/>
        <w:rPr>
          <w:rFonts w:cs="宋体" w:asciiTheme="minorEastAsia" w:hAnsiTheme="minorEastAsia"/>
          <w:szCs w:val="21"/>
          <w:lang w:val="zh-CN"/>
        </w:rPr>
      </w:pP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color w:val="000000"/>
          <w:szCs w:val="21"/>
        </w:rPr>
        <w:t>本公司参加</w:t>
      </w:r>
      <w:r>
        <w:rPr>
          <w:rFonts w:hint="eastAsia"/>
          <w:color w:val="000000"/>
          <w:szCs w:val="21"/>
          <w:u w:val="single"/>
        </w:rPr>
        <w:t xml:space="preserve">             </w:t>
      </w:r>
      <w:r>
        <w:rPr>
          <w:rFonts w:hint="eastAsia"/>
          <w:color w:val="000000"/>
          <w:szCs w:val="21"/>
        </w:rPr>
        <w:t>单位的</w:t>
      </w:r>
      <w:r>
        <w:rPr>
          <w:rFonts w:hint="eastAsia"/>
          <w:color w:val="000000"/>
          <w:szCs w:val="21"/>
          <w:u w:val="single"/>
        </w:rPr>
        <w:t xml:space="preserve">          项</w:t>
      </w:r>
      <w:r>
        <w:rPr>
          <w:rFonts w:hint="eastAsia"/>
          <w:color w:val="000000"/>
          <w:szCs w:val="21"/>
        </w:rPr>
        <w:t xml:space="preserve">目采购活动提供本企业制造的货物，由本企业承担工程、提供服务，或者提供其他 </w:t>
      </w:r>
      <w:r>
        <w:rPr>
          <w:rFonts w:hint="eastAsia"/>
          <w:color w:val="000000"/>
          <w:szCs w:val="21"/>
          <w:u w:val="single"/>
        </w:rPr>
        <w:t xml:space="preserve">        （</w:t>
      </w:r>
      <w:r>
        <w:rPr>
          <w:rFonts w:hint="eastAsia"/>
          <w:color w:val="000000"/>
          <w:szCs w:val="21"/>
        </w:rPr>
        <w:t>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hint="eastAsia" w:ascii="宋体" w:hAnsi="宋体" w:cs="Arial"/>
          <w:color w:val="000000"/>
          <w:kern w:val="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投标人名称（盖章）：　　　　　　　　　</w:t>
      </w:r>
      <w:r>
        <w:rPr>
          <w:rFonts w:hint="eastAsia" w:cs="Arial" w:asciiTheme="minorEastAsia" w:hAnsiTheme="minorEastAsia"/>
          <w:color w:val="000000"/>
          <w:szCs w:val="21"/>
        </w:rPr>
        <w:br w:type="textWrapping"/>
      </w:r>
      <w:r>
        <w:rPr>
          <w:rFonts w:hint="eastAsia" w:cs="Arial" w:asciiTheme="minorEastAsia" w:hAnsiTheme="minorEastAsia"/>
          <w:color w:val="000000"/>
          <w:szCs w:val="21"/>
        </w:rPr>
        <w:t xml:space="preserve">      年    月    日</w:t>
      </w: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hint="eastAsia" w:ascii="宋体" w:hAnsi="宋体"/>
          <w:b/>
          <w:bCs/>
          <w:color w:val="000000"/>
          <w:sz w:val="24"/>
          <w:szCs w:val="24"/>
        </w:rPr>
      </w:pPr>
      <w:bookmarkStart w:id="10" w:name="OLE_LINK13"/>
      <w:bookmarkStart w:id="11" w:name="OLE_LINK14"/>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4.10 残疾人福利性单位声明函</w:t>
      </w:r>
    </w:p>
    <w:bookmarkEnd w:id="10"/>
    <w:bookmarkEnd w:id="11"/>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rPr>
          <w:rFonts w:ascii="宋体" w:hAnsi="宋体"/>
          <w:szCs w:val="21"/>
        </w:rPr>
      </w:pPr>
      <w:r>
        <w:rPr>
          <w:rFonts w:hint="eastAsia" w:cs="宋体" w:asciiTheme="minorEastAsia" w:hAnsiTheme="minorEastAsia"/>
          <w:szCs w:val="21"/>
          <w:lang w:val="zh-CN"/>
        </w:rPr>
        <w:t>（无可不提供）</w:t>
      </w:r>
    </w:p>
    <w:p>
      <w:pPr>
        <w:spacing w:line="480" w:lineRule="auto"/>
        <w:ind w:left="4358" w:leftChars="2075"/>
        <w:rPr>
          <w:rFonts w:cs="Arial" w:asciiTheme="minorEastAsia" w:hAnsiTheme="minorEastAsia"/>
          <w:color w:val="000000"/>
          <w:szCs w:val="21"/>
        </w:rPr>
      </w:pPr>
      <w:r>
        <w:rPr>
          <w:rFonts w:hint="eastAsia" w:ascii="宋体" w:hAnsi="宋体"/>
          <w:szCs w:val="21"/>
        </w:rPr>
        <w:t xml:space="preserve"> </w:t>
      </w:r>
      <w:r>
        <w:rPr>
          <w:rFonts w:hint="eastAsia" w:cs="Arial" w:asciiTheme="minorEastAsia" w:hAnsiTheme="minorEastAsia"/>
          <w:color w:val="000000"/>
          <w:szCs w:val="21"/>
        </w:rPr>
        <w:t>单位名称（</w:t>
      </w:r>
      <w:r>
        <w:rPr>
          <w:rFonts w:hint="eastAsia" w:cs="Arial" w:asciiTheme="minorEastAsia" w:hAnsiTheme="minorEastAsia"/>
          <w:color w:val="000000"/>
          <w:szCs w:val="21"/>
          <w:lang w:eastAsia="zh-CN"/>
        </w:rPr>
        <w:t>公</w:t>
      </w:r>
      <w:r>
        <w:rPr>
          <w:rFonts w:hint="eastAsia" w:cs="Arial" w:asciiTheme="minorEastAsia" w:hAnsiTheme="minorEastAsia"/>
          <w:color w:val="000000"/>
          <w:szCs w:val="21"/>
        </w:rPr>
        <w:t>章）：</w:t>
      </w: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 xml:space="preserve"> 日    期：      年    月    日</w:t>
      </w:r>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spacing w:line="360" w:lineRule="auto"/>
        <w:jc w:val="left"/>
        <w:rPr>
          <w:rFonts w:hint="eastAsia" w:ascii="宋体" w:hAnsi="宋体" w:cs="Arial"/>
          <w:kern w:val="0"/>
          <w:sz w:val="21"/>
          <w:szCs w:val="21"/>
        </w:rPr>
      </w:pPr>
      <w:r>
        <w:rPr>
          <w:rFonts w:hint="eastAsia" w:ascii="宋体" w:hAnsi="宋体" w:cs="Arial"/>
          <w:kern w:val="0"/>
          <w:sz w:val="21"/>
          <w:szCs w:val="21"/>
        </w:rPr>
        <w:t>附参考格式：</w:t>
      </w:r>
    </w:p>
    <w:p>
      <w:pPr>
        <w:spacing w:line="360" w:lineRule="auto"/>
        <w:ind w:firstLine="602"/>
        <w:jc w:val="center"/>
        <w:rPr>
          <w:rFonts w:hint="eastAsia" w:ascii="宋体" w:hAnsi="宋体" w:cs="Arial"/>
          <w:kern w:val="0"/>
          <w:sz w:val="21"/>
          <w:szCs w:val="21"/>
        </w:rPr>
      </w:pPr>
      <w:r>
        <w:rPr>
          <w:rFonts w:hint="eastAsia" w:ascii="宋体" w:hAnsi="宋体"/>
          <w:b/>
          <w:bCs/>
          <w:sz w:val="21"/>
          <w:szCs w:val="21"/>
        </w:rPr>
        <w:t>承诺函</w:t>
      </w:r>
    </w:p>
    <w:p>
      <w:pPr>
        <w:spacing w:line="360" w:lineRule="auto"/>
        <w:ind w:firstLine="420" w:firstLineChars="200"/>
        <w:jc w:val="left"/>
        <w:rPr>
          <w:rFonts w:ascii="宋体" w:hAnsi="宋体" w:cs="Arial"/>
          <w:kern w:val="0"/>
          <w:sz w:val="21"/>
          <w:szCs w:val="21"/>
        </w:rPr>
      </w:pPr>
      <w:r>
        <w:rPr>
          <w:rFonts w:hint="eastAsia" w:ascii="宋体" w:hAnsi="宋体" w:cs="Arial"/>
          <w:kern w:val="0"/>
          <w:sz w:val="21"/>
          <w:szCs w:val="21"/>
        </w:rPr>
        <w:t>我公司承诺，如我公司所投产品涉及国家有属强制性、信息安全产品强制性规定的，则所投产品均采用《中华民共和国实施强制性产品认证的产品目录》、《信息安全产品强制性认证目录》并在有效期内的产品，均符合国家强制性要求。</w:t>
      </w:r>
    </w:p>
    <w:p>
      <w:pPr>
        <w:spacing w:line="360" w:lineRule="auto"/>
        <w:ind w:firstLine="3956" w:firstLineChars="1884"/>
        <w:rPr>
          <w:rFonts w:ascii="宋体" w:hAnsi="宋体"/>
          <w:sz w:val="21"/>
          <w:szCs w:val="21"/>
        </w:rPr>
      </w:pPr>
    </w:p>
    <w:p>
      <w:pPr>
        <w:spacing w:line="360" w:lineRule="auto"/>
        <w:ind w:firstLine="420" w:firstLineChars="200"/>
        <w:jc w:val="left"/>
        <w:rPr>
          <w:rFonts w:ascii="宋体" w:hAnsi="宋体" w:cs="宋体"/>
          <w:color w:val="auto"/>
          <w:sz w:val="21"/>
          <w:szCs w:val="21"/>
          <w:lang w:val="zh-CN"/>
        </w:rPr>
      </w:pPr>
      <w:r>
        <w:rPr>
          <w:rFonts w:hint="eastAsia" w:ascii="宋体" w:hAnsi="宋体" w:cs="宋体"/>
          <w:color w:val="auto"/>
          <w:sz w:val="21"/>
          <w:szCs w:val="21"/>
          <w:lang w:val="zh-CN"/>
        </w:rPr>
        <w:t>投标</w:t>
      </w:r>
      <w:r>
        <w:rPr>
          <w:rFonts w:ascii="宋体" w:hAnsi="宋体" w:cs="宋体"/>
          <w:color w:val="auto"/>
          <w:sz w:val="21"/>
          <w:szCs w:val="21"/>
          <w:lang w:val="zh-CN"/>
        </w:rPr>
        <w:t>人名称</w:t>
      </w:r>
      <w:r>
        <w:rPr>
          <w:rFonts w:hint="eastAsia" w:ascii="宋体" w:hAnsi="宋体" w:cs="宋体"/>
          <w:color w:val="auto"/>
          <w:sz w:val="21"/>
          <w:szCs w:val="21"/>
          <w:lang w:val="en-US" w:eastAsia="zh-CN"/>
        </w:rPr>
        <w:t>：</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w:t>
      </w:r>
      <w:r>
        <w:rPr>
          <w:rFonts w:hint="eastAsia" w:ascii="宋体" w:hAnsi="宋体" w:cs="宋体"/>
          <w:color w:val="auto"/>
          <w:sz w:val="21"/>
          <w:szCs w:val="21"/>
          <w:lang w:val="zh-CN"/>
        </w:rPr>
        <w:t>公章）</w:t>
      </w:r>
    </w:p>
    <w:p>
      <w:pPr>
        <w:spacing w:line="360" w:lineRule="auto"/>
        <w:ind w:firstLine="420" w:firstLineChars="200"/>
        <w:jc w:val="left"/>
        <w:rPr>
          <w:rFonts w:ascii="宋体" w:hAnsi="宋体"/>
          <w:b/>
          <w:bCs/>
          <w:sz w:val="21"/>
          <w:szCs w:val="21"/>
        </w:rPr>
      </w:pPr>
      <w:r>
        <w:rPr>
          <w:rFonts w:hint="eastAsia" w:ascii="宋体" w:hAnsi="宋体"/>
          <w:sz w:val="21"/>
          <w:szCs w:val="21"/>
        </w:rPr>
        <w:t>日    期：</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Pr>
        <w:spacing w:line="360" w:lineRule="auto"/>
        <w:jc w:val="center"/>
        <w:rPr>
          <w:rFonts w:ascii="宋体" w:hAnsi="宋体"/>
          <w:b/>
          <w:bCs/>
          <w:color w:val="000000"/>
          <w:sz w:val="28"/>
          <w:szCs w:val="28"/>
        </w:rPr>
      </w:pPr>
      <w:r>
        <w:rPr>
          <w:rFonts w:ascii="宋体" w:hAnsi="宋体"/>
          <w:b/>
          <w:bCs/>
          <w:color w:val="000000"/>
          <w:sz w:val="24"/>
          <w:szCs w:val="24"/>
        </w:rPr>
        <w:t>除招标文件另有规定外，投标人认为需要提交的其他证明材料或资料加盖投标人的单位公章后应在此项下提交。</w:t>
      </w:r>
      <w:r>
        <w:rPr>
          <w:rFonts w:ascii="宋体" w:hAnsi="宋体"/>
          <w:b/>
          <w:bCs/>
          <w:color w:val="000000"/>
          <w:sz w:val="28"/>
          <w:szCs w:val="28"/>
        </w:rPr>
        <w:t> </w:t>
      </w:r>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简隶书">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roma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fldChar w:fldCharType="begin"/>
                          </w:r>
                          <w:r>
                            <w:instrText xml:space="preserve"> PAGE  \* MERGEFORMAT </w:instrText>
                          </w:r>
                          <w:r>
                            <w:fldChar w:fldCharType="separate"/>
                          </w:r>
                          <w:r>
                            <w:t>23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E6DC6A5"/>
    <w:multiLevelType w:val="singleLevel"/>
    <w:tmpl w:val="4E6DC6A5"/>
    <w:lvl w:ilvl="0" w:tentative="0">
      <w:start w:val="2"/>
      <w:numFmt w:val="chineseCounting"/>
      <w:suff w:val="nothing"/>
      <w:lvlText w:val="%1、"/>
      <w:lvlJc w:val="left"/>
      <w:rPr>
        <w:rFonts w:hint="eastAsia"/>
      </w:rPr>
    </w:lvl>
  </w:abstractNum>
  <w:abstractNum w:abstractNumId="10">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9F817E8"/>
    <w:multiLevelType w:val="singleLevel"/>
    <w:tmpl w:val="59F817E8"/>
    <w:lvl w:ilvl="0" w:tentative="0">
      <w:start w:val="1"/>
      <w:numFmt w:val="chineseCounting"/>
      <w:pStyle w:val="53"/>
      <w:suff w:val="nothing"/>
      <w:lvlText w:val="%1、"/>
      <w:lvlJc w:val="left"/>
    </w:lvl>
  </w:abstractNum>
  <w:abstractNum w:abstractNumId="1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1"/>
  </w:num>
  <w:num w:numId="4">
    <w:abstractNumId w:val="9"/>
  </w:num>
  <w:num w:numId="5">
    <w:abstractNumId w:val="6"/>
  </w:num>
  <w:num w:numId="6">
    <w:abstractNumId w:val="12"/>
  </w:num>
  <w:num w:numId="7">
    <w:abstractNumId w:val="4"/>
  </w:num>
  <w:num w:numId="8">
    <w:abstractNumId w:val="14"/>
  </w:num>
  <w:num w:numId="9">
    <w:abstractNumId w:val="8"/>
  </w:num>
  <w:num w:numId="10">
    <w:abstractNumId w:val="13"/>
  </w:num>
  <w:num w:numId="11">
    <w:abstractNumId w:val="3"/>
  </w:num>
  <w:num w:numId="12">
    <w:abstractNumId w:val="5"/>
  </w:num>
  <w:num w:numId="13">
    <w:abstractNumId w:val="10"/>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34C"/>
    <w:rsid w:val="0001333C"/>
    <w:rsid w:val="0001370A"/>
    <w:rsid w:val="00032E32"/>
    <w:rsid w:val="000332D6"/>
    <w:rsid w:val="000346ED"/>
    <w:rsid w:val="0005361A"/>
    <w:rsid w:val="000576C2"/>
    <w:rsid w:val="00073D7B"/>
    <w:rsid w:val="00075D7D"/>
    <w:rsid w:val="000779E8"/>
    <w:rsid w:val="00077E62"/>
    <w:rsid w:val="00080F36"/>
    <w:rsid w:val="00085F8B"/>
    <w:rsid w:val="0008676F"/>
    <w:rsid w:val="000873AE"/>
    <w:rsid w:val="000928D7"/>
    <w:rsid w:val="00094EAD"/>
    <w:rsid w:val="000A3A1C"/>
    <w:rsid w:val="000A4572"/>
    <w:rsid w:val="000B5686"/>
    <w:rsid w:val="000D07EA"/>
    <w:rsid w:val="000D2DED"/>
    <w:rsid w:val="000D39AC"/>
    <w:rsid w:val="00100BEF"/>
    <w:rsid w:val="001013D9"/>
    <w:rsid w:val="0010571F"/>
    <w:rsid w:val="00117B60"/>
    <w:rsid w:val="00121820"/>
    <w:rsid w:val="00121E2F"/>
    <w:rsid w:val="00133EDE"/>
    <w:rsid w:val="00136F70"/>
    <w:rsid w:val="00142DB6"/>
    <w:rsid w:val="00152A00"/>
    <w:rsid w:val="00156EC1"/>
    <w:rsid w:val="00160E65"/>
    <w:rsid w:val="00162C1E"/>
    <w:rsid w:val="00193AA4"/>
    <w:rsid w:val="001D4207"/>
    <w:rsid w:val="001E7C2C"/>
    <w:rsid w:val="001F2404"/>
    <w:rsid w:val="001F5571"/>
    <w:rsid w:val="00203BE3"/>
    <w:rsid w:val="00210796"/>
    <w:rsid w:val="00210C2B"/>
    <w:rsid w:val="00210FCB"/>
    <w:rsid w:val="00250C01"/>
    <w:rsid w:val="00293C27"/>
    <w:rsid w:val="002945DA"/>
    <w:rsid w:val="002A5B82"/>
    <w:rsid w:val="002C7916"/>
    <w:rsid w:val="002D4951"/>
    <w:rsid w:val="002E2CED"/>
    <w:rsid w:val="002F3A7B"/>
    <w:rsid w:val="002F4123"/>
    <w:rsid w:val="003033ED"/>
    <w:rsid w:val="003044A3"/>
    <w:rsid w:val="00320DAC"/>
    <w:rsid w:val="00323356"/>
    <w:rsid w:val="003242B4"/>
    <w:rsid w:val="003305F9"/>
    <w:rsid w:val="00335F83"/>
    <w:rsid w:val="00337912"/>
    <w:rsid w:val="00351EEC"/>
    <w:rsid w:val="003552A2"/>
    <w:rsid w:val="00372961"/>
    <w:rsid w:val="0038333D"/>
    <w:rsid w:val="00390295"/>
    <w:rsid w:val="003B75ED"/>
    <w:rsid w:val="003C141C"/>
    <w:rsid w:val="003C3F03"/>
    <w:rsid w:val="003C73DF"/>
    <w:rsid w:val="003C7F5A"/>
    <w:rsid w:val="003F5CD2"/>
    <w:rsid w:val="00406170"/>
    <w:rsid w:val="00410B93"/>
    <w:rsid w:val="00414383"/>
    <w:rsid w:val="004207F8"/>
    <w:rsid w:val="004219F1"/>
    <w:rsid w:val="00422114"/>
    <w:rsid w:val="0044305C"/>
    <w:rsid w:val="004438F4"/>
    <w:rsid w:val="00461483"/>
    <w:rsid w:val="00473ADD"/>
    <w:rsid w:val="00475F27"/>
    <w:rsid w:val="00476C13"/>
    <w:rsid w:val="004A1AF2"/>
    <w:rsid w:val="004A383B"/>
    <w:rsid w:val="004A4195"/>
    <w:rsid w:val="004A50CC"/>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9255C"/>
    <w:rsid w:val="005A39DD"/>
    <w:rsid w:val="005A4753"/>
    <w:rsid w:val="005B0C29"/>
    <w:rsid w:val="005B52B6"/>
    <w:rsid w:val="005C0CF5"/>
    <w:rsid w:val="005C3AE6"/>
    <w:rsid w:val="005C4157"/>
    <w:rsid w:val="005C5F5B"/>
    <w:rsid w:val="005C67C8"/>
    <w:rsid w:val="005E534D"/>
    <w:rsid w:val="005F225E"/>
    <w:rsid w:val="00600306"/>
    <w:rsid w:val="006078AC"/>
    <w:rsid w:val="00614340"/>
    <w:rsid w:val="006303FC"/>
    <w:rsid w:val="00630CA6"/>
    <w:rsid w:val="00634FA0"/>
    <w:rsid w:val="00636AAD"/>
    <w:rsid w:val="00642CFC"/>
    <w:rsid w:val="006503D0"/>
    <w:rsid w:val="0066419E"/>
    <w:rsid w:val="00664B95"/>
    <w:rsid w:val="00667B6D"/>
    <w:rsid w:val="0067566A"/>
    <w:rsid w:val="0067738B"/>
    <w:rsid w:val="00680752"/>
    <w:rsid w:val="0068663A"/>
    <w:rsid w:val="006907F7"/>
    <w:rsid w:val="00692F08"/>
    <w:rsid w:val="00693F99"/>
    <w:rsid w:val="006B7982"/>
    <w:rsid w:val="006D10FD"/>
    <w:rsid w:val="006D5FEB"/>
    <w:rsid w:val="006D7001"/>
    <w:rsid w:val="006D77A9"/>
    <w:rsid w:val="006E145E"/>
    <w:rsid w:val="006E1AB0"/>
    <w:rsid w:val="00702C35"/>
    <w:rsid w:val="0071006A"/>
    <w:rsid w:val="00717D9E"/>
    <w:rsid w:val="0072406E"/>
    <w:rsid w:val="00726C6C"/>
    <w:rsid w:val="00736FD5"/>
    <w:rsid w:val="00750835"/>
    <w:rsid w:val="00765BB6"/>
    <w:rsid w:val="00770487"/>
    <w:rsid w:val="00784A09"/>
    <w:rsid w:val="00794F26"/>
    <w:rsid w:val="00797C1A"/>
    <w:rsid w:val="007A1275"/>
    <w:rsid w:val="007C2902"/>
    <w:rsid w:val="007C32AE"/>
    <w:rsid w:val="007C3980"/>
    <w:rsid w:val="007D71A1"/>
    <w:rsid w:val="007E0E82"/>
    <w:rsid w:val="007F4CBA"/>
    <w:rsid w:val="007F6674"/>
    <w:rsid w:val="00807B25"/>
    <w:rsid w:val="00812F0F"/>
    <w:rsid w:val="00815A8A"/>
    <w:rsid w:val="00823F0C"/>
    <w:rsid w:val="00835490"/>
    <w:rsid w:val="0084403D"/>
    <w:rsid w:val="00845044"/>
    <w:rsid w:val="00845E73"/>
    <w:rsid w:val="00847441"/>
    <w:rsid w:val="00847494"/>
    <w:rsid w:val="008543A6"/>
    <w:rsid w:val="0087048A"/>
    <w:rsid w:val="00872B2B"/>
    <w:rsid w:val="00875AAF"/>
    <w:rsid w:val="00892943"/>
    <w:rsid w:val="008A5A2E"/>
    <w:rsid w:val="008B01DC"/>
    <w:rsid w:val="008B132A"/>
    <w:rsid w:val="008B5CD5"/>
    <w:rsid w:val="008B7021"/>
    <w:rsid w:val="008D0201"/>
    <w:rsid w:val="008D2D0F"/>
    <w:rsid w:val="008E0A0C"/>
    <w:rsid w:val="008E7B4D"/>
    <w:rsid w:val="008F0CB1"/>
    <w:rsid w:val="009164E8"/>
    <w:rsid w:val="0092652B"/>
    <w:rsid w:val="00951B07"/>
    <w:rsid w:val="00956A32"/>
    <w:rsid w:val="00960738"/>
    <w:rsid w:val="009623EE"/>
    <w:rsid w:val="00962400"/>
    <w:rsid w:val="0097473D"/>
    <w:rsid w:val="00991EE9"/>
    <w:rsid w:val="009A0AC9"/>
    <w:rsid w:val="009B61E8"/>
    <w:rsid w:val="009C12AB"/>
    <w:rsid w:val="009C2826"/>
    <w:rsid w:val="009D4208"/>
    <w:rsid w:val="009D76D2"/>
    <w:rsid w:val="009E01A6"/>
    <w:rsid w:val="009E0C30"/>
    <w:rsid w:val="00A04493"/>
    <w:rsid w:val="00A04AFF"/>
    <w:rsid w:val="00A22272"/>
    <w:rsid w:val="00A24AAD"/>
    <w:rsid w:val="00A305AC"/>
    <w:rsid w:val="00A33B8B"/>
    <w:rsid w:val="00A57B03"/>
    <w:rsid w:val="00A678FE"/>
    <w:rsid w:val="00AA4948"/>
    <w:rsid w:val="00AA75E5"/>
    <w:rsid w:val="00AB190E"/>
    <w:rsid w:val="00AB1F1D"/>
    <w:rsid w:val="00AB4864"/>
    <w:rsid w:val="00AC4FB4"/>
    <w:rsid w:val="00AD282C"/>
    <w:rsid w:val="00AE565E"/>
    <w:rsid w:val="00AF47D5"/>
    <w:rsid w:val="00B03A69"/>
    <w:rsid w:val="00B055BE"/>
    <w:rsid w:val="00B11230"/>
    <w:rsid w:val="00B14B8C"/>
    <w:rsid w:val="00B15E4D"/>
    <w:rsid w:val="00B16D9F"/>
    <w:rsid w:val="00B17CC3"/>
    <w:rsid w:val="00B27CFA"/>
    <w:rsid w:val="00B310D0"/>
    <w:rsid w:val="00B37B50"/>
    <w:rsid w:val="00B40EF5"/>
    <w:rsid w:val="00B510F5"/>
    <w:rsid w:val="00B54144"/>
    <w:rsid w:val="00B54904"/>
    <w:rsid w:val="00B622EF"/>
    <w:rsid w:val="00B67CBD"/>
    <w:rsid w:val="00B750A7"/>
    <w:rsid w:val="00B855ED"/>
    <w:rsid w:val="00B965F2"/>
    <w:rsid w:val="00BA6F63"/>
    <w:rsid w:val="00BC0D9C"/>
    <w:rsid w:val="00BC0DFC"/>
    <w:rsid w:val="00BC15D9"/>
    <w:rsid w:val="00BD0EEA"/>
    <w:rsid w:val="00BD1C8B"/>
    <w:rsid w:val="00BD1EE7"/>
    <w:rsid w:val="00BE0DFE"/>
    <w:rsid w:val="00BE45BC"/>
    <w:rsid w:val="00BF54FA"/>
    <w:rsid w:val="00C00BB2"/>
    <w:rsid w:val="00C01C37"/>
    <w:rsid w:val="00C1406D"/>
    <w:rsid w:val="00C21C83"/>
    <w:rsid w:val="00C247A1"/>
    <w:rsid w:val="00C43250"/>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CF6C93"/>
    <w:rsid w:val="00D00C7D"/>
    <w:rsid w:val="00D023F6"/>
    <w:rsid w:val="00D050D2"/>
    <w:rsid w:val="00D30D28"/>
    <w:rsid w:val="00D379BE"/>
    <w:rsid w:val="00D40594"/>
    <w:rsid w:val="00D530CE"/>
    <w:rsid w:val="00D60D1B"/>
    <w:rsid w:val="00D62B97"/>
    <w:rsid w:val="00D63CA1"/>
    <w:rsid w:val="00D678D3"/>
    <w:rsid w:val="00D76299"/>
    <w:rsid w:val="00D76C9F"/>
    <w:rsid w:val="00D95F07"/>
    <w:rsid w:val="00DA1077"/>
    <w:rsid w:val="00DA62F5"/>
    <w:rsid w:val="00DB5925"/>
    <w:rsid w:val="00DB7E57"/>
    <w:rsid w:val="00DC3E97"/>
    <w:rsid w:val="00DC67C5"/>
    <w:rsid w:val="00DD3287"/>
    <w:rsid w:val="00DD54FE"/>
    <w:rsid w:val="00DD71B6"/>
    <w:rsid w:val="00DE7D93"/>
    <w:rsid w:val="00DF0C77"/>
    <w:rsid w:val="00E20746"/>
    <w:rsid w:val="00E22858"/>
    <w:rsid w:val="00E34F3B"/>
    <w:rsid w:val="00E4000B"/>
    <w:rsid w:val="00E432D5"/>
    <w:rsid w:val="00E45215"/>
    <w:rsid w:val="00E574F2"/>
    <w:rsid w:val="00E650E5"/>
    <w:rsid w:val="00EA645B"/>
    <w:rsid w:val="00EA64C2"/>
    <w:rsid w:val="00EB1100"/>
    <w:rsid w:val="00EC7B35"/>
    <w:rsid w:val="00EE78AB"/>
    <w:rsid w:val="00EF2ACD"/>
    <w:rsid w:val="00EF46ED"/>
    <w:rsid w:val="00EF573C"/>
    <w:rsid w:val="00EF7D19"/>
    <w:rsid w:val="00F04153"/>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 w:val="02A24009"/>
    <w:rsid w:val="032A3DC1"/>
    <w:rsid w:val="049D0890"/>
    <w:rsid w:val="04D47758"/>
    <w:rsid w:val="059943EE"/>
    <w:rsid w:val="06C173F1"/>
    <w:rsid w:val="075A27B2"/>
    <w:rsid w:val="08145EFE"/>
    <w:rsid w:val="08AD0285"/>
    <w:rsid w:val="09956D4B"/>
    <w:rsid w:val="0A256AD0"/>
    <w:rsid w:val="0CB83A44"/>
    <w:rsid w:val="0CD033A4"/>
    <w:rsid w:val="0DC55154"/>
    <w:rsid w:val="104662C8"/>
    <w:rsid w:val="10842743"/>
    <w:rsid w:val="12273B71"/>
    <w:rsid w:val="12A54DE9"/>
    <w:rsid w:val="159E4D8D"/>
    <w:rsid w:val="17346E7C"/>
    <w:rsid w:val="18021C28"/>
    <w:rsid w:val="1943779A"/>
    <w:rsid w:val="195F2E14"/>
    <w:rsid w:val="199A7ED8"/>
    <w:rsid w:val="19C92110"/>
    <w:rsid w:val="1B066F8F"/>
    <w:rsid w:val="1C890FDB"/>
    <w:rsid w:val="1D157D61"/>
    <w:rsid w:val="1D633426"/>
    <w:rsid w:val="1EDF51F9"/>
    <w:rsid w:val="1F5D2EE1"/>
    <w:rsid w:val="1FF93BBE"/>
    <w:rsid w:val="21F127E9"/>
    <w:rsid w:val="24B95060"/>
    <w:rsid w:val="27381550"/>
    <w:rsid w:val="28FC1169"/>
    <w:rsid w:val="2A2E42B9"/>
    <w:rsid w:val="2AE27966"/>
    <w:rsid w:val="2B6E17E2"/>
    <w:rsid w:val="2B77704F"/>
    <w:rsid w:val="2BE6587F"/>
    <w:rsid w:val="2D7A2500"/>
    <w:rsid w:val="2DE822DD"/>
    <w:rsid w:val="2E721D70"/>
    <w:rsid w:val="2E983AFA"/>
    <w:rsid w:val="2F852AF0"/>
    <w:rsid w:val="303B5E50"/>
    <w:rsid w:val="30C90D04"/>
    <w:rsid w:val="33F80612"/>
    <w:rsid w:val="34184A06"/>
    <w:rsid w:val="377F0E97"/>
    <w:rsid w:val="37B47891"/>
    <w:rsid w:val="38C87AE2"/>
    <w:rsid w:val="393C2AFC"/>
    <w:rsid w:val="3A423F82"/>
    <w:rsid w:val="3AC6724B"/>
    <w:rsid w:val="3B720BF0"/>
    <w:rsid w:val="3C17115A"/>
    <w:rsid w:val="3E3377D6"/>
    <w:rsid w:val="3E5F3607"/>
    <w:rsid w:val="3EF969B7"/>
    <w:rsid w:val="41E74109"/>
    <w:rsid w:val="45224BED"/>
    <w:rsid w:val="45D02AFD"/>
    <w:rsid w:val="460F6B55"/>
    <w:rsid w:val="47395B0A"/>
    <w:rsid w:val="48016B62"/>
    <w:rsid w:val="49966386"/>
    <w:rsid w:val="4BEF1F3A"/>
    <w:rsid w:val="4BFE37C5"/>
    <w:rsid w:val="4F5A7AE4"/>
    <w:rsid w:val="4FD14EFF"/>
    <w:rsid w:val="5023669A"/>
    <w:rsid w:val="50736B30"/>
    <w:rsid w:val="518B0DE6"/>
    <w:rsid w:val="51E443D0"/>
    <w:rsid w:val="52965062"/>
    <w:rsid w:val="529F6940"/>
    <w:rsid w:val="53657BEC"/>
    <w:rsid w:val="54491F8F"/>
    <w:rsid w:val="54E81ED3"/>
    <w:rsid w:val="57BA7876"/>
    <w:rsid w:val="596045EA"/>
    <w:rsid w:val="5A3D0CE5"/>
    <w:rsid w:val="5ABC1526"/>
    <w:rsid w:val="5B022F8C"/>
    <w:rsid w:val="5F693F8B"/>
    <w:rsid w:val="60323899"/>
    <w:rsid w:val="606335C9"/>
    <w:rsid w:val="60B56A3F"/>
    <w:rsid w:val="613603F0"/>
    <w:rsid w:val="619D1F0A"/>
    <w:rsid w:val="655D68C9"/>
    <w:rsid w:val="65BC49BB"/>
    <w:rsid w:val="65DF0520"/>
    <w:rsid w:val="661B4717"/>
    <w:rsid w:val="682E1088"/>
    <w:rsid w:val="68510038"/>
    <w:rsid w:val="6BA43122"/>
    <w:rsid w:val="6E626A5A"/>
    <w:rsid w:val="6E8518BD"/>
    <w:rsid w:val="6F3373CB"/>
    <w:rsid w:val="6FD471BE"/>
    <w:rsid w:val="729C1D5B"/>
    <w:rsid w:val="75685DB7"/>
    <w:rsid w:val="770A7A0B"/>
    <w:rsid w:val="7961307F"/>
    <w:rsid w:val="79712F99"/>
    <w:rsid w:val="7B4D11B8"/>
    <w:rsid w:val="7F040AC4"/>
    <w:rsid w:val="7F855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5"/>
    <w:link w:val="55"/>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54"/>
    <w:semiHidden/>
    <w:unhideWhenUsed/>
    <w:qFormat/>
    <w:uiPriority w:val="99"/>
    <w:pPr>
      <w:spacing w:after="120"/>
    </w:pPr>
  </w:style>
  <w:style w:type="paragraph" w:styleId="4">
    <w:name w:val="Body Text 2"/>
    <w:basedOn w:val="1"/>
    <w:qFormat/>
    <w:uiPriority w:val="0"/>
    <w:pPr>
      <w:widowControl/>
      <w:spacing w:before="100" w:beforeAutospacing="1" w:after="100" w:afterAutospacing="1"/>
      <w:jc w:val="left"/>
    </w:pPr>
    <w:rPr>
      <w:rFonts w:ascii="宋体" w:hAnsi="宋体"/>
      <w:kern w:val="0"/>
      <w:sz w:val="24"/>
    </w:rPr>
  </w:style>
  <w:style w:type="paragraph" w:styleId="5">
    <w:name w:val="Body Text First Indent 2"/>
    <w:basedOn w:val="6"/>
    <w:unhideWhenUsed/>
    <w:qFormat/>
    <w:uiPriority w:val="99"/>
    <w:pPr>
      <w:ind w:firstLine="420" w:firstLineChars="200"/>
    </w:pPr>
  </w:style>
  <w:style w:type="paragraph" w:styleId="6">
    <w:name w:val="Body Text Indent"/>
    <w:basedOn w:val="1"/>
    <w:next w:val="7"/>
    <w:link w:val="58"/>
    <w:qFormat/>
    <w:uiPriority w:val="0"/>
    <w:pPr>
      <w:adjustRightInd w:val="0"/>
      <w:spacing w:after="120" w:line="360" w:lineRule="atLeast"/>
      <w:ind w:left="420" w:leftChars="200"/>
      <w:jc w:val="left"/>
      <w:textAlignment w:val="baseline"/>
    </w:pPr>
    <w:rPr>
      <w:sz w:val="24"/>
    </w:rPr>
  </w:style>
  <w:style w:type="paragraph" w:styleId="7">
    <w:name w:val="envelope return"/>
    <w:basedOn w:val="1"/>
    <w:unhideWhenUsed/>
    <w:qFormat/>
    <w:uiPriority w:val="99"/>
    <w:pPr>
      <w:snapToGrid w:val="0"/>
    </w:pPr>
    <w:rPr>
      <w:rFonts w:ascii="Arial" w:hAnsi="Arial"/>
    </w:rPr>
  </w:style>
  <w:style w:type="paragraph" w:styleId="12">
    <w:name w:val="Normal Indent"/>
    <w:basedOn w:val="1"/>
    <w:qFormat/>
    <w:uiPriority w:val="0"/>
    <w:pPr>
      <w:ind w:firstLine="425"/>
    </w:pPr>
    <w:rPr>
      <w:rFonts w:ascii="Times New Roman" w:hAnsi="Times New Roman" w:eastAsia="宋体" w:cs="Times New Roman"/>
      <w:szCs w:val="20"/>
    </w:rPr>
  </w:style>
  <w:style w:type="paragraph" w:styleId="13">
    <w:name w:val="caption"/>
    <w:basedOn w:val="1"/>
    <w:next w:val="1"/>
    <w:qFormat/>
    <w:uiPriority w:val="0"/>
    <w:rPr>
      <w:rFonts w:ascii="Arial" w:hAnsi="Arial" w:eastAsia="黑体" w:cs="Arial"/>
      <w:sz w:val="20"/>
      <w:szCs w:val="20"/>
    </w:rPr>
  </w:style>
  <w:style w:type="paragraph" w:styleId="14">
    <w:name w:val="Body Text 3"/>
    <w:basedOn w:val="1"/>
    <w:link w:val="50"/>
    <w:qFormat/>
    <w:uiPriority w:val="0"/>
    <w:rPr>
      <w:rFonts w:ascii="Times New Roman" w:hAnsi="Times New Roman" w:eastAsia="宋体" w:cs="Times New Roman"/>
      <w:color w:val="FF0000"/>
      <w:sz w:val="24"/>
      <w:szCs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35"/>
    <w:qFormat/>
    <w:uiPriority w:val="0"/>
    <w:rPr>
      <w:rFonts w:eastAsia="宋体"/>
      <w:sz w:val="24"/>
    </w:rPr>
  </w:style>
  <w:style w:type="paragraph" w:styleId="18">
    <w:name w:val="Date"/>
    <w:basedOn w:val="1"/>
    <w:next w:val="1"/>
    <w:link w:val="36"/>
    <w:unhideWhenUsed/>
    <w:qFormat/>
    <w:uiPriority w:val="99"/>
    <w:pPr>
      <w:ind w:left="100" w:leftChars="2500"/>
    </w:pPr>
  </w:style>
  <w:style w:type="paragraph" w:styleId="19">
    <w:name w:val="Balloon Text"/>
    <w:basedOn w:val="1"/>
    <w:link w:val="59"/>
    <w:semiHidden/>
    <w:unhideWhenUsed/>
    <w:qFormat/>
    <w:uiPriority w:val="99"/>
    <w:rPr>
      <w:sz w:val="18"/>
      <w:szCs w:val="18"/>
    </w:rPr>
  </w:style>
  <w:style w:type="paragraph" w:styleId="20">
    <w:name w:val="footer"/>
    <w:basedOn w:val="1"/>
    <w:link w:val="37"/>
    <w:unhideWhenUsed/>
    <w:qFormat/>
    <w:uiPriority w:val="99"/>
    <w:pPr>
      <w:tabs>
        <w:tab w:val="center" w:pos="4153"/>
        <w:tab w:val="right" w:pos="8306"/>
      </w:tabs>
      <w:snapToGrid w:val="0"/>
      <w:jc w:val="left"/>
    </w:pPr>
    <w:rPr>
      <w:sz w:val="18"/>
      <w:szCs w:val="18"/>
    </w:rPr>
  </w:style>
  <w:style w:type="paragraph" w:styleId="21">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5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Hyperlink"/>
    <w:basedOn w:val="27"/>
    <w:unhideWhenUsed/>
    <w:qFormat/>
    <w:uiPriority w:val="99"/>
    <w:rPr>
      <w:color w:val="0000FF"/>
      <w:u w:val="single"/>
    </w:rPr>
  </w:style>
  <w:style w:type="paragraph" w:customStyle="1" w:styleId="30">
    <w:name w:val="TOC 标题1"/>
    <w:basedOn w:val="8"/>
    <w:next w:val="1"/>
    <w:qFormat/>
    <w:uiPriority w:val="39"/>
    <w:pPr>
      <w:spacing w:before="480" w:after="0" w:line="276" w:lineRule="auto"/>
      <w:outlineLvl w:val="9"/>
    </w:pPr>
    <w:rPr>
      <w:rFonts w:ascii="仿宋" w:hAnsi="仿宋" w:eastAsia="仿宋"/>
      <w:color w:val="000000"/>
      <w:kern w:val="0"/>
      <w:sz w:val="32"/>
      <w:szCs w:val="32"/>
    </w:rPr>
  </w:style>
  <w:style w:type="character" w:customStyle="1" w:styleId="31">
    <w:name w:val="标题 1 Char"/>
    <w:basedOn w:val="27"/>
    <w:link w:val="8"/>
    <w:qFormat/>
    <w:uiPriority w:val="0"/>
    <w:rPr>
      <w:rFonts w:ascii="Calibri" w:hAnsi="Calibri" w:eastAsia="宋体" w:cs="Times New Roman"/>
      <w:b/>
      <w:bCs/>
      <w:kern w:val="44"/>
      <w:sz w:val="44"/>
      <w:szCs w:val="44"/>
    </w:rPr>
  </w:style>
  <w:style w:type="character" w:customStyle="1" w:styleId="32">
    <w:name w:val="标题 2 Char"/>
    <w:basedOn w:val="27"/>
    <w:link w:val="9"/>
    <w:qFormat/>
    <w:uiPriority w:val="0"/>
    <w:rPr>
      <w:rFonts w:ascii="Arial" w:hAnsi="Arial" w:eastAsia="黑体" w:cs="Times New Roman"/>
      <w:b/>
      <w:bCs/>
      <w:kern w:val="0"/>
      <w:sz w:val="32"/>
      <w:szCs w:val="32"/>
    </w:rPr>
  </w:style>
  <w:style w:type="character" w:customStyle="1" w:styleId="33">
    <w:name w:val="标题 3 Char"/>
    <w:basedOn w:val="27"/>
    <w:link w:val="10"/>
    <w:qFormat/>
    <w:uiPriority w:val="0"/>
    <w:rPr>
      <w:rFonts w:ascii="宋体" w:hAnsi="宋体" w:eastAsia="宋体" w:cs="Times New Roman"/>
      <w:b/>
      <w:color w:val="000000"/>
      <w:kern w:val="0"/>
      <w:sz w:val="24"/>
      <w:szCs w:val="20"/>
      <w:lang w:val="en-GB"/>
    </w:rPr>
  </w:style>
  <w:style w:type="character" w:customStyle="1" w:styleId="34">
    <w:name w:val="标题 4 Char"/>
    <w:basedOn w:val="27"/>
    <w:link w:val="11"/>
    <w:qFormat/>
    <w:uiPriority w:val="0"/>
    <w:rPr>
      <w:rFonts w:ascii="Arial" w:hAnsi="Arial" w:eastAsia="黑体" w:cs="Times New Roman"/>
      <w:b/>
      <w:bCs/>
      <w:kern w:val="0"/>
      <w:sz w:val="28"/>
      <w:szCs w:val="28"/>
    </w:rPr>
  </w:style>
  <w:style w:type="character" w:customStyle="1" w:styleId="35">
    <w:name w:val="纯文本 Char"/>
    <w:basedOn w:val="27"/>
    <w:link w:val="17"/>
    <w:qFormat/>
    <w:uiPriority w:val="0"/>
    <w:rPr>
      <w:rFonts w:eastAsia="宋体"/>
      <w:sz w:val="24"/>
    </w:rPr>
  </w:style>
  <w:style w:type="character" w:customStyle="1" w:styleId="36">
    <w:name w:val="日期 Char"/>
    <w:basedOn w:val="27"/>
    <w:link w:val="18"/>
    <w:qFormat/>
    <w:uiPriority w:val="99"/>
  </w:style>
  <w:style w:type="character" w:customStyle="1" w:styleId="37">
    <w:name w:val="页脚 Char"/>
    <w:basedOn w:val="27"/>
    <w:link w:val="20"/>
    <w:qFormat/>
    <w:uiPriority w:val="99"/>
    <w:rPr>
      <w:sz w:val="18"/>
      <w:szCs w:val="18"/>
    </w:rPr>
  </w:style>
  <w:style w:type="character" w:customStyle="1" w:styleId="38">
    <w:name w:val="页眉 Char"/>
    <w:basedOn w:val="27"/>
    <w:link w:val="21"/>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41">
    <w:name w:val="列出段落1"/>
    <w:basedOn w:val="1"/>
    <w:qFormat/>
    <w:uiPriority w:val="34"/>
    <w:pPr>
      <w:ind w:firstLine="420" w:firstLineChars="200"/>
    </w:pPr>
  </w:style>
  <w:style w:type="paragraph" w:styleId="42">
    <w:name w:val="List Paragraph"/>
    <w:basedOn w:val="1"/>
    <w:unhideWhenUsed/>
    <w:qFormat/>
    <w:uiPriority w:val="99"/>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Char"/>
    <w:basedOn w:val="27"/>
    <w:link w:val="14"/>
    <w:qFormat/>
    <w:uiPriority w:val="0"/>
    <w:rPr>
      <w:rFonts w:ascii="Times New Roman" w:hAnsi="Times New Roman" w:eastAsia="宋体" w:cs="Times New Roman"/>
      <w:color w:val="FF0000"/>
      <w:sz w:val="24"/>
      <w:szCs w:val="24"/>
    </w:rPr>
  </w:style>
  <w:style w:type="character" w:customStyle="1" w:styleId="51">
    <w:name w:val="edittexttarea"/>
    <w:basedOn w:val="27"/>
    <w:qFormat/>
    <w:uiPriority w:val="0"/>
  </w:style>
  <w:style w:type="paragraph" w:customStyle="1" w:styleId="52">
    <w:name w:val="样式 标题 1 + 四号 居中 段前: 12 磅 段后: 12 磅 行距: 单倍行距"/>
    <w:basedOn w:val="8"/>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Char"/>
    <w:basedOn w:val="27"/>
    <w:link w:val="3"/>
    <w:semiHidden/>
    <w:qFormat/>
    <w:uiPriority w:val="99"/>
  </w:style>
  <w:style w:type="character" w:customStyle="1" w:styleId="55">
    <w:name w:val="正文首行缩进 Char"/>
    <w:basedOn w:val="54"/>
    <w:link w:val="2"/>
    <w:qFormat/>
    <w:uiPriority w:val="0"/>
    <w:rPr>
      <w:rFonts w:ascii="宋体" w:hAnsi="Times New Roman" w:eastAsia="宋体" w:cs="Times New Roman"/>
      <w:kern w:val="0"/>
      <w:sz w:val="34"/>
      <w:szCs w:val="20"/>
    </w:rPr>
  </w:style>
  <w:style w:type="character" w:customStyle="1" w:styleId="56">
    <w:name w:val="HTML 预设格式 Char"/>
    <w:basedOn w:val="27"/>
    <w:link w:val="23"/>
    <w:semiHidden/>
    <w:qFormat/>
    <w:uiPriority w:val="99"/>
    <w:rPr>
      <w:rFonts w:ascii="宋体" w:hAnsi="宋体" w:eastAsia="宋体" w:cs="宋体"/>
      <w:kern w:val="0"/>
      <w:sz w:val="24"/>
      <w:szCs w:val="24"/>
    </w:rPr>
  </w:style>
  <w:style w:type="character" w:customStyle="1" w:styleId="57">
    <w:name w:val="正文文本缩进 Char"/>
    <w:link w:val="6"/>
    <w:qFormat/>
    <w:uiPriority w:val="0"/>
    <w:rPr>
      <w:sz w:val="24"/>
    </w:rPr>
  </w:style>
  <w:style w:type="character" w:customStyle="1" w:styleId="58">
    <w:name w:val="正文文本缩进 Char1"/>
    <w:basedOn w:val="27"/>
    <w:link w:val="6"/>
    <w:semiHidden/>
    <w:qFormat/>
    <w:uiPriority w:val="99"/>
  </w:style>
  <w:style w:type="character" w:customStyle="1" w:styleId="59">
    <w:name w:val="批注框文本 Char"/>
    <w:basedOn w:val="27"/>
    <w:link w:val="19"/>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12D36C-20A5-45C5-BED7-2E921BBD50A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5858</Words>
  <Characters>33397</Characters>
  <Lines>278</Lines>
  <Paragraphs>78</Paragraphs>
  <TotalTime>4</TotalTime>
  <ScaleCrop>false</ScaleCrop>
  <LinksUpToDate>false</LinksUpToDate>
  <CharactersWithSpaces>39177</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2019-08-26T08:52:00Z</dcterms:created>
  <dc:creator>许昌光大</dc:creator>
  <cp:lastModifiedBy>キンテンテン</cp:lastModifiedBy>
  <cp:lastPrinted>2019-09-24T06:44:00Z</cp:lastPrinted>
  <dcterms:modified xsi:type="dcterms:W3CDTF">2019-10-08T02:24:09Z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