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教育体育局校园文化采购项目</w:t>
      </w:r>
    </w:p>
    <w:p>
      <w:pPr>
        <w:pStyle w:val="28"/>
        <w:rPr>
          <w:rFonts w:ascii="黑体" w:hAnsi="黑体" w:eastAsia="黑体" w:cs="黑体"/>
          <w:color w:val="000000"/>
          <w:sz w:val="44"/>
          <w:szCs w:val="44"/>
        </w:rPr>
      </w:pPr>
    </w:p>
    <w:p>
      <w:pPr>
        <w:pStyle w:val="28"/>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46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禹州市教育体育局校园文化采购项目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w:t>
      </w:r>
      <w:r>
        <w:rPr>
          <w:rFonts w:hint="eastAsia" w:ascii="新宋体" w:hAnsi="新宋体" w:eastAsia="新宋体" w:cs="新宋体"/>
          <w:sz w:val="24"/>
          <w:szCs w:val="24"/>
          <w:lang w:eastAsia="zh-CN"/>
        </w:rPr>
        <w:t>校园文化采购项目</w:t>
      </w:r>
      <w:r>
        <w:rPr>
          <w:rFonts w:hint="eastAsia" w:ascii="新宋体" w:hAnsi="新宋体" w:eastAsia="新宋体" w:cs="新宋体"/>
          <w:sz w:val="24"/>
          <w:szCs w:val="24"/>
        </w:rPr>
        <w:t>”进行公开招标，欢迎合格的投标人前来投标。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：禹州市教育体育局校园文化采购项目</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246</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校园文化一批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60</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21</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0374-8880023</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 xml:space="preserve">9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pStyle w:val="29"/>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0"/>
        </w:numPr>
        <w:shd w:val="clear" w:color="auto" w:fill="FFFFFF"/>
        <w:spacing w:line="360" w:lineRule="auto"/>
        <w:jc w:val="left"/>
        <w:rPr>
          <w:rFonts w:ascii="新宋体" w:hAnsi="新宋体" w:eastAsia="新宋体" w:cs="新宋体"/>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满足中小学校学校树立完整的文化形象需求以及国家相关安全、环保、质量等要求。</w:t>
      </w:r>
    </w:p>
    <w:p>
      <w:pPr>
        <w:pStyle w:val="63"/>
        <w:widowControl/>
        <w:numPr>
          <w:ilvl w:val="0"/>
          <w:numId w:val="0"/>
        </w:numPr>
        <w:shd w:val="clear" w:color="auto" w:fill="FFFFFF"/>
        <w:spacing w:line="360" w:lineRule="auto"/>
        <w:ind w:leftChars="0"/>
        <w:jc w:val="left"/>
        <w:rPr>
          <w:rFonts w:hint="eastAsia" w:ascii="新宋体" w:hAnsi="新宋体" w:eastAsia="新宋体" w:cs="新宋体"/>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kern w:val="0"/>
          <w:sz w:val="24"/>
          <w:szCs w:val="24"/>
          <w:lang w:val="zh-TW" w:eastAsia="zh-CN"/>
        </w:rPr>
        <w:t>：</w:t>
      </w:r>
    </w:p>
    <w:tbl>
      <w:tblPr>
        <w:tblStyle w:val="22"/>
        <w:tblW w:w="8949" w:type="dxa"/>
        <w:tblInd w:w="0" w:type="dxa"/>
        <w:tblLayout w:type="fixed"/>
        <w:tblCellMar>
          <w:top w:w="0" w:type="dxa"/>
          <w:left w:w="0" w:type="dxa"/>
          <w:bottom w:w="0" w:type="dxa"/>
          <w:right w:w="0" w:type="dxa"/>
        </w:tblCellMar>
      </w:tblPr>
      <w:tblGrid>
        <w:gridCol w:w="587"/>
        <w:gridCol w:w="1363"/>
        <w:gridCol w:w="3644"/>
        <w:gridCol w:w="1061"/>
        <w:gridCol w:w="1147"/>
        <w:gridCol w:w="1147"/>
      </w:tblGrid>
      <w:tr>
        <w:tblPrEx>
          <w:tblLayout w:type="fixed"/>
          <w:tblCellMar>
            <w:top w:w="0" w:type="dxa"/>
            <w:left w:w="0" w:type="dxa"/>
            <w:bottom w:w="0" w:type="dxa"/>
            <w:right w:w="0" w:type="dxa"/>
          </w:tblCellMar>
        </w:tblPrEx>
        <w:trPr>
          <w:trHeight w:val="63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产品名称</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参数</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是否为核心产品</w:t>
            </w:r>
          </w:p>
        </w:tc>
      </w:tr>
      <w:tr>
        <w:tblPrEx>
          <w:tblLayout w:type="fixed"/>
          <w:tblCellMar>
            <w:top w:w="0" w:type="dxa"/>
            <w:left w:w="0" w:type="dxa"/>
            <w:bottom w:w="0" w:type="dxa"/>
            <w:right w:w="0" w:type="dxa"/>
          </w:tblCellMar>
        </w:tblPrEx>
        <w:trPr>
          <w:trHeight w:val="63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宣传栏</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规格：2.75*5.5m(定制4组），框架材料：2.0mm镀锌钢板立柱，箱体材料：1.8mm镀锌钢板,5mm钢化玻璃面板,液压开启，可旋转视窗,内容采用高清室外写真.底部焊接预埋铁架，C25号混凝土填埋加固。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3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宣传栏1</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规格：2.6*4m(定制4组），框架材料：2.0mm镀锌钢板立柱，箱体材料：1.8mm镀锌钢板,5mm钢化玻璃面板,液压开启，单面视窗,内容采用高清室外写真.底部焊接预埋铁架，C25号混凝土填埋加固。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3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宣传栏2</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规格：2.6*3m(定制2组），框架材料：2.0mm镀锌钢板立柱，箱体材料：1.8mm镀锌钢板,5mm钢化玻璃面板,液压开启，单面视窗,内容采用高清室外写真.底部焊接预埋铁架，C25号混凝土填埋加固。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547"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造型牌</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规格：2*1.2m(定制10组）框架材料：2.0mm镀锌钢板立柱，箱体材料：1.8mm镀锌钢板,内容采用高清室外写真.底部焊接预埋铁架，C25号混凝土填埋加固。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雕塑1</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规格：1.55*2.1*0.4m（定制1个）,材质：泰山石  ,0.6*1.7*0.2m混凝土基座,c25混凝土</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482"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雕塑2</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规格：真人大小（定制3个），材质：3mm厚玻璃钢，3mm直径钢丝，仿金属喷漆工艺,60*60*20cm混凝土基座，c25混凝土</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道路指示牌</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规格：1.5*0.6*0.4m（定制4个）,材质：麻石，含雕字，异形</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554"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异形雕塑牌</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规格：0.9*1.3m(定制1个）框架材料：2.0mm镀锌钢板立柱，箱体材料：1.8mm镀锌钢板,镂空造型，内容喷漆，底部焊接预埋铁架，C25号混凝土填埋加固。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554"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核心价值观造型</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规格：5.5*2.8m(定制1组）框架材料：2.0mm镀锌钢板立柱，箱体材料：1.8mm镀锌钢板,内容喷漆、10mmPVC雕刻，底部焊接预埋铁架，C25号混凝土填埋加固。</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教学楼侧墙钛金字</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规格：0.8*0.8m（10个）,材质：2mm钛金，鼓面</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6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教学楼护栏钛金字</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规格：0.8*0.8m（25个）,材质：2mm钛金，鼓面，底板规格：1*1m，材质：4.5mm铝塑板。</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班级文化</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规格：1*1.2m,材质：5mm亚克力，卡槽4个，卡槽2mm亚克力</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6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班级文化</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规格：0.8*0.5m,材质：5mm亚克力，异形</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6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楼梯文化</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规格：0.8*0.4m,材质：8mmPVC，异形</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6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黑板</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60"/>
                <w:lang w:val="en-US" w:eastAsia="zh-CN" w:bidi="ar"/>
              </w:rPr>
              <w:t>规格：4*1.2m,悬挂式</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284"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发光字</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60"/>
                <w:lang w:val="en-US" w:eastAsia="zh-CN" w:bidi="ar"/>
              </w:rPr>
              <w:t>规格：1.5*1.5m（6个）,材质：2mm铁皮，3v灯珠，柱距3cm</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教学楼版面</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规格：60*80cm,材质：2.5cm实木边框，喷漆上色。 材质，5mm龙卡板附写真，内容：高清写真</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69"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LED屏</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规格：7.8*0.8m(2组），p10,定时开关</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花草牌</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规格：40*60*80cm（10组） 1.0mm镀锌板框架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1.5mm厚镀锌方管立柱，异形造型，外喷彩漆</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326"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雕刻字</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规格：0.4*0.4m(8个字），0.4*0.6m国旗1个，共24组，材质：10mm高光PVC</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74"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功能教室版面</w:t>
            </w:r>
          </w:p>
        </w:tc>
        <w:tc>
          <w:tcPr>
            <w:tcW w:w="3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规格：4*1.2m ,材质：10mmPVC雕刻，机雕</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r>
    </w:tbl>
    <w:p>
      <w:pPr>
        <w:pStyle w:val="64"/>
        <w:numPr>
          <w:ilvl w:val="0"/>
          <w:numId w:val="0"/>
        </w:numPr>
        <w:ind w:leftChars="0" w:firstLine="240" w:firstLineChars="100"/>
        <w:rPr>
          <w:rFonts w:hint="eastAsia" w:eastAsia="宋体"/>
          <w:lang w:val="zh-TW" w:eastAsia="zh-CN"/>
        </w:rPr>
      </w:pPr>
      <w:r>
        <w:rPr>
          <w:rFonts w:hint="eastAsia" w:eastAsia="宋体"/>
          <w:lang w:val="zh-TW" w:eastAsia="zh-CN"/>
        </w:rPr>
        <w:t>注：</w:t>
      </w:r>
      <w:r>
        <w:rPr>
          <w:rFonts w:hint="eastAsia" w:eastAsia="宋体"/>
          <w:lang w:val="en-US" w:eastAsia="zh-CN"/>
        </w:rPr>
        <w:t>1、</w:t>
      </w:r>
      <w:r>
        <w:rPr>
          <w:rFonts w:hint="eastAsia" w:eastAsia="宋体"/>
          <w:lang w:val="zh-TW" w:eastAsia="zh-CN"/>
        </w:rPr>
        <w:t>以上要求为最低要求，投标商不能低于此要求，否则为无效响应文件。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240" w:firstLineChars="100"/>
        <w:jc w:val="left"/>
        <w:textAlignment w:val="auto"/>
        <w:outlineLvl w:val="9"/>
        <w:rPr>
          <w:rFonts w:hint="eastAsia" w:eastAsia="宋体"/>
          <w:lang w:val="zh-TW" w:eastAsia="zh-CN"/>
        </w:rPr>
      </w:pPr>
      <w:r>
        <w:rPr>
          <w:rFonts w:hint="eastAsia" w:ascii="Calibri" w:hAnsi="Calibri" w:eastAsia="宋体" w:cs="Calibri"/>
          <w:color w:val="000000"/>
          <w:kern w:val="2"/>
          <w:sz w:val="24"/>
          <w:szCs w:val="24"/>
          <w:u w:color="000000"/>
          <w:lang w:val="en-US" w:eastAsia="zh-CN" w:bidi="ar-SA"/>
        </w:rPr>
        <w:t>2、供应商须提供现场效果图及详细施工方案，否则为无效响应文件。</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firstLineChars="200"/>
        <w:jc w:val="left"/>
        <w:textAlignment w:val="auto"/>
        <w:outlineLvl w:val="9"/>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需执行的国家相关标准、规范</w:t>
      </w:r>
      <w:r>
        <w:rPr>
          <w:rFonts w:hint="eastAsia" w:ascii="新宋体" w:hAnsi="新宋体" w:eastAsia="新宋体" w:cs="新宋体"/>
          <w:color w:val="000000"/>
          <w:kern w:val="0"/>
          <w:sz w:val="24"/>
          <w:szCs w:val="24"/>
          <w:u w:color="000000"/>
          <w:lang w:val="en-US" w:eastAsia="zh-CN" w:bidi="ar-SA"/>
        </w:rPr>
        <w:t>。</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1、质保期为设备安装调试验收合格后2年，质保期内发生故障或质量问题，卖方在接到通知后1小时进行响应，4小时到达，24小时内处理问题，否则需提供备用机直至原设备修好为止；</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2、投标人保证其提供的产品是全新的、未使用过的，并在各个方面符合招标文件规定的质量、规格和性能。</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zh-TW" w:eastAsia="zh-TW"/>
        </w:rPr>
        <w:t>3、投标商所投产品须符合国家环保要求</w:t>
      </w:r>
      <w:r>
        <w:rPr>
          <w:rFonts w:hint="eastAsia" w:ascii="新宋体" w:hAnsi="新宋体" w:eastAsia="新宋体" w:cs="新宋体"/>
          <w:kern w:val="0"/>
          <w:sz w:val="24"/>
          <w:szCs w:val="24"/>
          <w:lang w:val="en-US" w:eastAsia="zh-CN"/>
        </w:rPr>
        <w:t>.</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（七）付款方式：按照合同约定，经验收合格后申请支付。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 xml:space="preserve">项目名称：禹州市教育体育局校园文化采购项目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246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w:t>
            </w:r>
            <w:r>
              <w:rPr>
                <w:rFonts w:hint="eastAsia" w:cs="仿宋_GB2312" w:asciiTheme="minorEastAsia" w:hAnsiTheme="minorEastAsia"/>
                <w:szCs w:val="21"/>
              </w:rPr>
              <w:t>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2</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1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90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分值构成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（总分100分）</w:t>
            </w:r>
          </w:p>
        </w:tc>
        <w:tc>
          <w:tcPr>
            <w:tcW w:w="7444" w:type="dxa"/>
            <w:gridSpan w:val="2"/>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价格评分：50分     商务部分：2</w:t>
            </w:r>
            <w:r>
              <w:rPr>
                <w:rFonts w:hint="eastAsia" w:ascii="宋体" w:hAnsi="宋体" w:cs="宋体"/>
                <w:color w:val="000000"/>
                <w:kern w:val="0"/>
                <w:sz w:val="22"/>
                <w:lang w:val="en-US" w:eastAsia="zh-CN"/>
              </w:rPr>
              <w:t>0</w:t>
            </w:r>
            <w:r>
              <w:rPr>
                <w:rFonts w:hint="eastAsia" w:ascii="宋体" w:hAnsi="宋体" w:eastAsia="宋体" w:cs="宋体"/>
                <w:color w:val="000000"/>
                <w:kern w:val="0"/>
                <w:sz w:val="22"/>
              </w:rPr>
              <w:t xml:space="preserve"> 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技术部分：26分     售后服务：</w:t>
            </w:r>
            <w:r>
              <w:rPr>
                <w:rFonts w:hint="eastAsia" w:ascii="宋体" w:hAnsi="宋体" w:cs="宋体"/>
                <w:color w:val="000000"/>
                <w:kern w:val="0"/>
                <w:sz w:val="22"/>
                <w:lang w:val="en-US" w:eastAsia="zh-CN"/>
              </w:rPr>
              <w:t>4</w:t>
            </w:r>
            <w:r>
              <w:rPr>
                <w:rFonts w:hint="eastAsia" w:ascii="宋体" w:hAnsi="宋体" w:eastAsia="宋体" w:cs="宋体"/>
                <w:color w:val="000000"/>
                <w:kern w:val="0"/>
                <w:sz w:val="2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评分因素</w:t>
            </w:r>
          </w:p>
        </w:tc>
        <w:tc>
          <w:tcPr>
            <w:tcW w:w="590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评分范围</w:t>
            </w:r>
          </w:p>
        </w:tc>
        <w:tc>
          <w:tcPr>
            <w:tcW w:w="1537"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价格评分</w:t>
            </w:r>
          </w:p>
        </w:tc>
        <w:tc>
          <w:tcPr>
            <w:tcW w:w="590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在价格评分时,满足招标文件要求且有效投标价格最低的投标报价为评标基准价,其价格分为满分。其他投标人的价格分统一按照下列公式计算投标报价得分=(评标基准价</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投标报价)×50</w:t>
            </w:r>
          </w:p>
        </w:tc>
        <w:tc>
          <w:tcPr>
            <w:tcW w:w="1537"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590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1、投标文件制作规范、大方、</w:t>
            </w:r>
            <w:r>
              <w:rPr>
                <w:rFonts w:hint="eastAsia" w:ascii="宋体" w:hAnsi="宋体" w:cs="宋体"/>
                <w:color w:val="000000"/>
                <w:kern w:val="0"/>
                <w:sz w:val="22"/>
                <w:lang w:eastAsia="zh-CN"/>
              </w:rPr>
              <w:t>无错页、错别字，</w:t>
            </w:r>
            <w:r>
              <w:rPr>
                <w:rFonts w:hint="eastAsia" w:ascii="宋体" w:hAnsi="宋体" w:eastAsia="宋体" w:cs="宋体"/>
                <w:color w:val="000000"/>
                <w:kern w:val="0"/>
                <w:sz w:val="22"/>
              </w:rPr>
              <w:t>附件齐全</w:t>
            </w:r>
            <w:r>
              <w:rPr>
                <w:rFonts w:hint="eastAsia" w:ascii="宋体" w:hAnsi="宋体" w:cs="宋体"/>
                <w:color w:val="000000"/>
                <w:kern w:val="0"/>
                <w:sz w:val="22"/>
                <w:lang w:eastAsia="zh-CN"/>
              </w:rPr>
              <w:t>得</w:t>
            </w:r>
            <w:r>
              <w:rPr>
                <w:rFonts w:hint="eastAsia" w:ascii="宋体" w:hAnsi="宋体" w:cs="宋体"/>
                <w:color w:val="000000"/>
                <w:kern w:val="0"/>
                <w:sz w:val="22"/>
                <w:lang w:val="en-US" w:eastAsia="zh-CN"/>
              </w:rPr>
              <w:t>0-5</w:t>
            </w:r>
            <w:r>
              <w:rPr>
                <w:rFonts w:hint="eastAsia" w:ascii="宋体" w:hAnsi="宋体" w:eastAsia="宋体" w:cs="宋体"/>
                <w:color w:val="000000"/>
                <w:kern w:val="0"/>
                <w:sz w:val="22"/>
              </w:rPr>
              <w:t>分；</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2、提供2016年1月1日以来20万以上类似项目业绩(提供中标通知书及合同等证明材料，否则不得分)，提供1份得</w:t>
            </w: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分,最多得</w:t>
            </w:r>
            <w:r>
              <w:rPr>
                <w:rFonts w:hint="eastAsia" w:ascii="宋体" w:hAnsi="宋体" w:cs="宋体"/>
                <w:color w:val="000000"/>
                <w:kern w:val="0"/>
                <w:sz w:val="22"/>
                <w:lang w:val="en-US" w:eastAsia="zh-CN"/>
              </w:rPr>
              <w:t>15</w:t>
            </w:r>
            <w:r>
              <w:rPr>
                <w:rFonts w:hint="eastAsia" w:ascii="宋体" w:hAnsi="宋体" w:eastAsia="宋体" w:cs="宋体"/>
                <w:color w:val="000000"/>
                <w:kern w:val="0"/>
                <w:sz w:val="22"/>
              </w:rPr>
              <w:t>分</w:t>
            </w:r>
            <w:r>
              <w:rPr>
                <w:rFonts w:hint="eastAsia" w:ascii="宋体" w:hAnsi="宋体" w:cs="宋体"/>
                <w:color w:val="000000"/>
                <w:kern w:val="0"/>
                <w:sz w:val="22"/>
                <w:lang w:eastAsia="zh-CN"/>
              </w:rPr>
              <w:t>。</w:t>
            </w:r>
          </w:p>
        </w:tc>
        <w:tc>
          <w:tcPr>
            <w:tcW w:w="1537"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hint="eastAsia" w:ascii="宋体" w:hAnsi="宋体" w:cs="宋体"/>
                <w:color w:val="000000"/>
                <w:kern w:val="0"/>
                <w:sz w:val="22"/>
                <w:lang w:val="en-US" w:eastAsia="zh-CN"/>
              </w:rPr>
              <w:t>0</w:t>
            </w:r>
            <w:r>
              <w:rPr>
                <w:rFonts w:hint="eastAsia" w:ascii="宋体" w:hAnsi="宋体" w:eastAsia="宋体" w:cs="宋体"/>
                <w:color w:val="000000"/>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9"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590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  提供CMA、 ilac- MRA、CNAS、CAL标识省级或省级以上专业检测机构出具的钢化玻璃国家强制性产品认证试验报告得3分，共3分；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2、提供HAP省级或省级以上专业检测机构出具的黑板检测报告（符合WS99-1998黑板安全卫生要求）得2分，共2分；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3、提供钢板产品质量证明书得1分，共1分；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4、根据供应商提供现场设计效果图的全面性、实用性、艺术性、布局合理性等情况进行评分，每项2分，由评委对供应商的提供现场设计效果图以上4项内容逐项进行横向对比，未提供的不得分，效果图为非现场效果图的，不得分；共8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5、根据供应商提供的项目实施方案的科学性、合理性、安全性、项目针对性等进行评分，其中设备供货、装卸、运输、安装方案各1.5分，共6分；由评委对供应商提供的项目实施方案以上各项进行逐项横向对比评分</w:t>
            </w:r>
            <w:r>
              <w:rPr>
                <w:rFonts w:hint="eastAsia" w:ascii="宋体" w:hAnsi="宋体" w:eastAsia="宋体" w:cs="宋体"/>
                <w:color w:val="000000"/>
                <w:kern w:val="0"/>
                <w:sz w:val="22"/>
                <w:lang w:val="en-US" w:eastAsia="zh-CN"/>
              </w:rPr>
              <w:t>0-6分，</w:t>
            </w:r>
            <w:r>
              <w:rPr>
                <w:rFonts w:hint="eastAsia" w:ascii="宋体" w:hAnsi="宋体" w:eastAsia="宋体" w:cs="宋体"/>
                <w:color w:val="000000"/>
                <w:kern w:val="0"/>
                <w:sz w:val="22"/>
              </w:rPr>
              <w:t>共6分；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6、根据供应商提供的伴随服务方案的科学性、合理性、本项目针对性进行评分，未提供本项的不得分。共3分；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7、根据供应商提供的项目保护措施的科学性、合理性、安全性进行评分，未提供本项的不得分。共3分；</w:t>
            </w:r>
          </w:p>
        </w:tc>
        <w:tc>
          <w:tcPr>
            <w:tcW w:w="1537"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736"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售后服务</w:t>
            </w:r>
          </w:p>
        </w:tc>
        <w:tc>
          <w:tcPr>
            <w:tcW w:w="5907" w:type="dxa"/>
            <w:noWrap w:val="0"/>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根据供应商提供售后承诺的科学性、合理性、本项目针对性、完善程度</w:t>
            </w:r>
            <w:r>
              <w:rPr>
                <w:rFonts w:hint="eastAsia" w:ascii="宋体" w:hAnsi="宋体" w:eastAsia="宋体" w:cs="宋体"/>
                <w:color w:val="000000"/>
                <w:kern w:val="0"/>
                <w:sz w:val="22"/>
                <w:lang w:val="en-US" w:eastAsia="zh-CN"/>
              </w:rPr>
              <w:t>评分，</w:t>
            </w:r>
            <w:r>
              <w:rPr>
                <w:rFonts w:hint="eastAsia" w:ascii="宋体" w:hAnsi="宋体" w:eastAsia="宋体" w:cs="宋体"/>
                <w:color w:val="000000"/>
                <w:kern w:val="0"/>
                <w:sz w:val="22"/>
              </w:rPr>
              <w:t>未提供本项承诺的不得分。</w:t>
            </w:r>
            <w:r>
              <w:rPr>
                <w:rFonts w:hint="eastAsia" w:ascii="宋体" w:hAnsi="宋体" w:cs="宋体"/>
                <w:color w:val="000000"/>
                <w:kern w:val="0"/>
                <w:sz w:val="22"/>
                <w:lang w:val="en-US" w:eastAsia="zh-CN"/>
              </w:rPr>
              <w:t>0-4</w:t>
            </w:r>
            <w:r>
              <w:rPr>
                <w:rFonts w:hint="eastAsia" w:ascii="宋体" w:hAnsi="宋体" w:eastAsia="宋体" w:cs="宋体"/>
                <w:color w:val="000000"/>
                <w:kern w:val="0"/>
                <w:sz w:val="22"/>
                <w:lang w:val="en-US" w:eastAsia="zh-CN"/>
              </w:rPr>
              <w:t>分</w:t>
            </w:r>
          </w:p>
        </w:tc>
        <w:tc>
          <w:tcPr>
            <w:tcW w:w="1537" w:type="dxa"/>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4</w:t>
            </w:r>
          </w:p>
        </w:tc>
      </w:tr>
    </w:tbl>
    <w:p>
      <w:pPr>
        <w:pStyle w:val="63"/>
        <w:shd w:val="clear" w:color="auto" w:fill="FFFFFF"/>
        <w:jc w:val="left"/>
        <w:rPr>
          <w:rFonts w:ascii="新宋体" w:hAnsi="新宋体" w:eastAsia="新宋体" w:cs="新宋体"/>
          <w:kern w:val="0"/>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9" w:name="_GoBack"/>
      <w:bookmarkEnd w:id="9"/>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2"/>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621D69"/>
    <w:rsid w:val="36B46A4A"/>
    <w:rsid w:val="36E65B38"/>
    <w:rsid w:val="374008ED"/>
    <w:rsid w:val="37561C08"/>
    <w:rsid w:val="375656B9"/>
    <w:rsid w:val="375B6549"/>
    <w:rsid w:val="37627558"/>
    <w:rsid w:val="37B9108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9E532A"/>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18</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2019-09-25T01:49:12Z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