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ascii="微软雅黑" w:hAnsi="微软雅黑" w:eastAsia="微软雅黑" w:cs="微软雅黑"/>
          <w:b/>
          <w:spacing w:val="8"/>
          <w:sz w:val="28"/>
        </w:rPr>
      </w:pPr>
      <w:r>
        <w:rPr>
          <w:rFonts w:hint="eastAsia" w:ascii="微软雅黑" w:hAnsi="微软雅黑" w:eastAsia="微软雅黑" w:cs="微软雅黑"/>
          <w:b/>
          <w:snapToGrid w:val="0"/>
          <w:spacing w:val="8"/>
          <w:kern w:val="0"/>
          <w:sz w:val="28"/>
          <w:lang w:val="en-US" w:eastAsia="zh-CN"/>
        </w:rPr>
        <w:t>项目</w:t>
      </w:r>
      <w:bookmarkStart w:id="28" w:name="_GoBack"/>
      <w:bookmarkEnd w:id="28"/>
      <w:r>
        <w:rPr>
          <w:rFonts w:hint="eastAsia" w:ascii="微软雅黑" w:hAnsi="微软雅黑" w:eastAsia="微软雅黑" w:cs="微软雅黑"/>
          <w:b/>
          <w:snapToGrid w:val="0"/>
          <w:spacing w:val="8"/>
          <w:kern w:val="0"/>
          <w:sz w:val="28"/>
        </w:rPr>
        <w:t>需求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</w:pPr>
      <w:bookmarkStart w:id="0" w:name="_Toc9624"/>
      <w:bookmarkStart w:id="1" w:name="_Toc423617249"/>
      <w:r>
        <w:rPr>
          <w:rFonts w:hint="eastAsia"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  <w:t>1、项目概述</w:t>
      </w:r>
      <w:bookmarkEnd w:id="0"/>
      <w:bookmarkEnd w:id="1"/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（1）本项目为：长葛市人民医院</w:t>
      </w:r>
      <w:r>
        <w:rPr>
          <w:rFonts w:hint="eastAsia" w:ascii="微软雅黑" w:hAnsi="微软雅黑" w:eastAsia="微软雅黑" w:cs="微软雅黑"/>
          <w:lang w:val="en-US" w:eastAsia="zh-CN"/>
        </w:rPr>
        <w:t>新区分院箱式中型物流传输系统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（2）交货地点：长葛市人民医院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（3）中标人按要求所提供的设备、材料、备品备件及专用工具、维修工具等必须是近一年内出厂的、全新的、未使用过的、合格的产品（须附合格证、出厂证、检验报告等），并要得到招标人的认可。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（4）施工周期要求：本项目施工期与土建工程同步。本项目施工现场已具备交付施工条件，要求180日历天内完成所有安装调试并具备交付使用条件。 施工过程中不能改变项目目前主体施工结构，必须按照现场情况设计产品并施工安装。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（5）本项目包括设备材料购置、安装调试、培训、保修及与设备安装相关的一切土建和改造加固项目等。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（6）本项目设计及科室需求、站点分布情况见图纸。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(7) 质保期及驻地现场服务期：交付使用后二年。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(8) 总包配合费：因此项目是设备标，故总包配合费的收取标准：</w:t>
      </w:r>
      <w:r>
        <w:rPr>
          <w:rFonts w:hint="eastAsia" w:ascii="微软雅黑" w:hAnsi="微软雅黑" w:eastAsia="微软雅黑" w:cs="微软雅黑"/>
          <w:lang w:val="en-US" w:eastAsia="zh-CN"/>
        </w:rPr>
        <w:t>不高于</w:t>
      </w:r>
      <w:r>
        <w:rPr>
          <w:rFonts w:hint="eastAsia" w:ascii="微软雅黑" w:hAnsi="微软雅黑" w:eastAsia="微软雅黑" w:cs="微软雅黑"/>
        </w:rPr>
        <w:t>中标价*10%*1.5%计算（本费用包含：配合费、文明施工费、垃圾清理费、水电费等与总包相关的所有费用）</w:t>
      </w:r>
    </w:p>
    <w:p>
      <w:pPr>
        <w:rPr>
          <w:rFonts w:hint="eastAsia" w:ascii="微软雅黑" w:hAnsi="微软雅黑" w:eastAsia="微软雅黑" w:cs="微软雅黑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94" w:footer="794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中型物流系统工作站布局说明</w:t>
      </w:r>
    </w:p>
    <w:p>
      <w:pPr>
        <w:pStyle w:val="7"/>
        <w:spacing w:line="360" w:lineRule="auto"/>
        <w:ind w:firstLine="420"/>
        <w:rPr>
          <w:rFonts w:ascii="微软雅黑" w:hAnsi="微软雅黑" w:eastAsia="微软雅黑" w:cs="微软雅黑"/>
        </w:rPr>
      </w:pPr>
    </w:p>
    <w:tbl>
      <w:tblPr>
        <w:tblStyle w:val="4"/>
        <w:tblW w:w="13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300"/>
        <w:gridCol w:w="1080"/>
        <w:gridCol w:w="1380"/>
        <w:gridCol w:w="1056"/>
        <w:gridCol w:w="1056"/>
        <w:gridCol w:w="924"/>
        <w:gridCol w:w="972"/>
        <w:gridCol w:w="1080"/>
        <w:gridCol w:w="984"/>
        <w:gridCol w:w="124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2" w:name="_Toc373940169"/>
            <w:bookmarkStart w:id="3" w:name="_Toc31601"/>
            <w:bookmarkStart w:id="4" w:name="_Toc161858993"/>
          </w:p>
        </w:tc>
        <w:tc>
          <w:tcPr>
            <w:tcW w:w="2380" w:type="dxa"/>
            <w:gridSpan w:val="2"/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病房楼</w:t>
            </w:r>
          </w:p>
        </w:tc>
        <w:tc>
          <w:tcPr>
            <w:tcW w:w="10128" w:type="dxa"/>
            <w:gridSpan w:val="9"/>
            <w:shd w:val="clear" w:color="auto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门诊医技楼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井道LT1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井道LT2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井道LT3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井道LT4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井道LT5</w:t>
            </w:r>
          </w:p>
        </w:tc>
        <w:tc>
          <w:tcPr>
            <w:tcW w:w="92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井道LT6</w:t>
            </w:r>
          </w:p>
        </w:tc>
        <w:tc>
          <w:tcPr>
            <w:tcW w:w="97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井道LT7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井道LT8</w:t>
            </w:r>
          </w:p>
        </w:tc>
        <w:tc>
          <w:tcPr>
            <w:tcW w:w="98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井道LT9</w:t>
            </w:r>
          </w:p>
        </w:tc>
        <w:tc>
          <w:tcPr>
            <w:tcW w:w="124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井道LT10</w:t>
            </w:r>
          </w:p>
        </w:tc>
        <w:tc>
          <w:tcPr>
            <w:tcW w:w="14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井道LT11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4~15F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护士站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护士站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92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97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98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124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14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3F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护士站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产房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ICU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手术室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介入中心</w:t>
            </w:r>
          </w:p>
        </w:tc>
        <w:tc>
          <w:tcPr>
            <w:tcW w:w="9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8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2F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护士站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NICU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5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中心供应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9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EICU</w:t>
            </w:r>
          </w:p>
        </w:tc>
        <w:tc>
          <w:tcPr>
            <w:tcW w:w="9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急诊留观</w:t>
            </w:r>
          </w:p>
        </w:tc>
        <w:tc>
          <w:tcPr>
            <w:tcW w:w="108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病理科</w:t>
            </w:r>
          </w:p>
        </w:tc>
        <w:tc>
          <w:tcPr>
            <w:tcW w:w="98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输血科</w:t>
            </w:r>
          </w:p>
        </w:tc>
        <w:tc>
          <w:tcPr>
            <w:tcW w:w="12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1F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配液中心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5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检验科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8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急诊药房</w:t>
            </w:r>
          </w:p>
        </w:tc>
        <w:tc>
          <w:tcPr>
            <w:tcW w:w="14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门诊药房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站点数量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2508" w:type="dxa"/>
            <w:gridSpan w:val="1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41</w:t>
            </w:r>
          </w:p>
        </w:tc>
      </w:tr>
    </w:tbl>
    <w:p>
      <w:pPr>
        <w:adjustRightInd w:val="0"/>
        <w:snapToGrid w:val="0"/>
        <w:spacing w:line="360" w:lineRule="auto"/>
        <w:jc w:val="left"/>
        <w:outlineLvl w:val="0"/>
        <w:rPr>
          <w:rFonts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  <w:sectPr>
          <w:headerReference r:id="rId5" w:type="default"/>
          <w:pgSz w:w="16838" w:h="11906" w:orient="landscape"/>
          <w:pgMar w:top="1800" w:right="1440" w:bottom="1800" w:left="1440" w:header="794" w:footer="794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outlineLvl w:val="0"/>
        <w:rPr>
          <w:rFonts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  <w:t>2、</w:t>
      </w:r>
      <w:bookmarkEnd w:id="2"/>
      <w:r>
        <w:rPr>
          <w:rFonts w:hint="eastAsia"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  <w:t>技术要求</w:t>
      </w:r>
      <w:bookmarkEnd w:id="3"/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 基本要求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（1）医用物流传输设备是以有效运载单元为载体，通过水平传输和垂直传输相互协调配合，实现物品平稳传输的设备。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（2）传输货品种类：大输液、药品、标本、手术器械包、医疗器械等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（3）主要科室传输量: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静脉配液：以250ML输液袋为标准，单次传输不少于100袋传输量。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药房：单次传输重量不低于30kg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检验科、病理科：单次传输标本不低于一个病区传输量，且传输过程平稳，能够满足病区大小便标本传输。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中心供应室：满足《WS310.2-2009（中华人民共和国卫生行业标准）》中有关手术包和器械包的体积的传输，并能够满足85%骨科和泌尿科等超国标器械包（L≥50cm)传输。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（4）物流货品传输方式：医用物品装入专用有效运载单元传输。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2.2 系统总体技术要求</w:t>
      </w:r>
      <w:bookmarkEnd w:id="4"/>
    </w:p>
    <w:p>
      <w:pPr>
        <w:adjustRightInd w:val="0"/>
        <w:snapToGrid w:val="0"/>
        <w:spacing w:line="360" w:lineRule="auto"/>
        <w:jc w:val="left"/>
        <w:outlineLvl w:val="0"/>
        <w:rPr>
          <w:rFonts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spacing w:val="8"/>
          <w:kern w:val="0"/>
          <w:szCs w:val="21"/>
        </w:rPr>
        <w:t>2.1 基本要求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（1）医用物流传输设备是以有效运载单元为载体，通过水平传输和垂直传输相互协调配合，实现物品平稳传输的设备。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（2）传输货品种类：大输液、药品、标本、手术器械包、医疗器械等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（3）主要科室传输量: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静脉配液：以250ML输液袋为标准，单次传输不少于100袋传输量。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药房：单次传输重量不低于30kg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检验科、病理科：单次传输标本不低于一个病区传输量，且传输过程平稳，能够满足病区大小便标本传输。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中心供应室：满足《WS310.2-2009（中华人民共和国卫生行业标准）》中有关手术包和器械包的体积的传输，并能够满足85%骨科和泌尿科等超国标器械包（L≥50cm)传输。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（4）物流货品传输方式：医用物品装入专用有效运载单元传输。</w:t>
      </w:r>
    </w:p>
    <w:p>
      <w:pPr>
        <w:spacing w:line="360" w:lineRule="auto"/>
        <w:ind w:firstLine="420" w:firstLineChars="2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2.2 系统总体技术要求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bookmarkStart w:id="5" w:name="RANGE!A1"/>
            <w:bookmarkStart w:id="6" w:name="_Toc416146709"/>
            <w:bookmarkStart w:id="7" w:name="_Toc35228986"/>
            <w:bookmarkStart w:id="8" w:name="_Toc416856526"/>
            <w:bookmarkStart w:id="9" w:name="_Toc64247755"/>
            <w:bookmarkStart w:id="10" w:name="_Toc417719984"/>
            <w:bookmarkStart w:id="11" w:name="_Toc417551711"/>
            <w:bookmarkStart w:id="12" w:name="_Toc417719949"/>
            <w:bookmarkStart w:id="13" w:name="_Toc417720401"/>
            <w:bookmarkStart w:id="14" w:name="_Toc269223100"/>
            <w:bookmarkStart w:id="15" w:name="_Toc97699296"/>
            <w:bookmarkStart w:id="16" w:name="_Toc417730971"/>
            <w:bookmarkStart w:id="17" w:name="_Toc417720350"/>
            <w:bookmarkStart w:id="18" w:name="_Toc415657533"/>
            <w:bookmarkStart w:id="19" w:name="_Toc417723953"/>
            <w:bookmarkStart w:id="20" w:name="_Toc416793320"/>
            <w:bookmarkStart w:id="21" w:name="_Toc416789610"/>
            <w:bookmarkStart w:id="22" w:name="_Toc417720370"/>
            <w:bookmarkStart w:id="23" w:name="_Toc416855142"/>
            <w:bookmarkStart w:id="24" w:name="_Toc42338587"/>
            <w:bookmarkStart w:id="25" w:name="_Toc416856614"/>
            <w:bookmarkStart w:id="26" w:name="_Toc415657404"/>
            <w:bookmarkStart w:id="27" w:name="_Toc417720330"/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1.</w:t>
            </w:r>
            <w:bookmarkEnd w:id="5"/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系统参数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设备应适应的工作环境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1.1.1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温度：</w:t>
            </w:r>
            <w:r>
              <w:rPr>
                <w:rFonts w:hint="eastAsia" w:ascii="微软雅黑" w:hAnsi="微软雅黑" w:eastAsia="微软雅黑" w:cs="微软雅黑"/>
              </w:rPr>
              <w:t>-15℃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～45℃；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1.1.2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相对湿度：40%～98%（无凝露）；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设备应适应的供电状况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1.2.1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三相 AC 380（1±10%）V；单相 AC 220（1±10%）V；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传送方式：双侧皮带驱动技术</w:t>
            </w:r>
            <w:r>
              <w:rPr>
                <w:rFonts w:hint="eastAsia" w:ascii="微软雅黑" w:hAnsi="微软雅黑" w:eastAsia="微软雅黑" w:cs="微软雅黑"/>
              </w:rPr>
              <w:t>或全程包胶电辊筒技术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（请提供图片说明）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控制方式：采用进口PLC 控制（提供品牌）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系统噪音：小于45分贝（提供国家权威机构出具的第三方检测报告）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监控设备：≥65寸液晶显示屏，可实时监控传输箱在水平传输过程中的动态位置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1.7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系统节能性：水平传输模块化设计，当传输箱通过任意水平模块后，该水平模块立即停止。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主要设备技术指标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工作站具备接收和发送功能，任意两个工作站都具备相互对发功能。（请提供图片说明）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工作站采用皮带传输方</w:t>
            </w:r>
            <w:r>
              <w:rPr>
                <w:rFonts w:hint="eastAsia" w:ascii="微软雅黑" w:hAnsi="微软雅黑" w:eastAsia="微软雅黑" w:cs="微软雅黑"/>
              </w:rPr>
              <w:t>式或包胶电辊筒方式，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噪音要求低于45分贝以下。（提供国家权威机构出具的第三方检测报告）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工作站配置≥7英寸的彩色液晶触摸屏（非显示屏），触摸屏采用菜单选择目的站。（请提供图片说明）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RFID：系统需使用RFID技术，处理传输箱内智能芯片的相关信息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工作站的控制采用进口PLC （标明品牌）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2.1.6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工作站外观需符合医院装修风格，采用特殊材质进行整体包装（提供实物图片）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传输箱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2.2.1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传输箱箱体材质及数量：每个工作站标配≥</w:t>
            </w:r>
            <w:r>
              <w:rPr>
                <w:rFonts w:hint="eastAsia" w:ascii="微软雅黑" w:hAnsi="微软雅黑" w:eastAsia="微软雅黑" w:cs="微软雅黑"/>
              </w:rPr>
              <w:t>10个传输箱。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传输箱体为ABS工程塑料材质。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2.2.2</w:t>
            </w:r>
          </w:p>
        </w:tc>
        <w:tc>
          <w:tcPr>
            <w:tcW w:w="81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标准传输箱最大载重≥50kg。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2.2.3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</w:rPr>
              <w:t>标准传输箱尺寸≥600mm*400mm*300mm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2.2.4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传输箱配有智能芯片，该智能芯片存储传输箱的多种信息，如：发送站、目的站、发送时间、到达时间等可追溯信息，并具有自动返回功能。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往复式垂直提升设备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提升机必须设置有制动系统 , 保证设备在发生故障时,能够进行紧急制动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电气系统应进行短路、缺相及错相保护。电气系统应具备过载保护,发生过载保护时应能切断供电电源。提升机应设置故障信号报警信号。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安全防护装置：在便于操作的位置应设置紧急停止开关,以便在发生异常情况时能使设备立即停止运转。在紧急情况能迅速切断动力回路总电源,但不应切断电源插座、照明、通风、消防和警报电路的电源。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紧急停止开关的复位应是非自动复位, 复位不得引发或重新启动任何危险情况。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当升降限位开关出现故障时,防止超限运 行装置应使设备停止工作。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防坠落装置：当轿厢运行到位后,若出现意外,有可能使轿厢从高处坠落时,应设置防坠落装置,即使发生钢丝绳、链条等关键部件断裂的严重情况,防坠落装置必须保证轿厢不坠落。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2.3.7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提升机应具备限速功能。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2.3.8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提升机应设置安全钳,以保轿厢在运行过程中悬挂装置断裂的情况下,安全钳应能夹紧导轨,使轿厢制动停止并保持静止状态。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2.3.9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提升机应设置撞地和冲顶缓冲器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2.3.10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垂直传输速度：≥2.7m /s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，提供国家权威机构出具的第三方检测报告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2.3.11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提升机配置可旋转式轿厢，可以按照客户需求，三面进出，同时和工作站或水平传输机对接，减低占用吊顶的空间，满足各楼层科室布局不同的需求。（提供国家权威机构出具的第三方检测报告，已使用医院现场照片、医院名称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2.3.12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井道参数：开洞尺寸≤1300mm×1300mm。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2.3.13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运载能力：往复式提升机运载能力：≥220箱/h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水平传输设备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传输速度：水平传输速度：≥0.8m/s，提供国家权威机构出具的第三方检测报告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水平运载能力≥1300箱/小时。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单件</w:t>
            </w:r>
            <w:r>
              <w:rPr>
                <w:rFonts w:hint="eastAsia" w:ascii="微软雅黑" w:hAnsi="微软雅黑" w:eastAsia="微软雅黑" w:cs="微软雅黑"/>
              </w:rPr>
              <w:t>承载重量≥50kg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水平传输控制采用进口PLC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监测装置：每个独立的传输单元具备光电监测功能，可实时上传至中心控制器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平稳性：全程采用双侧皮带驱动技术</w:t>
            </w:r>
            <w:r>
              <w:rPr>
                <w:rFonts w:hint="eastAsia" w:ascii="微软雅黑" w:hAnsi="微软雅黑" w:eastAsia="微软雅黑" w:cs="微软雅黑"/>
              </w:rPr>
              <w:t>或包胶电辊筒技术，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全程无颠簸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2.4.6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主水平传输线采用往返双通道配置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转向器设备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2.5.1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旋转方式：可0-90度自旋转（提供国家权威机构出具的第三方检测报告）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2.5.2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占地空间（面积）</w:t>
            </w:r>
            <w:r>
              <w:rPr>
                <w:rFonts w:hint="eastAsia" w:ascii="微软雅黑" w:hAnsi="微软雅黑" w:eastAsia="微软雅黑" w:cs="微软雅黑"/>
              </w:rPr>
              <w:t>：占用吊顶空间小于等于0.7平方米。（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提供国家权威机构出具的第三方检测报告）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隔离门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2.6.1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每个工作站出入口处，均安装自动隔离门，保证传输箱出入能自动开启或关闭。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2.7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控制柜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2.7.1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变频器：提升控制部分采用进口变频器控制（提供品牌及实物照片）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2.7.2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控制器：采用进口PLC部件（提供品牌及实物照片）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2.7.3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低压电器：采用进口部件（提供品牌及实物照片）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2.9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中心监控系统（CMS）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实时监测功能：实时监控传输箱在水平传输设备、垂直提升设备上的全程动态位置。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2.8.2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运行状态监测功能：显示全部设备的运行、停止、报警等信息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设备异常诊断功能：显示设备异常的位置、设备编号及异常原因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2.8.4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存储及查询功能：具备运行记录存储及查询功能，数据可保留10年以上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2.8.5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远程监控：通过PLC和远程网络相结合，实现远程控制系统运行功能，监控屏幕采用65寸以上显示屏，可三维立体画面监控传输箱在水平及垂直提升的实时动态位置，提供监控画面和手机监控图片。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2.8.6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系统断电恢复功能：传输过程中如发生断电，数据不丢失，通电后数据自动恢复，继续完成原定输送指令。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防火分区控制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3.1</w:t>
            </w:r>
          </w:p>
        </w:tc>
        <w:tc>
          <w:tcPr>
            <w:tcW w:w="8143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系统配备甲级防火门/窗，安装在防火分区位置和井道进出口，传输系统与消防具有联动功能，一旦出现火警，传输系统确保防火窗下方没有传输箱，确保防火门/窗下落。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885" w:firstLineChars="18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4"/>
      </w:pBdr>
      <w:jc w:val="left"/>
      <w:rPr>
        <w:rFonts w:ascii="宋体" w:hAnsi="宋体"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4"/>
      </w:pBdr>
      <w:jc w:val="left"/>
      <w:rPr>
        <w:rFonts w:ascii="宋体" w:hAnsi="宋体"/>
        <w:i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353F"/>
    <w:rsid w:val="1D070E8C"/>
    <w:rsid w:val="5D1147C4"/>
    <w:rsid w:val="5FC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2019-09-20T07:26:00Z</dcterms:created>
  <dc:creator>汇今工程咨询有限公司:张恒业</dc:creator>
  <cp:lastModifiedBy>汇今工程咨询有限公司:张恒业</cp:lastModifiedBy>
  <dcterms:modified xsi:type="dcterms:W3CDTF">2019-09-20T07:30:06Z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