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44"/>
          <w:szCs w:val="44"/>
        </w:rPr>
      </w:pPr>
    </w:p>
    <w:p>
      <w:pPr>
        <w:pStyle w:val="28"/>
        <w:keepNext w:val="0"/>
        <w:keepLines w:val="0"/>
        <w:pageBreakBefore w:val="0"/>
        <w:widowControl w:val="0"/>
        <w:kinsoku/>
        <w:wordWrap/>
        <w:overflowPunct/>
        <w:topLinePunct w:val="0"/>
        <w:autoSpaceDE/>
        <w:autoSpaceDN/>
        <w:bidi w:val="0"/>
        <w:adjustRightInd/>
        <w:snapToGrid/>
        <w:spacing w:line="600" w:lineRule="exact"/>
        <w:ind w:firstLine="442" w:firstLineChars="100"/>
        <w:textAlignment w:val="auto"/>
        <w:rPr>
          <w:rFonts w:ascii="微软简隶书" w:eastAsia="微软简隶书"/>
          <w:color w:val="000000"/>
        </w:rPr>
      </w:pPr>
      <w:r>
        <w:rPr>
          <w:rFonts w:hint="eastAsia" w:ascii="黑体" w:hAnsi="黑体" w:eastAsia="黑体" w:cs="黑体"/>
          <w:b/>
          <w:bCs/>
          <w:sz w:val="44"/>
          <w:szCs w:val="44"/>
        </w:rPr>
        <w:t>禹州市人民法院办公楼采购安装电梯项目</w:t>
      </w:r>
    </w:p>
    <w:p>
      <w:pPr>
        <w:pStyle w:val="28"/>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pStyle w:val="2"/>
        <w:numPr>
          <w:ilvl w:val="0"/>
          <w:numId w:val="0"/>
        </w:numPr>
        <w:ind w:left="288" w:leftChars="0"/>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采购单位：禹州市人民法院</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235</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3253" w:firstLineChars="900"/>
        <w:rPr>
          <w:rFonts w:hint="eastAsia" w:ascii="仿宋" w:hAnsi="仿宋" w:eastAsia="仿宋" w:cs="仿宋"/>
          <w:b/>
          <w:bCs/>
          <w:color w:val="000000"/>
          <w:sz w:val="36"/>
          <w:szCs w:val="36"/>
        </w:rPr>
      </w:pPr>
    </w:p>
    <w:p>
      <w:pPr>
        <w:rPr>
          <w:rFonts w:hint="eastAsia" w:ascii="仿宋" w:hAnsi="仿宋" w:eastAsia="仿宋" w:cs="仿宋"/>
          <w:b/>
          <w:bCs/>
          <w:color w:val="000000"/>
          <w:sz w:val="36"/>
          <w:szCs w:val="36"/>
        </w:rPr>
      </w:pPr>
    </w:p>
    <w:p>
      <w:pPr>
        <w:ind w:firstLine="3253" w:firstLineChars="900"/>
        <w:rPr>
          <w:rFonts w:hint="eastAsia" w:ascii="仿宋" w:hAnsi="仿宋" w:eastAsia="仿宋" w:cs="仿宋"/>
          <w:b/>
          <w:bCs/>
          <w:color w:val="000000"/>
          <w:sz w:val="36"/>
          <w:szCs w:val="36"/>
        </w:rPr>
      </w:pPr>
    </w:p>
    <w:p>
      <w:pPr>
        <w:ind w:firstLine="3253" w:firstLineChars="900"/>
        <w:rPr>
          <w:rFonts w:hint="eastAsia" w:cs="黑体" w:asciiTheme="minorEastAsia" w:hAnsiTheme="minorEastAsia"/>
          <w:b/>
          <w:bCs/>
          <w:sz w:val="44"/>
          <w:szCs w:val="44"/>
          <w:lang w:val="zh-CN"/>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九</w:t>
      </w:r>
      <w:r>
        <w:rPr>
          <w:rFonts w:hint="eastAsia" w:ascii="仿宋" w:hAnsi="仿宋" w:eastAsia="仿宋" w:cs="仿宋"/>
          <w:b/>
          <w:bCs/>
          <w:color w:val="000000"/>
          <w:sz w:val="36"/>
          <w:szCs w:val="36"/>
        </w:rPr>
        <w:t xml:space="preserve">月 </w:t>
      </w: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8"/>
      </w:pPr>
    </w:p>
    <w:p>
      <w:pPr>
        <w:pStyle w:val="28"/>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rPr>
          <w:rFonts w:hint="eastAsia" w:ascii="新宋体" w:hAnsi="新宋体" w:eastAsia="新宋体" w:cs="新宋体"/>
          <w:b/>
          <w:sz w:val="24"/>
          <w:szCs w:val="24"/>
        </w:rPr>
      </w:pP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禹州市人民法院办公楼采购安装电梯项目</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招标公告</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p>
    <w:p>
      <w:pPr>
        <w:keepNext w:val="0"/>
        <w:keepLines w:val="0"/>
        <w:pageBreakBefore w:val="0"/>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禹州市政府采购中心受禹州市人民法院的委托，就“禹州市人民法院办公楼采购</w:t>
      </w:r>
      <w:r>
        <w:rPr>
          <w:rFonts w:hint="eastAsia" w:ascii="仿宋" w:hAnsi="仿宋" w:eastAsia="仿宋" w:cs="仿宋"/>
          <w:sz w:val="32"/>
          <w:szCs w:val="32"/>
          <w:lang w:eastAsia="zh-CN"/>
        </w:rPr>
        <w:t>安装</w:t>
      </w:r>
      <w:r>
        <w:rPr>
          <w:rFonts w:hint="eastAsia" w:ascii="仿宋" w:hAnsi="仿宋" w:eastAsia="仿宋" w:cs="仿宋"/>
          <w:sz w:val="32"/>
          <w:szCs w:val="32"/>
        </w:rPr>
        <w:t>电梯项目”进行公开招标，欢迎合格的投标人前来投标。</w:t>
      </w:r>
    </w:p>
    <w:p>
      <w:pPr>
        <w:pStyle w:val="59"/>
        <w:keepNext w:val="0"/>
        <w:keepLines w:val="0"/>
        <w:pageBreakBefore w:val="0"/>
        <w:widowControl/>
        <w:numPr>
          <w:ilvl w:val="0"/>
          <w:numId w:val="0"/>
        </w:numPr>
        <w:shd w:val="clear" w:color="auto" w:fill="FFFFFF"/>
        <w:kinsoku/>
        <w:overflowPunct/>
        <w:bidi w:val="0"/>
        <w:spacing w:line="400" w:lineRule="exact"/>
        <w:ind w:leftChars="0"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采购人：禹州市人民法院</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项目名称：禹州市人民法院办公楼采购</w:t>
      </w:r>
      <w:r>
        <w:rPr>
          <w:rFonts w:hint="eastAsia" w:ascii="仿宋" w:hAnsi="仿宋" w:eastAsia="仿宋" w:cs="仿宋"/>
          <w:color w:val="000000"/>
          <w:kern w:val="0"/>
          <w:sz w:val="32"/>
          <w:szCs w:val="32"/>
          <w:lang w:eastAsia="zh-CN"/>
        </w:rPr>
        <w:t>安装</w:t>
      </w:r>
      <w:r>
        <w:rPr>
          <w:rFonts w:hint="eastAsia" w:ascii="仿宋" w:hAnsi="仿宋" w:eastAsia="仿宋" w:cs="仿宋"/>
          <w:color w:val="000000"/>
          <w:kern w:val="0"/>
          <w:sz w:val="32"/>
          <w:szCs w:val="32"/>
        </w:rPr>
        <w:t>电梯项目</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235</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电梯两部</w:t>
      </w:r>
      <w:r>
        <w:rPr>
          <w:rFonts w:hint="eastAsia" w:ascii="仿宋" w:hAnsi="仿宋" w:eastAsia="仿宋" w:cs="仿宋"/>
          <w:color w:val="000000"/>
          <w:kern w:val="0"/>
          <w:sz w:val="32"/>
          <w:szCs w:val="32"/>
        </w:rPr>
        <w:t>（详见招标文件）</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60</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60</w:t>
      </w:r>
      <w:r>
        <w:rPr>
          <w:rFonts w:hint="eastAsia" w:ascii="仿宋" w:hAnsi="仿宋" w:eastAsia="仿宋" w:cs="仿宋"/>
          <w:sz w:val="32"/>
          <w:szCs w:val="32"/>
        </w:rPr>
        <w:t>万元</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须是中华人民共和国境内注册的电梯设备制造商或代理商；供应商为制造商的，须具有《中华人民共和国特种设备制造许可证》B级及以上资质和《中华人民共和国特种设备安装改造维修许可证》（电梯）B级及以上资质。 供应商为代理商的，须具有《中华人民共和国特种设备安装改造维修许可证》（电梯）C级及以上资质，其代理的电梯设备制造商须具有《中华人民共和国特种设备制造许可证》C级及以上资质。</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、被委托人是须是本单位职工，须提供公司为本人缴纳社会保险证明；</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、本项目不接受联合体投标。</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keepNext w:val="0"/>
        <w:keepLines w:val="0"/>
        <w:pageBreakBefore w:val="0"/>
        <w:kinsoku/>
        <w:wordWrap w:val="0"/>
        <w:overflowPunct/>
        <w:topLinePunct/>
        <w:bidi w:val="0"/>
        <w:snapToGrid w:val="0"/>
        <w:spacing w:line="400" w:lineRule="exact"/>
        <w:ind w:firstLine="64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"http://221.14.6.70:8088/ggzy/eps/public/RegistAllJcxx.html"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http://221.14.6.70:8088/ggzy/eps/public/RegistAllJcxx.html</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2、在投标截止时间前登录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"http://ggzy.xuchang.gov.cn/"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http://ggzy.xuchang.gov.cn</w:t>
      </w:r>
      <w:r>
        <w:rPr>
          <w:rStyle w:val="27"/>
          <w:rFonts w:hint="eastAsia" w:ascii="仿宋" w:hAnsi="仿宋" w:eastAsia="仿宋" w:cs="仿宋"/>
          <w:sz w:val="32"/>
          <w:szCs w:val="32"/>
          <w:lang w:val="en-US" w:eastAsia="zh-CN"/>
        </w:rPr>
        <w:t>/</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4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keepNext w:val="0"/>
        <w:keepLines w:val="0"/>
        <w:pageBreakBefore w:val="0"/>
        <w:widowControl/>
        <w:shd w:val="clear" w:color="auto" w:fill="FFFFFF"/>
        <w:kinsoku/>
        <w:overflowPunct/>
        <w:bidi w:val="0"/>
        <w:spacing w:line="400" w:lineRule="exact"/>
        <w:ind w:left="481"/>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禹州市人民法院</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禹州市禹王大道</w:t>
      </w:r>
    </w:p>
    <w:p>
      <w:pPr>
        <w:keepNext w:val="0"/>
        <w:keepLines w:val="0"/>
        <w:pageBreakBefore w:val="0"/>
        <w:widowControl/>
        <w:shd w:val="clear" w:color="auto" w:fill="FFFFFF"/>
        <w:kinsoku/>
        <w:overflowPunct/>
        <w:bidi w:val="0"/>
        <w:spacing w:line="400" w:lineRule="exact"/>
        <w:ind w:firstLine="641"/>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耿</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0374-8351555</w:t>
      </w:r>
      <w:r>
        <w:rPr>
          <w:rFonts w:hint="eastAsia" w:ascii="仿宋" w:hAnsi="仿宋" w:eastAsia="仿宋" w:cs="仿宋"/>
          <w:sz w:val="32"/>
          <w:szCs w:val="32"/>
        </w:rPr>
        <w:t xml:space="preserve">  </w:t>
      </w:r>
    </w:p>
    <w:p>
      <w:pPr>
        <w:keepNext w:val="0"/>
        <w:keepLines w:val="0"/>
        <w:pageBreakBefore w:val="0"/>
        <w:kinsoku/>
        <w:overflowPunct/>
        <w:bidi w:val="0"/>
        <w:spacing w:line="400" w:lineRule="exact"/>
        <w:ind w:firstLine="3520" w:firstLineChars="11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keepNext w:val="0"/>
        <w:keepLines w:val="0"/>
        <w:pageBreakBefore w:val="0"/>
        <w:kinsoku/>
        <w:overflowPunct/>
        <w:bidi w:val="0"/>
        <w:spacing w:line="400" w:lineRule="exact"/>
        <w:ind w:firstLine="4800" w:firstLineChars="1500"/>
        <w:textAlignment w:val="auto"/>
        <w:rPr>
          <w:rFonts w:hint="eastAsia" w:hAnsi="宋体"/>
          <w:b/>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numPr>
          <w:ilvl w:val="0"/>
          <w:numId w:val="0"/>
        </w:numPr>
      </w:pPr>
    </w:p>
    <w:p/>
    <w:p>
      <w:pPr>
        <w:pStyle w:val="20"/>
        <w:ind w:left="0" w:leftChars="0" w:firstLine="0" w:firstLineChars="0"/>
        <w:rPr>
          <w:rFonts w:cs="仿宋_GB2312" w:asciiTheme="minorEastAsia" w:hAnsiTheme="minorEastAsia"/>
          <w:color w:val="000000"/>
          <w:sz w:val="24"/>
          <w:szCs w:val="24"/>
        </w:rPr>
      </w:pPr>
    </w:p>
    <w:p>
      <w:pPr>
        <w:pStyle w:val="20"/>
        <w:ind w:left="0" w:leftChars="0" w:firstLine="0" w:firstLineChars="0"/>
        <w:rPr>
          <w:rFonts w:cs="仿宋_GB2312" w:asciiTheme="minorEastAsia" w:hAnsiTheme="minorEastAsia"/>
          <w:color w:val="000000"/>
          <w:sz w:val="24"/>
          <w:szCs w:val="24"/>
        </w:rPr>
      </w:pPr>
    </w:p>
    <w:p>
      <w:pPr>
        <w:pStyle w:val="20"/>
        <w:ind w:left="0" w:leftChars="0" w:firstLine="0" w:firstLineChars="0"/>
        <w:rPr>
          <w:rFonts w:cs="仿宋_GB2312" w:asciiTheme="minorEastAsia" w:hAnsiTheme="minorEastAsia"/>
          <w:color w:val="000000"/>
          <w:sz w:val="24"/>
          <w:szCs w:val="24"/>
        </w:rPr>
      </w:pPr>
    </w:p>
    <w:p>
      <w:pPr>
        <w:pStyle w:val="20"/>
        <w:ind w:left="0" w:leftChars="0" w:firstLine="0" w:firstLineChars="0"/>
        <w:rPr>
          <w:rFonts w:cs="仿宋_GB2312" w:asciiTheme="minorEastAsia" w:hAnsiTheme="minorEastAsia"/>
          <w:color w:val="000000"/>
          <w:sz w:val="24"/>
          <w:szCs w:val="24"/>
        </w:rPr>
      </w:pPr>
    </w:p>
    <w:p>
      <w:pPr>
        <w:pStyle w:val="20"/>
        <w:ind w:left="0" w:leftChars="0" w:firstLine="0" w:firstLineChars="0"/>
        <w:rPr>
          <w:rFonts w:cs="仿宋_GB2312" w:asciiTheme="minorEastAsia" w:hAnsiTheme="minorEastAsia"/>
          <w:color w:val="000000"/>
          <w:sz w:val="24"/>
          <w:szCs w:val="24"/>
        </w:rPr>
      </w:pPr>
    </w:p>
    <w:p>
      <w:pPr>
        <w:pStyle w:val="20"/>
        <w:ind w:left="0" w:leftChars="0" w:firstLine="0" w:firstLineChars="0"/>
        <w:rPr>
          <w:rFonts w:cs="仿宋_GB2312" w:asciiTheme="minorEastAsia" w:hAnsiTheme="minorEastAsia"/>
          <w:color w:val="000000"/>
          <w:sz w:val="24"/>
          <w:szCs w:val="24"/>
        </w:rPr>
      </w:pPr>
    </w:p>
    <w:p>
      <w:pPr>
        <w:pStyle w:val="20"/>
        <w:ind w:left="0" w:leftChars="0" w:firstLine="0" w:firstLineChars="0"/>
        <w:rPr>
          <w:rFonts w:cs="仿宋_GB2312" w:asciiTheme="minorEastAsia" w:hAnsiTheme="minorEastAsia"/>
          <w:color w:val="000000"/>
          <w:sz w:val="24"/>
          <w:szCs w:val="24"/>
        </w:rPr>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widowControl/>
        <w:shd w:val="clear" w:color="auto" w:fill="FFFFFF"/>
        <w:spacing w:line="360" w:lineRule="auto"/>
        <w:ind w:firstLine="600"/>
        <w:jc w:val="lef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（一）本项目需实现的功能</w:t>
      </w:r>
    </w:p>
    <w:p>
      <w:pPr>
        <w:widowControl/>
        <w:shd w:val="clear" w:color="auto" w:fill="FFFFFF"/>
        <w:spacing w:line="360" w:lineRule="auto"/>
        <w:ind w:firstLine="600"/>
        <w:jc w:val="lef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禹州法院办公楼原电梯已使用</w:t>
      </w:r>
      <w:r>
        <w:rPr>
          <w:rFonts w:hint="eastAsia" w:ascii="仿宋" w:hAnsi="仿宋" w:eastAsia="仿宋" w:cs="宋体"/>
          <w:color w:val="000000"/>
          <w:kern w:val="0"/>
          <w:sz w:val="28"/>
          <w:szCs w:val="28"/>
          <w:lang w:val="en-US" w:eastAsia="zh-CN"/>
        </w:rPr>
        <w:t>15年之久，门机、编码器、变频器等主要部件故障频发，经常出现不安全事件，故采购两部新电梯，以满足我院及来院人员上下楼需要，提升工作效率并保障乘坐电梯人员的人身安全。</w:t>
      </w:r>
    </w:p>
    <w:p>
      <w:pPr>
        <w:widowControl/>
        <w:shd w:val="clear" w:color="auto" w:fill="FFFFFF"/>
        <w:spacing w:line="360" w:lineRule="auto"/>
        <w:ind w:firstLine="60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（二）采购清单</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4183"/>
        <w:gridCol w:w="840"/>
        <w:gridCol w:w="83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货物名称</w:t>
            </w:r>
          </w:p>
        </w:tc>
        <w:tc>
          <w:tcPr>
            <w:tcW w:w="41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技术规格及主要参数</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单位</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数量</w:t>
            </w:r>
          </w:p>
        </w:tc>
        <w:tc>
          <w:tcPr>
            <w:tcW w:w="111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宋体"/>
                <w:color w:val="000000"/>
                <w:kern w:val="0"/>
                <w:sz w:val="28"/>
                <w:szCs w:val="28"/>
                <w:lang w:val="en-US" w:eastAsia="zh-CN"/>
              </w:rPr>
            </w:pPr>
            <w:r>
              <w:rPr>
                <w:rFonts w:hint="eastAsia" w:ascii="宋体" w:hAnsi="宋体" w:eastAsia="仿宋" w:cs="宋体"/>
                <w:color w:val="000000"/>
                <w:kern w:val="0"/>
                <w:sz w:val="28"/>
                <w:szCs w:val="28"/>
              </w:rPr>
              <w:t> </w:t>
            </w:r>
            <w:r>
              <w:rPr>
                <w:rFonts w:hint="eastAsia" w:ascii="宋体" w:hAnsi="宋体" w:eastAsia="仿宋" w:cs="宋体"/>
                <w:color w:val="000000"/>
                <w:kern w:val="0"/>
                <w:sz w:val="28"/>
                <w:szCs w:val="28"/>
                <w:lang w:val="en-US" w:eastAsia="zh-CN"/>
              </w:rPr>
              <w:t>8门 电梯</w:t>
            </w:r>
          </w:p>
        </w:tc>
        <w:tc>
          <w:tcPr>
            <w:tcW w:w="418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lef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载重</w:t>
            </w:r>
            <w:r>
              <w:rPr>
                <w:rFonts w:hint="eastAsia" w:ascii="仿宋" w:hAnsi="仿宋" w:eastAsia="仿宋" w:cs="宋体"/>
                <w:color w:val="000000"/>
                <w:kern w:val="0"/>
                <w:sz w:val="28"/>
                <w:szCs w:val="28"/>
                <w:lang w:val="en-US" w:eastAsia="zh-CN"/>
              </w:rPr>
              <w:t>1吨，提升速度1.5米/秒，具有断电平层、两机并联、上、下行速度保护等功能</w:t>
            </w:r>
          </w:p>
        </w:tc>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宋体"/>
                <w:color w:val="000000"/>
                <w:kern w:val="0"/>
                <w:sz w:val="28"/>
                <w:szCs w:val="28"/>
                <w:lang w:eastAsia="zh-CN"/>
              </w:rPr>
            </w:pPr>
            <w:r>
              <w:rPr>
                <w:rFonts w:hint="eastAsia" w:ascii="宋体" w:hAnsi="宋体" w:eastAsia="仿宋" w:cs="宋体"/>
                <w:color w:val="000000"/>
                <w:kern w:val="0"/>
                <w:sz w:val="28"/>
                <w:szCs w:val="28"/>
              </w:rPr>
              <w:t> </w:t>
            </w:r>
            <w:r>
              <w:rPr>
                <w:rFonts w:hint="eastAsia" w:ascii="宋体" w:hAnsi="宋体" w:eastAsia="仿宋" w:cs="宋体"/>
                <w:color w:val="000000"/>
                <w:kern w:val="0"/>
                <w:sz w:val="28"/>
                <w:szCs w:val="28"/>
                <w:lang w:eastAsia="zh-CN"/>
              </w:rPr>
              <w:t>部</w:t>
            </w:r>
          </w:p>
        </w:tc>
        <w:tc>
          <w:tcPr>
            <w:tcW w:w="83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宋体"/>
                <w:color w:val="000000"/>
                <w:kern w:val="0"/>
                <w:sz w:val="28"/>
                <w:szCs w:val="28"/>
                <w:lang w:val="en-US" w:eastAsia="zh-CN"/>
              </w:rPr>
            </w:pPr>
            <w:r>
              <w:rPr>
                <w:rFonts w:hint="eastAsia" w:ascii="宋体" w:hAnsi="宋体" w:eastAsia="仿宋" w:cs="宋体"/>
                <w:color w:val="000000"/>
                <w:kern w:val="0"/>
                <w:sz w:val="28"/>
                <w:szCs w:val="28"/>
              </w:rPr>
              <w:t> </w:t>
            </w:r>
            <w:r>
              <w:rPr>
                <w:rFonts w:hint="eastAsia" w:ascii="宋体" w:hAnsi="宋体" w:eastAsia="仿宋" w:cs="宋体"/>
                <w:color w:val="000000"/>
                <w:kern w:val="0"/>
                <w:sz w:val="28"/>
                <w:szCs w:val="28"/>
                <w:lang w:val="en-US" w:eastAsia="zh-CN"/>
              </w:rPr>
              <w:t>2</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是</w:t>
            </w:r>
          </w:p>
        </w:tc>
      </w:tr>
    </w:tbl>
    <w:p>
      <w:pPr>
        <w:widowControl/>
        <w:shd w:val="clear" w:color="auto" w:fill="FFFFFF"/>
        <w:spacing w:line="360" w:lineRule="auto"/>
        <w:ind w:firstLine="600"/>
        <w:jc w:val="left"/>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详细</w:t>
      </w:r>
      <w:r>
        <w:rPr>
          <w:rFonts w:hint="eastAsia" w:ascii="仿宋" w:hAnsi="仿宋" w:eastAsia="仿宋" w:cs="宋体"/>
          <w:color w:val="000000"/>
          <w:kern w:val="0"/>
          <w:sz w:val="28"/>
          <w:szCs w:val="28"/>
        </w:rPr>
        <w:t>要求</w:t>
      </w:r>
      <w:r>
        <w:rPr>
          <w:rFonts w:hint="eastAsia" w:ascii="仿宋" w:hAnsi="仿宋" w:eastAsia="仿宋" w:cs="宋体"/>
          <w:color w:val="000000"/>
          <w:kern w:val="0"/>
          <w:sz w:val="28"/>
          <w:szCs w:val="28"/>
          <w:lang w:eastAsia="zh-CN"/>
        </w:rPr>
        <w:t>：</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1、直梯五大件：门机、曳引机、控制柜、安全钳、限速器要求与整体梯品牌一致。</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 xml:space="preserve">2、电梯主要功能和部件要求： </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3、驱动系统：交流变频变压调速驱动系统。</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4、控制系统：模块化全电脑控制系统，串行通信系统。</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5、曳引机：高效节能环保，具有良好动力特性的曳引机。（永磁同步无齿轮曳引机）</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6、门机系统：要求采用VVVF变频控制门机。</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7、门保护装置：光幕控制保护，光束128束。</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8轿厢</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8.1在图纸所提供井道尺寸基础上，要求提供最大尺寸标准轿厢（国标规定范围内最大），轿厢净高度不低于2400mm,箱体要求制作精良、连接牢固，抗变形能力强。</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8.2轿厢外顶部设置轿顶防护栏杆。</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8.3轿厢内装饰及吊顶装潢高档、明亮、美观大方，LED照明和换气设备良好耐用，易于更换，轿厢内配置10.4寸显示屏。</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8.4箱内有直驶和独立开关，有五方对讲系统，有应急照明。</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8.5轿厢内吊顶采用不锈钢。</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9、箱内控制操纵盘：为发纹不锈钢，配置多媒体10.4寸显示。</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10、轿门、层门及所有门套：材质为发纹不锈钢（门板厚度不低于1.5mm）；门启闭灵活自如，安静快捷。</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11、外呼楼梯钮盒：超薄外挂式，层层液晶显示，按钮为圆形（带盲文），材质为钢化玻璃</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12、轿厢及对重导轨：T形耐磨导轨（主导轨T89，副轨采用空芯轨），耐腐蚀、抗变形能力强。</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13、对重装置：对重架抗变形能力强，符合环保要求。</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14、随行电缆：电梯专用电缆，集成视频线。</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15、井道内固定件：要求牢固耐用，抗锈能力强。（电泳处理）</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16、井道照明：按照规范要求间距（7米一档，向下端0.5米）设置井道照明装置。</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17、缓冲器：采用油压式缓冲器。</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18、安全钳：采用渐进式安全钳。</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19、导靴：为滑动导靴。</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20、轿厢内安装空调。（冷暖空调1.5匹）</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21、故障自诊断。</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22、轿厢满载直驶、超载功能、防捣乱功能。</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23、外呼重新开门功能。</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24、远程监控（提供电梯配套远程监控系统）。</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25、停电应急救援装置：在停电情况时，自动切换接通备用电源（直流电压DC24V，电池容量7Ah，功率1KW），按设定程序慢速运行至就近楼层，开门实现紧急救援。</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26．再平层功能</w:t>
      </w:r>
      <w:r>
        <w:rPr>
          <w:rFonts w:hint="eastAsia" w:ascii="仿宋" w:hAnsi="仿宋" w:eastAsia="仿宋" w:cs="宋体"/>
          <w:color w:val="000000"/>
          <w:kern w:val="0"/>
          <w:sz w:val="28"/>
          <w:szCs w:val="28"/>
          <w:lang w:val="zh-CN" w:eastAsia="zh-CN"/>
        </w:rPr>
        <w:tab/>
      </w:r>
      <w:r>
        <w:rPr>
          <w:rFonts w:hint="eastAsia" w:ascii="仿宋" w:hAnsi="仿宋" w:eastAsia="仿宋" w:cs="宋体"/>
          <w:color w:val="000000"/>
          <w:kern w:val="0"/>
          <w:sz w:val="28"/>
          <w:szCs w:val="28"/>
          <w:lang w:val="zh-CN" w:eastAsia="zh-CN"/>
        </w:rPr>
        <w:t>：由于乘客进出轿厢等原因引起负载变化，轿厢与地坎误差超过预设值，电梯会自动执行再平层功能，使轿厢回到准确平层位置。</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27．消防员操作功能：当启动消防开关后，电梯将自动取消内选外召信号，返回消防基站，进入消防员操作状态。</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28．节能功能：无人乘坐时，电梯进入待机状态，除外呼按钮微亮外，整梯其他部分不再消耗电能。有人乘坐时，电梯立即唤醒恢复正常使用。</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29．门区保护：电梯在平层制动状态时，如轿厢出现轻微滑移，安全钳将动作及时制动轿厢，防止发生剪梯事故。</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30．轿门安全保护：电梯故障在非门区时，轿门防扒系统启动；主动保护轿门安全，预防因扒门逃生发生意外，主动保护乘客安全。</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31、电梯轿厢内装饰：</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31.1、轿厢装饰顶（天花板）：要求拆装方便，均采用内嵌式照明。</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31.2、轿底：大理石石材拼花地板。</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32、其他未做说明和要求的，按国标执行。</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33、投标人可自行进行现场勘查，费用自理。</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34、报价包含旧梯拆除，按钮和层显通讯线钻孔。</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eastAsia="zh-CN"/>
        </w:rPr>
      </w:pPr>
      <w:r>
        <w:rPr>
          <w:rFonts w:hint="eastAsia" w:ascii="仿宋" w:hAnsi="仿宋" w:eastAsia="仿宋" w:cs="宋体"/>
          <w:color w:val="000000"/>
          <w:kern w:val="0"/>
          <w:sz w:val="28"/>
          <w:szCs w:val="28"/>
          <w:lang w:val="zh-CN" w:eastAsia="zh-CN"/>
        </w:rPr>
        <w:t>35、报价包含电梯安装后的层门装修，采用发纹不锈钢大门套。</w:t>
      </w:r>
    </w:p>
    <w:p>
      <w:pPr>
        <w:widowControl/>
        <w:shd w:val="clear" w:color="auto" w:fill="FFFFFF"/>
        <w:spacing w:line="360" w:lineRule="auto"/>
        <w:ind w:firstLine="600"/>
        <w:jc w:val="lef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lang w:val="en-US" w:eastAsia="zh-CN"/>
        </w:rPr>
        <w:t>(三)</w:t>
      </w:r>
      <w:r>
        <w:rPr>
          <w:rFonts w:hint="eastAsia" w:ascii="仿宋" w:hAnsi="仿宋" w:eastAsia="仿宋" w:cs="宋体"/>
          <w:b/>
          <w:bCs/>
          <w:color w:val="000000"/>
          <w:kern w:val="0"/>
          <w:sz w:val="28"/>
          <w:szCs w:val="28"/>
        </w:rPr>
        <w:t>采购标的执行标准</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 xml:space="preserve">（1）《电气装置安装工程电梯电气装置施工及验收规范》：GB50254-96 /GB50182-93  </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（2）《低压开关设备和控制设备》（GB14048.5-93）</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（3）《电梯技术条件》：GB/T10058-2009</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（4）《电梯制造与安装安全规范》：GB7588，本规范等同于欧洲标准委员会CEN标准EN81关于电梯制造安装标准。</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（5）《电梯试验方法》：GB/T10059-2009</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（6）《电梯安装验收规范》：GB10060-2011</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（7）提高在用电梯安全性的规范：GB24804-2009</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（8）《电梯主要参数及轿厢、井道、机房的形式及尺寸》：GB/T7025.1-7025.2-2008</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（9）TSGT5001-2009电梯使用管理与维护保养规则</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（10）TSGT7001-2009 电梯监督检验和定期检验规则</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（11）GB 50310-2002  电梯工程施工质量验收规范</w:t>
      </w:r>
    </w:p>
    <w:p>
      <w:pPr>
        <w:widowControl/>
        <w:shd w:val="clear" w:color="auto" w:fill="FFFFFF"/>
        <w:spacing w:line="360" w:lineRule="auto"/>
        <w:ind w:firstLine="600"/>
        <w:jc w:val="left"/>
        <w:rPr>
          <w:rFonts w:hint="eastAsia" w:ascii="仿宋" w:hAnsi="仿宋" w:eastAsia="仿宋" w:cs="宋体"/>
          <w:color w:val="000000"/>
          <w:kern w:val="0"/>
          <w:sz w:val="28"/>
          <w:szCs w:val="28"/>
          <w:lang w:val="zh-CN"/>
        </w:rPr>
      </w:pPr>
      <w:r>
        <w:rPr>
          <w:rFonts w:hint="eastAsia" w:ascii="仿宋" w:hAnsi="仿宋" w:eastAsia="仿宋" w:cs="宋体"/>
          <w:color w:val="000000"/>
          <w:kern w:val="0"/>
          <w:sz w:val="28"/>
          <w:szCs w:val="28"/>
          <w:lang w:val="zh-CN"/>
        </w:rPr>
        <w:t>（12）满足GB/T 10058-2009,GB/T 10059-2009验收要求。</w:t>
      </w:r>
    </w:p>
    <w:p>
      <w:pPr>
        <w:widowControl/>
        <w:shd w:val="clear" w:color="auto" w:fill="FFFFFF"/>
        <w:spacing w:line="360" w:lineRule="auto"/>
        <w:ind w:firstLine="6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zh-CN"/>
        </w:rPr>
        <w:t>（13）其它与垂直电梯、自动扶梯制造、安装、检验、运行、维护保养等有关的国家标准、行业标准及地方相关规定</w:t>
      </w:r>
    </w:p>
    <w:p>
      <w:pPr>
        <w:widowControl/>
        <w:shd w:val="clear" w:color="auto" w:fill="FFFFFF"/>
        <w:spacing w:line="360" w:lineRule="auto"/>
        <w:ind w:firstLine="60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w:t>
      </w:r>
      <w:r>
        <w:rPr>
          <w:rFonts w:hint="eastAsia" w:ascii="仿宋" w:hAnsi="仿宋" w:eastAsia="仿宋" w:cs="宋体"/>
          <w:b/>
          <w:bCs/>
          <w:color w:val="000000"/>
          <w:kern w:val="0"/>
          <w:sz w:val="28"/>
          <w:szCs w:val="28"/>
          <w:lang w:eastAsia="zh-CN"/>
        </w:rPr>
        <w:t>四</w:t>
      </w:r>
      <w:r>
        <w:rPr>
          <w:rFonts w:hint="eastAsia" w:ascii="仿宋" w:hAnsi="仿宋" w:eastAsia="仿宋" w:cs="宋体"/>
          <w:b/>
          <w:bCs/>
          <w:color w:val="000000"/>
          <w:kern w:val="0"/>
          <w:sz w:val="28"/>
          <w:szCs w:val="28"/>
        </w:rPr>
        <w:t>）验收标准</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zh-CN"/>
        </w:rPr>
        <w:t>1、将依据以下规范进行：一是《电梯制造与安装安全规范》（GB7588—2003）；二是《电梯安装验收规范》（GB/T10060—2011）；三是《自动扶梯和自动人行道的制造与安装安全规范》（GB16899—2011）；四是国家质量监督检验检疫总局颁发的《电梯监督检验和定期检验规范》。</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zh-CN"/>
        </w:rPr>
        <w:t>2、按照招标文件要求、投标文件响应和承诺验收。</w:t>
      </w:r>
    </w:p>
    <w:p>
      <w:pPr>
        <w:spacing w:line="360" w:lineRule="auto"/>
        <w:ind w:left="315" w:firstLine="281" w:firstLineChars="100"/>
        <w:jc w:val="left"/>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w:t>
      </w:r>
      <w:r>
        <w:rPr>
          <w:rFonts w:hint="eastAsia" w:ascii="仿宋" w:hAnsi="仿宋" w:eastAsia="仿宋" w:cs="宋体"/>
          <w:b/>
          <w:bCs/>
          <w:color w:val="000000"/>
          <w:kern w:val="0"/>
          <w:sz w:val="28"/>
          <w:szCs w:val="28"/>
          <w:lang w:eastAsia="zh-CN"/>
        </w:rPr>
        <w:t>五</w:t>
      </w:r>
      <w:r>
        <w:rPr>
          <w:rFonts w:hint="eastAsia" w:ascii="仿宋" w:hAnsi="仿宋" w:eastAsia="仿宋" w:cs="宋体"/>
          <w:b/>
          <w:bCs/>
          <w:color w:val="000000"/>
          <w:kern w:val="0"/>
          <w:sz w:val="28"/>
          <w:szCs w:val="28"/>
        </w:rPr>
        <w:t>）采购标的的其他技术、服务等要求</w:t>
      </w:r>
    </w:p>
    <w:p>
      <w:pPr>
        <w:spacing w:line="360" w:lineRule="auto"/>
        <w:ind w:left="315" w:firstLine="280" w:firstLineChars="100"/>
        <w:jc w:val="left"/>
        <w:rPr>
          <w:rFonts w:hint="eastAsia" w:ascii="仿宋" w:hAnsi="仿宋" w:eastAsia="仿宋" w:cs="仿宋"/>
          <w:sz w:val="28"/>
          <w:szCs w:val="28"/>
          <w:lang w:val="zh-CN"/>
        </w:rPr>
      </w:pPr>
      <w:r>
        <w:rPr>
          <w:rFonts w:hint="eastAsia" w:ascii="仿宋" w:hAnsi="仿宋" w:eastAsia="仿宋" w:cs="宋体"/>
          <w:color w:val="000000"/>
          <w:kern w:val="0"/>
          <w:sz w:val="28"/>
          <w:szCs w:val="28"/>
          <w:lang w:val="zh-CN"/>
        </w:rPr>
        <w:t>电梯质保期为验收合格之日起一年。</w:t>
      </w:r>
    </w:p>
    <w:p>
      <w:pPr>
        <w:pStyle w:val="2"/>
        <w:pageBreakBefore w:val="0"/>
        <w:numPr>
          <w:ilvl w:val="0"/>
          <w:numId w:val="6"/>
        </w:numPr>
        <w:kinsoku/>
        <w:overflowPunct/>
        <w:bidi w:val="0"/>
        <w:spacing w:line="500" w:lineRule="exact"/>
        <w:ind w:left="288" w:leftChars="0"/>
        <w:rPr>
          <w:rFonts w:hint="eastAsia" w:ascii="仿宋" w:hAnsi="仿宋" w:eastAsia="仿宋" w:cs="仿宋"/>
          <w:b/>
          <w:bCs/>
          <w:sz w:val="28"/>
          <w:szCs w:val="28"/>
          <w:lang w:val="en-US" w:eastAsia="zh-CN"/>
        </w:rPr>
      </w:pPr>
      <w:r>
        <w:rPr>
          <w:rFonts w:hint="eastAsia" w:ascii="仿宋" w:hAnsi="仿宋" w:eastAsia="仿宋" w:cs="宋体"/>
          <w:b/>
          <w:bCs/>
          <w:color w:val="000000"/>
          <w:kern w:val="0"/>
          <w:sz w:val="28"/>
          <w:szCs w:val="28"/>
          <w:lang w:val="zh-CN" w:eastAsia="zh-CN" w:bidi="ar-SA"/>
        </w:rPr>
        <w:t>其他要求：</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1、投标人须明确投标产品的品牌、型号、厂家及产地等详细参数，否则为无效投标。</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lang w:val="zh-CN"/>
        </w:rPr>
        <w:t>投标人应就该项目完整投标（报价含安装，运输、培训、税费等综合费用），否则为无效投标。</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zh-CN"/>
        </w:rPr>
        <w:t>3、产品必须符合国家质量检测标准和本招标文件规定标准的全新正品现货，提供随货物《产品合格证》及其它相关质量证明文件。进口产品须提供海关进货单（复印件备查）。</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zh-CN"/>
        </w:rPr>
        <w:t>4、本项目为交钥匙工程，含旧电梯拆除、井道整改、现场投标人自行工勘。</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en-US" w:eastAsia="zh-CN"/>
        </w:rPr>
        <w:t>5</w:t>
      </w:r>
      <w:r>
        <w:rPr>
          <w:rFonts w:hint="eastAsia" w:ascii="仿宋" w:hAnsi="仿宋" w:eastAsia="仿宋" w:cs="仿宋"/>
          <w:sz w:val="28"/>
          <w:szCs w:val="28"/>
          <w:lang w:val="zh-CN"/>
        </w:rPr>
        <w:t>、投标人须对照节能产品政府采购清单，如果本次采购的产品属于强制采购范围的（国办发[2007]51号文），投标文件中须提供所投产品属于强制采购产品有效的证明材料且加盖投标单位公章，否则为无效投标。</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en-US" w:eastAsia="zh-CN"/>
        </w:rPr>
        <w:t>6</w:t>
      </w:r>
      <w:r>
        <w:rPr>
          <w:rFonts w:hint="eastAsia" w:ascii="仿宋" w:hAnsi="仿宋" w:eastAsia="仿宋" w:cs="仿宋"/>
          <w:sz w:val="28"/>
          <w:szCs w:val="28"/>
          <w:lang w:val="zh-CN"/>
        </w:rPr>
        <w:t>、所投产品已列入国家强制性产品认证的产品，投标文件中必须提供国家对实施强制性产品认证的有效证明材料且加盖投标人公章，否则为无效投标。（如3C等）</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en-US" w:eastAsia="zh-CN"/>
        </w:rPr>
        <w:t>7</w:t>
      </w:r>
      <w:r>
        <w:rPr>
          <w:rFonts w:hint="eastAsia" w:ascii="仿宋" w:hAnsi="仿宋" w:eastAsia="仿宋" w:cs="仿宋"/>
          <w:sz w:val="28"/>
          <w:szCs w:val="28"/>
          <w:lang w:val="zh-CN"/>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en-US" w:eastAsia="zh-CN"/>
        </w:rPr>
        <w:t>8</w:t>
      </w:r>
      <w:r>
        <w:rPr>
          <w:rFonts w:hint="eastAsia" w:ascii="仿宋" w:hAnsi="仿宋" w:eastAsia="仿宋" w:cs="仿宋"/>
          <w:sz w:val="28"/>
          <w:szCs w:val="28"/>
          <w:lang w:val="zh-CN"/>
        </w:rPr>
        <w:t>、产品必须符合国家质量检测标准和本招标文件规定标准的全新正品现货，供货时提供随货物《产品合格证》及其它相关质量证明文件。</w:t>
      </w:r>
    </w:p>
    <w:p>
      <w:pPr>
        <w:spacing w:line="360" w:lineRule="auto"/>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en-US" w:eastAsia="zh-CN"/>
        </w:rPr>
        <w:t>9</w:t>
      </w:r>
      <w:r>
        <w:rPr>
          <w:rFonts w:hint="eastAsia" w:ascii="仿宋" w:hAnsi="仿宋" w:eastAsia="仿宋" w:cs="仿宋"/>
          <w:sz w:val="28"/>
          <w:szCs w:val="28"/>
          <w:lang w:val="zh-CN"/>
        </w:rPr>
        <w:t>、中标方需提供产品使用说明书及光盘</w:t>
      </w:r>
      <w:r>
        <w:rPr>
          <w:rFonts w:hint="eastAsia" w:ascii="仿宋" w:hAnsi="仿宋" w:eastAsia="仿宋" w:cs="仿宋"/>
          <w:sz w:val="28"/>
          <w:szCs w:val="28"/>
          <w:lang w:val="zh-CN" w:eastAsia="zh-CN"/>
        </w:rPr>
        <w:t>，</w:t>
      </w:r>
      <w:r>
        <w:rPr>
          <w:rFonts w:hint="eastAsia" w:ascii="仿宋" w:hAnsi="仿宋" w:eastAsia="仿宋" w:cs="仿宋"/>
          <w:sz w:val="28"/>
          <w:szCs w:val="28"/>
          <w:lang w:val="zh-CN"/>
        </w:rPr>
        <w:t>并有义务进行有关使用培训。</w:t>
      </w:r>
    </w:p>
    <w:p>
      <w:pPr>
        <w:spacing w:line="360" w:lineRule="auto"/>
        <w:ind w:firstLine="560" w:firstLineChars="200"/>
        <w:jc w:val="left"/>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val="zh-CN"/>
        </w:rPr>
        <w:t>、付款方式：</w:t>
      </w:r>
      <w:r>
        <w:rPr>
          <w:rFonts w:hint="eastAsia" w:ascii="仿宋" w:hAnsi="仿宋" w:eastAsia="仿宋" w:cs="仿宋"/>
          <w:sz w:val="28"/>
          <w:szCs w:val="28"/>
          <w:lang w:val="zh-CN" w:eastAsia="zh-CN"/>
        </w:rPr>
        <w:t>定金20%，提货前付至85%，验收完付至100%（提供5%的银行质量保函，质保期满后退还）</w:t>
      </w:r>
      <w:r>
        <w:rPr>
          <w:rFonts w:hint="eastAsia" w:ascii="仿宋" w:hAnsi="仿宋" w:eastAsia="仿宋" w:cs="仿宋"/>
          <w:sz w:val="28"/>
          <w:szCs w:val="28"/>
          <w:lang w:val="zh-CN" w:eastAsia="zh-CN"/>
        </w:rPr>
        <w:t>。</w:t>
      </w:r>
    </w:p>
    <w:p>
      <w:pPr>
        <w:autoSpaceDE w:val="0"/>
        <w:autoSpaceDN w:val="0"/>
        <w:adjustRightInd w:val="0"/>
        <w:rPr>
          <w:rFonts w:hint="eastAsia" w:cs="宋体" w:asciiTheme="majorEastAsia" w:hAnsiTheme="majorEastAsia" w:eastAsiaTheme="majorEastAsia"/>
          <w:b/>
          <w:kern w:val="0"/>
          <w:sz w:val="36"/>
          <w:szCs w:val="36"/>
        </w:rPr>
      </w:pPr>
    </w:p>
    <w:p>
      <w:pPr>
        <w:pStyle w:val="2"/>
        <w:numPr>
          <w:numId w:val="0"/>
        </w:numPr>
        <w:ind w:left="288" w:leftChars="0"/>
        <w:rPr>
          <w:rFonts w:hint="eastAsia"/>
        </w:rPr>
      </w:pPr>
    </w:p>
    <w:p>
      <w:pPr>
        <w:autoSpaceDE w:val="0"/>
        <w:autoSpaceDN w:val="0"/>
        <w:adjustRightInd w:val="0"/>
        <w:ind w:firstLine="1807" w:firstLineChars="5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rPr>
              <w:t>项目名称：禹州市人民法院办公楼采购安装电梯项目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YZCG-G2019235</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交付时间：签订合同之日起</w:t>
            </w:r>
            <w:r>
              <w:rPr>
                <w:rFonts w:hint="eastAsia" w:cs="仿宋_GB2312" w:asciiTheme="minorEastAsia" w:hAnsiTheme="minorEastAsia"/>
                <w:szCs w:val="21"/>
                <w:lang w:val="en-US" w:eastAsia="zh-CN"/>
              </w:rPr>
              <w:t>45个工作日内。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eastAsia="zh-CN"/>
              </w:rPr>
              <w:t>名称：</w:t>
            </w:r>
            <w:r>
              <w:rPr>
                <w:rFonts w:hint="eastAsia" w:cs="仿宋_GB2312" w:asciiTheme="minorEastAsia" w:hAnsiTheme="minorEastAsia"/>
                <w:szCs w:val="21"/>
              </w:rPr>
              <w:t>禹州市人民法院</w:t>
            </w:r>
          </w:p>
          <w:p>
            <w:pPr>
              <w:widowControl/>
              <w:shd w:val="clear" w:color="auto" w:fill="FFFFFF"/>
              <w:spacing w:line="400" w:lineRule="exact"/>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禹州市禹王大道</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 xml:space="preserve"> 王</w:t>
            </w:r>
            <w:r>
              <w:rPr>
                <w:rFonts w:hint="eastAsia" w:cs="仿宋_GB2312" w:asciiTheme="minorEastAsia" w:hAnsiTheme="minorEastAsia"/>
                <w:sz w:val="24"/>
                <w:szCs w:val="24"/>
                <w:lang w:eastAsia="zh-CN"/>
              </w:rPr>
              <w:t>先生</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13782211171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eastAsiaTheme="minorEastAsia"/>
                <w:lang w:val="en-US" w:eastAsia="zh-CN"/>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60</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10</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12</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w:t>
            </w:r>
            <w:bookmarkStart w:id="9" w:name="_GoBack"/>
            <w:bookmarkEnd w:id="9"/>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lang w:val="zh-CN"/>
              </w:rPr>
            </w:pPr>
            <w:r>
              <w:rPr>
                <w:rFonts w:hint="eastAsia"/>
                <w:lang w:val="en-US" w:eastAsia="zh-CN"/>
              </w:rPr>
              <w:t>1、</w:t>
            </w:r>
            <w:r>
              <w:rPr>
                <w:rFonts w:hint="eastAsia"/>
                <w:lang w:val="zh-CN"/>
              </w:rPr>
              <w:t>不收取投标保证金。</w:t>
            </w:r>
          </w:p>
          <w:p>
            <w:pPr>
              <w:pStyle w:val="28"/>
              <w:rPr>
                <w:lang w:val="zh-CN"/>
              </w:rPr>
            </w:pPr>
            <w:r>
              <w:rPr>
                <w:rFonts w:hint="eastAsia" w:asciiTheme="minorHAnsi" w:hAnsiTheme="minorHAnsi" w:eastAsiaTheme="minorEastAsia" w:cstheme="minorBidi"/>
                <w:kern w:val="2"/>
                <w:sz w:val="21"/>
                <w:szCs w:val="22"/>
                <w:lang w:val="en-US" w:eastAsia="zh-CN" w:bidi="ar-SA"/>
              </w:rPr>
              <w:t>2</w:t>
            </w:r>
            <w:r>
              <w:rPr>
                <w:rFonts w:hint="eastAsia" w:cstheme="minorBidi"/>
                <w:kern w:val="2"/>
                <w:sz w:val="21"/>
                <w:szCs w:val="22"/>
                <w:lang w:val="en-US" w:eastAsia="zh-CN" w:bidi="ar-SA"/>
              </w:rPr>
              <w:t>、</w:t>
            </w:r>
            <w:r>
              <w:rPr>
                <w:rFonts w:hint="eastAsia" w:asciiTheme="minorHAnsi" w:hAnsiTheme="minorHAnsi" w:eastAsiaTheme="minorEastAsia" w:cstheme="minorBidi"/>
                <w:kern w:val="2"/>
                <w:sz w:val="21"/>
                <w:szCs w:val="22"/>
                <w:lang w:val="zh-CN" w:eastAsia="zh-CN" w:bidi="ar-SA"/>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b/>
                <w:bCs/>
                <w:szCs w:val="21"/>
              </w:rPr>
            </w:pPr>
            <w:r>
              <w:rPr>
                <w:rFonts w:hint="eastAsia" w:asciiTheme="minorEastAsia" w:hAnsiTheme="minorEastAsia"/>
                <w:b/>
                <w:bCs/>
                <w:szCs w:val="21"/>
              </w:rPr>
              <w:t>供应商资格要求</w:t>
            </w:r>
          </w:p>
        </w:tc>
        <w:tc>
          <w:tcPr>
            <w:tcW w:w="5954" w:type="dxa"/>
            <w:vAlign w:val="top"/>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1、符合《政府采购法》第二十二条之规定</w:t>
            </w:r>
            <w:r>
              <w:rPr>
                <w:rFonts w:hint="eastAsia" w:cs="仿宋_GB2312" w:asciiTheme="minorEastAsia" w:hAnsiTheme="minorEastAsia"/>
                <w:szCs w:val="21"/>
                <w:lang w:val="zh-CN" w:eastAsia="zh-CN"/>
              </w:rPr>
              <w:t>，具有独立法人资格及</w:t>
            </w:r>
            <w:r>
              <w:rPr>
                <w:rFonts w:hint="eastAsia" w:cs="仿宋_GB2312" w:asciiTheme="minorEastAsia" w:hAnsiTheme="minorEastAsia"/>
                <w:szCs w:val="21"/>
                <w:lang w:val="zh-CN"/>
              </w:rPr>
              <w:t>相应的经营范围（以营业执照为准）；</w:t>
            </w:r>
          </w:p>
          <w:p>
            <w:pPr>
              <w:spacing w:line="360" w:lineRule="auto"/>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2、投标人须是中华人民共和国境内注册的电梯设备制造商或代理商；供应商为制造商的，须具有《中华人民共和国特种设备制造许可证》B级及以上资质和《中华人民共和国特种设备安装改造维修许可证》（电梯）B级及以上资质。 供应商为代理商的，须具有《中华人民共和国特种设备安装改造维修许可证》（电梯）C级及以上资质，其代理的电梯设备制造商须具有《中华人民共和国特种设备制造许可证》C级及以上资质。</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、被委托人是须是本单位职工，须提供公司为本人缴纳社会保险证明；</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、本项目不接受联合体投标。</w:t>
            </w:r>
          </w:p>
          <w:p>
            <w:pPr>
              <w:spacing w:line="360" w:lineRule="auto"/>
              <w:rPr>
                <w:rFonts w:cs="仿宋_GB2312" w:asciiTheme="minorEastAsia" w:hAnsiTheme="minorEastAsia"/>
                <w:szCs w:val="21"/>
                <w:lang w:val="zh-CN"/>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8"/>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28"/>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tbl>
      <w:tblPr>
        <w:tblStyle w:val="22"/>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分值构成</w:t>
            </w:r>
          </w:p>
        </w:tc>
        <w:tc>
          <w:tcPr>
            <w:tcW w:w="7334" w:type="dxa"/>
            <w:gridSpan w:val="2"/>
            <w:vAlign w:val="center"/>
          </w:tcPr>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价格分值：50分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商务部分：18分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技术部分：32分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96" w:type="dxa"/>
            <w:gridSpan w:val="3"/>
            <w:tcBorders>
              <w:bottom w:val="single" w:color="auto" w:sz="4"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评分因素</w:t>
            </w:r>
          </w:p>
        </w:tc>
        <w:tc>
          <w:tcPr>
            <w:tcW w:w="6237" w:type="dxa"/>
            <w:tcBorders>
              <w:top w:val="single" w:color="auto" w:sz="4"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评标标准</w:t>
            </w:r>
          </w:p>
        </w:tc>
        <w:tc>
          <w:tcPr>
            <w:tcW w:w="1097" w:type="dxa"/>
            <w:tcBorders>
              <w:top w:val="single" w:color="auto" w:sz="4"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投标报价</w:t>
            </w:r>
          </w:p>
          <w:p>
            <w:pPr>
              <w:spacing w:line="360" w:lineRule="auto"/>
              <w:jc w:val="center"/>
              <w:rPr>
                <w:rFonts w:asciiTheme="minorEastAsia" w:hAnsiTheme="minorEastAsia"/>
                <w:sz w:val="24"/>
                <w:szCs w:val="24"/>
              </w:rPr>
            </w:pPr>
            <w:r>
              <w:rPr>
                <w:rFonts w:hint="eastAsia" w:asciiTheme="minorEastAsia" w:hAnsiTheme="minorEastAsia"/>
                <w:sz w:val="24"/>
                <w:szCs w:val="24"/>
              </w:rPr>
              <w:t>评分标准</w:t>
            </w:r>
          </w:p>
        </w:tc>
        <w:tc>
          <w:tcPr>
            <w:tcW w:w="6237" w:type="dxa"/>
            <w:tcBorders>
              <w:top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评标基准价：满足招标文件要求的有效投标报价中，最低的投标报价为评标基准价。</w:t>
            </w:r>
          </w:p>
          <w:p>
            <w:pPr>
              <w:spacing w:line="360" w:lineRule="auto"/>
              <w:rPr>
                <w:rFonts w:asciiTheme="minorEastAsia" w:hAnsiTheme="minorEastAsia"/>
                <w:sz w:val="24"/>
                <w:szCs w:val="24"/>
              </w:rPr>
            </w:pPr>
            <w:r>
              <w:rPr>
                <w:rFonts w:hint="eastAsia" w:asciiTheme="minorEastAsia" w:hAnsiTheme="minorEastAsia"/>
                <w:sz w:val="24"/>
                <w:szCs w:val="24"/>
              </w:rPr>
              <w:t>投标报价得分=（评标基准价/投标报价）×50</w:t>
            </w:r>
          </w:p>
        </w:tc>
        <w:tc>
          <w:tcPr>
            <w:tcW w:w="1097" w:type="dxa"/>
            <w:tcBorders>
              <w:top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96" w:type="dxa"/>
            <w:gridSpan w:val="3"/>
            <w:vAlign w:val="center"/>
          </w:tcPr>
          <w:p>
            <w:pPr>
              <w:jc w:val="center"/>
              <w:rPr>
                <w:rFonts w:asciiTheme="minorEastAsia" w:hAnsiTheme="minorEastAsia"/>
                <w:b/>
                <w:sz w:val="24"/>
                <w:szCs w:val="24"/>
              </w:rPr>
            </w:pPr>
            <w:r>
              <w:rPr>
                <w:rFonts w:hint="eastAsia" w:asciiTheme="minorEastAsia" w:hAnsiTheme="minorEastAsia"/>
                <w:b/>
                <w:sz w:val="24"/>
                <w:szCs w:val="24"/>
              </w:rPr>
              <w:t>商务部分（满分18分）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bottom w:val="single" w:color="auto" w:sz="4"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评分因素</w:t>
            </w:r>
          </w:p>
        </w:tc>
        <w:tc>
          <w:tcPr>
            <w:tcW w:w="6237" w:type="dxa"/>
            <w:vAlign w:val="center"/>
          </w:tcPr>
          <w:p>
            <w:pPr>
              <w:jc w:val="center"/>
              <w:rPr>
                <w:rFonts w:asciiTheme="minorEastAsia" w:hAnsiTheme="minorEastAsia"/>
                <w:b/>
                <w:sz w:val="24"/>
                <w:szCs w:val="24"/>
              </w:rPr>
            </w:pPr>
            <w:r>
              <w:rPr>
                <w:rFonts w:hint="eastAsia" w:asciiTheme="minorEastAsia" w:hAnsiTheme="minorEastAsia"/>
                <w:b/>
                <w:sz w:val="24"/>
                <w:szCs w:val="24"/>
              </w:rPr>
              <w:t>评标标准</w:t>
            </w:r>
          </w:p>
        </w:tc>
        <w:tc>
          <w:tcPr>
            <w:tcW w:w="1097" w:type="dxa"/>
            <w:vAlign w:val="center"/>
          </w:tcPr>
          <w:p>
            <w:pPr>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信誉</w:t>
            </w:r>
          </w:p>
        </w:tc>
        <w:tc>
          <w:tcPr>
            <w:tcW w:w="6237" w:type="dxa"/>
          </w:tcPr>
          <w:p>
            <w:pPr>
              <w:spacing w:line="360" w:lineRule="auto"/>
              <w:rPr>
                <w:rFonts w:asciiTheme="minorEastAsia" w:hAnsiTheme="minorEastAsia"/>
                <w:sz w:val="24"/>
                <w:szCs w:val="24"/>
              </w:rPr>
            </w:pPr>
            <w:r>
              <w:rPr>
                <w:rFonts w:hint="eastAsia" w:asciiTheme="minorEastAsia" w:hAnsiTheme="minorEastAsia"/>
                <w:sz w:val="24"/>
                <w:szCs w:val="24"/>
              </w:rPr>
              <w:t>投标品牌制造商提供在有效期内的社会信用评级机构出具的有效的企业信用报告，等级为AAA级得3分；等级为AA级得2分；等级为A级得1分。不提供不得分</w:t>
            </w:r>
          </w:p>
        </w:tc>
        <w:tc>
          <w:tcPr>
            <w:tcW w:w="109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1762" w:type="dxa"/>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企业实力</w:t>
            </w:r>
          </w:p>
          <w:p>
            <w:pPr>
              <w:spacing w:line="360" w:lineRule="auto"/>
              <w:jc w:val="center"/>
              <w:rPr>
                <w:rFonts w:asciiTheme="minorEastAsia" w:hAnsiTheme="minorEastAsia"/>
                <w:sz w:val="24"/>
                <w:szCs w:val="24"/>
              </w:rPr>
            </w:pPr>
          </w:p>
        </w:tc>
        <w:tc>
          <w:tcPr>
            <w:tcW w:w="6237" w:type="dxa"/>
          </w:tcPr>
          <w:p>
            <w:pPr>
              <w:spacing w:line="360" w:lineRule="auto"/>
              <w:rPr>
                <w:rFonts w:asciiTheme="minorEastAsia" w:hAnsiTheme="minorEastAsia"/>
                <w:sz w:val="24"/>
                <w:szCs w:val="24"/>
              </w:rPr>
            </w:pPr>
            <w:r>
              <w:rPr>
                <w:rFonts w:hint="eastAsia" w:asciiTheme="minorEastAsia" w:hAnsiTheme="minorEastAsia"/>
                <w:sz w:val="24"/>
                <w:szCs w:val="24"/>
              </w:rPr>
              <w:t>1、投标品牌制造商具有《中国合格评定国家认可委员会实验室证书》（CNAS）的得3分，没有不得分。</w:t>
            </w:r>
          </w:p>
          <w:p>
            <w:pPr>
              <w:spacing w:line="360" w:lineRule="auto"/>
              <w:rPr>
                <w:rFonts w:asciiTheme="minorEastAsia" w:hAnsiTheme="minorEastAsia"/>
                <w:sz w:val="24"/>
                <w:szCs w:val="24"/>
              </w:rPr>
            </w:pPr>
            <w:r>
              <w:rPr>
                <w:rFonts w:hint="eastAsia" w:asciiTheme="minorEastAsia" w:hAnsiTheme="minorEastAsia"/>
                <w:sz w:val="24"/>
                <w:szCs w:val="24"/>
              </w:rPr>
              <w:t>2、投标品牌制造商通过ISO9001质量管理体系认证、ISO14001环境管理体系认证和OHSAS18001职业健康安全管理体系认证证、SA8000社会责任管理体系认证的，每提供一项得 1分，满分4分。</w:t>
            </w:r>
          </w:p>
        </w:tc>
        <w:tc>
          <w:tcPr>
            <w:tcW w:w="109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r>
              <w:rPr>
                <w:rFonts w:hint="eastAsia" w:asciiTheme="minorEastAsia" w:hAnsiTheme="minorEastAsia"/>
                <w:sz w:val="24"/>
                <w:szCs w:val="24"/>
              </w:rPr>
              <w:t>企业业绩</w:t>
            </w: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tc>
        <w:tc>
          <w:tcPr>
            <w:tcW w:w="6237" w:type="dxa"/>
          </w:tcPr>
          <w:p>
            <w:pPr>
              <w:spacing w:line="360" w:lineRule="auto"/>
              <w:rPr>
                <w:rFonts w:asciiTheme="minorEastAsia" w:hAnsiTheme="minorEastAsia"/>
                <w:sz w:val="24"/>
                <w:szCs w:val="24"/>
              </w:rPr>
            </w:pPr>
            <w:r>
              <w:rPr>
                <w:rFonts w:hint="eastAsia" w:asciiTheme="minorEastAsia" w:hAnsiTheme="minorEastAsia"/>
                <w:sz w:val="24"/>
                <w:szCs w:val="24"/>
              </w:rPr>
              <w:t>2016年 1 月 1 日以来（以合同签订时间为准），投标品牌制造商提供制造企业合同金额为100万元及以上：以签订的合同为准，每一份得1分；最多得8分。（合同及验收报告齐全，政府采购项目还须提供中标通知书）</w:t>
            </w:r>
          </w:p>
        </w:tc>
        <w:tc>
          <w:tcPr>
            <w:tcW w:w="109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096" w:type="dxa"/>
            <w:gridSpan w:val="3"/>
            <w:vAlign w:val="center"/>
          </w:tcPr>
          <w:p>
            <w:pPr>
              <w:jc w:val="center"/>
              <w:rPr>
                <w:rFonts w:asciiTheme="minorEastAsia" w:hAnsiTheme="minorEastAsia"/>
                <w:b/>
                <w:sz w:val="24"/>
                <w:szCs w:val="24"/>
              </w:rPr>
            </w:pPr>
            <w:r>
              <w:rPr>
                <w:rFonts w:hint="eastAsia" w:asciiTheme="minorEastAsia" w:hAnsiTheme="minorEastAsia"/>
                <w:b/>
                <w:sz w:val="24"/>
                <w:szCs w:val="24"/>
              </w:rPr>
              <w:t>技术部分（满分32分）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Theme="minorEastAsia" w:hAnsiTheme="minorEastAsia"/>
                <w:b/>
                <w:sz w:val="24"/>
                <w:szCs w:val="24"/>
              </w:rPr>
            </w:pPr>
            <w:r>
              <w:rPr>
                <w:rFonts w:hint="eastAsia" w:asciiTheme="minorEastAsia" w:hAnsiTheme="minorEastAsia"/>
                <w:b/>
                <w:sz w:val="24"/>
                <w:szCs w:val="24"/>
              </w:rPr>
              <w:t>评分因素</w:t>
            </w:r>
          </w:p>
        </w:tc>
        <w:tc>
          <w:tcPr>
            <w:tcW w:w="6237" w:type="dxa"/>
            <w:vAlign w:val="center"/>
          </w:tcPr>
          <w:p>
            <w:pPr>
              <w:jc w:val="center"/>
              <w:rPr>
                <w:rFonts w:asciiTheme="minorEastAsia" w:hAnsiTheme="minorEastAsia"/>
                <w:b/>
                <w:sz w:val="24"/>
                <w:szCs w:val="24"/>
              </w:rPr>
            </w:pPr>
            <w:r>
              <w:rPr>
                <w:rFonts w:hint="eastAsia" w:asciiTheme="minorEastAsia" w:hAnsiTheme="minorEastAsia"/>
                <w:b/>
                <w:sz w:val="24"/>
                <w:szCs w:val="24"/>
              </w:rPr>
              <w:t>评标标准</w:t>
            </w:r>
          </w:p>
        </w:tc>
        <w:tc>
          <w:tcPr>
            <w:tcW w:w="1097" w:type="dxa"/>
            <w:vAlign w:val="center"/>
          </w:tcPr>
          <w:p>
            <w:pPr>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ind w:right="102"/>
              <w:jc w:val="center"/>
              <w:rPr>
                <w:rFonts w:ascii="宋体" w:cs="宋体"/>
                <w:sz w:val="24"/>
              </w:rPr>
            </w:pPr>
            <w:r>
              <w:rPr>
                <w:rFonts w:hint="eastAsia" w:ascii="宋体" w:hAnsi="宋体" w:cs="宋体"/>
                <w:spacing w:val="1"/>
                <w:sz w:val="24"/>
              </w:rPr>
              <w:t>研发制造</w:t>
            </w:r>
          </w:p>
        </w:tc>
        <w:tc>
          <w:tcPr>
            <w:tcW w:w="6237" w:type="dxa"/>
          </w:tcPr>
          <w:p>
            <w:pPr>
              <w:spacing w:line="360" w:lineRule="exact"/>
              <w:ind w:right="131"/>
              <w:rPr>
                <w:rFonts w:ascii="宋体" w:hAnsi="宋体" w:cs="宋体"/>
                <w:sz w:val="24"/>
              </w:rPr>
            </w:pPr>
            <w:r>
              <w:rPr>
                <w:rFonts w:hint="eastAsia" w:ascii="宋体" w:hAnsi="宋体" w:cs="宋体"/>
                <w:sz w:val="24"/>
              </w:rPr>
              <w:t>投标梯型主控系统、门机控制系统、轿厢通信、呼梯软件、轿厢显示、称重系统软件全部为投标品牌制造商研发的得6分，不满足不得分。</w:t>
            </w:r>
          </w:p>
          <w:p>
            <w:pPr>
              <w:spacing w:line="360" w:lineRule="exact"/>
              <w:ind w:right="131"/>
              <w:rPr>
                <w:rFonts w:ascii="仿宋" w:hAnsi="仿宋" w:eastAsia="仿宋"/>
                <w:b/>
                <w:sz w:val="24"/>
                <w:szCs w:val="24"/>
              </w:rPr>
            </w:pPr>
            <w:r>
              <w:rPr>
                <w:rFonts w:hint="eastAsia" w:ascii="宋体" w:hAnsi="宋体" w:cs="宋体"/>
                <w:sz w:val="24"/>
              </w:rPr>
              <w:t>注：提供国家版权局授权的软件著作权证书复印件并加盖投标单位公章。</w:t>
            </w:r>
          </w:p>
        </w:tc>
        <w:tc>
          <w:tcPr>
            <w:tcW w:w="1097" w:type="dxa"/>
            <w:vAlign w:val="center"/>
          </w:tcPr>
          <w:p>
            <w:pPr>
              <w:jc w:val="center"/>
              <w:rPr>
                <w:rFonts w:asciiTheme="minorEastAsia" w:hAnsiTheme="minorEastAsia"/>
                <w:sz w:val="24"/>
                <w:szCs w:val="24"/>
              </w:rPr>
            </w:pPr>
            <w:r>
              <w:rPr>
                <w:rFonts w:hint="eastAsia" w:asciiTheme="minorEastAsia" w:hAnsiTheme="minorEastAsia"/>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762" w:type="dxa"/>
            <w:vAlign w:val="center"/>
          </w:tcPr>
          <w:p>
            <w:pPr>
              <w:ind w:left="137" w:right="102"/>
              <w:jc w:val="center"/>
              <w:rPr>
                <w:rFonts w:ascii="宋体" w:cs="宋体"/>
                <w:spacing w:val="1"/>
                <w:sz w:val="24"/>
              </w:rPr>
            </w:pPr>
            <w:r>
              <w:rPr>
                <w:rFonts w:hint="eastAsia" w:ascii="宋体" w:hAnsi="宋体" w:cs="宋体"/>
                <w:spacing w:val="1"/>
                <w:sz w:val="24"/>
              </w:rPr>
              <w:t>主要部件品牌</w:t>
            </w:r>
          </w:p>
        </w:tc>
        <w:tc>
          <w:tcPr>
            <w:tcW w:w="6237" w:type="dxa"/>
          </w:tcPr>
          <w:p>
            <w:pPr>
              <w:spacing w:before="4" w:line="360" w:lineRule="exact"/>
              <w:rPr>
                <w:rFonts w:ascii="仿宋" w:hAnsi="仿宋" w:eastAsia="仿宋"/>
                <w:sz w:val="24"/>
                <w:szCs w:val="24"/>
              </w:rPr>
            </w:pPr>
            <w:r>
              <w:rPr>
                <w:rFonts w:hint="eastAsia" w:ascii="宋体" w:hAnsi="宋体" w:cs="宋体"/>
                <w:sz w:val="24"/>
              </w:rPr>
              <w:t>主板、厅门轿门门锁、安全电路、缓冲器、上行超速保护装置品牌与整梯同品牌，每满足一项得1分，全部满足得5分，（以国家电梯质量监督检验中心发的型试实验报告与检测报告为准）。</w:t>
            </w:r>
          </w:p>
        </w:tc>
        <w:tc>
          <w:tcPr>
            <w:tcW w:w="1097" w:type="dxa"/>
            <w:vAlign w:val="center"/>
          </w:tcPr>
          <w:p>
            <w:pPr>
              <w:jc w:val="center"/>
              <w:rPr>
                <w:rFonts w:asciiTheme="minorEastAsia" w:hAnsiTheme="minorEastAsia"/>
                <w:sz w:val="24"/>
                <w:szCs w:val="24"/>
              </w:rPr>
            </w:pPr>
            <w:r>
              <w:rPr>
                <w:rFonts w:hint="eastAsia" w:asciiTheme="minorEastAsia" w:hAnsi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ind w:left="137" w:right="102"/>
              <w:jc w:val="center"/>
              <w:rPr>
                <w:rFonts w:ascii="宋体" w:hAnsi="宋体" w:cs="宋体"/>
                <w:spacing w:val="1"/>
                <w:sz w:val="24"/>
              </w:rPr>
            </w:pPr>
            <w:r>
              <w:rPr>
                <w:rFonts w:hint="eastAsia" w:ascii="宋体" w:hAnsi="宋体" w:cs="宋体"/>
                <w:spacing w:val="1"/>
                <w:sz w:val="24"/>
              </w:rPr>
              <w:t>控制系统先进性</w:t>
            </w:r>
          </w:p>
        </w:tc>
        <w:tc>
          <w:tcPr>
            <w:tcW w:w="6237" w:type="dxa"/>
          </w:tcPr>
          <w:p>
            <w:pPr>
              <w:spacing w:before="4" w:line="360" w:lineRule="exact"/>
              <w:rPr>
                <w:rFonts w:ascii="仿宋" w:hAnsi="仿宋" w:eastAsia="仿宋"/>
                <w:sz w:val="28"/>
                <w:szCs w:val="28"/>
              </w:rPr>
            </w:pPr>
            <w:r>
              <w:rPr>
                <w:rFonts w:hint="eastAsia" w:ascii="宋体" w:hAnsi="宋体"/>
                <w:sz w:val="24"/>
              </w:rPr>
              <w:t>投标梯型控制系统采用不低于</w:t>
            </w:r>
            <w:r>
              <w:rPr>
                <w:rFonts w:ascii="宋体" w:hAnsi="宋体"/>
                <w:sz w:val="24"/>
              </w:rPr>
              <w:t>32</w:t>
            </w:r>
            <w:r>
              <w:rPr>
                <w:rFonts w:hint="eastAsia" w:ascii="宋体" w:hAnsi="宋体"/>
                <w:sz w:val="24"/>
              </w:rPr>
              <w:t>位双</w:t>
            </w:r>
            <w:r>
              <w:rPr>
                <w:rFonts w:ascii="宋体" w:hAnsi="宋体"/>
                <w:sz w:val="24"/>
              </w:rPr>
              <w:t>CPU</w:t>
            </w:r>
            <w:r>
              <w:rPr>
                <w:rFonts w:hint="eastAsia" w:ascii="宋体" w:hAnsi="宋体"/>
                <w:sz w:val="24"/>
              </w:rPr>
              <w:t>标准</w:t>
            </w:r>
            <w:r>
              <w:rPr>
                <w:rFonts w:hint="eastAsia" w:ascii="宋体" w:hAnsi="宋体" w:cs="宋体"/>
                <w:sz w:val="24"/>
              </w:rPr>
              <w:t>得2分（提供该型号控制柜检EMC电磁兼容报告证书，</w:t>
            </w:r>
            <w:r>
              <w:rPr>
                <w:rFonts w:hint="eastAsia" w:ascii="宋体" w:hAnsi="宋体"/>
                <w:sz w:val="24"/>
              </w:rPr>
              <w:t>证书由具备CMA、CAL、CNAS标志的检测机构出具的电磁兼容检测检验报告证书复印件加盖投标单位公章）不满足不</w:t>
            </w:r>
            <w:r>
              <w:rPr>
                <w:rFonts w:hint="eastAsia" w:ascii="宋体" w:hAnsi="宋体" w:cs="宋体"/>
                <w:sz w:val="24"/>
              </w:rPr>
              <w:t>得分。</w:t>
            </w:r>
          </w:p>
        </w:tc>
        <w:tc>
          <w:tcPr>
            <w:tcW w:w="1097" w:type="dxa"/>
            <w:vAlign w:val="center"/>
          </w:tcPr>
          <w:p>
            <w:pPr>
              <w:jc w:val="center"/>
              <w:rPr>
                <w:rFonts w:asciiTheme="minorEastAsia" w:hAnsiTheme="minorEastAsia"/>
                <w:sz w:val="24"/>
                <w:szCs w:val="24"/>
              </w:rPr>
            </w:pPr>
            <w:r>
              <w:rPr>
                <w:rFonts w:hint="eastAsia" w:asciiTheme="minorEastAsia" w:hAnsi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ind w:left="137" w:right="102"/>
              <w:jc w:val="center"/>
              <w:rPr>
                <w:rFonts w:ascii="仿宋" w:hAnsi="仿宋" w:eastAsia="仿宋"/>
                <w:sz w:val="28"/>
                <w:szCs w:val="28"/>
              </w:rPr>
            </w:pPr>
            <w:r>
              <w:rPr>
                <w:rFonts w:hint="eastAsia" w:ascii="宋体" w:hAnsi="宋体" w:cs="宋体"/>
                <w:spacing w:val="1"/>
                <w:sz w:val="24"/>
              </w:rPr>
              <w:t>整梯节能</w:t>
            </w:r>
          </w:p>
        </w:tc>
        <w:tc>
          <w:tcPr>
            <w:tcW w:w="6237" w:type="dxa"/>
          </w:tcPr>
          <w:p>
            <w:pPr>
              <w:spacing w:before="4" w:line="360" w:lineRule="exact"/>
              <w:rPr>
                <w:rFonts w:ascii="宋体" w:hAnsi="宋体"/>
                <w:sz w:val="24"/>
              </w:rPr>
            </w:pPr>
            <w:r>
              <w:rPr>
                <w:rFonts w:hint="eastAsia" w:ascii="宋体" w:hAnsi="宋体"/>
                <w:sz w:val="24"/>
              </w:rPr>
              <w:t>投标梯型系列电梯</w:t>
            </w:r>
            <w:r>
              <w:rPr>
                <w:rFonts w:ascii="宋体" w:hAnsi="宋体"/>
                <w:sz w:val="24"/>
              </w:rPr>
              <w:t>能耗等级满足</w:t>
            </w:r>
            <w:r>
              <w:rPr>
                <w:rFonts w:hint="eastAsia" w:ascii="宋体" w:hAnsi="宋体"/>
                <w:sz w:val="24"/>
              </w:rPr>
              <w:t>VDI4707能耗标准，并且能耗等级</w:t>
            </w:r>
            <w:r>
              <w:rPr>
                <w:rFonts w:ascii="宋体" w:hAnsi="宋体"/>
                <w:sz w:val="24"/>
              </w:rPr>
              <w:t>达到A 级节能标准的得</w:t>
            </w:r>
            <w:r>
              <w:rPr>
                <w:rFonts w:hint="eastAsia" w:ascii="宋体" w:hAnsi="宋体"/>
                <w:sz w:val="24"/>
              </w:rPr>
              <w:t>2</w:t>
            </w:r>
            <w:r>
              <w:rPr>
                <w:rFonts w:ascii="宋体" w:hAnsi="宋体"/>
                <w:sz w:val="24"/>
              </w:rPr>
              <w:t>分，B级 得1分</w:t>
            </w:r>
            <w:r>
              <w:rPr>
                <w:rFonts w:hint="eastAsia" w:ascii="宋体" w:hAnsi="宋体"/>
                <w:sz w:val="24"/>
              </w:rPr>
              <w:t>，</w:t>
            </w:r>
            <w:r>
              <w:rPr>
                <w:rFonts w:ascii="宋体" w:hAnsi="宋体"/>
                <w:sz w:val="24"/>
              </w:rPr>
              <w:t>其余不得分。</w:t>
            </w:r>
            <w:r>
              <w:rPr>
                <w:rFonts w:hint="eastAsia" w:ascii="宋体" w:hAnsi="宋体"/>
                <w:sz w:val="24"/>
              </w:rPr>
              <w:t>（</w:t>
            </w:r>
            <w:r>
              <w:rPr>
                <w:rFonts w:ascii="宋体" w:hAnsi="宋体"/>
                <w:sz w:val="24"/>
              </w:rPr>
              <w:t>提供节能认证证书扫描件）</w:t>
            </w:r>
          </w:p>
        </w:tc>
        <w:tc>
          <w:tcPr>
            <w:tcW w:w="1097" w:type="dxa"/>
            <w:vAlign w:val="center"/>
          </w:tcPr>
          <w:p>
            <w:pPr>
              <w:jc w:val="center"/>
              <w:rPr>
                <w:rFonts w:asciiTheme="minorEastAsia" w:hAnsiTheme="minorEastAsia"/>
                <w:sz w:val="24"/>
                <w:szCs w:val="24"/>
              </w:rPr>
            </w:pPr>
            <w:r>
              <w:rPr>
                <w:rFonts w:hint="eastAsia" w:asciiTheme="minorEastAsia" w:hAnsi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1762" w:type="dxa"/>
            <w:vAlign w:val="center"/>
          </w:tcPr>
          <w:p>
            <w:pPr>
              <w:ind w:left="137" w:right="102"/>
              <w:jc w:val="center"/>
              <w:rPr>
                <w:rFonts w:ascii="仿宋" w:hAnsi="仿宋" w:eastAsia="仿宋"/>
                <w:sz w:val="28"/>
                <w:szCs w:val="28"/>
              </w:rPr>
            </w:pPr>
            <w:r>
              <w:rPr>
                <w:rFonts w:ascii="宋体" w:hAnsi="宋体" w:cs="宋体"/>
                <w:spacing w:val="1"/>
                <w:sz w:val="24"/>
              </w:rPr>
              <w:t>企业荣誉</w:t>
            </w:r>
          </w:p>
        </w:tc>
        <w:tc>
          <w:tcPr>
            <w:tcW w:w="6237" w:type="dxa"/>
          </w:tcPr>
          <w:p>
            <w:pPr>
              <w:spacing w:before="4" w:line="400" w:lineRule="exact"/>
              <w:rPr>
                <w:rFonts w:ascii="仿宋" w:hAnsi="仿宋" w:eastAsia="仿宋"/>
                <w:sz w:val="28"/>
                <w:szCs w:val="28"/>
              </w:rPr>
            </w:pPr>
            <w:r>
              <w:rPr>
                <w:rFonts w:hint="eastAsia" w:ascii="宋体" w:hAnsi="宋体" w:cs="宋体"/>
                <w:spacing w:val="1"/>
                <w:position w:val="-4"/>
                <w:sz w:val="24"/>
              </w:rPr>
              <w:t>投标品牌制造商获得省级及以上工业级信息化委员会评定的“质量标杆企业”的得2分。（官方网站网络公示截图及公示名单加盖投标单位公章）</w:t>
            </w:r>
            <w:r>
              <w:rPr>
                <w:rFonts w:ascii="宋体" w:hAnsi="宋体" w:cs="宋体"/>
                <w:spacing w:val="1"/>
                <w:position w:val="-4"/>
                <w:sz w:val="24"/>
              </w:rPr>
              <w:t>，满分</w:t>
            </w:r>
            <w:r>
              <w:rPr>
                <w:rFonts w:hint="eastAsia" w:ascii="宋体" w:hAnsi="宋体" w:cs="宋体"/>
                <w:spacing w:val="1"/>
                <w:position w:val="-4"/>
                <w:sz w:val="24"/>
              </w:rPr>
              <w:t>2</w:t>
            </w:r>
            <w:r>
              <w:rPr>
                <w:rFonts w:ascii="宋体" w:hAnsi="宋体" w:cs="宋体"/>
                <w:spacing w:val="1"/>
                <w:position w:val="-4"/>
                <w:sz w:val="24"/>
              </w:rPr>
              <w:t>分。</w:t>
            </w:r>
          </w:p>
        </w:tc>
        <w:tc>
          <w:tcPr>
            <w:tcW w:w="1097" w:type="dxa"/>
            <w:vAlign w:val="center"/>
          </w:tcPr>
          <w:p>
            <w:pPr>
              <w:jc w:val="center"/>
              <w:rPr>
                <w:rFonts w:asciiTheme="minorEastAsia" w:hAnsiTheme="minorEastAsia"/>
                <w:sz w:val="24"/>
                <w:szCs w:val="24"/>
              </w:rPr>
            </w:pPr>
            <w:r>
              <w:rPr>
                <w:rFonts w:hint="eastAsia" w:asciiTheme="minorEastAsia" w:hAnsi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before="5" w:line="190" w:lineRule="exact"/>
              <w:jc w:val="center"/>
              <w:rPr>
                <w:sz w:val="19"/>
                <w:szCs w:val="19"/>
              </w:rPr>
            </w:pPr>
          </w:p>
          <w:p>
            <w:pPr>
              <w:spacing w:line="200" w:lineRule="exact"/>
              <w:jc w:val="center"/>
              <w:rPr>
                <w:sz w:val="20"/>
                <w:szCs w:val="20"/>
              </w:rPr>
            </w:pPr>
          </w:p>
          <w:p>
            <w:pPr>
              <w:spacing w:line="200" w:lineRule="exact"/>
              <w:jc w:val="center"/>
              <w:rPr>
                <w:sz w:val="20"/>
                <w:szCs w:val="20"/>
              </w:rPr>
            </w:pPr>
          </w:p>
          <w:p>
            <w:pPr>
              <w:spacing w:line="269" w:lineRule="auto"/>
              <w:ind w:left="77" w:right="43" w:firstLine="1"/>
              <w:jc w:val="center"/>
              <w:rPr>
                <w:rFonts w:ascii="仿宋" w:hAnsi="仿宋" w:eastAsia="仿宋"/>
                <w:sz w:val="28"/>
                <w:szCs w:val="28"/>
              </w:rPr>
            </w:pPr>
            <w:r>
              <w:rPr>
                <w:rFonts w:hint="eastAsia" w:ascii="宋体" w:hAnsi="宋体" w:cs="宋体"/>
                <w:spacing w:val="1"/>
                <w:sz w:val="24"/>
              </w:rPr>
              <w:t>电梯安装施工组织方</w:t>
            </w:r>
            <w:r>
              <w:rPr>
                <w:rFonts w:hint="eastAsia" w:ascii="宋体" w:hAnsi="宋体" w:cs="宋体"/>
                <w:sz w:val="24"/>
              </w:rPr>
              <w:t>案</w:t>
            </w:r>
          </w:p>
        </w:tc>
        <w:tc>
          <w:tcPr>
            <w:tcW w:w="6237" w:type="dxa"/>
          </w:tcPr>
          <w:p>
            <w:pPr>
              <w:spacing w:line="360" w:lineRule="auto"/>
              <w:ind w:left="102" w:right="-23"/>
              <w:rPr>
                <w:rFonts w:ascii="宋体" w:hAnsi="宋体" w:cs="宋体"/>
                <w:spacing w:val="-3"/>
                <w:position w:val="-4"/>
                <w:sz w:val="24"/>
              </w:rPr>
            </w:pPr>
            <w:r>
              <w:rPr>
                <w:rFonts w:hint="eastAsia" w:ascii="宋体" w:hAnsi="宋体" w:cs="宋体"/>
                <w:spacing w:val="-3"/>
                <w:position w:val="-4"/>
                <w:sz w:val="24"/>
              </w:rPr>
              <w:t>1、具有安装调试方案，根据投标文件安装调试方案的完整性，合理性，得2分；</w:t>
            </w:r>
          </w:p>
          <w:p>
            <w:pPr>
              <w:spacing w:line="360" w:lineRule="auto"/>
              <w:ind w:left="102" w:right="-23"/>
              <w:rPr>
                <w:rFonts w:ascii="宋体" w:hAnsi="宋体" w:cs="宋体"/>
                <w:spacing w:val="-3"/>
                <w:position w:val="-4"/>
                <w:sz w:val="24"/>
              </w:rPr>
            </w:pPr>
            <w:r>
              <w:rPr>
                <w:rFonts w:hint="eastAsia" w:ascii="宋体" w:hAnsi="宋体" w:cs="宋体"/>
                <w:spacing w:val="-3"/>
                <w:position w:val="-4"/>
                <w:sz w:val="24"/>
              </w:rPr>
              <w:t>2、具有质量保证与控制措施，根据投标文件完善的质量保证措施及合理的质量控制方案，得2分；</w:t>
            </w:r>
          </w:p>
          <w:p>
            <w:pPr>
              <w:spacing w:line="360" w:lineRule="auto"/>
              <w:ind w:left="102" w:right="-23"/>
              <w:rPr>
                <w:rFonts w:ascii="宋体" w:hAnsi="宋体" w:cs="宋体"/>
                <w:spacing w:val="-3"/>
                <w:position w:val="-4"/>
                <w:sz w:val="24"/>
              </w:rPr>
            </w:pPr>
            <w:r>
              <w:rPr>
                <w:rFonts w:hint="eastAsia" w:ascii="宋体" w:hAnsi="宋体" w:cs="宋体"/>
                <w:spacing w:val="-3"/>
                <w:position w:val="-4"/>
                <w:sz w:val="24"/>
              </w:rPr>
              <w:t>3、具有工期保证与控制措施，根据投标文件要求的具体工期，配合人员及方案合理且有具体的日期计划，得2分；</w:t>
            </w:r>
          </w:p>
          <w:p>
            <w:pPr>
              <w:spacing w:line="360" w:lineRule="auto"/>
              <w:ind w:left="102" w:right="-23"/>
              <w:rPr>
                <w:rFonts w:ascii="宋体" w:hAnsi="宋体" w:cs="宋体"/>
                <w:spacing w:val="-3"/>
                <w:position w:val="-4"/>
                <w:sz w:val="24"/>
              </w:rPr>
            </w:pPr>
            <w:r>
              <w:rPr>
                <w:rFonts w:hint="eastAsia" w:ascii="宋体" w:hAnsi="宋体" w:cs="宋体"/>
                <w:spacing w:val="-3"/>
                <w:position w:val="-4"/>
                <w:sz w:val="24"/>
              </w:rPr>
              <w:t>4、具有现场安装的安全措施，有完善的安全管理措施，配备有专职的安全员，并在紧急情况状况下的处理方案，得2分；</w:t>
            </w:r>
          </w:p>
          <w:p>
            <w:pPr>
              <w:spacing w:line="360" w:lineRule="auto"/>
              <w:ind w:left="102" w:right="-23"/>
              <w:rPr>
                <w:rFonts w:ascii="宋体" w:hAnsi="宋体" w:cs="宋体"/>
                <w:spacing w:val="-3"/>
                <w:position w:val="-4"/>
                <w:sz w:val="24"/>
              </w:rPr>
            </w:pPr>
            <w:r>
              <w:rPr>
                <w:rFonts w:hint="eastAsia" w:ascii="宋体" w:hAnsi="宋体" w:cs="宋体"/>
                <w:spacing w:val="-3"/>
                <w:position w:val="-4"/>
                <w:sz w:val="24"/>
              </w:rPr>
              <w:t xml:space="preserve">缺项及不提供不得分。 </w:t>
            </w:r>
          </w:p>
        </w:tc>
        <w:tc>
          <w:tcPr>
            <w:tcW w:w="1097" w:type="dxa"/>
            <w:vAlign w:val="center"/>
          </w:tcPr>
          <w:p>
            <w:pPr>
              <w:jc w:val="center"/>
              <w:rPr>
                <w:rFonts w:asciiTheme="minorEastAsia" w:hAnsiTheme="minorEastAsia"/>
                <w:sz w:val="24"/>
                <w:szCs w:val="24"/>
              </w:rPr>
            </w:pPr>
            <w:r>
              <w:rPr>
                <w:rFonts w:hint="eastAsia" w:asciiTheme="minorEastAsia" w:hAnsiTheme="minorEastAsia"/>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jc w:val="center"/>
        </w:trPr>
        <w:tc>
          <w:tcPr>
            <w:tcW w:w="1762" w:type="dxa"/>
            <w:vAlign w:val="center"/>
          </w:tcPr>
          <w:p>
            <w:pPr>
              <w:spacing w:before="4" w:line="360" w:lineRule="auto"/>
              <w:jc w:val="center"/>
              <w:rPr>
                <w:sz w:val="18"/>
                <w:szCs w:val="18"/>
              </w:rPr>
            </w:pPr>
          </w:p>
          <w:p>
            <w:pPr>
              <w:spacing w:line="360" w:lineRule="auto"/>
              <w:jc w:val="center"/>
              <w:rPr>
                <w:sz w:val="20"/>
                <w:szCs w:val="20"/>
              </w:rPr>
            </w:pPr>
          </w:p>
          <w:p>
            <w:pPr>
              <w:spacing w:line="360" w:lineRule="auto"/>
              <w:ind w:left="137" w:right="102"/>
              <w:jc w:val="center"/>
              <w:rPr>
                <w:rFonts w:ascii="宋体" w:cs="宋体"/>
                <w:sz w:val="24"/>
              </w:rPr>
            </w:pPr>
            <w:r>
              <w:rPr>
                <w:rFonts w:hint="eastAsia" w:ascii="宋体" w:hAnsi="宋体" w:cs="宋体"/>
                <w:spacing w:val="1"/>
                <w:sz w:val="24"/>
              </w:rPr>
              <w:t>维护保养及售后服务承诺</w:t>
            </w:r>
          </w:p>
          <w:p>
            <w:pPr>
              <w:spacing w:before="21" w:line="360" w:lineRule="auto"/>
              <w:ind w:left="276" w:right="241"/>
              <w:jc w:val="center"/>
              <w:rPr>
                <w:rFonts w:ascii="仿宋" w:hAnsi="仿宋" w:eastAsia="仿宋"/>
                <w:sz w:val="28"/>
                <w:szCs w:val="28"/>
              </w:rPr>
            </w:pPr>
          </w:p>
        </w:tc>
        <w:tc>
          <w:tcPr>
            <w:tcW w:w="6237" w:type="dxa"/>
          </w:tcPr>
          <w:p>
            <w:pPr>
              <w:spacing w:line="360" w:lineRule="auto"/>
              <w:ind w:left="104" w:right="-20"/>
              <w:rPr>
                <w:rFonts w:ascii="宋体" w:hAnsi="宋体" w:cs="宋体"/>
                <w:spacing w:val="-3"/>
                <w:position w:val="-4"/>
                <w:sz w:val="24"/>
              </w:rPr>
            </w:pPr>
            <w:r>
              <w:rPr>
                <w:rFonts w:hint="eastAsia" w:ascii="宋体" w:hAnsi="宋体" w:cs="宋体"/>
                <w:spacing w:val="-3"/>
                <w:position w:val="-4"/>
                <w:sz w:val="24"/>
              </w:rPr>
              <w:t>1、现场技术服务承诺及保证（包括安装、调试、联动技术服务和分阶段人员培训、设备检测）措施完善；得1分</w:t>
            </w:r>
          </w:p>
          <w:p>
            <w:pPr>
              <w:spacing w:line="360" w:lineRule="auto"/>
              <w:ind w:left="104" w:right="-20"/>
              <w:rPr>
                <w:rFonts w:ascii="宋体" w:hAnsi="宋体" w:cs="宋体"/>
                <w:spacing w:val="-3"/>
                <w:position w:val="-4"/>
                <w:sz w:val="24"/>
              </w:rPr>
            </w:pPr>
            <w:r>
              <w:rPr>
                <w:rFonts w:hint="eastAsia" w:ascii="宋体" w:hAnsi="宋体" w:cs="宋体"/>
                <w:spacing w:val="-3"/>
                <w:position w:val="-4"/>
                <w:sz w:val="24"/>
              </w:rPr>
              <w:t>2、投标人在接到维修电话可以承诺0.5小时内到现场的得1分，1小时内到现场的得0.5分，超过1小时的不得分。</w:t>
            </w:r>
          </w:p>
          <w:p>
            <w:pPr>
              <w:spacing w:line="360" w:lineRule="auto"/>
              <w:ind w:left="104" w:right="-20"/>
              <w:rPr>
                <w:rFonts w:ascii="宋体" w:hAnsi="宋体" w:cs="宋体"/>
                <w:spacing w:val="-3"/>
                <w:position w:val="-4"/>
                <w:sz w:val="24"/>
              </w:rPr>
            </w:pPr>
            <w:r>
              <w:rPr>
                <w:rFonts w:hint="eastAsia" w:ascii="宋体" w:hAnsi="宋体" w:cs="宋体"/>
                <w:spacing w:val="-3"/>
                <w:position w:val="-4"/>
                <w:sz w:val="24"/>
              </w:rPr>
              <w:t xml:space="preserve">3、所投品牌制造商为本项目所投电梯配备实时远程监控系统且至少已投入运行一年以上的得5分。（该系统至少具备电梯实时运行远程监控、故障自动分析、维保记录等）（提供市级或以上市场监督管理局所确认的证明材料原件扫描件及投标人在投标文件中作出承诺） </w:t>
            </w:r>
          </w:p>
        </w:tc>
        <w:tc>
          <w:tcPr>
            <w:tcW w:w="1097" w:type="dxa"/>
            <w:vAlign w:val="center"/>
          </w:tcPr>
          <w:p>
            <w:pPr>
              <w:jc w:val="center"/>
              <w:rPr>
                <w:rFonts w:asciiTheme="minorEastAsia" w:hAnsiTheme="minorEastAsia"/>
                <w:sz w:val="24"/>
                <w:szCs w:val="24"/>
              </w:rPr>
            </w:pPr>
            <w:r>
              <w:rPr>
                <w:rFonts w:hint="eastAsia" w:asciiTheme="minorEastAsia" w:hAnsiTheme="minorEastAsia"/>
                <w:sz w:val="24"/>
                <w:szCs w:val="24"/>
              </w:rPr>
              <w:t>7分</w:t>
            </w:r>
          </w:p>
        </w:tc>
      </w:tr>
    </w:tbl>
    <w:p>
      <w:pPr>
        <w:pStyle w:val="28"/>
        <w:rPr>
          <w:rFonts w:hint="default"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8"/>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u w:val="single"/>
                <w14:textFill>
                  <w14:solidFill>
                    <w14:schemeClr w14:val="tx1"/>
                  </w14:solidFill>
                </w14:textFill>
              </w:rPr>
              <w:t>2</w:t>
            </w:r>
            <w:r>
              <w:rPr>
                <w:rFonts w:hint="eastAsia" w:ascii="宋体" w:hAnsi="宋体"/>
                <w:color w:val="000000" w:themeColor="text1"/>
                <w:sz w:val="24"/>
                <w:szCs w:val="24"/>
                <w:u w:val="single"/>
                <w14:textFill>
                  <w14:solidFill>
                    <w14:schemeClr w14:val="tx1"/>
                  </w14:solidFill>
                </w14:textFill>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74185203"/>
      <w:bookmarkStart w:id="3" w:name="_Toc186274126"/>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both"/>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8"/>
        <w:rPr>
          <w:rFonts w:hint="eastAsia" w:ascii="宋体" w:hAnsi="宋体"/>
          <w:b/>
          <w:bCs/>
          <w:color w:val="000000"/>
          <w:sz w:val="24"/>
          <w:szCs w:val="24"/>
        </w:rPr>
      </w:pPr>
    </w:p>
    <w:p>
      <w:pPr>
        <w:pStyle w:val="28"/>
        <w:rPr>
          <w:rFonts w:hint="eastAsia" w:ascii="宋体" w:hAnsi="宋体"/>
          <w:b/>
          <w:bCs/>
          <w:color w:val="000000"/>
          <w:sz w:val="24"/>
          <w:szCs w:val="24"/>
        </w:rPr>
      </w:pPr>
    </w:p>
    <w:p>
      <w:pPr>
        <w:pStyle w:val="28"/>
        <w:rPr>
          <w:rFonts w:hint="eastAsia" w:ascii="宋体" w:hAnsi="宋体"/>
          <w:b/>
          <w:bCs/>
          <w:color w:val="000000"/>
          <w:sz w:val="24"/>
          <w:szCs w:val="24"/>
        </w:rPr>
      </w:pPr>
    </w:p>
    <w:p>
      <w:pPr>
        <w:pStyle w:val="28"/>
        <w:rPr>
          <w:rFonts w:hint="eastAsia" w:ascii="宋体" w:hAnsi="宋体"/>
          <w:b/>
          <w:bCs/>
          <w:color w:val="000000"/>
          <w:sz w:val="24"/>
          <w:szCs w:val="24"/>
        </w:rPr>
      </w:pPr>
    </w:p>
    <w:p>
      <w:pPr>
        <w:pStyle w:val="28"/>
        <w:rPr>
          <w:rFonts w:hint="eastAsia" w:ascii="宋体" w:hAnsi="宋体"/>
          <w:b/>
          <w:bCs/>
          <w:color w:val="000000"/>
          <w:sz w:val="24"/>
          <w:szCs w:val="24"/>
        </w:rPr>
      </w:pPr>
    </w:p>
    <w:p>
      <w:pPr>
        <w:pStyle w:val="28"/>
        <w:rPr>
          <w:rFonts w:hint="eastAsia" w:ascii="宋体" w:hAnsi="宋体"/>
          <w:b/>
          <w:bCs/>
          <w:color w:val="000000"/>
          <w:sz w:val="24"/>
          <w:szCs w:val="24"/>
        </w:rPr>
      </w:pPr>
    </w:p>
    <w:p>
      <w:pPr>
        <w:pStyle w:val="28"/>
        <w:rPr>
          <w:rFonts w:hint="eastAsia" w:ascii="宋体" w:hAnsi="宋体"/>
          <w:b/>
          <w:bCs/>
          <w:color w:val="000000"/>
          <w:sz w:val="24"/>
          <w:szCs w:val="24"/>
        </w:rPr>
      </w:pPr>
    </w:p>
    <w:p>
      <w:pPr>
        <w:pStyle w:val="28"/>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19"/>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19"/>
        <w:widowControl/>
        <w:shd w:val="clear" w:color="auto" w:fill="FFFFFF"/>
        <w:spacing w:after="300" w:line="336" w:lineRule="atLeast"/>
        <w:ind w:firstLine="5250" w:firstLineChars="25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19"/>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5"/>
                          </w:pPr>
                          <w:r>
                            <w:fldChar w:fldCharType="begin"/>
                          </w:r>
                          <w:r>
                            <w:instrText xml:space="preserve"> PAGE  \* MERGEFORMAT </w:instrText>
                          </w:r>
                          <w:r>
                            <w:fldChar w:fldCharType="separate"/>
                          </w:r>
                          <w:r>
                            <w:t>77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C98ED"/>
    <w:multiLevelType w:val="singleLevel"/>
    <w:tmpl w:val="94AC98ED"/>
    <w:lvl w:ilvl="0" w:tentative="0">
      <w:start w:val="6"/>
      <w:numFmt w:val="chineseCounting"/>
      <w:suff w:val="nothing"/>
      <w:lvlText w:val="（%1）"/>
      <w:lvlJc w:val="left"/>
      <w:rPr>
        <w:rFonts w:hint="eastAsia"/>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2"/>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8"/>
  </w:num>
  <w:num w:numId="4">
    <w:abstractNumId w:val="6"/>
  </w:num>
  <w:num w:numId="5">
    <w:abstractNumId w:val="7"/>
  </w:num>
  <w:num w:numId="6">
    <w:abstractNumId w:val="0"/>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7217D3"/>
    <w:rsid w:val="03A87C38"/>
    <w:rsid w:val="03C54AE6"/>
    <w:rsid w:val="04AC3A15"/>
    <w:rsid w:val="04C956AD"/>
    <w:rsid w:val="067B2CDB"/>
    <w:rsid w:val="06F41738"/>
    <w:rsid w:val="07732CDA"/>
    <w:rsid w:val="07DA78CD"/>
    <w:rsid w:val="080C2BBA"/>
    <w:rsid w:val="082F3422"/>
    <w:rsid w:val="08B21831"/>
    <w:rsid w:val="08C0181D"/>
    <w:rsid w:val="08FD5745"/>
    <w:rsid w:val="0A5E16AE"/>
    <w:rsid w:val="0A7C3AAF"/>
    <w:rsid w:val="0A997A60"/>
    <w:rsid w:val="0AAE1C85"/>
    <w:rsid w:val="0AB50907"/>
    <w:rsid w:val="0B01317F"/>
    <w:rsid w:val="0B4341E8"/>
    <w:rsid w:val="0BBD5765"/>
    <w:rsid w:val="0C1D2223"/>
    <w:rsid w:val="0C3D4298"/>
    <w:rsid w:val="0C9523A6"/>
    <w:rsid w:val="0CA67F00"/>
    <w:rsid w:val="0CAB7FE2"/>
    <w:rsid w:val="0CD004BF"/>
    <w:rsid w:val="0CF46B6D"/>
    <w:rsid w:val="0CF874BC"/>
    <w:rsid w:val="0D403087"/>
    <w:rsid w:val="0F485C64"/>
    <w:rsid w:val="0FD30C14"/>
    <w:rsid w:val="101B403B"/>
    <w:rsid w:val="110E6851"/>
    <w:rsid w:val="1139362B"/>
    <w:rsid w:val="116D26CD"/>
    <w:rsid w:val="11C23651"/>
    <w:rsid w:val="11E13F76"/>
    <w:rsid w:val="123143AC"/>
    <w:rsid w:val="129267D1"/>
    <w:rsid w:val="12C422CE"/>
    <w:rsid w:val="13903C42"/>
    <w:rsid w:val="13EB69AF"/>
    <w:rsid w:val="13EF7D11"/>
    <w:rsid w:val="140778EB"/>
    <w:rsid w:val="155C6126"/>
    <w:rsid w:val="15604D63"/>
    <w:rsid w:val="158908A7"/>
    <w:rsid w:val="160E3E81"/>
    <w:rsid w:val="168D0FF1"/>
    <w:rsid w:val="16EB2042"/>
    <w:rsid w:val="16EE4E99"/>
    <w:rsid w:val="171E620C"/>
    <w:rsid w:val="175F012D"/>
    <w:rsid w:val="17843B5C"/>
    <w:rsid w:val="17A87F25"/>
    <w:rsid w:val="17F27C17"/>
    <w:rsid w:val="183965F3"/>
    <w:rsid w:val="189035FD"/>
    <w:rsid w:val="18C769E5"/>
    <w:rsid w:val="18D55096"/>
    <w:rsid w:val="19114BF9"/>
    <w:rsid w:val="192D0B22"/>
    <w:rsid w:val="198348D6"/>
    <w:rsid w:val="199F2037"/>
    <w:rsid w:val="1A08396D"/>
    <w:rsid w:val="1A1A3129"/>
    <w:rsid w:val="1AFBFFDD"/>
    <w:rsid w:val="1B1653FD"/>
    <w:rsid w:val="1B763E3F"/>
    <w:rsid w:val="1BAE49D7"/>
    <w:rsid w:val="1C2D1536"/>
    <w:rsid w:val="1CCF2F1D"/>
    <w:rsid w:val="1CF87F0B"/>
    <w:rsid w:val="1CFB73D3"/>
    <w:rsid w:val="1D3B1EEC"/>
    <w:rsid w:val="1D6927C3"/>
    <w:rsid w:val="1D767D0D"/>
    <w:rsid w:val="1E8E722F"/>
    <w:rsid w:val="1F8E45BB"/>
    <w:rsid w:val="1FE15514"/>
    <w:rsid w:val="1FF158F3"/>
    <w:rsid w:val="208614E5"/>
    <w:rsid w:val="2157706F"/>
    <w:rsid w:val="21DC7D3C"/>
    <w:rsid w:val="21DD4A96"/>
    <w:rsid w:val="2298317C"/>
    <w:rsid w:val="22CE29EE"/>
    <w:rsid w:val="22E53AFD"/>
    <w:rsid w:val="23661F4B"/>
    <w:rsid w:val="23D238B5"/>
    <w:rsid w:val="24D35795"/>
    <w:rsid w:val="255E48CD"/>
    <w:rsid w:val="2610222D"/>
    <w:rsid w:val="26B87348"/>
    <w:rsid w:val="271F4B16"/>
    <w:rsid w:val="275038F3"/>
    <w:rsid w:val="27CD14F5"/>
    <w:rsid w:val="28E96646"/>
    <w:rsid w:val="28F2008A"/>
    <w:rsid w:val="293C5FB1"/>
    <w:rsid w:val="29A55E19"/>
    <w:rsid w:val="29F94CB1"/>
    <w:rsid w:val="2A553543"/>
    <w:rsid w:val="2A745111"/>
    <w:rsid w:val="2AF87034"/>
    <w:rsid w:val="2B022C78"/>
    <w:rsid w:val="2C014C3B"/>
    <w:rsid w:val="2D4A693F"/>
    <w:rsid w:val="2E252DC4"/>
    <w:rsid w:val="2EA45CA5"/>
    <w:rsid w:val="2EE200E1"/>
    <w:rsid w:val="2F566BBD"/>
    <w:rsid w:val="2F650AED"/>
    <w:rsid w:val="2FFD3F6B"/>
    <w:rsid w:val="30EA79C7"/>
    <w:rsid w:val="30FD56B7"/>
    <w:rsid w:val="31A50810"/>
    <w:rsid w:val="329E1B24"/>
    <w:rsid w:val="32BF12F4"/>
    <w:rsid w:val="33563CED"/>
    <w:rsid w:val="337B5F7A"/>
    <w:rsid w:val="338A4286"/>
    <w:rsid w:val="339D1431"/>
    <w:rsid w:val="347F0816"/>
    <w:rsid w:val="34B644B7"/>
    <w:rsid w:val="35E354F9"/>
    <w:rsid w:val="36B46A4A"/>
    <w:rsid w:val="36DF6054"/>
    <w:rsid w:val="36E65B38"/>
    <w:rsid w:val="375656B9"/>
    <w:rsid w:val="375B6549"/>
    <w:rsid w:val="37627558"/>
    <w:rsid w:val="37B91083"/>
    <w:rsid w:val="383731D3"/>
    <w:rsid w:val="39814F94"/>
    <w:rsid w:val="39FD28B4"/>
    <w:rsid w:val="3A3F6D33"/>
    <w:rsid w:val="3A403E64"/>
    <w:rsid w:val="3AC47AB6"/>
    <w:rsid w:val="3ADD0A2E"/>
    <w:rsid w:val="3B4C7808"/>
    <w:rsid w:val="3B7A3E82"/>
    <w:rsid w:val="3B8D0CE8"/>
    <w:rsid w:val="3BA71EF1"/>
    <w:rsid w:val="3C1651F0"/>
    <w:rsid w:val="3C2006E5"/>
    <w:rsid w:val="3CA03985"/>
    <w:rsid w:val="3CBF1608"/>
    <w:rsid w:val="3CC749D9"/>
    <w:rsid w:val="3CFB31CE"/>
    <w:rsid w:val="3D102A7D"/>
    <w:rsid w:val="3D2A336E"/>
    <w:rsid w:val="3DCA2531"/>
    <w:rsid w:val="3DDA3322"/>
    <w:rsid w:val="3E3A26DB"/>
    <w:rsid w:val="3E980225"/>
    <w:rsid w:val="3EA20E92"/>
    <w:rsid w:val="3F263B0E"/>
    <w:rsid w:val="3F7765AC"/>
    <w:rsid w:val="3FF81C25"/>
    <w:rsid w:val="414D7438"/>
    <w:rsid w:val="41572B91"/>
    <w:rsid w:val="41A16B13"/>
    <w:rsid w:val="41EF3AE9"/>
    <w:rsid w:val="42065704"/>
    <w:rsid w:val="423A7A11"/>
    <w:rsid w:val="428968C5"/>
    <w:rsid w:val="430D37F8"/>
    <w:rsid w:val="43420F67"/>
    <w:rsid w:val="43A54CF0"/>
    <w:rsid w:val="43AF27C5"/>
    <w:rsid w:val="443E3AC2"/>
    <w:rsid w:val="444772BC"/>
    <w:rsid w:val="444A0A6A"/>
    <w:rsid w:val="444D773E"/>
    <w:rsid w:val="44972791"/>
    <w:rsid w:val="458D2A4C"/>
    <w:rsid w:val="4597582F"/>
    <w:rsid w:val="459D509E"/>
    <w:rsid w:val="45A926DC"/>
    <w:rsid w:val="45FC4042"/>
    <w:rsid w:val="468C1DC0"/>
    <w:rsid w:val="477C4489"/>
    <w:rsid w:val="477E79DB"/>
    <w:rsid w:val="47EC2F8F"/>
    <w:rsid w:val="48A74E72"/>
    <w:rsid w:val="48BB1E61"/>
    <w:rsid w:val="48E44347"/>
    <w:rsid w:val="4AB4093D"/>
    <w:rsid w:val="4AE22F4C"/>
    <w:rsid w:val="4B536EA5"/>
    <w:rsid w:val="4CA91082"/>
    <w:rsid w:val="4D1C4C00"/>
    <w:rsid w:val="4E8F0D2C"/>
    <w:rsid w:val="4E9D24DB"/>
    <w:rsid w:val="4EAC4ADD"/>
    <w:rsid w:val="4EB72836"/>
    <w:rsid w:val="4ED23FD5"/>
    <w:rsid w:val="4EE945C2"/>
    <w:rsid w:val="4EF67103"/>
    <w:rsid w:val="4EF775A1"/>
    <w:rsid w:val="4EFB1FC3"/>
    <w:rsid w:val="4F3C1178"/>
    <w:rsid w:val="4F661CEB"/>
    <w:rsid w:val="4FEB5C49"/>
    <w:rsid w:val="505C6771"/>
    <w:rsid w:val="51E5370B"/>
    <w:rsid w:val="527B1821"/>
    <w:rsid w:val="529052C0"/>
    <w:rsid w:val="5310611D"/>
    <w:rsid w:val="53276344"/>
    <w:rsid w:val="53293BFC"/>
    <w:rsid w:val="533D55CA"/>
    <w:rsid w:val="535D3032"/>
    <w:rsid w:val="53C97953"/>
    <w:rsid w:val="53F5577A"/>
    <w:rsid w:val="54300CD9"/>
    <w:rsid w:val="55026173"/>
    <w:rsid w:val="5590515E"/>
    <w:rsid w:val="55DC71C6"/>
    <w:rsid w:val="55EF2276"/>
    <w:rsid w:val="562D2F69"/>
    <w:rsid w:val="57024892"/>
    <w:rsid w:val="5703196B"/>
    <w:rsid w:val="57140DA8"/>
    <w:rsid w:val="574A43AC"/>
    <w:rsid w:val="58077CBD"/>
    <w:rsid w:val="5812110B"/>
    <w:rsid w:val="582E1358"/>
    <w:rsid w:val="58323449"/>
    <w:rsid w:val="58854954"/>
    <w:rsid w:val="58FD658D"/>
    <w:rsid w:val="59454145"/>
    <w:rsid w:val="5A836AC3"/>
    <w:rsid w:val="5B0C6CA4"/>
    <w:rsid w:val="5BCD4474"/>
    <w:rsid w:val="5CFD3C28"/>
    <w:rsid w:val="5DCC21CD"/>
    <w:rsid w:val="5E2C7B65"/>
    <w:rsid w:val="5EB8046C"/>
    <w:rsid w:val="5EC23D91"/>
    <w:rsid w:val="5EEA6FD8"/>
    <w:rsid w:val="5F5D3B89"/>
    <w:rsid w:val="5F91300B"/>
    <w:rsid w:val="5FBD74DE"/>
    <w:rsid w:val="601812B8"/>
    <w:rsid w:val="60BD0412"/>
    <w:rsid w:val="60C57DDF"/>
    <w:rsid w:val="616C5D6E"/>
    <w:rsid w:val="61775FA5"/>
    <w:rsid w:val="619B680C"/>
    <w:rsid w:val="62E53998"/>
    <w:rsid w:val="64124C78"/>
    <w:rsid w:val="648D2FFF"/>
    <w:rsid w:val="653348F4"/>
    <w:rsid w:val="656839C3"/>
    <w:rsid w:val="65725730"/>
    <w:rsid w:val="65B92974"/>
    <w:rsid w:val="65C80747"/>
    <w:rsid w:val="665D6AFD"/>
    <w:rsid w:val="66A00112"/>
    <w:rsid w:val="67123871"/>
    <w:rsid w:val="672B7704"/>
    <w:rsid w:val="67F3380F"/>
    <w:rsid w:val="68493785"/>
    <w:rsid w:val="68594ADA"/>
    <w:rsid w:val="68741D48"/>
    <w:rsid w:val="693A6BDC"/>
    <w:rsid w:val="6AAD43BB"/>
    <w:rsid w:val="6AB31C19"/>
    <w:rsid w:val="6B357A50"/>
    <w:rsid w:val="6B5B7DCB"/>
    <w:rsid w:val="6B930197"/>
    <w:rsid w:val="6BB95672"/>
    <w:rsid w:val="6C1E4AF0"/>
    <w:rsid w:val="6C4712E8"/>
    <w:rsid w:val="6C626D67"/>
    <w:rsid w:val="6C7703E5"/>
    <w:rsid w:val="6C9C46AE"/>
    <w:rsid w:val="6CE55F45"/>
    <w:rsid w:val="6D15465F"/>
    <w:rsid w:val="6D6121F0"/>
    <w:rsid w:val="6D8D5D8A"/>
    <w:rsid w:val="6DE87E82"/>
    <w:rsid w:val="6DFC3DF2"/>
    <w:rsid w:val="6E673C05"/>
    <w:rsid w:val="6E6F4DC3"/>
    <w:rsid w:val="6E7511ED"/>
    <w:rsid w:val="6E76180E"/>
    <w:rsid w:val="6ED546F7"/>
    <w:rsid w:val="6F272507"/>
    <w:rsid w:val="6F992BAA"/>
    <w:rsid w:val="6FF11A89"/>
    <w:rsid w:val="70117814"/>
    <w:rsid w:val="70602224"/>
    <w:rsid w:val="70C1699F"/>
    <w:rsid w:val="7151172F"/>
    <w:rsid w:val="71617265"/>
    <w:rsid w:val="71C32A07"/>
    <w:rsid w:val="71E53350"/>
    <w:rsid w:val="720E5D3A"/>
    <w:rsid w:val="72254E2A"/>
    <w:rsid w:val="72ED3426"/>
    <w:rsid w:val="73184127"/>
    <w:rsid w:val="73733509"/>
    <w:rsid w:val="73D40348"/>
    <w:rsid w:val="74304EB5"/>
    <w:rsid w:val="74AB41BE"/>
    <w:rsid w:val="75EA3934"/>
    <w:rsid w:val="76AF6448"/>
    <w:rsid w:val="774700AD"/>
    <w:rsid w:val="777E0158"/>
    <w:rsid w:val="77A5121A"/>
    <w:rsid w:val="788A0F31"/>
    <w:rsid w:val="78F56DD8"/>
    <w:rsid w:val="79373D17"/>
    <w:rsid w:val="7A1B6AF6"/>
    <w:rsid w:val="7A38566B"/>
    <w:rsid w:val="7A77760E"/>
    <w:rsid w:val="7AC70899"/>
    <w:rsid w:val="7B3F7553"/>
    <w:rsid w:val="7B7986D1"/>
    <w:rsid w:val="7B877587"/>
    <w:rsid w:val="7C477889"/>
    <w:rsid w:val="7C5E2592"/>
    <w:rsid w:val="7DB30B09"/>
    <w:rsid w:val="7E0F106D"/>
    <w:rsid w:val="7E813E2F"/>
    <w:rsid w:val="7EE52F06"/>
    <w:rsid w:val="7F7C60D3"/>
    <w:rsid w:val="7F8D22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9"/>
    <w:qFormat/>
    <w:uiPriority w:val="0"/>
    <w:rPr>
      <w:rFonts w:ascii="Times New Roman" w:hAnsi="Times New Roman" w:eastAsia="宋体" w:cs="Times New Roman"/>
      <w:color w:val="FF0000"/>
      <w:sz w:val="24"/>
      <w:szCs w:val="24"/>
    </w:rPr>
  </w:style>
  <w:style w:type="paragraph" w:styleId="9">
    <w:name w:val="Body Text"/>
    <w:basedOn w:val="1"/>
    <w:link w:val="53"/>
    <w:unhideWhenUsed/>
    <w:qFormat/>
    <w:uiPriority w:val="99"/>
    <w:pPr>
      <w:spacing w:after="120"/>
    </w:p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9"/>
    <w:link w:val="54"/>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无间隔1"/>
    <w:basedOn w:val="1"/>
    <w:qFormat/>
    <w:uiPriority w:val="0"/>
    <w:pPr>
      <w:spacing w:line="400" w:lineRule="exact"/>
    </w:pPr>
    <w:rPr>
      <w:sz w:val="24"/>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3"/>
    <w:link w:val="2"/>
    <w:qFormat/>
    <w:uiPriority w:val="0"/>
    <w:rPr>
      <w:rFonts w:ascii="Calibri" w:hAnsi="Calibri" w:eastAsia="宋体" w:cs="Times New Roman"/>
      <w:b/>
      <w:bCs/>
      <w:kern w:val="44"/>
      <w:sz w:val="44"/>
      <w:szCs w:val="44"/>
    </w:rPr>
  </w:style>
  <w:style w:type="character" w:customStyle="1" w:styleId="32">
    <w:name w:val="标题 2 Char"/>
    <w:basedOn w:val="23"/>
    <w:link w:val="3"/>
    <w:qFormat/>
    <w:uiPriority w:val="0"/>
    <w:rPr>
      <w:rFonts w:ascii="Arial" w:hAnsi="Arial" w:eastAsia="黑体" w:cs="Times New Roman"/>
      <w:b/>
      <w:bCs/>
      <w:kern w:val="0"/>
      <w:sz w:val="32"/>
      <w:szCs w:val="32"/>
    </w:rPr>
  </w:style>
  <w:style w:type="character" w:customStyle="1" w:styleId="33">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4">
    <w:name w:val="标题 4 Char"/>
    <w:basedOn w:val="23"/>
    <w:link w:val="5"/>
    <w:qFormat/>
    <w:uiPriority w:val="0"/>
    <w:rPr>
      <w:rFonts w:ascii="Arial" w:hAnsi="Arial" w:eastAsia="黑体" w:cs="Times New Roman"/>
      <w:b/>
      <w:bCs/>
      <w:kern w:val="0"/>
      <w:sz w:val="28"/>
      <w:szCs w:val="28"/>
    </w:rPr>
  </w:style>
  <w:style w:type="character" w:customStyle="1" w:styleId="35">
    <w:name w:val="纯文本 Char"/>
    <w:basedOn w:val="23"/>
    <w:link w:val="13"/>
    <w:qFormat/>
    <w:uiPriority w:val="0"/>
    <w:rPr>
      <w:rFonts w:eastAsia="宋体"/>
      <w:sz w:val="24"/>
    </w:rPr>
  </w:style>
  <w:style w:type="character" w:customStyle="1" w:styleId="36">
    <w:name w:val="日期 Char"/>
    <w:basedOn w:val="23"/>
    <w:link w:val="14"/>
    <w:qFormat/>
    <w:uiPriority w:val="99"/>
  </w:style>
  <w:style w:type="character" w:customStyle="1" w:styleId="37">
    <w:name w:val="页脚 Char"/>
    <w:basedOn w:val="23"/>
    <w:link w:val="15"/>
    <w:qFormat/>
    <w:uiPriority w:val="99"/>
    <w:rPr>
      <w:sz w:val="18"/>
      <w:szCs w:val="18"/>
    </w:rPr>
  </w:style>
  <w:style w:type="character" w:customStyle="1" w:styleId="38">
    <w:name w:val="页眉 Char"/>
    <w:basedOn w:val="23"/>
    <w:link w:val="16"/>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3"/>
    <w:link w:val="8"/>
    <w:qFormat/>
    <w:uiPriority w:val="0"/>
    <w:rPr>
      <w:rFonts w:ascii="Times New Roman" w:hAnsi="Times New Roman" w:eastAsia="宋体" w:cs="Times New Roman"/>
      <w:color w:val="FF0000"/>
      <w:sz w:val="24"/>
      <w:szCs w:val="24"/>
    </w:rPr>
  </w:style>
  <w:style w:type="character" w:customStyle="1" w:styleId="50">
    <w:name w:val="edittexttarea"/>
    <w:basedOn w:val="23"/>
    <w:qFormat/>
    <w:uiPriority w:val="0"/>
  </w:style>
  <w:style w:type="paragraph" w:customStyle="1" w:styleId="51">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3"/>
    <w:link w:val="9"/>
    <w:semiHidden/>
    <w:qFormat/>
    <w:uiPriority w:val="99"/>
  </w:style>
  <w:style w:type="character" w:customStyle="1" w:styleId="54">
    <w:name w:val="正文首行缩进 Char"/>
    <w:basedOn w:val="53"/>
    <w:link w:val="20"/>
    <w:qFormat/>
    <w:uiPriority w:val="0"/>
    <w:rPr>
      <w:rFonts w:ascii="宋体" w:hAnsi="Times New Roman" w:eastAsia="宋体" w:cs="Times New Roman"/>
      <w:kern w:val="0"/>
      <w:sz w:val="34"/>
      <w:szCs w:val="20"/>
    </w:rPr>
  </w:style>
  <w:style w:type="character" w:customStyle="1" w:styleId="55">
    <w:name w:val="HTML 预设格式 Char"/>
    <w:basedOn w:val="23"/>
    <w:link w:val="18"/>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3"/>
    <w:qFormat/>
    <w:uiPriority w:val="0"/>
    <w:rPr>
      <w:rFonts w:hint="eastAsia" w:ascii="宋体" w:hAnsi="宋体" w:eastAsia="宋体" w:cs="宋体"/>
      <w:color w:val="000000"/>
      <w:sz w:val="22"/>
      <w:szCs w:val="22"/>
      <w:u w:val="none"/>
    </w:rPr>
  </w:style>
  <w:style w:type="character" w:customStyle="1" w:styleId="61">
    <w:name w:val="font21"/>
    <w:basedOn w:val="23"/>
    <w:qFormat/>
    <w:uiPriority w:val="0"/>
    <w:rPr>
      <w:rFonts w:hint="eastAsia" w:ascii="宋体" w:hAnsi="宋体" w:eastAsia="宋体" w:cs="宋体"/>
      <w:color w:val="000000"/>
      <w:sz w:val="28"/>
      <w:szCs w:val="28"/>
      <w:u w:val="none"/>
    </w:rPr>
  </w:style>
  <w:style w:type="character" w:customStyle="1" w:styleId="62">
    <w:name w:val="font11"/>
    <w:basedOn w:val="23"/>
    <w:qFormat/>
    <w:uiPriority w:val="0"/>
    <w:rPr>
      <w:rFonts w:ascii="Calibri" w:hAnsi="Calibri" w:cs="Calibri"/>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3</TotalTime>
  <ScaleCrop>false</ScaleCrop>
  <LinksUpToDate>false</LinksUpToDate>
  <CharactersWithSpaces>43544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2019-09-20T01:06:38Z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