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lang w:val="en-US" w:eastAsia="zh-CN"/>
        </w:rPr>
        <w:t>许昌市文化广电和旅游局</w:t>
      </w:r>
      <w:r>
        <w:rPr>
          <w:rFonts w:hint="eastAsia" w:asciiTheme="majorEastAsia" w:hAnsiTheme="majorEastAsia" w:eastAsiaTheme="majorEastAsia" w:cstheme="majorEastAsia"/>
          <w:b/>
          <w:bCs/>
          <w:color w:val="000000"/>
          <w:sz w:val="44"/>
          <w:szCs w:val="44"/>
        </w:rPr>
        <w:t>“</w:t>
      </w:r>
      <w:r>
        <w:rPr>
          <w:rFonts w:hint="eastAsia" w:asciiTheme="majorEastAsia" w:hAnsiTheme="majorEastAsia" w:eastAsiaTheme="majorEastAsia" w:cstheme="majorEastAsia"/>
          <w:b/>
          <w:bCs/>
          <w:color w:val="000000"/>
          <w:sz w:val="44"/>
          <w:szCs w:val="44"/>
          <w:lang w:val="en-US" w:eastAsia="zh-CN"/>
        </w:rPr>
        <w:t>创建示范区升降简易舞台购置</w:t>
      </w:r>
      <w:r>
        <w:rPr>
          <w:rFonts w:hint="eastAsia" w:asciiTheme="majorEastAsia" w:hAnsiTheme="majorEastAsia" w:eastAsiaTheme="majorEastAsia" w:cstheme="majorEastAsia"/>
          <w:b/>
          <w:bCs/>
          <w:color w:val="000000"/>
          <w:sz w:val="44"/>
          <w:szCs w:val="44"/>
        </w:rPr>
        <w:t>”项目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r>
        <w:rPr>
          <w:rFonts w:hint="eastAsia" w:asciiTheme="majorEastAsia" w:hAnsiTheme="majorEastAsia" w:eastAsiaTheme="majorEastAsia" w:cstheme="majorEastAsia"/>
          <w:b/>
          <w:bCs/>
          <w:color w:val="000000"/>
          <w:sz w:val="36"/>
          <w:szCs w:val="36"/>
          <w:lang w:val="en-US" w:eastAsia="zh-CN"/>
        </w:rPr>
        <w:t xml:space="preserve">   </w:t>
      </w:r>
      <w:r>
        <w:rPr>
          <w:rFonts w:hint="eastAsia" w:asciiTheme="majorEastAsia" w:hAnsiTheme="majorEastAsia" w:eastAsiaTheme="majorEastAsia" w:cstheme="majorEastAsia"/>
          <w:b/>
          <w:bCs/>
          <w:color w:val="000000"/>
          <w:sz w:val="36"/>
          <w:szCs w:val="36"/>
        </w:rPr>
        <w:t>项目编号：ZFCG-G2019</w:t>
      </w:r>
      <w:r>
        <w:rPr>
          <w:rFonts w:hint="eastAsia" w:asciiTheme="majorEastAsia" w:hAnsiTheme="majorEastAsia" w:eastAsiaTheme="majorEastAsia" w:cstheme="majorEastAsia"/>
          <w:b/>
          <w:bCs/>
          <w:color w:val="000000"/>
          <w:sz w:val="36"/>
          <w:szCs w:val="36"/>
          <w:lang w:val="en-US" w:eastAsia="zh-CN"/>
        </w:rPr>
        <w:t>137</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w:t>
      </w:r>
      <w:r>
        <w:rPr>
          <w:rFonts w:hint="eastAsia" w:asciiTheme="majorEastAsia" w:hAnsiTheme="majorEastAsia" w:eastAsiaTheme="majorEastAsia" w:cstheme="majorEastAsia"/>
          <w:b/>
          <w:bCs/>
          <w:color w:val="000000"/>
          <w:sz w:val="36"/>
          <w:szCs w:val="36"/>
          <w:lang w:val="en-US" w:eastAsia="zh-CN"/>
        </w:rPr>
        <w:t>许昌市文化广电和旅游局</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代理机构：许昌市政府采购中心</w:t>
      </w:r>
    </w:p>
    <w:p>
      <w:pPr>
        <w:rPr>
          <w:rFonts w:asciiTheme="majorEastAsia" w:hAnsiTheme="majorEastAsia" w:eastAsiaTheme="majorEastAsia" w:cstheme="majorEastAsia"/>
          <w:b/>
          <w:bCs/>
          <w:color w:val="000000"/>
          <w:sz w:val="36"/>
          <w:szCs w:val="36"/>
        </w:rPr>
      </w:pP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二〇一九年</w:t>
      </w:r>
      <w:r>
        <w:rPr>
          <w:rFonts w:hint="eastAsia" w:asciiTheme="majorEastAsia" w:hAnsiTheme="majorEastAsia" w:eastAsiaTheme="majorEastAsia" w:cstheme="majorEastAsia"/>
          <w:b/>
          <w:bCs/>
          <w:color w:val="000000"/>
          <w:sz w:val="36"/>
          <w:szCs w:val="36"/>
          <w:lang w:eastAsia="zh-CN"/>
        </w:rPr>
        <w:t>九</w:t>
      </w:r>
      <w:r>
        <w:rPr>
          <w:rFonts w:hint="eastAsia" w:asciiTheme="majorEastAsia" w:hAnsiTheme="majorEastAsia" w:eastAsiaTheme="majorEastAsia" w:cstheme="majorEastAsia"/>
          <w:b/>
          <w:bCs/>
          <w:color w:val="000000"/>
          <w:sz w:val="36"/>
          <w:szCs w:val="36"/>
        </w:rPr>
        <w:t>月</w:t>
      </w:r>
      <w:r>
        <w:rPr>
          <w:rFonts w:hint="eastAsia" w:asciiTheme="majorEastAsia" w:hAnsiTheme="majorEastAsia" w:eastAsiaTheme="majorEastAsia" w:cstheme="majorEastAsia"/>
          <w:b/>
          <w:bCs/>
          <w:color w:val="000000"/>
          <w:sz w:val="36"/>
          <w:szCs w:val="36"/>
          <w:lang w:eastAsia="zh-CN"/>
        </w:rPr>
        <w:t>十九</w:t>
      </w:r>
      <w:r>
        <w:rPr>
          <w:rFonts w:hint="eastAsia" w:asciiTheme="majorEastAsia" w:hAnsiTheme="majorEastAsia" w:eastAsiaTheme="majorEastAsia" w:cstheme="majorEastAsia"/>
          <w:b/>
          <w:bCs/>
          <w:color w:val="000000"/>
          <w:sz w:val="36"/>
          <w:szCs w:val="36"/>
        </w:rPr>
        <w:t>日</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0"/>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许昌市政府采购中心(以下简</w:t>
      </w:r>
      <w:r>
        <w:rPr>
          <w:rFonts w:hint="eastAsia" w:cs="仿宋_GB2312" w:asciiTheme="minorEastAsia" w:hAnsiTheme="minorEastAsia" w:eastAsiaTheme="minorEastAsia"/>
          <w:color w:val="000000"/>
          <w:sz w:val="21"/>
          <w:szCs w:val="21"/>
          <w:shd w:val="clear" w:color="auto" w:fill="FFFFFF"/>
        </w:rPr>
        <w:t>称采购中心) 受</w:t>
      </w:r>
      <w:r>
        <w:rPr>
          <w:rFonts w:hint="eastAsia" w:cs="仿宋_GB2312" w:asciiTheme="minorEastAsia" w:hAnsiTheme="minorEastAsia" w:eastAsiaTheme="minorEastAsia"/>
          <w:color w:val="000000"/>
          <w:sz w:val="21"/>
          <w:szCs w:val="21"/>
          <w:shd w:val="clear" w:color="auto" w:fill="FFFFFF"/>
          <w:lang w:val="en-US" w:eastAsia="zh-CN"/>
        </w:rPr>
        <w:t>许昌市文化广电和旅游局</w:t>
      </w:r>
      <w:r>
        <w:rPr>
          <w:rFonts w:hint="eastAsia" w:cs="仿宋_GB2312" w:asciiTheme="minorEastAsia" w:hAnsiTheme="minorEastAsia" w:eastAsiaTheme="minorEastAsia"/>
          <w:color w:val="000000"/>
          <w:sz w:val="21"/>
          <w:szCs w:val="21"/>
          <w:shd w:val="clear" w:color="auto" w:fill="FFFFFF"/>
        </w:rPr>
        <w:t>的委托，对“</w:t>
      </w:r>
      <w:r>
        <w:rPr>
          <w:rFonts w:hint="eastAsia" w:cs="仿宋_GB2312" w:asciiTheme="minorEastAsia" w:hAnsiTheme="minorEastAsia" w:eastAsiaTheme="minorEastAsia"/>
          <w:color w:val="000000"/>
          <w:sz w:val="21"/>
          <w:szCs w:val="21"/>
          <w:shd w:val="clear" w:color="auto" w:fill="FFFFFF"/>
          <w:lang w:val="en-US" w:eastAsia="zh-CN"/>
        </w:rPr>
        <w:t>创建示范区升降简易舞台购置</w:t>
      </w:r>
      <w:r>
        <w:rPr>
          <w:rFonts w:hint="eastAsia" w:cs="仿宋_GB2312" w:asciiTheme="minorEastAsia" w:hAnsiTheme="minorEastAsia" w:eastAsiaTheme="minorEastAsia"/>
          <w:color w:val="000000"/>
          <w:sz w:val="21"/>
          <w:szCs w:val="21"/>
          <w:shd w:val="clear" w:color="auto" w:fill="FFFFFF"/>
        </w:rPr>
        <w:t>”项目进行公开招标。现邀请符合本招标文件规定条件的供应商前来投</w:t>
      </w:r>
      <w:r>
        <w:rPr>
          <w:rFonts w:hint="eastAsia"/>
          <w:color w:val="000000"/>
          <w:sz w:val="21"/>
          <w:szCs w:val="21"/>
          <w:shd w:val="clear" w:color="auto" w:fill="FFFFFF"/>
        </w:rPr>
        <w:t>标。</w:t>
      </w:r>
    </w:p>
    <w:p>
      <w:pPr>
        <w:pStyle w:val="20"/>
        <w:widowControl/>
        <w:shd w:val="clear" w:color="auto" w:fill="FFFFFF"/>
        <w:spacing w:line="360" w:lineRule="auto"/>
        <w:ind w:firstLine="422" w:firstLineChars="20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shd w:val="clear" w:color="auto" w:fill="FFFFFF"/>
        </w:rPr>
        <w:t>一、项目基本情况</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（一）项目名称：</w:t>
      </w:r>
      <w:r>
        <w:rPr>
          <w:rFonts w:hint="eastAsia" w:cs="仿宋_GB2312" w:asciiTheme="minorEastAsia" w:hAnsiTheme="minorEastAsia" w:eastAsiaTheme="minorEastAsia"/>
          <w:color w:val="000000"/>
          <w:sz w:val="21"/>
          <w:szCs w:val="21"/>
          <w:shd w:val="clear" w:color="auto" w:fill="FFFFFF"/>
          <w:lang w:val="en-US" w:eastAsia="zh-CN"/>
        </w:rPr>
        <w:t>创建示范区升降简易舞台购置</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（二）项目编号：ZFCG-G2019</w:t>
      </w:r>
      <w:r>
        <w:rPr>
          <w:rFonts w:hint="eastAsia" w:cs="仿宋_GB2312" w:asciiTheme="minorEastAsia" w:hAnsiTheme="minorEastAsia" w:eastAsiaTheme="minorEastAsia"/>
          <w:color w:val="000000"/>
          <w:sz w:val="21"/>
          <w:szCs w:val="21"/>
          <w:shd w:val="clear" w:color="auto" w:fill="FFFFFF"/>
          <w:lang w:val="en-US" w:eastAsia="zh-CN"/>
        </w:rPr>
        <w:t>137</w:t>
      </w:r>
      <w:r>
        <w:rPr>
          <w:rFonts w:hint="eastAsia" w:cs="仿宋_GB2312" w:asciiTheme="minorEastAsia" w:hAnsiTheme="minorEastAsia" w:eastAsiaTheme="minorEastAsia"/>
          <w:color w:val="000000"/>
          <w:sz w:val="21"/>
          <w:szCs w:val="21"/>
          <w:shd w:val="clear" w:color="auto" w:fill="FFFFFF"/>
        </w:rPr>
        <w:t xml:space="preserve">号    </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（三）采购方式：公开招标                                                                                                                         </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（四）项目主要内容、数量及要求：</w:t>
      </w:r>
      <w:r>
        <w:rPr>
          <w:rFonts w:hint="eastAsia" w:cs="仿宋_GB2312" w:asciiTheme="minorEastAsia" w:hAnsiTheme="minorEastAsia" w:eastAsiaTheme="minorEastAsia"/>
          <w:color w:val="000000"/>
          <w:sz w:val="21"/>
          <w:szCs w:val="21"/>
          <w:shd w:val="clear" w:color="auto" w:fill="FFFFFF"/>
          <w:lang w:val="en-US" w:eastAsia="zh-CN"/>
        </w:rPr>
        <w:t>升降简易舞台200套。</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w:t>
      </w:r>
      <w:r>
        <w:rPr>
          <w:rFonts w:hint="eastAsia" w:cs="仿宋_GB2312" w:asciiTheme="minorEastAsia" w:hAnsiTheme="minorEastAsia" w:eastAsiaTheme="minorEastAsia"/>
          <w:color w:val="000000"/>
          <w:sz w:val="21"/>
          <w:szCs w:val="21"/>
          <w:shd w:val="clear" w:color="auto" w:fill="FFFFFF"/>
          <w:lang w:val="en-US" w:eastAsia="zh-CN"/>
        </w:rPr>
        <w:t>279万</w:t>
      </w:r>
      <w:r>
        <w:rPr>
          <w:rFonts w:hint="eastAsia" w:cs="仿宋_GB2312" w:asciiTheme="minorEastAsia" w:hAnsiTheme="minorEastAsia" w:eastAsiaTheme="minorEastAsia"/>
          <w:color w:val="000000"/>
          <w:sz w:val="21"/>
          <w:szCs w:val="21"/>
          <w:shd w:val="clear" w:color="auto" w:fill="FFFFFF"/>
        </w:rPr>
        <w:t>元。最高限价：</w:t>
      </w:r>
      <w:r>
        <w:rPr>
          <w:rFonts w:hint="eastAsia" w:cs="仿宋_GB2312" w:asciiTheme="minorEastAsia" w:hAnsiTheme="minorEastAsia" w:eastAsiaTheme="minorEastAsia"/>
          <w:color w:val="000000"/>
          <w:sz w:val="21"/>
          <w:szCs w:val="21"/>
          <w:shd w:val="clear" w:color="auto" w:fill="FFFFFF"/>
          <w:lang w:val="en-US" w:eastAsia="zh-CN"/>
        </w:rPr>
        <w:t>279万</w:t>
      </w:r>
      <w:r>
        <w:rPr>
          <w:rFonts w:hint="eastAsia" w:cs="仿宋_GB2312" w:asciiTheme="minorEastAsia" w:hAnsiTheme="minorEastAsia" w:eastAsiaTheme="minorEastAsia"/>
          <w:color w:val="000000"/>
          <w:sz w:val="21"/>
          <w:szCs w:val="21"/>
          <w:shd w:val="clear" w:color="auto" w:fill="FFFFFF"/>
        </w:rPr>
        <w:t>元。</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val="en-US" w:eastAsia="zh-CN"/>
        </w:rPr>
      </w:pPr>
      <w:r>
        <w:rPr>
          <w:rFonts w:hint="eastAsia" w:cs="仿宋_GB2312" w:asciiTheme="minorEastAsia" w:hAnsiTheme="minorEastAsia" w:eastAsiaTheme="minorEastAsia"/>
          <w:color w:val="000000"/>
          <w:sz w:val="21"/>
          <w:szCs w:val="21"/>
          <w:shd w:val="clear" w:color="auto" w:fill="FFFFFF"/>
        </w:rPr>
        <w:t>（六）交付（服务、完工）时间 ：</w:t>
      </w:r>
      <w:bookmarkStart w:id="0" w:name="交付日期"/>
      <w:r>
        <w:rPr>
          <w:rFonts w:hint="eastAsia" w:cs="仿宋_GB2312" w:asciiTheme="minorEastAsia" w:hAnsiTheme="minorEastAsia" w:eastAsiaTheme="minorEastAsia"/>
          <w:color w:val="000000"/>
          <w:sz w:val="21"/>
          <w:szCs w:val="21"/>
          <w:shd w:val="clear" w:color="auto" w:fill="FFFFFF"/>
        </w:rPr>
        <w:t>自合同生效之日起</w:t>
      </w:r>
      <w:bookmarkEnd w:id="0"/>
      <w:r>
        <w:rPr>
          <w:rFonts w:hint="eastAsia" w:cs="仿宋_GB2312" w:asciiTheme="minorEastAsia" w:hAnsiTheme="minorEastAsia" w:eastAsiaTheme="minorEastAsia"/>
          <w:color w:val="000000"/>
          <w:sz w:val="21"/>
          <w:szCs w:val="21"/>
          <w:shd w:val="clear" w:color="auto" w:fill="FFFFFF"/>
          <w:lang w:val="en-US" w:eastAsia="zh-CN"/>
        </w:rPr>
        <w:t>7个工作日</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（七）交付（服务、完工）地点：</w:t>
      </w:r>
      <w:r>
        <w:rPr>
          <w:rFonts w:hint="eastAsia" w:cs="仿宋_GB2312" w:asciiTheme="minorEastAsia" w:hAnsiTheme="minorEastAsia" w:eastAsiaTheme="minorEastAsia"/>
          <w:color w:val="000000"/>
          <w:sz w:val="21"/>
          <w:szCs w:val="21"/>
          <w:shd w:val="clear" w:color="auto" w:fill="FFFFFF"/>
          <w:lang w:val="en-US" w:eastAsia="zh-CN"/>
        </w:rPr>
        <w:t>建安区、魏都区、长葛市、鄢陵县、禹州市、襄城县。</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（八）进口产品：不允许。</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（九）分包：不允许。</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0"/>
        <w:widowControl/>
        <w:shd w:val="clear" w:color="auto" w:fill="FFFFFF"/>
        <w:wordWrap w:val="0"/>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）严重违法失信名单的社会组织。</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lang w:eastAsia="zh-CN"/>
        </w:rPr>
        <w:t>三</w:t>
      </w:r>
      <w:r>
        <w:rPr>
          <w:rFonts w:hint="eastAsia" w:cs="仿宋_GB2312" w:asciiTheme="minorEastAsia" w:hAnsiTheme="minorEastAsia" w:eastAsiaTheme="minorEastAsia"/>
          <w:color w:val="000000"/>
          <w:sz w:val="21"/>
          <w:szCs w:val="21"/>
          <w:shd w:val="clear" w:color="auto" w:fill="FFFFFF"/>
        </w:rPr>
        <w:t>）本次招标不接受联合体投标。</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（一）投标截止及开标时间：2019年</w:t>
      </w:r>
      <w:r>
        <w:rPr>
          <w:rFonts w:hint="eastAsia" w:cs="仿宋_GB2312" w:asciiTheme="minorEastAsia" w:hAnsiTheme="minorEastAsia" w:eastAsiaTheme="minorEastAsia"/>
          <w:color w:val="000000"/>
          <w:sz w:val="21"/>
          <w:szCs w:val="21"/>
          <w:lang w:val="en-US" w:eastAsia="zh-CN"/>
        </w:rPr>
        <w:t>10</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lang w:val="en-US" w:eastAsia="zh-CN"/>
        </w:rPr>
        <w:t>11</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lang w:val="en-US" w:eastAsia="zh-CN"/>
        </w:rPr>
        <w:t>10</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lang w:val="en-US" w:eastAsia="zh-CN"/>
        </w:rPr>
        <w:t>30</w:t>
      </w:r>
      <w:r>
        <w:rPr>
          <w:rFonts w:hint="eastAsia" w:cs="仿宋_GB2312" w:asciiTheme="minorEastAsia" w:hAnsiTheme="minorEastAsia" w:eastAsiaTheme="minorEastAsia"/>
          <w:color w:val="000000"/>
          <w:sz w:val="21"/>
          <w:szCs w:val="21"/>
        </w:rPr>
        <w:t>分（北京时间），逾期提交或不符合规定的投标文件不予接受。</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（二）开标地点：许昌市公共资源交易中心（</w:t>
      </w:r>
      <w:r>
        <w:rPr>
          <w:rFonts w:cs="Arial" w:asciiTheme="minorEastAsia" w:hAnsiTheme="minorEastAsia" w:eastAsiaTheme="minorEastAsia"/>
          <w:color w:val="000000"/>
          <w:sz w:val="21"/>
          <w:szCs w:val="21"/>
        </w:rPr>
        <w:t>龙兴路与竹林路交汇处</w:t>
      </w:r>
      <w:r>
        <w:rPr>
          <w:rFonts w:hint="eastAsia" w:cs="仿宋_GB2312" w:asciiTheme="minorEastAsia" w:hAnsiTheme="minorEastAsia" w:eastAsiaTheme="minorEastAsia"/>
          <w:color w:val="000000"/>
          <w:sz w:val="21"/>
          <w:szCs w:val="21"/>
        </w:rPr>
        <w:t>公共资源大厦）三楼开标</w:t>
      </w:r>
      <w:r>
        <w:rPr>
          <w:rFonts w:hint="eastAsia" w:cs="仿宋_GB2312" w:asciiTheme="minorEastAsia" w:hAnsiTheme="minorEastAsia" w:eastAsiaTheme="minorEastAsia"/>
          <w:color w:val="000000"/>
          <w:sz w:val="21"/>
          <w:szCs w:val="21"/>
          <w:lang w:eastAsia="zh-CN"/>
        </w:rPr>
        <w:t>三</w:t>
      </w:r>
      <w:r>
        <w:rPr>
          <w:rFonts w:hint="eastAsia" w:cs="仿宋_GB2312" w:asciiTheme="minorEastAsia" w:hAnsiTheme="minorEastAsia" w:eastAsiaTheme="minorEastAsia"/>
          <w:color w:val="000000"/>
          <w:sz w:val="21"/>
          <w:szCs w:val="21"/>
        </w:rPr>
        <w:t>室。</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本项目为全流程电子化交易项目，投标人须提交电子投标文件和纸质投标文件。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1、加密电子投标文件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在投标截止时间（开标时间）前通过《全国公共资源交易平台(河南省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pct10" w:color="auto" w:fill="FFFFFF"/>
        </w:rPr>
      </w:pPr>
      <w:r>
        <w:rPr>
          <w:rFonts w:hint="eastAsia" w:cs="仿宋_GB2312" w:asciiTheme="minorEastAsia" w:hAnsiTheme="minorEastAsia" w:eastAsiaTheme="minorEastAsia"/>
          <w:color w:val="000000"/>
          <w:sz w:val="21"/>
          <w:szCs w:val="21"/>
        </w:rPr>
        <w:t>2、纸质投标文件（正本、副本各1份）和备份文件1份</w:t>
      </w:r>
      <w:r>
        <w:rPr>
          <w:rFonts w:hint="eastAsia" w:hAnsi="宋体"/>
          <w:color w:val="000000"/>
          <w:sz w:val="21"/>
          <w:szCs w:val="21"/>
        </w:rPr>
        <w:t>（使用电子介质存储）</w:t>
      </w:r>
      <w:r>
        <w:rPr>
          <w:rFonts w:hint="eastAsia" w:cs="仿宋_GB2312" w:asciiTheme="minorEastAsia" w:hAnsiTheme="minorEastAsia" w:eastAsiaTheme="minorEastAsia"/>
          <w:color w:val="000000"/>
          <w:sz w:val="21"/>
          <w:szCs w:val="21"/>
        </w:rPr>
        <w:t>在投标截止时间（开标时间）前递交至本项目开标地点。</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六、本次招标公告同时在《中国政府采购网》、《河南省政府采购网》、《许昌市政府采购网》、《全国公共资源交易平台（河南省·许昌市）》、《中国·许昌 许昌市政府网》发布。</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采购人</w:t>
      </w:r>
      <w:r>
        <w:rPr>
          <w:rFonts w:hint="eastAsia" w:ascii="宋体" w:hAnsi="宋体"/>
          <w:szCs w:val="21"/>
        </w:rPr>
        <w:t>：</w:t>
      </w:r>
      <w:r>
        <w:rPr>
          <w:rFonts w:hint="eastAsia" w:cs="仿宋_GB2312" w:asciiTheme="minorEastAsia" w:hAnsiTheme="minorEastAsia" w:eastAsiaTheme="minorEastAsia"/>
          <w:color w:val="000000"/>
          <w:sz w:val="21"/>
          <w:szCs w:val="21"/>
          <w:shd w:val="clear" w:color="auto" w:fill="FFFFFF"/>
          <w:lang w:val="en-US" w:eastAsia="zh-CN"/>
        </w:rPr>
        <w:t>许昌市文化广电和旅游局</w:t>
      </w:r>
    </w:p>
    <w:p>
      <w:pPr>
        <w:adjustRightInd w:val="0"/>
        <w:spacing w:line="360" w:lineRule="auto"/>
        <w:ind w:firstLine="840" w:firstLineChars="400"/>
        <w:contextualSpacing/>
        <w:jc w:val="left"/>
        <w:rPr>
          <w:rFonts w:cs="Arial" w:asciiTheme="minorEastAsia" w:hAnsiTheme="minorEastAsia"/>
          <w:color w:val="000000"/>
          <w:szCs w:val="21"/>
        </w:rPr>
      </w:pPr>
      <w:r>
        <w:rPr>
          <w:rFonts w:hint="eastAsia" w:ascii="宋体" w:hAnsi="宋体"/>
          <w:szCs w:val="21"/>
        </w:rPr>
        <w:t>地</w:t>
      </w:r>
      <w:r>
        <w:rPr>
          <w:rFonts w:hint="eastAsia" w:cs="Arial" w:asciiTheme="minorEastAsia" w:hAnsiTheme="minorEastAsia"/>
          <w:color w:val="000000"/>
          <w:szCs w:val="21"/>
        </w:rPr>
        <w:t>址：</w:t>
      </w:r>
      <w:r>
        <w:rPr>
          <w:rFonts w:hint="eastAsia" w:cs="Arial" w:asciiTheme="minorEastAsia" w:hAnsiTheme="minorEastAsia"/>
          <w:color w:val="000000"/>
          <w:szCs w:val="21"/>
          <w:lang w:val="en-US" w:eastAsia="zh-CN"/>
        </w:rPr>
        <w:t>许昌市八一路东段广电大厦</w:t>
      </w:r>
    </w:p>
    <w:p>
      <w:pPr>
        <w:adjustRightInd w:val="0"/>
        <w:spacing w:line="360" w:lineRule="auto"/>
        <w:ind w:firstLine="840" w:firstLineChars="400"/>
        <w:contextualSpacing/>
        <w:jc w:val="left"/>
        <w:rPr>
          <w:rFonts w:cs="Arial" w:asciiTheme="minorEastAsia" w:hAnsiTheme="minorEastAsia"/>
          <w:color w:val="000000"/>
          <w:szCs w:val="21"/>
        </w:rPr>
      </w:pPr>
      <w:r>
        <w:rPr>
          <w:rFonts w:hint="eastAsia" w:cs="Arial" w:asciiTheme="minorEastAsia" w:hAnsiTheme="minorEastAsia"/>
          <w:color w:val="000000"/>
          <w:szCs w:val="21"/>
        </w:rPr>
        <w:t>联系人：</w:t>
      </w:r>
      <w:r>
        <w:rPr>
          <w:rFonts w:hint="eastAsia" w:cs="Arial" w:asciiTheme="minorEastAsia" w:hAnsiTheme="minorEastAsia"/>
          <w:color w:val="000000"/>
          <w:szCs w:val="21"/>
          <w:lang w:val="en-US" w:eastAsia="zh-CN"/>
        </w:rPr>
        <w:t>吕涛</w:t>
      </w:r>
      <w:r>
        <w:rPr>
          <w:rFonts w:hint="eastAsia" w:cs="Arial" w:asciiTheme="minorEastAsia" w:hAnsiTheme="minorEastAsia"/>
          <w:color w:val="000000"/>
          <w:szCs w:val="21"/>
        </w:rPr>
        <w:t xml:space="preserve">                  </w:t>
      </w:r>
      <w:r>
        <w:rPr>
          <w:rFonts w:hint="eastAsia" w:cs="Arial" w:asciiTheme="minorEastAsia" w:hAnsiTheme="minorEastAsia"/>
          <w:color w:val="000000"/>
          <w:szCs w:val="21"/>
          <w:lang w:val="en-US" w:eastAsia="zh-CN"/>
        </w:rPr>
        <w:t xml:space="preserve">         </w:t>
      </w:r>
      <w:r>
        <w:rPr>
          <w:rFonts w:hint="eastAsia" w:cs="Arial" w:asciiTheme="minorEastAsia" w:hAnsiTheme="minorEastAsia"/>
          <w:color w:val="000000"/>
          <w:szCs w:val="21"/>
        </w:rPr>
        <w:t xml:space="preserve"> 联系电话：</w:t>
      </w:r>
      <w:r>
        <w:rPr>
          <w:rFonts w:hint="eastAsia" w:cs="Arial" w:asciiTheme="minorEastAsia" w:hAnsiTheme="minorEastAsia"/>
          <w:color w:val="000000"/>
          <w:szCs w:val="21"/>
          <w:lang w:val="en-US" w:eastAsia="zh-CN"/>
        </w:rPr>
        <w:t>13837446606</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集中采购机构</w:t>
      </w:r>
      <w:r>
        <w:rPr>
          <w:rFonts w:hint="eastAsia" w:ascii="宋体" w:hAnsi="宋体"/>
          <w:szCs w:val="21"/>
        </w:rPr>
        <w:t xml:space="preserve">：许昌市政府采购中心 </w:t>
      </w:r>
    </w:p>
    <w:p>
      <w:pPr>
        <w:adjustRightInd w:val="0"/>
        <w:spacing w:line="360" w:lineRule="auto"/>
        <w:ind w:firstLine="840" w:firstLineChars="400"/>
        <w:contextualSpacing/>
        <w:jc w:val="left"/>
        <w:rPr>
          <w:rFonts w:ascii="宋体" w:hAnsi="宋体"/>
          <w:szCs w:val="21"/>
        </w:rPr>
      </w:pPr>
      <w:r>
        <w:rPr>
          <w:rFonts w:hint="eastAsia" w:ascii="宋体" w:hAnsi="宋体"/>
          <w:szCs w:val="21"/>
        </w:rPr>
        <w:t>地址：许昌市</w:t>
      </w:r>
      <w:r>
        <w:rPr>
          <w:rFonts w:cs="Arial" w:asciiTheme="minorEastAsia" w:hAnsiTheme="minorEastAsia"/>
          <w:color w:val="000000"/>
          <w:szCs w:val="21"/>
        </w:rPr>
        <w:t>龙兴路与竹林路交汇处</w:t>
      </w:r>
      <w:r>
        <w:rPr>
          <w:rFonts w:hint="eastAsia" w:cs="仿宋_GB2312" w:asciiTheme="minorEastAsia" w:hAnsiTheme="minorEastAsia"/>
          <w:color w:val="000000"/>
          <w:szCs w:val="21"/>
        </w:rPr>
        <w:t>公共资源大厦</w:t>
      </w:r>
    </w:p>
    <w:p>
      <w:pPr>
        <w:adjustRightInd w:val="0"/>
        <w:spacing w:line="360" w:lineRule="auto"/>
        <w:ind w:firstLine="840" w:firstLineChars="400"/>
        <w:contextualSpacing/>
        <w:jc w:val="left"/>
        <w:rPr>
          <w:rFonts w:hint="default" w:ascii="宋体" w:hAnsi="宋体" w:eastAsiaTheme="minorEastAsia"/>
          <w:szCs w:val="21"/>
          <w:lang w:val="en-US" w:eastAsia="zh-CN"/>
        </w:rPr>
      </w:pPr>
      <w:r>
        <w:rPr>
          <w:rFonts w:hint="eastAsia" w:ascii="宋体" w:hAnsi="宋体"/>
          <w:szCs w:val="21"/>
        </w:rPr>
        <w:t>联系人：</w:t>
      </w:r>
      <w:r>
        <w:rPr>
          <w:rFonts w:hint="eastAsia" w:ascii="宋体" w:hAnsi="宋体"/>
          <w:szCs w:val="21"/>
          <w:lang w:eastAsia="zh-CN"/>
        </w:rPr>
        <w:t>杨女士</w:t>
      </w:r>
      <w:r>
        <w:rPr>
          <w:rFonts w:hint="eastAsia" w:ascii="宋体" w:hAnsi="宋体"/>
          <w:szCs w:val="21"/>
        </w:rPr>
        <w:t xml:space="preserve">                           联系电话：</w:t>
      </w:r>
      <w:bookmarkStart w:id="1" w:name="联系人电话"/>
      <w:r>
        <w:rPr>
          <w:rFonts w:ascii="宋体" w:hAnsi="宋体"/>
          <w:szCs w:val="21"/>
        </w:rPr>
        <w:t>0</w:t>
      </w:r>
      <w:bookmarkEnd w:id="1"/>
      <w:r>
        <w:rPr>
          <w:rFonts w:hint="eastAsia" w:ascii="宋体" w:hAnsi="宋体"/>
          <w:szCs w:val="21"/>
        </w:rPr>
        <w:t>374-</w:t>
      </w:r>
      <w:r>
        <w:rPr>
          <w:rFonts w:hint="eastAsia" w:ascii="宋体" w:hAnsi="宋体"/>
          <w:szCs w:val="21"/>
          <w:lang w:val="en-US" w:eastAsia="zh-CN"/>
        </w:rPr>
        <w:t>2962805</w:t>
      </w: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5"/>
          <w:rFonts w:hAnsi="宋体"/>
          <w:szCs w:val="21"/>
        </w:rPr>
        <w:t>http://221.14.6.70:8088/ggzy/</w:t>
      </w:r>
      <w:r>
        <w:rPr>
          <w:rStyle w:val="25"/>
          <w:rFonts w:hAnsi="宋体"/>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5"/>
          <w:rFonts w:hAnsi="宋体"/>
          <w:szCs w:val="21"/>
        </w:rPr>
        <w:t>http://221.14.6.70:8088/ggzy/</w:t>
      </w:r>
      <w:r>
        <w:rPr>
          <w:rStyle w:val="25"/>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numPr>
          <w:ilvl w:val="0"/>
          <w:numId w:val="5"/>
        </w:numPr>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本项目需实现的功能或者目标</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en-US" w:eastAsia="zh-CN"/>
        </w:rPr>
        <w:t>升降舞台与传统舞台相比，舞台升降方便，拆装简便，台下可利用空间十分可观，另外坚固耐用，特别适合和满足群众演出和娱乐需要。</w:t>
      </w: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rPr>
        <w:t>二、采购清单</w:t>
      </w:r>
    </w:p>
    <w:tbl>
      <w:tblPr>
        <w:tblStyle w:val="22"/>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1418"/>
        <w:gridCol w:w="4252"/>
        <w:gridCol w:w="851"/>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序号</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货物名称</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技术规格及主要参数</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单位</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数量</w:t>
            </w: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contextualSpacing/>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是否为</w:t>
            </w:r>
          </w:p>
          <w:p>
            <w:pPr>
              <w:widowControl/>
              <w:spacing w:line="360" w:lineRule="auto"/>
              <w:contextualSpacing/>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left="0" w:leftChars="-2" w:right="0" w:rightChars="0" w:hanging="4" w:hangingChars="2"/>
              <w:jc w:val="center"/>
              <w:rPr>
                <w:rFonts w:ascii="宋体" w:hAnsi="宋体" w:eastAsia="宋体" w:cs="宋体"/>
                <w:color w:val="000000"/>
                <w:kern w:val="0"/>
                <w:szCs w:val="21"/>
              </w:rPr>
            </w:pPr>
            <w:r>
              <w:rPr>
                <w:rFonts w:hint="eastAsia" w:ascii="宋体" w:hAnsi="宋体" w:eastAsia="宋体" w:cs="宋体"/>
                <w:b w:val="0"/>
                <w:i w:val="0"/>
                <w:color w:val="000000"/>
                <w:kern w:val="2"/>
                <w:sz w:val="21"/>
                <w:szCs w:val="21"/>
                <w:u w:val="none"/>
                <w:lang w:val="en-US" w:eastAsia="zh-CN" w:bidi="ar"/>
              </w:rPr>
              <w:t>1</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left="0" w:leftChars="-2" w:right="0" w:rightChars="0" w:hanging="4" w:hangingChars="2"/>
              <w:jc w:val="center"/>
              <w:rPr>
                <w:rFonts w:ascii="宋体" w:hAnsi="宋体" w:eastAsia="宋体" w:cs="宋体"/>
                <w:color w:val="000000"/>
                <w:kern w:val="0"/>
                <w:szCs w:val="21"/>
              </w:rPr>
            </w:pPr>
            <w:r>
              <w:rPr>
                <w:rFonts w:hint="eastAsia" w:ascii="宋体" w:hAnsi="宋体" w:eastAsia="宋体" w:cs="宋体"/>
                <w:b w:val="0"/>
                <w:i w:val="0"/>
                <w:color w:val="000000"/>
                <w:kern w:val="2"/>
                <w:sz w:val="21"/>
                <w:szCs w:val="21"/>
                <w:u w:val="none"/>
                <w:lang w:val="en-US" w:eastAsia="zh-CN" w:bidi="ar"/>
              </w:rPr>
              <w:t>升降简易舞台</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right="0" w:rightChars="0"/>
              <w:jc w:val="both"/>
              <w:rPr>
                <w:rFonts w:hint="eastAsia"/>
                <w:b w:val="0"/>
                <w:i w:val="0"/>
              </w:rPr>
            </w:pPr>
            <w:r>
              <w:rPr>
                <w:rFonts w:hint="eastAsia"/>
                <w:b w:val="0"/>
                <w:i w:val="0"/>
                <w:lang w:val="en-US" w:eastAsia="zh-CN"/>
              </w:rPr>
              <w:t>▲1、</w:t>
            </w:r>
            <w:r>
              <w:rPr>
                <w:rFonts w:hint="eastAsia"/>
                <w:b w:val="0"/>
                <w:i w:val="0"/>
              </w:rPr>
              <w:t>高密度舞台面，台面≥18mm厚高密度建筑覆膜板</w:t>
            </w:r>
            <w:r>
              <w:rPr>
                <w:rFonts w:hint="eastAsia"/>
                <w:b w:val="0"/>
                <w:i w:val="0"/>
                <w:lang w:eastAsia="zh-CN"/>
              </w:rPr>
              <w:t>；</w:t>
            </w:r>
            <w:r>
              <w:rPr>
                <w:rFonts w:hint="eastAsia"/>
                <w:b w:val="0"/>
                <w:i w:val="0"/>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right="0" w:rightChars="0"/>
              <w:jc w:val="both"/>
              <w:rPr>
                <w:rFonts w:hint="eastAsia" w:eastAsiaTheme="minorEastAsia"/>
                <w:b w:val="0"/>
                <w:i w:val="0"/>
                <w:lang w:eastAsia="zh-CN"/>
              </w:rPr>
            </w:pPr>
            <w:r>
              <w:rPr>
                <w:rFonts w:hint="eastAsia"/>
                <w:b w:val="0"/>
                <w:i w:val="0"/>
                <w:lang w:val="en-US" w:eastAsia="zh-CN"/>
              </w:rPr>
              <w:t>▲</w:t>
            </w:r>
            <w:r>
              <w:rPr>
                <w:rFonts w:hint="eastAsia"/>
                <w:b w:val="0"/>
                <w:i w:val="0"/>
              </w:rPr>
              <w:t>2、台面由40块1220*1220mm的方板面组装而成</w:t>
            </w:r>
            <w:r>
              <w:rPr>
                <w:rFonts w:hint="eastAsia"/>
                <w:b w:val="0"/>
                <w:i w:val="0"/>
                <w:lang w:eastAsia="zh-CN"/>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right="0" w:rightChars="0"/>
              <w:jc w:val="both"/>
              <w:rPr>
                <w:rFonts w:hint="eastAsia"/>
                <w:b w:val="0"/>
                <w:i w:val="0"/>
              </w:rPr>
            </w:pPr>
            <w:r>
              <w:rPr>
                <w:rFonts w:hint="eastAsia"/>
                <w:b w:val="0"/>
                <w:i w:val="0"/>
                <w:lang w:val="en-US" w:eastAsia="zh-CN"/>
              </w:rPr>
              <w:t>▲3、</w:t>
            </w:r>
            <w:r>
              <w:rPr>
                <w:rFonts w:hint="eastAsia"/>
                <w:b w:val="0"/>
                <w:i w:val="0"/>
              </w:rPr>
              <w:t>舞台每平方承载≥500KG，台面平整不起皮，长期使用不变形，且放水防滑，表面大颗粒处理，增强摩擦力，起到很好的防滑效果，同时经过放水处理，遇水不易腐蚀，使用寿命增长</w:t>
            </w:r>
            <w:r>
              <w:rPr>
                <w:rFonts w:hint="eastAsia"/>
                <w:b w:val="0"/>
                <w:i w:val="0"/>
                <w:lang w:eastAsia="zh-CN"/>
              </w:rPr>
              <w:t>；</w:t>
            </w:r>
            <w:r>
              <w:rPr>
                <w:rFonts w:hint="eastAsia"/>
                <w:b w:val="0"/>
                <w:i w:val="0"/>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leftChars="0" w:right="0" w:rightChars="0"/>
              <w:jc w:val="both"/>
              <w:rPr>
                <w:rFonts w:hint="eastAsia" w:eastAsiaTheme="minorEastAsia"/>
                <w:b w:val="0"/>
                <w:i w:val="0"/>
                <w:lang w:eastAsia="zh-CN"/>
              </w:rPr>
            </w:pPr>
            <w:r>
              <w:rPr>
                <w:rFonts w:hint="eastAsia"/>
                <w:b w:val="0"/>
                <w:i w:val="0"/>
                <w:lang w:val="en-US" w:eastAsia="zh-CN"/>
              </w:rPr>
              <w:t>▲4、</w:t>
            </w:r>
            <w:r>
              <w:rPr>
                <w:rFonts w:hint="eastAsia"/>
                <w:b w:val="0"/>
                <w:i w:val="0"/>
              </w:rPr>
              <w:t>主体架构采用钢铁结构，主管直径≥48mm，管壁厚度≥2.5mm</w:t>
            </w:r>
            <w:r>
              <w:rPr>
                <w:rFonts w:hint="eastAsia"/>
                <w:b w:val="0"/>
                <w:i w:val="0"/>
                <w:lang w:eastAsia="zh-CN"/>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leftChars="0" w:right="0" w:rightChars="0"/>
              <w:jc w:val="both"/>
              <w:rPr>
                <w:rFonts w:hint="eastAsia" w:eastAsiaTheme="minorEastAsia"/>
                <w:b w:val="0"/>
                <w:i w:val="0"/>
                <w:lang w:eastAsia="zh-CN"/>
              </w:rPr>
            </w:pPr>
            <w:r>
              <w:rPr>
                <w:rFonts w:hint="eastAsia"/>
                <w:b w:val="0"/>
                <w:i w:val="0"/>
                <w:lang w:val="en-US" w:eastAsia="zh-CN"/>
              </w:rPr>
              <w:t>▲5、</w:t>
            </w:r>
            <w:r>
              <w:rPr>
                <w:rFonts w:hint="eastAsia"/>
                <w:b w:val="0"/>
                <w:i w:val="0"/>
              </w:rPr>
              <w:t>横杆直径≥42.7mm，管壁厚度≥2mm，连接板厚度≥10mm，调节丝杆为直径≥38mm的实心型钢</w:t>
            </w:r>
            <w:r>
              <w:rPr>
                <w:rFonts w:hint="eastAsia"/>
                <w:b w:val="0"/>
                <w:i w:val="0"/>
                <w:lang w:eastAsia="zh-CN"/>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leftChars="0" w:right="0" w:rightChars="0"/>
              <w:jc w:val="both"/>
              <w:rPr>
                <w:rFonts w:hint="eastAsia" w:eastAsiaTheme="minorEastAsia"/>
                <w:b w:val="0"/>
                <w:i w:val="0"/>
                <w:lang w:eastAsia="zh-CN"/>
              </w:rPr>
            </w:pPr>
            <w:r>
              <w:rPr>
                <w:rFonts w:hint="eastAsia"/>
                <w:b w:val="0"/>
                <w:i w:val="0"/>
                <w:lang w:val="en-US" w:eastAsia="zh-CN"/>
              </w:rPr>
              <w:t>▲6、</w:t>
            </w:r>
            <w:r>
              <w:rPr>
                <w:rFonts w:hint="eastAsia"/>
                <w:b w:val="0"/>
                <w:i w:val="0"/>
              </w:rPr>
              <w:t>调节范围高度可60-110公分,配60公分调节脚</w:t>
            </w:r>
            <w:r>
              <w:rPr>
                <w:rFonts w:hint="eastAsia"/>
                <w:b w:val="0"/>
                <w:i w:val="0"/>
                <w:lang w:eastAsia="zh-CN"/>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left="0" w:leftChars="0" w:right="0" w:rightChars="0" w:firstLine="0" w:firstLineChars="0"/>
              <w:jc w:val="both"/>
              <w:rPr>
                <w:rFonts w:ascii="Times New Roman" w:hAnsi="Times New Roman" w:eastAsia="仿宋_GB2312" w:cs="Times New Roman"/>
                <w:b/>
                <w:i/>
                <w:color w:val="548DD4" w:themeColor="text2" w:themeTint="99"/>
                <w:kern w:val="0"/>
                <w:szCs w:val="21"/>
              </w:rPr>
            </w:pPr>
            <w:r>
              <w:rPr>
                <w:rFonts w:hint="eastAsia"/>
                <w:b w:val="0"/>
                <w:i w:val="0"/>
                <w:lang w:val="en-US" w:eastAsia="zh-CN"/>
              </w:rPr>
              <w:t>7、</w:t>
            </w:r>
            <w:r>
              <w:rPr>
                <w:rFonts w:hint="eastAsia"/>
                <w:b w:val="0"/>
                <w:i w:val="0"/>
              </w:rPr>
              <w:t>舞台主体采用雷亚式结构，坚固耐用，便于拆装，主体支架采用Q235国际钢管，                      整体由台面、托盘、横杆、立杆、调节脚、楼梯组成。</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left="0" w:leftChars="-2" w:right="0" w:rightChars="0" w:hanging="4" w:hangingChars="2"/>
              <w:jc w:val="center"/>
              <w:rPr>
                <w:rFonts w:ascii="宋体" w:hAnsi="宋体" w:eastAsia="宋体" w:cs="宋体"/>
                <w:color w:val="000000"/>
                <w:kern w:val="0"/>
                <w:szCs w:val="21"/>
              </w:rPr>
            </w:pPr>
            <w:r>
              <w:rPr>
                <w:rFonts w:hint="eastAsia" w:ascii="宋体" w:hAnsi="宋体" w:eastAsia="宋体" w:cs="宋体"/>
                <w:b w:val="0"/>
                <w:i w:val="0"/>
                <w:color w:val="000000"/>
                <w:kern w:val="2"/>
                <w:sz w:val="21"/>
                <w:szCs w:val="21"/>
                <w:u w:val="none"/>
                <w:lang w:val="en-US" w:eastAsia="zh-CN" w:bidi="ar"/>
              </w:rPr>
              <w:t>套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left="0" w:leftChars="-2" w:right="0" w:rightChars="0" w:hanging="4" w:hangingChars="2"/>
              <w:jc w:val="center"/>
              <w:rPr>
                <w:rFonts w:ascii="宋体" w:hAnsi="宋体" w:eastAsia="宋体" w:cs="宋体"/>
                <w:color w:val="000000"/>
                <w:kern w:val="0"/>
                <w:szCs w:val="21"/>
              </w:rPr>
            </w:pPr>
            <w:r>
              <w:rPr>
                <w:rFonts w:hint="eastAsia" w:ascii="宋体" w:hAnsi="宋体" w:eastAsia="宋体" w:cs="宋体"/>
                <w:b w:val="0"/>
                <w:i w:val="0"/>
                <w:color w:val="000000"/>
                <w:kern w:val="2"/>
                <w:sz w:val="21"/>
                <w:szCs w:val="21"/>
                <w:u w:val="none"/>
                <w:lang w:val="en-US" w:eastAsia="zh-CN" w:bidi="ar"/>
              </w:rPr>
              <w:t>200 </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left="0" w:leftChars="-2" w:right="0" w:rightChars="0" w:hanging="4" w:hangingChars="2"/>
              <w:jc w:val="center"/>
              <w:rPr>
                <w:rFonts w:ascii="仿宋" w:hAnsi="仿宋" w:eastAsia="仿宋" w:cs="Times New Roman"/>
                <w:color w:val="FF0000"/>
                <w:kern w:val="0"/>
                <w:szCs w:val="21"/>
              </w:rPr>
            </w:pPr>
            <w:r>
              <w:rPr>
                <w:rFonts w:hint="eastAsia"/>
                <w:b w:val="0"/>
                <w:i w:val="0"/>
                <w:lang w:val="en-US" w:eastAsia="zh-CN"/>
              </w:rPr>
              <w:t>是</w:t>
            </w:r>
          </w:p>
        </w:tc>
      </w:tr>
    </w:tbl>
    <w:p>
      <w:p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rPr>
        <w:t>本采购清单中所列技术规格或主要参数为最低要求，不允许负偏离，否则将承担其投标被视为非实质性响应投标的风险。</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三、采购标的的其他技术、服务等要求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1、投标人须明确投标产品的厂家、产地、品牌、型号、详细参数，</w:t>
      </w:r>
      <w:r>
        <w:rPr>
          <w:rFonts w:hint="eastAsia" w:ascii="宋体" w:cs="宋体"/>
          <w:b/>
          <w:sz w:val="24"/>
          <w:lang w:val="zh-CN"/>
        </w:rPr>
        <w:t>否则为无效投标。</w:t>
      </w:r>
    </w:p>
    <w:p>
      <w:pPr>
        <w:wordWrap w:val="0"/>
        <w:topLinePunct/>
        <w:autoSpaceDE w:val="0"/>
        <w:autoSpaceDN w:val="0"/>
        <w:adjustRightInd w:val="0"/>
        <w:spacing w:line="360" w:lineRule="auto"/>
        <w:ind w:firstLine="482"/>
        <w:rPr>
          <w:rFonts w:hint="eastAsia" w:ascii="宋体" w:cs="宋体"/>
          <w:b/>
          <w:sz w:val="24"/>
          <w:lang w:val="zh-CN"/>
        </w:rPr>
      </w:pPr>
      <w:r>
        <w:rPr>
          <w:rFonts w:hint="eastAsia" w:ascii="宋体" w:cs="宋体"/>
          <w:sz w:val="24"/>
          <w:lang w:val="zh-CN"/>
        </w:rPr>
        <w:t>2、投标人应就本项目完整投标，</w:t>
      </w:r>
      <w:r>
        <w:rPr>
          <w:rFonts w:hint="eastAsia" w:ascii="宋体" w:cs="宋体"/>
          <w:b/>
          <w:sz w:val="24"/>
          <w:lang w:val="zh-CN"/>
        </w:rPr>
        <w:t>否则为无效投标。</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en-US" w:eastAsia="zh-CN"/>
        </w:rPr>
        <w:t>3、本项目设备交付（服务、施工）地点分布在魏都区、建安区、长葛市、鄢陵县、禹州市、襄城县各村（社区），中标人需上门安装调试。</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en-US" w:eastAsia="zh-CN"/>
        </w:rPr>
        <w:t>4、供货周期：提供自主配送，装卸服务，合同签订后七日内到货并配送至指定地点，并负责运输期间所有安全责任。</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en-US" w:eastAsia="zh-CN"/>
        </w:rPr>
        <w:t>5、投标人所投设备必须提供3年免费质保期。</w:t>
      </w:r>
    </w:p>
    <w:p>
      <w:pPr>
        <w:wordWrap w:val="0"/>
        <w:topLinePunct/>
        <w:spacing w:line="360" w:lineRule="auto"/>
        <w:ind w:firstLine="480" w:firstLineChars="200"/>
        <w:rPr>
          <w:rFonts w:ascii="宋体" w:cs="宋体"/>
          <w:sz w:val="24"/>
          <w:lang w:val="zh-CN"/>
        </w:rPr>
      </w:pPr>
      <w:r>
        <w:rPr>
          <w:rFonts w:hint="eastAsia" w:ascii="宋体" w:cs="宋体"/>
          <w:sz w:val="24"/>
          <w:lang w:val="en-US" w:eastAsia="zh-CN"/>
        </w:rPr>
        <w:t>6</w:t>
      </w:r>
      <w:r>
        <w:rPr>
          <w:rFonts w:hint="eastAsia" w:ascii="宋体" w:cs="宋体"/>
          <w:sz w:val="24"/>
          <w:lang w:val="zh-CN"/>
        </w:rPr>
        <w:t>、所投产品必须符合国家质量检测标准和本招标文件规定标准的全新正品现货。</w:t>
      </w:r>
    </w:p>
    <w:p>
      <w:pPr>
        <w:wordWrap w:val="0"/>
        <w:topLinePunct/>
        <w:spacing w:line="360" w:lineRule="auto"/>
        <w:ind w:firstLine="480" w:firstLineChars="200"/>
        <w:rPr>
          <w:rFonts w:ascii="宋体" w:cs="宋体"/>
          <w:b/>
          <w:sz w:val="24"/>
          <w:lang w:val="zh-CN"/>
        </w:rPr>
      </w:pPr>
      <w:r>
        <w:rPr>
          <w:rFonts w:hint="eastAsia" w:ascii="宋体" w:cs="宋体"/>
          <w:sz w:val="24"/>
          <w:lang w:val="en-US" w:eastAsia="zh-CN"/>
        </w:rPr>
        <w:t>7</w:t>
      </w:r>
      <w:r>
        <w:rPr>
          <w:rFonts w:hint="eastAsia" w:ascii="宋体" w:cs="宋体"/>
          <w:sz w:val="24"/>
          <w:lang w:val="zh-CN"/>
        </w:rPr>
        <w:t>、本项目为交钥匙工程。</w:t>
      </w: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四、验收标准</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en-US" w:eastAsia="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en-US" w:eastAsia="zh-CN"/>
        </w:rPr>
        <w:t>2、按照招标文件要求、投标文件响应和承诺验收；</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微软雅黑" w:asciiTheme="minorEastAsia" w:hAnsiTheme="minorEastAsia"/>
          <w:b/>
          <w:color w:val="FF0000"/>
          <w:szCs w:val="21"/>
        </w:rPr>
        <w:t>★</w:t>
      </w:r>
      <w:r>
        <w:rPr>
          <w:rFonts w:hint="eastAsia" w:cs="黑体" w:asciiTheme="minorEastAsia" w:hAnsiTheme="minorEastAsia" w:eastAsiaTheme="minorEastAsia"/>
          <w:b/>
          <w:bCs/>
          <w:color w:val="000000"/>
          <w:shd w:val="clear" w:color="auto" w:fill="FFFFFF"/>
          <w:lang w:eastAsia="zh-CN"/>
        </w:rPr>
        <w:t>五</w:t>
      </w:r>
      <w:r>
        <w:rPr>
          <w:rFonts w:hint="eastAsia" w:cs="黑体" w:asciiTheme="minorEastAsia" w:hAnsiTheme="minorEastAsia" w:eastAsiaTheme="minorEastAsia"/>
          <w:b/>
          <w:bCs/>
          <w:color w:val="000000"/>
          <w:shd w:val="clear" w:color="auto" w:fill="FFFFFF"/>
        </w:rPr>
        <w:t>、本项目预算金额</w:t>
      </w:r>
      <w:r>
        <w:rPr>
          <w:rFonts w:hint="eastAsia" w:cs="黑体" w:asciiTheme="minorEastAsia" w:hAnsiTheme="minorEastAsia" w:eastAsiaTheme="minorEastAsia"/>
          <w:b/>
          <w:bCs/>
          <w:color w:val="000000"/>
          <w:shd w:val="clear" w:color="auto" w:fill="FFFFFF"/>
          <w:lang w:val="en-US" w:eastAsia="zh-CN"/>
        </w:rPr>
        <w:t>279万</w:t>
      </w:r>
      <w:r>
        <w:rPr>
          <w:rFonts w:hint="eastAsia" w:cs="黑体" w:asciiTheme="minorEastAsia" w:hAnsiTheme="minorEastAsia" w:eastAsiaTheme="minorEastAsia"/>
          <w:b/>
          <w:bCs/>
          <w:color w:val="000000"/>
          <w:shd w:val="clear" w:color="auto" w:fill="FFFFFF"/>
        </w:rPr>
        <w:t>元。最高限价</w:t>
      </w:r>
      <w:r>
        <w:rPr>
          <w:rFonts w:hint="eastAsia" w:cs="黑体" w:asciiTheme="minorEastAsia" w:hAnsiTheme="minorEastAsia" w:eastAsiaTheme="minorEastAsia"/>
          <w:b/>
          <w:bCs/>
          <w:color w:val="000000"/>
          <w:shd w:val="clear" w:color="auto" w:fill="FFFFFF"/>
          <w:lang w:val="en-US" w:eastAsia="zh-CN"/>
        </w:rPr>
        <w:t>279万</w:t>
      </w:r>
      <w:r>
        <w:rPr>
          <w:rFonts w:hint="eastAsia" w:cs="宋体" w:asciiTheme="minorEastAsia" w:hAnsiTheme="minorEastAsia" w:eastAsiaTheme="minorEastAsia"/>
          <w:b/>
          <w:color w:val="000000"/>
          <w:kern w:val="0"/>
          <w:lang w:val="zh-CN"/>
        </w:rPr>
        <w:t>元。超出最高限价的投标无效。</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 w:val="24"/>
          <w:szCs w:val="24"/>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六、资金支付</w:t>
      </w:r>
    </w:p>
    <w:p>
      <w:pPr>
        <w:wordWrap w:val="0"/>
        <w:topLinePunct/>
        <w:spacing w:line="360" w:lineRule="auto"/>
        <w:ind w:firstLine="480" w:firstLineChars="200"/>
        <w:rPr>
          <w:rFonts w:hint="eastAsia" w:ascii="宋体" w:cs="宋体"/>
          <w:sz w:val="24"/>
          <w:lang w:val="zh-CN" w:eastAsia="zh-CN"/>
        </w:rPr>
      </w:pPr>
      <w:r>
        <w:rPr>
          <w:rFonts w:hint="eastAsia" w:ascii="宋体" w:cs="宋体"/>
          <w:sz w:val="24"/>
          <w:lang w:val="zh-CN" w:eastAsia="zh-CN"/>
        </w:rPr>
        <w:t>1、支付方式：银行转账</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zh-CN" w:eastAsia="zh-CN"/>
        </w:rPr>
        <w:t>2、支付时间及条件：</w:t>
      </w:r>
      <w:r>
        <w:rPr>
          <w:rFonts w:hint="eastAsia" w:ascii="宋体" w:cs="宋体"/>
          <w:sz w:val="24"/>
          <w:lang w:val="en-US" w:eastAsia="zh-CN"/>
        </w:rPr>
        <w:t>签订合同后支付总金额30%，到货验收合格后支付总金额65%，其余5%质保期满一年后支付。</w:t>
      </w:r>
    </w:p>
    <w:p>
      <w:pPr>
        <w:wordWrap w:val="0"/>
        <w:topLinePunct/>
        <w:spacing w:line="360" w:lineRule="auto"/>
        <w:ind w:firstLine="480" w:firstLineChars="200"/>
        <w:rPr>
          <w:rFonts w:hint="eastAsia" w:ascii="宋体" w:cs="宋体"/>
          <w:sz w:val="24"/>
          <w:lang w:val="en-US" w:eastAsia="zh-CN"/>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项目名称：</w:t>
            </w:r>
            <w:r>
              <w:rPr>
                <w:rFonts w:hint="eastAsia" w:cs="仿宋_GB2312" w:asciiTheme="minorEastAsia" w:hAnsiTheme="minorEastAsia"/>
                <w:szCs w:val="21"/>
                <w:lang w:val="en-US" w:eastAsia="zh-CN"/>
              </w:rPr>
              <w:t>创建示范区升降简易舞台购置</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项目编号：ZFCG-G2019</w:t>
            </w:r>
            <w:r>
              <w:rPr>
                <w:rFonts w:hint="eastAsia" w:cs="仿宋_GB2312" w:asciiTheme="minorEastAsia" w:hAnsiTheme="minorEastAsia"/>
                <w:szCs w:val="21"/>
                <w:lang w:val="en-US" w:eastAsia="zh-CN"/>
              </w:rPr>
              <w:t>137</w:t>
            </w:r>
            <w:r>
              <w:rPr>
                <w:rFonts w:hint="eastAsia" w:cs="仿宋_GB2312" w:asciiTheme="minorEastAsia" w:hAnsiTheme="minorEastAsia"/>
                <w:szCs w:val="21"/>
              </w:rPr>
              <w:t>号</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项目内容：</w:t>
            </w:r>
            <w:r>
              <w:rPr>
                <w:rFonts w:hint="eastAsia" w:cs="仿宋_GB2312" w:asciiTheme="minorEastAsia" w:hAnsiTheme="minorEastAsia"/>
                <w:szCs w:val="21"/>
                <w:lang w:val="en-US" w:eastAsia="zh-CN"/>
              </w:rPr>
              <w:t>升降简易舞台200套</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w:t>
            </w:r>
            <w:r>
              <w:rPr>
                <w:rFonts w:hint="eastAsia" w:cs="仿宋_GB2312" w:asciiTheme="minorEastAsia" w:hAnsiTheme="minorEastAsia"/>
                <w:szCs w:val="21"/>
                <w:lang w:val="en-US" w:eastAsia="zh-CN"/>
              </w:rPr>
              <w:t>建安区、魏都区、长葛市、鄢陵县、禹州市、襄城县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w:t>
            </w:r>
            <w:r>
              <w:rPr>
                <w:rFonts w:hint="eastAsia" w:cs="仿宋_GB2312" w:asciiTheme="minorEastAsia" w:hAnsiTheme="minorEastAsia"/>
                <w:szCs w:val="21"/>
                <w:lang w:val="en-US" w:eastAsia="zh-CN"/>
              </w:rPr>
              <w:t>许昌市文化广电和旅游局</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w:t>
            </w:r>
            <w:r>
              <w:rPr>
                <w:rFonts w:hint="eastAsia" w:cs="仿宋_GB2312" w:asciiTheme="minorEastAsia" w:hAnsiTheme="minorEastAsia"/>
                <w:szCs w:val="21"/>
                <w:lang w:val="en-US" w:eastAsia="zh-CN"/>
              </w:rPr>
              <w:t>许昌市八一路东段广电大厦</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val="en-US" w:eastAsia="zh-CN"/>
              </w:rPr>
              <w:t>吕涛</w:t>
            </w:r>
            <w:r>
              <w:rPr>
                <w:rFonts w:hint="eastAsia" w:cs="仿宋_GB2312" w:asciiTheme="minorEastAsia" w:hAnsiTheme="minorEastAsia"/>
                <w:szCs w:val="21"/>
              </w:rPr>
              <w:t xml:space="preserve">                   电话：</w:t>
            </w:r>
            <w:r>
              <w:rPr>
                <w:rFonts w:hint="eastAsia" w:cs="仿宋_GB2312" w:asciiTheme="minorEastAsia" w:hAnsiTheme="minorEastAsia"/>
                <w:szCs w:val="21"/>
                <w:lang w:val="en-US" w:eastAsia="zh-CN"/>
              </w:rPr>
              <w:t>13837446606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地址：许昌市龙兴路与竹林路交汇处公共资源大厦</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杨女士</w:t>
            </w:r>
            <w:r>
              <w:rPr>
                <w:rFonts w:hint="eastAsia" w:cs="仿宋_GB2312" w:asciiTheme="minorEastAsia" w:hAnsiTheme="minorEastAsia"/>
                <w:szCs w:val="21"/>
              </w:rPr>
              <w:t xml:space="preserve">                    电话：0374-</w:t>
            </w:r>
            <w:r>
              <w:rPr>
                <w:rFonts w:hint="eastAsia" w:cs="仿宋_GB2312" w:asciiTheme="minorEastAsia" w:hAnsiTheme="minorEastAsia"/>
                <w:szCs w:val="21"/>
                <w:lang w:val="en-US" w:eastAsia="zh-CN"/>
              </w:rPr>
              <w:t>2962805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）严重违法失信社会组织名单的投标人（</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279万</w:t>
            </w:r>
            <w:r>
              <w:rPr>
                <w:rFonts w:hint="eastAsia" w:cs="宋体" w:asciiTheme="minorEastAsia" w:hAnsiTheme="minorEastAsia"/>
                <w:bCs/>
                <w:szCs w:val="21"/>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2019</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10</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11</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10</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递交投标文件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及开标地点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许昌市公共资源交易中心三楼开标</w:t>
            </w:r>
            <w:r>
              <w:rPr>
                <w:rFonts w:hint="eastAsia" w:cs="宋体" w:asciiTheme="minorEastAsia" w:hAnsiTheme="minorEastAsia"/>
                <w:bCs/>
                <w:szCs w:val="21"/>
                <w:lang w:val="en-US" w:eastAsia="zh-CN"/>
              </w:rPr>
              <w:t>三</w:t>
            </w:r>
            <w:r>
              <w:rPr>
                <w:rFonts w:hint="eastAsia" w:cs="宋体" w:asciiTheme="minorEastAsia" w:hAnsiTheme="minorEastAsia"/>
                <w:bCs/>
                <w:szCs w:val="21"/>
                <w:lang w:val="zh-CN"/>
              </w:rPr>
              <w:t>室（</w:t>
            </w:r>
            <w:r>
              <w:rPr>
                <w:rFonts w:cs="宋体" w:asciiTheme="minorEastAsia" w:hAnsiTheme="minorEastAsia"/>
                <w:bCs/>
                <w:szCs w:val="21"/>
                <w:lang w:val="zh-CN"/>
              </w:rPr>
              <w:t>龙兴路与竹林路交汇处</w:t>
            </w:r>
            <w:r>
              <w:rPr>
                <w:rFonts w:hint="eastAsia" w:cs="宋体" w:asciiTheme="minorEastAsia" w:hAnsiTheme="minorEastAsia"/>
                <w:bCs/>
                <w:szCs w:val="21"/>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bookmarkStart w:id="15" w:name="_GoBack"/>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中国·许昌许昌市政府网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w:t>
            </w:r>
            <w:r>
              <w:rPr>
                <w:rFonts w:hint="eastAsia" w:ascii="新宋体" w:hAnsi="新宋体" w:eastAsia="新宋体"/>
                <w:szCs w:val="21"/>
              </w:rPr>
              <w:t>本一份。使</w:t>
            </w:r>
            <w:r>
              <w:rPr>
                <w:rFonts w:hint="eastAsia" w:cs="仿宋_GB2312" w:asciiTheme="minorEastAsia" w:hAnsiTheme="minorEastAsia"/>
                <w:szCs w:val="21"/>
              </w:rPr>
              <w:t>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向许昌市公共资源交易中心交易见证部发</w:t>
            </w:r>
            <w:r>
              <w:rPr>
                <w:rFonts w:hint="eastAsia" w:cs="宋体" w:asciiTheme="minorEastAsia" w:hAnsiTheme="minorEastAsia"/>
                <w:bCs/>
                <w:szCs w:val="21"/>
                <w:lang w:val="zh-CN"/>
              </w:rPr>
              <w:t xml:space="preserve">送投标报价及分项报价一览表（包含主要中标标的的名称、规格型号、数量、单价、服务要求等）电子文档，并同时通知交易见证部。联系电话：0374-2968027；邮箱：jzb2968027@163.com。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不同投标人电子投标文件记录的网卡MAC地址、CPU序号、硬盘序列号等硬件特征码均相同时，视为‘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7"/>
        <w:autoSpaceDE w:val="0"/>
        <w:autoSpaceDN w:val="0"/>
        <w:spacing w:line="360" w:lineRule="auto"/>
        <w:ind w:left="780"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991" w:leftChars="472"/>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37"/>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945" w:firstLineChars="45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37"/>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37"/>
        <w:autoSpaceDE w:val="0"/>
        <w:autoSpaceDN w:val="0"/>
        <w:spacing w:line="360" w:lineRule="auto"/>
        <w:ind w:left="1698" w:leftChars="452" w:hanging="749" w:hangingChars="357"/>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pStyle w:val="37"/>
        <w:autoSpaceDE w:val="0"/>
        <w:autoSpaceDN w:val="0"/>
        <w:spacing w:line="360" w:lineRule="auto"/>
        <w:ind w:left="1698" w:leftChars="453" w:hanging="747" w:hangingChars="356"/>
        <w:contextualSpacing/>
        <w:rPr>
          <w:rFonts w:cs="宋体" w:asciiTheme="minorEastAsia" w:hAnsiTheme="minorEastAsia"/>
          <w:kern w:val="0"/>
          <w:szCs w:val="21"/>
        </w:rPr>
      </w:pPr>
      <w:r>
        <w:rPr>
          <w:rFonts w:hint="eastAsia" w:cs="宋体" w:asciiTheme="minorEastAsia" w:hAnsiTheme="minorEastAsia"/>
          <w:kern w:val="0"/>
          <w:szCs w:val="21"/>
        </w:rPr>
        <w:t>3.3.5  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3.6.3  招标人根据采购项目的特殊要求规定投标人特定条件的，联合体各方中至少应当有一方符合采购规定的特定条件。</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2" w:name="baidusnap0"/>
      <w:bookmarkEnd w:id="2"/>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7"/>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本项目不收取代理费用。详见投标人须知前附表。</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7"/>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7"/>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7"/>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7"/>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7"/>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24.3.1  电子投标文件的解密。全流程电子化交易项目电子投标文件采用双重加密。解密需分标段进行两次解密。</w:t>
      </w:r>
    </w:p>
    <w:p>
      <w:pPr>
        <w:autoSpaceDE w:val="0"/>
        <w:autoSpaceDN w:val="0"/>
        <w:spacing w:line="360" w:lineRule="auto"/>
        <w:ind w:left="2976" w:leftChars="876" w:hanging="1136" w:hangingChars="541"/>
        <w:contextualSpacing/>
        <w:rPr>
          <w:rFonts w:cs="宋体" w:asciiTheme="minorEastAsia" w:hAnsiTheme="minorEastAsia"/>
          <w:kern w:val="0"/>
          <w:szCs w:val="21"/>
        </w:rPr>
      </w:pPr>
      <w:r>
        <w:rPr>
          <w:rFonts w:hint="eastAsia" w:cs="宋体" w:asciiTheme="minorEastAsia" w:hAnsiTheme="minorEastAsia"/>
          <w:kern w:val="0"/>
          <w:szCs w:val="21"/>
        </w:rPr>
        <w:t>24.3.1.1  投标人解密：投标人使用本单位CA数字证书远程或现场进行解密。需开标现场使用一体机进行解密的，请在代理机构引导下进行。</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24.3.1.2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24.3.2   电子投标文件解密异常情况处理</w:t>
      </w:r>
    </w:p>
    <w:p>
      <w:pPr>
        <w:autoSpaceDE w:val="0"/>
        <w:autoSpaceDN w:val="0"/>
        <w:spacing w:line="360" w:lineRule="auto"/>
        <w:ind w:left="2835" w:leftChars="878" w:hanging="991" w:hangingChars="472"/>
        <w:contextualSpacing/>
        <w:rPr>
          <w:rFonts w:cs="宋体" w:asciiTheme="minorEastAsia" w:hAnsiTheme="minorEastAsia"/>
          <w:kern w:val="0"/>
          <w:szCs w:val="21"/>
        </w:rPr>
      </w:pPr>
      <w:r>
        <w:rPr>
          <w:rFonts w:hint="eastAsia" w:cs="宋体" w:asciiTheme="minorEastAsia" w:hAnsiTheme="minorEastAsia"/>
          <w:kern w:val="0"/>
          <w:szCs w:val="21"/>
        </w:rPr>
        <w:t>24.3.2.1 因电子交易系统异常无法解密电子投标文件的，使用纸质投标文件以人工方式进行。</w:t>
      </w:r>
    </w:p>
    <w:p>
      <w:pPr>
        <w:autoSpaceDE w:val="0"/>
        <w:autoSpaceDN w:val="0"/>
        <w:spacing w:line="360" w:lineRule="auto"/>
        <w:ind w:left="2835" w:leftChars="878" w:hanging="991" w:hangingChars="472"/>
        <w:contextualSpacing/>
        <w:rPr>
          <w:rFonts w:cs="宋体" w:asciiTheme="minorEastAsia" w:hAnsiTheme="minorEastAsia"/>
          <w:kern w:val="0"/>
          <w:szCs w:val="21"/>
        </w:rPr>
      </w:pPr>
      <w:r>
        <w:rPr>
          <w:rFonts w:hint="eastAsia" w:cs="宋体" w:asciiTheme="minorEastAsia" w:hAnsiTheme="minor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1799" w:leftChars="45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left="2691" w:leftChars="473" w:hanging="1698" w:hangingChars="809"/>
        <w:contextualSpacing/>
        <w:rPr>
          <w:rFonts w:cs="宋体" w:asciiTheme="minorEastAsia" w:hAnsiTheme="minorEastAsia"/>
          <w:kern w:val="0"/>
          <w:szCs w:val="21"/>
        </w:rPr>
      </w:pPr>
      <w:r>
        <w:rPr>
          <w:rFonts w:hint="eastAsia" w:cs="宋体" w:asciiTheme="minorEastAsia" w:hAnsiTheme="minorEastAsia"/>
          <w:kern w:val="0"/>
          <w:szCs w:val="21"/>
        </w:rPr>
        <w:t>26.1.2  采购项目符合下列情形之一的，评标委员会成员人数应当为7人以上单数：</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26.1.2.1  采购预算金额在1000万元以上；</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26.1.2.2  技术复杂；</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26.1.2.3  社会影响较大。</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26.3.1  参加采购活动前三年内,与供应商存在劳动关系,或者担任过供应商的董事、监事,或者是供应商的控股股东或实际控制人；</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26.3.2  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26.3.3  与供应商有其他可能影响政府采购活动公平、公正进行的关系。</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1133" w:leftChars="20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29.1  投标文件中开标一览表(报价表)内容与投标文件中相应内容不一致的，以开标一览表(报价表)为准；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29.2  大写金额和小写金额不一致的，以大写金额为准；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29.3  单价金额小数点或者百分比有明显错位的，以开标一览表的总价为准，并修改单价；</w:t>
      </w:r>
    </w:p>
    <w:p>
      <w:pPr>
        <w:autoSpaceDE w:val="0"/>
        <w:autoSpaceDN w:val="0"/>
        <w:spacing w:line="360" w:lineRule="auto"/>
        <w:ind w:left="991" w:leftChars="200" w:hanging="571" w:hangingChars="272"/>
        <w:contextualSpacing/>
        <w:rPr>
          <w:rFonts w:cs="宋体" w:asciiTheme="minorEastAsia" w:hAnsiTheme="minorEastAsia"/>
          <w:kern w:val="0"/>
          <w:szCs w:val="21"/>
        </w:rPr>
      </w:pPr>
      <w:r>
        <w:rPr>
          <w:rFonts w:hint="eastAsia" w:cs="宋体" w:asciiTheme="minorEastAsia" w:hAnsiTheme="minor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7"/>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30.1.1  未按照招标文件的规定提交投标承诺函的；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30.1.5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30.2.5   不同投标人的投标文件相互混装。</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按照《关于推进全流程电子化交易和在线监管工作有关问题的通知》（许公管办[2019]3号）规定，不同投标人电子投标文件记录的网卡MAC地址、CPU序号、硬盘序列号等硬件特征码均相同时，视为‘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37"/>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7"/>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33.1.1  最低评标价法</w:t>
      </w:r>
    </w:p>
    <w:p>
      <w:pPr>
        <w:autoSpaceDE w:val="0"/>
        <w:autoSpaceDN w:val="0"/>
        <w:spacing w:line="360" w:lineRule="auto"/>
        <w:ind w:left="2975" w:leftChars="878" w:hanging="1131" w:hangingChars="539"/>
        <w:contextualSpacing/>
        <w:rPr>
          <w:rFonts w:cs="宋体" w:asciiTheme="minorEastAsia" w:hAnsiTheme="minorEastAsia"/>
          <w:kern w:val="0"/>
          <w:szCs w:val="21"/>
        </w:rPr>
      </w:pPr>
      <w:r>
        <w:rPr>
          <w:rFonts w:hint="eastAsia" w:cs="宋体" w:asciiTheme="minorEastAsia" w:hAnsiTheme="minorEastAsia"/>
          <w:kern w:val="0"/>
          <w:szCs w:val="21"/>
        </w:rPr>
        <w:t>33.1.1.2   最低评标价法，是指投标文件满足招标文件全部实质性要求，且投标报价最低的投标人为中标候选人的评标方法。</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33.1.1.2   采用最低评标价法评标时，除了算术修正和落实政府采购政策需进行的价格扣除外，不能对投标人的投标价格进行任何调整。</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33.1.2  综合评分法，是指投标文件满足招标文件全部实质性要求，且按照评审因素的量化指标评审得分最高的投标人为中标候选人的评标方法。</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33.2.2  评标过程中，不得去掉报价中的最高报价和最低报价。</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33.2.3  因落实政府采购政策进行价格调整的，以调整后的价格计算评标基准价和投标报价。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7"/>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35.1  确定参与评标至评标结束前私自接触投标人；</w:t>
      </w:r>
    </w:p>
    <w:p>
      <w:pPr>
        <w:autoSpaceDE w:val="0"/>
        <w:autoSpaceDN w:val="0"/>
        <w:spacing w:line="360" w:lineRule="auto"/>
        <w:ind w:left="1558" w:leftChars="47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35.2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39.1.2  对采购过程提出质疑的，为各采购程序环节结束之日起七个工作日内，以书面形式向采购人和采购代理机构一次性提出；</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39.1.3  对中标结果提出质疑的，为中标结果公告期限届满之日起七个工作日内，以书面形式向采购人和采购代理机构一次性提出。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第五章 政府采购政策功能</w:t>
      </w:r>
    </w:p>
    <w:p>
      <w:pPr>
        <w:jc w:val="center"/>
        <w:rPr>
          <w:rFonts w:cs="宋体" w:asciiTheme="majorEastAsia" w:hAnsiTheme="majorEastAsia" w:eastAsiaTheme="majorEastAsia"/>
          <w:b/>
          <w:kern w:val="0"/>
          <w:sz w:val="36"/>
          <w:szCs w:val="36"/>
        </w:rPr>
      </w:pP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3" w:name="OLE_LINK6"/>
      <w:r>
        <w:rPr>
          <w:rFonts w:hint="eastAsia" w:cs="仿宋_GB2312" w:asciiTheme="minorEastAsia" w:hAnsiTheme="minorEastAsia"/>
          <w:szCs w:val="21"/>
          <w:lang w:val="zh-CN"/>
        </w:rPr>
        <w:t>财库[2014]68号</w:t>
      </w:r>
      <w:bookmarkEnd w:id="3"/>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topLinePunct/>
        <w:spacing w:line="360" w:lineRule="auto"/>
        <w:ind w:firstLine="420" w:firstLineChars="200"/>
        <w:contextualSpacing/>
        <w:rPr>
          <w:rFonts w:cs="仿宋_GB2312" w:asciiTheme="minorEastAsia" w:hAnsiTheme="minorEastAsia"/>
          <w:szCs w:val="21"/>
          <w:lang w:val="zh-CN"/>
        </w:rPr>
      </w:pPr>
    </w:p>
    <w:p>
      <w:pPr>
        <w:topLinePunct/>
        <w:spacing w:line="360" w:lineRule="auto"/>
        <w:ind w:firstLine="420" w:firstLineChars="200"/>
        <w:contextualSpacing/>
        <w:rPr>
          <w:rFonts w:cs="仿宋_GB2312" w:asciiTheme="minorEastAsia" w:hAnsiTheme="minorEastAsia"/>
          <w:szCs w:val="21"/>
          <w:lang w:val="zh-CN"/>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5"/>
                <w:rFonts w:hint="eastAsia" w:asciiTheme="minorEastAsia" w:hAnsiTheme="minorEastAsia"/>
                <w:bCs/>
                <w:szCs w:val="21"/>
              </w:rPr>
              <w:t>www.creditchina.gov.cn</w:t>
            </w:r>
            <w:r>
              <w:rPr>
                <w:rStyle w:val="25"/>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4" w:name="baidusnap2"/>
            <w:bookmarkEnd w:id="4"/>
            <w:r>
              <w:rPr>
                <w:rFonts w:hint="eastAsia" w:cs="仿宋_GB2312" w:asciiTheme="minorEastAsia" w:hAnsiTheme="minorEastAsia"/>
                <w:szCs w:val="21"/>
                <w:lang w:val="zh-CN"/>
              </w:rPr>
              <w:t>提供未为本项目提供整体设计、</w:t>
            </w:r>
            <w:bookmarkStart w:id="5" w:name="baidusnap9"/>
            <w:bookmarkEnd w:id="5"/>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6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1" w:hRule="atLeast"/>
        </w:trPr>
        <w:tc>
          <w:tcPr>
            <w:tcW w:w="2944" w:type="dxa"/>
            <w:gridSpan w:val="2"/>
            <w:vAlign w:val="center"/>
          </w:tcPr>
          <w:p>
            <w:pPr>
              <w:spacing w:line="360" w:lineRule="auto"/>
              <w:jc w:val="center"/>
              <w:rPr>
                <w:rFonts w:asciiTheme="minorEastAsia" w:hAnsiTheme="minorEastAsia"/>
                <w:szCs w:val="21"/>
              </w:rPr>
            </w:pPr>
            <w:r>
              <w:rPr>
                <w:rFonts w:hint="eastAsia" w:asciiTheme="minorEastAsia" w:hAnsiTheme="minorEastAsia"/>
                <w:szCs w:val="21"/>
              </w:rPr>
              <w:t>分值构成</w:t>
            </w:r>
          </w:p>
          <w:p>
            <w:pPr>
              <w:snapToGrid w:val="0"/>
              <w:spacing w:beforeLines="50"/>
              <w:jc w:val="center"/>
              <w:rPr>
                <w:rFonts w:ascii="宋体" w:hAnsi="宋体" w:cs="宋体"/>
                <w:b/>
                <w:szCs w:val="21"/>
              </w:rPr>
            </w:pPr>
            <w:r>
              <w:rPr>
                <w:rFonts w:hint="eastAsia" w:asciiTheme="minorEastAsia" w:hAnsiTheme="minorEastAsia"/>
                <w:szCs w:val="21"/>
              </w:rPr>
              <w:t>(总分100分)</w:t>
            </w:r>
          </w:p>
        </w:tc>
        <w:tc>
          <w:tcPr>
            <w:tcW w:w="6095" w:type="dxa"/>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价格分值：</w:t>
            </w:r>
            <w:r>
              <w:rPr>
                <w:rFonts w:hint="eastAsia" w:asciiTheme="minorEastAsia" w:hAnsiTheme="minorEastAsia"/>
                <w:szCs w:val="21"/>
                <w:lang w:val="en-US" w:eastAsia="zh-CN"/>
              </w:rPr>
              <w:t>30</w:t>
            </w:r>
            <w:r>
              <w:rPr>
                <w:rFonts w:hint="eastAsia" w:asciiTheme="minorEastAsia" w:hAnsiTheme="minorEastAsia"/>
                <w:szCs w:val="21"/>
              </w:rPr>
              <w:t>分</w:t>
            </w:r>
          </w:p>
          <w:p>
            <w:pPr>
              <w:spacing w:line="360" w:lineRule="auto"/>
              <w:ind w:firstLine="420" w:firstLineChars="200"/>
              <w:rPr>
                <w:rFonts w:asciiTheme="minorEastAsia" w:hAnsiTheme="minorEastAsia"/>
                <w:szCs w:val="21"/>
              </w:rPr>
            </w:pPr>
            <w:r>
              <w:rPr>
                <w:rFonts w:hint="eastAsia" w:asciiTheme="minorEastAsia" w:hAnsiTheme="minorEastAsia"/>
                <w:szCs w:val="21"/>
              </w:rPr>
              <w:t>商务部分：</w:t>
            </w:r>
            <w:r>
              <w:rPr>
                <w:rFonts w:hint="eastAsia" w:asciiTheme="minorEastAsia" w:hAnsiTheme="minorEastAsia"/>
                <w:szCs w:val="21"/>
                <w:lang w:val="en-US" w:eastAsia="zh-CN"/>
              </w:rPr>
              <w:t>28</w:t>
            </w:r>
            <w:r>
              <w:rPr>
                <w:rFonts w:hint="eastAsia" w:asciiTheme="minorEastAsia" w:hAnsiTheme="minorEastAsia"/>
                <w:szCs w:val="21"/>
              </w:rPr>
              <w:t>分</w:t>
            </w:r>
          </w:p>
          <w:p>
            <w:pPr>
              <w:spacing w:beforeLines="50"/>
              <w:ind w:firstLine="420" w:firstLineChars="200"/>
              <w:rPr>
                <w:rFonts w:asciiTheme="minorEastAsia" w:hAnsiTheme="minorEastAsia"/>
                <w:szCs w:val="21"/>
              </w:rPr>
            </w:pPr>
            <w:r>
              <w:rPr>
                <w:rFonts w:hint="eastAsia" w:asciiTheme="minorEastAsia" w:hAnsiTheme="minorEastAsia"/>
                <w:szCs w:val="21"/>
              </w:rPr>
              <w:t>技术部分：</w:t>
            </w:r>
            <w:r>
              <w:rPr>
                <w:rFonts w:hint="eastAsia" w:asciiTheme="minorEastAsia" w:hAnsiTheme="minorEastAsia"/>
                <w:szCs w:val="21"/>
                <w:lang w:val="en-US" w:eastAsia="zh-CN"/>
              </w:rPr>
              <w:t>22</w:t>
            </w:r>
            <w:r>
              <w:rPr>
                <w:rFonts w:hint="eastAsia" w:asciiTheme="minorEastAsia" w:hAnsiTheme="minorEastAsia"/>
                <w:szCs w:val="21"/>
              </w:rPr>
              <w:t>分</w:t>
            </w:r>
          </w:p>
          <w:p>
            <w:pPr>
              <w:spacing w:beforeLines="50"/>
              <w:ind w:firstLine="420" w:firstLineChars="200"/>
              <w:rPr>
                <w:rFonts w:ascii="宋体" w:hAnsi="宋体" w:cs="宋体"/>
                <w:b/>
                <w:szCs w:val="21"/>
              </w:rPr>
            </w:pPr>
            <w:r>
              <w:rPr>
                <w:rFonts w:hint="eastAsia" w:asciiTheme="minorEastAsia" w:hAnsiTheme="minorEastAsia"/>
                <w:szCs w:val="21"/>
              </w:rPr>
              <w:t>服务部分：</w:t>
            </w:r>
            <w:r>
              <w:rPr>
                <w:rFonts w:hint="eastAsia" w:asciiTheme="minorEastAsia" w:hAnsiTheme="minorEastAsia"/>
                <w:szCs w:val="21"/>
                <w:lang w:val="en-US" w:eastAsia="zh-CN"/>
              </w:rPr>
              <w:t>20</w:t>
            </w:r>
            <w:r>
              <w:rPr>
                <w:rFonts w:hint="eastAsia" w:asciiTheme="minorEastAsia" w:hAnsi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384"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评审项</w:t>
            </w:r>
          </w:p>
        </w:tc>
        <w:tc>
          <w:tcPr>
            <w:tcW w:w="1560"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评分因素</w:t>
            </w:r>
          </w:p>
        </w:tc>
        <w:tc>
          <w:tcPr>
            <w:tcW w:w="6095"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w:t>
            </w:r>
            <w:r>
              <w:rPr>
                <w:rFonts w:hint="eastAsia" w:ascii="宋体" w:hAnsi="宋体" w:cs="宋体"/>
                <w:b/>
                <w:szCs w:val="21"/>
              </w:rPr>
              <w:t>标</w:t>
            </w:r>
            <w:r>
              <w:rPr>
                <w:rFonts w:hint="eastAsia" w:ascii="宋体" w:hAnsi="宋体" w:eastAsia="宋体" w:cs="宋体"/>
                <w:b/>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trPr>
        <w:tc>
          <w:tcPr>
            <w:tcW w:w="1384" w:type="dxa"/>
            <w:vAlign w:val="center"/>
          </w:tcPr>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报价部分</w:t>
            </w:r>
          </w:p>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30</w:t>
            </w:r>
            <w:r>
              <w:rPr>
                <w:rFonts w:hint="eastAsia" w:ascii="宋体" w:hAnsi="宋体" w:eastAsia="宋体" w:cs="宋体"/>
                <w:szCs w:val="21"/>
              </w:rPr>
              <w:t>分）</w:t>
            </w:r>
          </w:p>
        </w:tc>
        <w:tc>
          <w:tcPr>
            <w:tcW w:w="1560" w:type="dxa"/>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报价</w:t>
            </w:r>
          </w:p>
          <w:p>
            <w:pPr>
              <w:snapToGrid w:val="0"/>
              <w:spacing w:beforeLines="50"/>
              <w:jc w:val="center"/>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30</w:t>
            </w:r>
            <w:r>
              <w:rPr>
                <w:rFonts w:hint="eastAsia" w:ascii="宋体" w:hAnsi="宋体" w:eastAsia="宋体" w:cs="宋体"/>
                <w:szCs w:val="21"/>
              </w:rPr>
              <w:t>分）</w:t>
            </w:r>
          </w:p>
        </w:tc>
        <w:tc>
          <w:tcPr>
            <w:tcW w:w="6095" w:type="dxa"/>
            <w:vAlign w:val="center"/>
          </w:tcPr>
          <w:p>
            <w:pPr>
              <w:spacing w:line="360" w:lineRule="auto"/>
              <w:rPr>
                <w:rFonts w:asciiTheme="minorEastAsia" w:hAnsiTheme="minorEastAsia"/>
                <w:szCs w:val="21"/>
              </w:rPr>
            </w:pPr>
            <w:r>
              <w:rPr>
                <w:rFonts w:hint="eastAsia" w:asciiTheme="minorEastAsia" w:hAnsiTheme="minorEastAsia"/>
                <w:szCs w:val="21"/>
              </w:rPr>
              <w:t>评标基准价：满足招标文件要求的有效投标报价中，最低的投标报价为评标基准价。</w:t>
            </w:r>
          </w:p>
          <w:p>
            <w:pPr>
              <w:widowControl/>
              <w:spacing w:beforeLines="50"/>
              <w:rPr>
                <w:rFonts w:hint="default" w:ascii="宋体" w:hAnsi="宋体" w:cs="宋体" w:eastAsiaTheme="minorEastAsia"/>
                <w:szCs w:val="21"/>
                <w:lang w:val="en-US" w:eastAsia="zh-CN"/>
              </w:rPr>
            </w:pPr>
            <w:r>
              <w:rPr>
                <w:rFonts w:hint="eastAsia" w:asciiTheme="minorEastAsia" w:hAnsiTheme="minorEastAsia"/>
                <w:szCs w:val="21"/>
              </w:rPr>
              <w:t>投标报价得分=（评标基准价/投标报价）×</w:t>
            </w:r>
            <w:r>
              <w:rPr>
                <w:rFonts w:hint="eastAsia" w:asciiTheme="minorEastAsia" w:hAnsiTheme="minorEastAsia"/>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restart"/>
            <w:vAlign w:val="center"/>
          </w:tcPr>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商务部分</w:t>
            </w:r>
          </w:p>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28</w:t>
            </w:r>
            <w:r>
              <w:rPr>
                <w:rFonts w:hint="eastAsia" w:ascii="宋体" w:hAnsi="宋体" w:eastAsia="宋体" w:cs="宋体"/>
                <w:szCs w:val="21"/>
              </w:rPr>
              <w:t>分）</w:t>
            </w:r>
          </w:p>
        </w:tc>
        <w:tc>
          <w:tcPr>
            <w:tcW w:w="1560" w:type="dxa"/>
            <w:vAlign w:val="center"/>
          </w:tcPr>
          <w:p>
            <w:pPr>
              <w:widowControl/>
              <w:snapToGrid w:val="0"/>
              <w:spacing w:beforeLines="50"/>
              <w:jc w:val="center"/>
              <w:rPr>
                <w:rFonts w:ascii="宋体" w:hAnsi="宋体" w:eastAsia="宋体" w:cs="Times New Roman"/>
                <w:szCs w:val="21"/>
              </w:rPr>
            </w:pPr>
            <w:r>
              <w:rPr>
                <w:rFonts w:ascii="宋体" w:hAnsi="宋体" w:eastAsia="宋体" w:cs="Times New Roman"/>
                <w:szCs w:val="21"/>
              </w:rPr>
              <w:t>业绩</w:t>
            </w:r>
          </w:p>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9</w:t>
            </w:r>
            <w:r>
              <w:rPr>
                <w:rFonts w:hint="eastAsia" w:ascii="宋体" w:hAnsi="宋体" w:eastAsia="宋体" w:cs="Times New Roman"/>
                <w:szCs w:val="21"/>
              </w:rPr>
              <w:t>分）</w:t>
            </w:r>
          </w:p>
        </w:tc>
        <w:tc>
          <w:tcPr>
            <w:tcW w:w="6095" w:type="dxa"/>
            <w:vAlign w:val="center"/>
          </w:tcPr>
          <w:p>
            <w:pPr>
              <w:tabs>
                <w:tab w:val="left" w:pos="1260"/>
              </w:tabs>
              <w:autoSpaceDE w:val="0"/>
              <w:autoSpaceDN w:val="0"/>
              <w:spacing w:line="360" w:lineRule="auto"/>
              <w:contextualSpacing/>
              <w:rPr>
                <w:rFonts w:ascii="宋体" w:hAnsi="宋体" w:eastAsia="宋体" w:cs="仿宋_GB2312"/>
                <w:szCs w:val="21"/>
                <w:lang w:val="zh-CN"/>
              </w:rPr>
            </w:pPr>
            <w:r>
              <w:rPr>
                <w:rFonts w:hint="eastAsia" w:ascii="宋体" w:hAnsi="宋体" w:eastAsia="宋体" w:cs="仿宋_GB2312"/>
                <w:b w:val="0"/>
                <w:i w:val="0"/>
                <w:color w:val="000000"/>
                <w:kern w:val="2"/>
                <w:sz w:val="21"/>
                <w:szCs w:val="21"/>
                <w:u w:val="none"/>
                <w:lang w:val="en-US" w:eastAsia="zh-CN" w:bidi="ar"/>
              </w:rPr>
              <w:t>投标人提供2016年1月1日以来类似项目合同，每提供1个得</w:t>
            </w:r>
            <w:r>
              <w:rPr>
                <w:rFonts w:hint="eastAsia" w:ascii="宋体" w:hAnsi="宋体" w:cs="仿宋_GB2312"/>
                <w:b w:val="0"/>
                <w:i w:val="0"/>
                <w:color w:val="000000"/>
                <w:kern w:val="2"/>
                <w:sz w:val="21"/>
                <w:szCs w:val="21"/>
                <w:u w:val="none"/>
                <w:lang w:val="en-US" w:eastAsia="zh-CN" w:bidi="ar"/>
              </w:rPr>
              <w:t>3</w:t>
            </w:r>
            <w:r>
              <w:rPr>
                <w:rFonts w:hint="eastAsia" w:ascii="宋体" w:hAnsi="宋体" w:eastAsia="宋体" w:cs="仿宋_GB2312"/>
                <w:b w:val="0"/>
                <w:i w:val="0"/>
                <w:color w:val="000000"/>
                <w:kern w:val="2"/>
                <w:sz w:val="21"/>
                <w:szCs w:val="21"/>
                <w:u w:val="none"/>
                <w:lang w:val="en-US" w:eastAsia="zh-CN" w:bidi="ar"/>
              </w:rPr>
              <w:t>分，最高得</w:t>
            </w:r>
            <w:r>
              <w:rPr>
                <w:rFonts w:hint="eastAsia" w:ascii="宋体" w:hAnsi="宋体" w:cs="仿宋_GB2312"/>
                <w:b w:val="0"/>
                <w:i w:val="0"/>
                <w:color w:val="000000"/>
                <w:kern w:val="2"/>
                <w:sz w:val="21"/>
                <w:szCs w:val="21"/>
                <w:u w:val="none"/>
                <w:lang w:val="en-US" w:eastAsia="zh-CN" w:bidi="ar"/>
              </w:rPr>
              <w:t>9</w:t>
            </w:r>
            <w:r>
              <w:rPr>
                <w:rFonts w:hint="eastAsia" w:ascii="宋体" w:hAnsi="宋体" w:eastAsia="宋体" w:cs="仿宋_GB2312"/>
                <w:b w:val="0"/>
                <w:i w:val="0"/>
                <w:color w:val="000000"/>
                <w:kern w:val="2"/>
                <w:sz w:val="21"/>
                <w:szCs w:val="21"/>
                <w:u w:val="none"/>
                <w:lang w:val="en-US" w:eastAsia="zh-CN" w:bidi="ar"/>
              </w:rPr>
              <w:t>分。（提供合同、中标通知书）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continue"/>
            <w:vAlign w:val="center"/>
          </w:tcPr>
          <w:p>
            <w:pPr>
              <w:snapToGrid w:val="0"/>
              <w:spacing w:beforeLines="50"/>
              <w:ind w:leftChars="-2" w:hanging="4" w:hangingChars="2"/>
              <w:jc w:val="center"/>
              <w:rPr>
                <w:rFonts w:hint="eastAsia" w:ascii="宋体" w:hAnsi="宋体" w:eastAsia="宋体" w:cs="宋体"/>
                <w:szCs w:val="21"/>
              </w:rPr>
            </w:pPr>
          </w:p>
        </w:tc>
        <w:tc>
          <w:tcPr>
            <w:tcW w:w="1560" w:type="dxa"/>
            <w:vAlign w:val="center"/>
          </w:tcPr>
          <w:p>
            <w:pPr>
              <w:spacing w:line="360" w:lineRule="auto"/>
              <w:jc w:val="center"/>
              <w:rPr>
                <w:rFonts w:hint="eastAsia" w:ascii="宋体" w:hAnsi="宋体"/>
                <w:color w:val="000000"/>
                <w:szCs w:val="21"/>
                <w:lang w:val="en-GB" w:eastAsia="zh-CN"/>
              </w:rPr>
            </w:pPr>
            <w:r>
              <w:rPr>
                <w:rFonts w:hint="eastAsia" w:ascii="宋体" w:hAnsi="宋体"/>
                <w:color w:val="000000"/>
                <w:szCs w:val="21"/>
                <w:lang w:val="en-GB" w:eastAsia="zh-CN"/>
              </w:rPr>
              <w:t>管理体系</w:t>
            </w:r>
          </w:p>
          <w:p>
            <w:pPr>
              <w:spacing w:line="360" w:lineRule="auto"/>
              <w:jc w:val="center"/>
              <w:rPr>
                <w:rFonts w:hint="eastAsia" w:ascii="宋体" w:hAnsi="宋体" w:eastAsia="宋体" w:cs="Times New Roman"/>
                <w:szCs w:val="21"/>
              </w:rPr>
            </w:pPr>
            <w:r>
              <w:rPr>
                <w:rFonts w:hint="eastAsia" w:ascii="宋体" w:hAnsi="宋体"/>
                <w:color w:val="000000"/>
                <w:szCs w:val="21"/>
                <w:lang w:val="en-GB"/>
              </w:rPr>
              <w:t xml:space="preserve">（ 1 </w:t>
            </w:r>
            <w:r>
              <w:rPr>
                <w:rFonts w:hint="eastAsia" w:ascii="宋体" w:hAnsi="宋体"/>
                <w:color w:val="000000"/>
                <w:szCs w:val="21"/>
                <w:lang w:val="en-US" w:eastAsia="zh-CN"/>
              </w:rPr>
              <w:t>7</w:t>
            </w:r>
            <w:r>
              <w:rPr>
                <w:rFonts w:hint="eastAsia" w:ascii="宋体" w:hAnsi="宋体"/>
                <w:color w:val="000000"/>
                <w:szCs w:val="21"/>
                <w:lang w:val="en-GB"/>
              </w:rPr>
              <w:t>分）</w:t>
            </w:r>
          </w:p>
        </w:tc>
        <w:tc>
          <w:tcPr>
            <w:tcW w:w="6095" w:type="dxa"/>
            <w:vAlign w:val="center"/>
          </w:tcPr>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Times New Roman"/>
                <w:b w:val="0"/>
                <w:i w:val="0"/>
                <w:color w:val="000000"/>
                <w:kern w:val="2"/>
                <w:sz w:val="21"/>
                <w:szCs w:val="21"/>
                <w:u w:val="none"/>
                <w:lang w:val="en-US" w:eastAsia="zh-CN" w:bidi="ar"/>
              </w:rPr>
            </w:pPr>
            <w:r>
              <w:rPr>
                <w:rFonts w:hint="eastAsia" w:ascii="宋体" w:hAnsi="宋体" w:cs="Times New Roman"/>
                <w:b w:val="0"/>
                <w:i w:val="0"/>
                <w:color w:val="000000"/>
                <w:kern w:val="2"/>
                <w:sz w:val="21"/>
                <w:szCs w:val="21"/>
                <w:u w:val="none"/>
                <w:lang w:val="en-US" w:eastAsia="zh-CN" w:bidi="ar"/>
              </w:rPr>
              <w:t>投标人提供质量管理体系认证证书（ISO9001）得3分，没有不加分</w:t>
            </w:r>
            <w:r>
              <w:rPr>
                <w:rFonts w:hint="eastAsia" w:ascii="宋体" w:hAnsi="宋体" w:eastAsia="宋体" w:cs="Times New Roman"/>
                <w:b w:val="0"/>
                <w:i w:val="0"/>
                <w:color w:val="000000"/>
                <w:kern w:val="2"/>
                <w:sz w:val="21"/>
                <w:szCs w:val="21"/>
                <w:u w:val="none"/>
                <w:lang w:val="en-US" w:eastAsia="zh-CN" w:bidi="ar"/>
              </w:rPr>
              <w:t>。</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Times New Roman"/>
                <w:b w:val="0"/>
                <w:i w:val="0"/>
                <w:color w:val="000000"/>
                <w:kern w:val="2"/>
                <w:sz w:val="21"/>
                <w:szCs w:val="21"/>
                <w:u w:val="none"/>
                <w:lang w:val="en-US" w:eastAsia="zh-CN" w:bidi="ar"/>
              </w:rPr>
            </w:pPr>
            <w:r>
              <w:rPr>
                <w:rFonts w:hint="eastAsia" w:ascii="宋体" w:hAnsi="宋体" w:cs="Times New Roman"/>
                <w:b w:val="0"/>
                <w:i w:val="0"/>
                <w:color w:val="000000"/>
                <w:kern w:val="2"/>
                <w:sz w:val="21"/>
                <w:szCs w:val="21"/>
                <w:u w:val="none"/>
                <w:lang w:val="en-US" w:eastAsia="zh-CN" w:bidi="ar"/>
              </w:rPr>
              <w:t>投标人提供职业健康安全管理体系认证证书（ISO18001）得3分，没有不加分。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left"/>
              <w:rPr>
                <w:rFonts w:hint="eastAsia" w:ascii="宋体" w:hAnsi="宋体" w:eastAsia="宋体" w:cs="Times New Roman"/>
                <w:b w:val="0"/>
                <w:i w:val="0"/>
                <w:color w:val="000000"/>
                <w:kern w:val="2"/>
                <w:sz w:val="21"/>
                <w:szCs w:val="21"/>
                <w:u w:val="none"/>
                <w:lang w:val="en-US" w:eastAsia="zh-CN" w:bidi="ar"/>
              </w:rPr>
            </w:pPr>
            <w:r>
              <w:rPr>
                <w:rFonts w:hint="eastAsia" w:ascii="宋体" w:hAnsi="宋体" w:cs="Times New Roman"/>
                <w:b w:val="0"/>
                <w:i w:val="0"/>
                <w:color w:val="000000"/>
                <w:kern w:val="2"/>
                <w:sz w:val="21"/>
                <w:szCs w:val="21"/>
                <w:u w:val="none"/>
                <w:lang w:val="en-US" w:eastAsia="zh-CN" w:bidi="ar"/>
              </w:rPr>
              <w:t>3.投标人提供环境管理体系认证证书（IS014001）得3分，没有不加分。</w:t>
            </w:r>
          </w:p>
          <w:p>
            <w:pPr>
              <w:spacing w:line="360" w:lineRule="auto"/>
              <w:jc w:val="left"/>
              <w:rPr>
                <w:rFonts w:hint="eastAsia" w:ascii="宋体" w:hAnsi="宋体" w:eastAsia="宋体" w:cs="仿宋_GB2312"/>
                <w:b w:val="0"/>
                <w:i w:val="0"/>
                <w:color w:val="000000"/>
                <w:kern w:val="2"/>
                <w:sz w:val="21"/>
                <w:szCs w:val="21"/>
                <w:u w:val="none"/>
                <w:lang w:val="en-US" w:eastAsia="zh-CN" w:bidi="ar"/>
              </w:rPr>
            </w:pPr>
            <w:r>
              <w:rPr>
                <w:rFonts w:hint="eastAsia" w:ascii="宋体" w:hAnsi="宋体" w:cs="Times New Roman"/>
                <w:b w:val="0"/>
                <w:i w:val="0"/>
                <w:color w:val="000000"/>
                <w:kern w:val="2"/>
                <w:sz w:val="21"/>
                <w:szCs w:val="21"/>
                <w:u w:val="none"/>
                <w:lang w:val="en-US" w:eastAsia="zh-CN" w:bidi="ar"/>
              </w:rPr>
              <w:t>4.投标人提供2016年以来信用评估机构出具的有效的企业信用报告，等级AAA级信用企业认证证书得8分，没有不得分。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continue"/>
            <w:vAlign w:val="center"/>
          </w:tcPr>
          <w:p>
            <w:pPr>
              <w:snapToGrid w:val="0"/>
              <w:spacing w:beforeLines="50"/>
              <w:ind w:leftChars="-2" w:hanging="4" w:hangingChars="2"/>
              <w:jc w:val="center"/>
              <w:rPr>
                <w:rFonts w:ascii="宋体" w:hAnsi="宋体" w:eastAsia="宋体" w:cs="宋体"/>
                <w:szCs w:val="21"/>
              </w:rPr>
            </w:pPr>
          </w:p>
        </w:tc>
        <w:tc>
          <w:tcPr>
            <w:tcW w:w="1560" w:type="dxa"/>
            <w:vAlign w:val="center"/>
          </w:tcPr>
          <w:p>
            <w:pPr>
              <w:spacing w:line="360" w:lineRule="auto"/>
              <w:jc w:val="center"/>
              <w:rPr>
                <w:rFonts w:hint="eastAsia" w:ascii="宋体" w:hAnsi="宋体"/>
                <w:color w:val="000000"/>
                <w:szCs w:val="21"/>
                <w:lang w:val="en-GB"/>
              </w:rPr>
            </w:pPr>
            <w:r>
              <w:rPr>
                <w:rFonts w:hint="eastAsia" w:ascii="宋体" w:hAnsi="宋体"/>
                <w:color w:val="000000"/>
                <w:szCs w:val="21"/>
                <w:lang w:val="en-GB"/>
              </w:rPr>
              <w:t>节约能源、保护环境政策加分</w:t>
            </w:r>
          </w:p>
          <w:p>
            <w:pPr>
              <w:spacing w:line="360" w:lineRule="auto"/>
              <w:jc w:val="center"/>
              <w:rPr>
                <w:rFonts w:hint="eastAsia" w:ascii="宋体" w:hAnsi="宋体"/>
                <w:color w:val="000000"/>
                <w:szCs w:val="21"/>
                <w:lang w:val="en-GB"/>
              </w:rPr>
            </w:pPr>
            <w:r>
              <w:rPr>
                <w:rFonts w:hint="eastAsia" w:ascii="宋体" w:hAnsi="宋体"/>
                <w:color w:val="000000"/>
                <w:szCs w:val="21"/>
                <w:lang w:val="en-GB"/>
              </w:rPr>
              <w:t>（</w:t>
            </w:r>
            <w:r>
              <w:rPr>
                <w:rFonts w:hint="eastAsia" w:ascii="宋体" w:hAnsi="宋体"/>
                <w:color w:val="000000"/>
                <w:szCs w:val="21"/>
                <w:lang w:val="en-US" w:eastAsia="zh-CN"/>
              </w:rPr>
              <w:t>2</w:t>
            </w:r>
            <w:r>
              <w:rPr>
                <w:rFonts w:hint="eastAsia" w:ascii="宋体" w:hAnsi="宋体"/>
                <w:color w:val="000000"/>
                <w:szCs w:val="21"/>
                <w:lang w:val="en-GB"/>
              </w:rPr>
              <w:t>分）</w:t>
            </w:r>
          </w:p>
        </w:tc>
        <w:tc>
          <w:tcPr>
            <w:tcW w:w="6095" w:type="dxa"/>
            <w:vAlign w:val="center"/>
          </w:tcPr>
          <w:p>
            <w:pPr>
              <w:spacing w:line="360" w:lineRule="auto"/>
              <w:jc w:val="left"/>
              <w:rPr>
                <w:rFonts w:asciiTheme="minorEastAsia" w:hAnsiTheme="minorEastAsia"/>
                <w:szCs w:val="21"/>
              </w:rPr>
            </w:pPr>
            <w:r>
              <w:rPr>
                <w:rFonts w:hint="eastAsia" w:ascii="宋体" w:hAnsi="宋体"/>
                <w:color w:val="000000"/>
                <w:szCs w:val="21"/>
                <w:lang w:val="en-GB"/>
              </w:rPr>
              <w:t>1、除政府强制采购的节能产品外，投标人所投产品属于“节能产品政府采购品目清单”优先采购产品，</w:t>
            </w:r>
            <w:r>
              <w:rPr>
                <w:rFonts w:hint="eastAsia" w:cs="仿宋_GB2312" w:asciiTheme="minorEastAsia" w:hAnsiTheme="minorEastAsia"/>
                <w:szCs w:val="21"/>
                <w:lang w:val="zh-CN"/>
              </w:rPr>
              <w:t>投标</w:t>
            </w:r>
            <w:r>
              <w:rPr>
                <w:rFonts w:hint="eastAsia" w:asciiTheme="minorEastAsia" w:hAnsiTheme="minorEastAsia"/>
                <w:szCs w:val="21"/>
              </w:rPr>
              <w:t>文件中提供具有国家确定的认证机构出具的、处于有效期之内的节能产品认证证书。满分1分。</w:t>
            </w:r>
          </w:p>
          <w:p>
            <w:pPr>
              <w:tabs>
                <w:tab w:val="left" w:pos="1260"/>
              </w:tabs>
              <w:autoSpaceDE w:val="0"/>
              <w:autoSpaceDN w:val="0"/>
              <w:spacing w:line="360" w:lineRule="auto"/>
              <w:contextualSpacing/>
              <w:rPr>
                <w:rFonts w:ascii="宋体" w:hAnsi="宋体" w:eastAsia="宋体" w:cs="仿宋_GB2312"/>
                <w:szCs w:val="21"/>
                <w:lang w:val="zh-CN"/>
              </w:rPr>
            </w:pPr>
            <w:r>
              <w:rPr>
                <w:rFonts w:hint="eastAsia" w:ascii="宋体" w:hAnsi="宋体"/>
                <w:color w:val="000000"/>
                <w:szCs w:val="21"/>
                <w:lang w:val="en-GB"/>
              </w:rPr>
              <w:t>2、投标人所投产品属于“环境标志产品政府采购品目清单”内产品，</w:t>
            </w:r>
            <w:r>
              <w:rPr>
                <w:rFonts w:hint="eastAsia" w:cs="仿宋_GB2312" w:asciiTheme="minorEastAsia" w:hAnsiTheme="minorEastAsia"/>
                <w:szCs w:val="21"/>
                <w:lang w:val="zh-CN"/>
              </w:rPr>
              <w:t>投标文件中提供</w:t>
            </w:r>
            <w:r>
              <w:rPr>
                <w:rFonts w:hint="eastAsia" w:asciiTheme="minorEastAsia" w:hAnsiTheme="minorEastAsia"/>
                <w:szCs w:val="21"/>
              </w:rPr>
              <w:t>具有国家确定的认证机构出具的、处于有效期之内的节能产品认证证书</w:t>
            </w:r>
            <w:r>
              <w:rPr>
                <w:rFonts w:hint="eastAsia" w:cs="仿宋_GB2312" w:asciiTheme="minorEastAsia" w:hAnsiTheme="minorEastAsia"/>
                <w:szCs w:val="21"/>
                <w:lang w:val="zh-CN"/>
              </w:rPr>
              <w:t>。</w:t>
            </w:r>
            <w:r>
              <w:rPr>
                <w:rFonts w:hint="eastAsia" w:ascii="宋体" w:hAnsi="宋体"/>
                <w:color w:val="000000"/>
                <w:szCs w:val="21"/>
                <w:lang w:val="en-GB"/>
              </w:rPr>
              <w:t>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1384" w:type="dxa"/>
            <w:vMerge w:val="restart"/>
            <w:tcBorders>
              <w:right w:val="single" w:color="auto" w:sz="4" w:space="0"/>
            </w:tcBorders>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技术部分</w:t>
            </w:r>
          </w:p>
          <w:p>
            <w:pPr>
              <w:snapToGrid w:val="0"/>
              <w:spacing w:beforeLines="50"/>
              <w:jc w:val="center"/>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22</w:t>
            </w:r>
            <w:r>
              <w:rPr>
                <w:rFonts w:hint="eastAsia" w:ascii="宋体" w:hAnsi="宋体" w:eastAsia="宋体" w:cs="宋体"/>
                <w:szCs w:val="21"/>
              </w:rPr>
              <w:t>分）</w:t>
            </w:r>
          </w:p>
        </w:tc>
        <w:tc>
          <w:tcPr>
            <w:tcW w:w="1560" w:type="dxa"/>
            <w:tcBorders>
              <w:right w:val="single" w:color="auto" w:sz="4" w:space="0"/>
            </w:tcBorders>
            <w:vAlign w:val="center"/>
          </w:tcPr>
          <w:p>
            <w:pPr>
              <w:widowControl/>
              <w:snapToGrid w:val="0"/>
              <w:spacing w:beforeLines="50"/>
              <w:jc w:val="center"/>
              <w:rPr>
                <w:rFonts w:ascii="宋体" w:hAnsi="宋体" w:eastAsia="宋体" w:cs="Times New Roman"/>
                <w:szCs w:val="21"/>
              </w:rPr>
            </w:pPr>
            <w:r>
              <w:rPr>
                <w:rFonts w:ascii="宋体" w:hAnsi="宋体" w:eastAsia="宋体" w:cs="Times New Roman"/>
                <w:szCs w:val="21"/>
              </w:rPr>
              <w:t>货物技术规格、参数与要求响应</w:t>
            </w:r>
          </w:p>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18</w:t>
            </w:r>
            <w:r>
              <w:rPr>
                <w:rFonts w:hint="eastAsia" w:ascii="宋体" w:hAnsi="宋体" w:eastAsia="宋体" w:cs="Times New Roman"/>
                <w:szCs w:val="21"/>
              </w:rPr>
              <w:t>分）</w:t>
            </w:r>
          </w:p>
        </w:tc>
        <w:tc>
          <w:tcPr>
            <w:tcW w:w="6095" w:type="dxa"/>
            <w:tcBorders>
              <w:right w:val="single" w:color="auto" w:sz="4" w:space="0"/>
            </w:tcBorders>
            <w:vAlign w:val="center"/>
          </w:tcPr>
          <w:p>
            <w:pPr>
              <w:spacing w:line="360" w:lineRule="auto"/>
              <w:jc w:val="both"/>
              <w:rPr>
                <w:rFonts w:hint="eastAsia" w:asciiTheme="minorEastAsia" w:hAnsiTheme="minorEastAsia"/>
                <w:szCs w:val="21"/>
                <w:lang w:val="en-US" w:eastAsia="zh-CN"/>
              </w:rPr>
            </w:pPr>
            <w:r>
              <w:rPr>
                <w:rFonts w:hint="eastAsia" w:asciiTheme="minorEastAsia" w:hAnsiTheme="minorEastAsia"/>
                <w:szCs w:val="21"/>
                <w:lang w:val="en-US" w:eastAsia="zh-CN"/>
              </w:rPr>
              <w:t>货物需求中带▲技术参数实质性优于招标文件一项的加3分，满分18分。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continue"/>
            <w:tcBorders>
              <w:right w:val="single" w:color="auto" w:sz="4" w:space="0"/>
            </w:tcBorders>
            <w:vAlign w:val="center"/>
          </w:tcPr>
          <w:p>
            <w:pPr>
              <w:snapToGrid w:val="0"/>
              <w:spacing w:beforeLines="50"/>
              <w:rPr>
                <w:rFonts w:ascii="宋体" w:hAnsi="宋体" w:eastAsia="宋体" w:cs="宋体"/>
                <w:szCs w:val="21"/>
              </w:rPr>
            </w:pPr>
          </w:p>
        </w:tc>
        <w:tc>
          <w:tcPr>
            <w:tcW w:w="1560" w:type="dxa"/>
            <w:tcBorders>
              <w:right w:val="single" w:color="auto" w:sz="4" w:space="0"/>
            </w:tcBorders>
            <w:vAlign w:val="center"/>
          </w:tcPr>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技术方案</w:t>
            </w:r>
          </w:p>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4</w:t>
            </w:r>
            <w:r>
              <w:rPr>
                <w:rFonts w:hint="eastAsia" w:ascii="宋体" w:hAnsi="宋体" w:eastAsia="宋体" w:cs="Times New Roman"/>
                <w:szCs w:val="21"/>
              </w:rPr>
              <w:t>分）</w:t>
            </w:r>
          </w:p>
        </w:tc>
        <w:tc>
          <w:tcPr>
            <w:tcW w:w="6095" w:type="dxa"/>
            <w:tcBorders>
              <w:bottom w:val="single" w:color="auto" w:sz="4" w:space="0"/>
              <w:right w:val="single" w:color="auto" w:sz="4" w:space="0"/>
            </w:tcBorders>
            <w:vAlign w:val="center"/>
          </w:tcPr>
          <w:p>
            <w:pPr>
              <w:spacing w:line="360" w:lineRule="auto"/>
              <w:jc w:val="left"/>
              <w:rPr>
                <w:rFonts w:hint="eastAsia" w:asciiTheme="minorEastAsia" w:hAnsiTheme="minorEastAsia"/>
                <w:szCs w:val="21"/>
                <w:lang w:val="en-US" w:eastAsia="zh-CN"/>
              </w:rPr>
            </w:pPr>
            <w:r>
              <w:rPr>
                <w:rFonts w:hint="eastAsia" w:asciiTheme="minorEastAsia" w:hAnsiTheme="minorEastAsia"/>
                <w:szCs w:val="21"/>
                <w:lang w:val="en-US" w:eastAsia="zh-CN"/>
              </w:rPr>
              <w:t>根据投标人提供得技术方案：</w:t>
            </w:r>
          </w:p>
          <w:p>
            <w:pPr>
              <w:spacing w:line="360" w:lineRule="auto"/>
              <w:jc w:val="left"/>
              <w:rPr>
                <w:rFonts w:hint="eastAsia" w:asciiTheme="minorEastAsia" w:hAnsiTheme="minorEastAsia"/>
                <w:szCs w:val="21"/>
                <w:lang w:val="en-US" w:eastAsia="zh-CN"/>
              </w:rPr>
            </w:pPr>
            <w:r>
              <w:rPr>
                <w:rFonts w:hint="eastAsia" w:asciiTheme="minorEastAsia" w:hAnsiTheme="minorEastAsia"/>
                <w:szCs w:val="21"/>
                <w:lang w:val="en-US" w:eastAsia="zh-CN"/>
              </w:rPr>
              <w:t>具有安装调试、实施步骤、进度计划方案的得2分；</w:t>
            </w:r>
          </w:p>
          <w:p>
            <w:pPr>
              <w:spacing w:line="360" w:lineRule="auto"/>
              <w:jc w:val="left"/>
              <w:rPr>
                <w:rFonts w:hint="eastAsia" w:asciiTheme="minorEastAsia" w:hAnsiTheme="minorEastAsia"/>
                <w:szCs w:val="21"/>
                <w:lang w:val="en-US" w:eastAsia="zh-CN"/>
              </w:rPr>
            </w:pPr>
            <w:r>
              <w:rPr>
                <w:rFonts w:hint="eastAsia" w:asciiTheme="minorEastAsia" w:hAnsiTheme="minorEastAsia"/>
                <w:szCs w:val="21"/>
                <w:lang w:val="en-US" w:eastAsia="zh-CN"/>
              </w:rPr>
              <w:t>具有工期、质量保障措施、施工进行保障措施的方案得2分。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restart"/>
            <w:tcBorders>
              <w:right w:val="single" w:color="auto" w:sz="4" w:space="0"/>
            </w:tcBorders>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服务部分</w:t>
            </w:r>
          </w:p>
          <w:p>
            <w:pPr>
              <w:snapToGrid w:val="0"/>
              <w:spacing w:beforeLines="50"/>
              <w:jc w:val="center"/>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20</w:t>
            </w:r>
            <w:r>
              <w:rPr>
                <w:rFonts w:hint="eastAsia" w:ascii="宋体" w:hAnsi="宋体" w:eastAsia="宋体" w:cs="宋体"/>
                <w:szCs w:val="21"/>
              </w:rPr>
              <w:t>分）</w:t>
            </w:r>
          </w:p>
        </w:tc>
        <w:tc>
          <w:tcPr>
            <w:tcW w:w="1560" w:type="dxa"/>
            <w:tcBorders>
              <w:top w:val="single" w:color="auto" w:sz="4" w:space="0"/>
              <w:left w:val="single" w:color="auto" w:sz="4" w:space="0"/>
              <w:right w:val="single" w:color="auto" w:sz="4" w:space="0"/>
            </w:tcBorders>
            <w:vAlign w:val="center"/>
          </w:tcPr>
          <w:p>
            <w:pPr>
              <w:snapToGrid w:val="0"/>
              <w:spacing w:beforeLines="50"/>
              <w:jc w:val="center"/>
              <w:rPr>
                <w:rFonts w:ascii="宋体" w:hAnsi="宋体" w:eastAsia="宋体" w:cs="宋体"/>
                <w:szCs w:val="21"/>
              </w:rPr>
            </w:pPr>
            <w:bookmarkStart w:id="6" w:name="_Hlk535157568"/>
            <w:r>
              <w:rPr>
                <w:rFonts w:hint="eastAsia" w:ascii="宋体" w:hAnsi="宋体" w:eastAsia="宋体" w:cs="宋体"/>
                <w:szCs w:val="21"/>
              </w:rPr>
              <w:t>售后服务</w:t>
            </w:r>
            <w:bookmarkEnd w:id="6"/>
          </w:p>
          <w:p>
            <w:pPr>
              <w:snapToGrid w:val="0"/>
              <w:spacing w:beforeLines="50"/>
              <w:jc w:val="center"/>
              <w:rPr>
                <w:rFonts w:ascii="宋体" w:hAnsi="宋体" w:eastAsia="宋体" w:cs="Times New Roman"/>
                <w:szCs w:val="21"/>
              </w:rPr>
            </w:pPr>
            <w:r>
              <w:rPr>
                <w:rFonts w:hint="eastAsia" w:ascii="宋体" w:hAnsi="宋体" w:eastAsia="宋体" w:cs="宋体"/>
                <w:szCs w:val="21"/>
              </w:rPr>
              <w:t>（</w:t>
            </w:r>
            <w:r>
              <w:rPr>
                <w:rFonts w:hint="eastAsia" w:ascii="宋体" w:hAnsi="宋体" w:eastAsia="宋体" w:cs="宋体"/>
                <w:szCs w:val="21"/>
                <w:lang w:val="en-US" w:eastAsia="zh-CN"/>
              </w:rPr>
              <w:t>19</w:t>
            </w:r>
            <w:r>
              <w:rPr>
                <w:rFonts w:hint="eastAsia" w:ascii="宋体" w:hAnsi="宋体" w:eastAsia="宋体" w:cs="宋体"/>
                <w:szCs w:val="21"/>
              </w:rPr>
              <w:t>分）</w:t>
            </w:r>
          </w:p>
        </w:tc>
        <w:tc>
          <w:tcPr>
            <w:tcW w:w="6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left"/>
              <w:rPr>
                <w:rFonts w:hint="eastAsia" w:ascii="宋体" w:hAnsi="宋体" w:cs="Times New Roman"/>
                <w:b w:val="0"/>
                <w:i w:val="0"/>
                <w:color w:val="000000"/>
                <w:kern w:val="2"/>
                <w:sz w:val="21"/>
                <w:szCs w:val="21"/>
                <w:u w:val="none"/>
                <w:lang w:val="en-US" w:eastAsia="zh-CN" w:bidi="ar"/>
              </w:rPr>
            </w:pPr>
            <w:r>
              <w:rPr>
                <w:rFonts w:hint="eastAsia" w:ascii="宋体" w:hAnsi="宋体" w:cs="Times New Roman"/>
                <w:b w:val="0"/>
                <w:i w:val="0"/>
                <w:color w:val="000000"/>
                <w:kern w:val="2"/>
                <w:sz w:val="21"/>
                <w:szCs w:val="21"/>
                <w:u w:val="none"/>
                <w:lang w:val="en-US" w:eastAsia="zh-CN" w:bidi="ar"/>
              </w:rPr>
              <w:t>提供免费质量保障，满足3年免费质保的基础上，每延长一年加2分，共4分。</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0" w:firstLineChars="0"/>
              <w:jc w:val="left"/>
              <w:rPr>
                <w:rFonts w:hint="eastAsia" w:ascii="宋体" w:hAnsi="宋体" w:cs="Times New Roman"/>
                <w:b w:val="0"/>
                <w:i w:val="0"/>
                <w:color w:val="000000"/>
                <w:kern w:val="2"/>
                <w:sz w:val="21"/>
                <w:szCs w:val="21"/>
                <w:u w:val="none"/>
                <w:lang w:val="en-US" w:eastAsia="zh-CN" w:bidi="ar"/>
              </w:rPr>
            </w:pPr>
            <w:r>
              <w:rPr>
                <w:rFonts w:hint="eastAsia" w:ascii="宋体" w:hAnsi="宋体" w:cs="Times New Roman"/>
                <w:b w:val="0"/>
                <w:i w:val="0"/>
                <w:color w:val="000000"/>
                <w:kern w:val="2"/>
                <w:sz w:val="21"/>
                <w:szCs w:val="21"/>
                <w:u w:val="none"/>
                <w:lang w:val="en-US" w:eastAsia="zh-CN" w:bidi="ar"/>
              </w:rPr>
              <w:t>售后服务期内，故障响应时间小于1小时，上门时间小于4小时，维修更换时间小于24小时，得3分，不满足不得分（投标文件中提供承诺函）。</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0" w:firstLineChars="0"/>
              <w:jc w:val="left"/>
              <w:rPr>
                <w:rFonts w:hint="eastAsia" w:ascii="宋体" w:hAnsi="宋体" w:cs="Times New Roman"/>
                <w:b w:val="0"/>
                <w:i w:val="0"/>
                <w:color w:val="000000"/>
                <w:kern w:val="2"/>
                <w:sz w:val="21"/>
                <w:szCs w:val="21"/>
                <w:u w:val="none"/>
                <w:lang w:val="en-US" w:eastAsia="zh-CN" w:bidi="ar"/>
              </w:rPr>
            </w:pPr>
            <w:r>
              <w:rPr>
                <w:rFonts w:hint="eastAsia" w:ascii="宋体" w:hAnsi="宋体" w:cs="Times New Roman"/>
                <w:b w:val="0"/>
                <w:i w:val="0"/>
                <w:color w:val="000000"/>
                <w:kern w:val="2"/>
                <w:sz w:val="21"/>
                <w:szCs w:val="21"/>
                <w:u w:val="none"/>
                <w:lang w:val="en-US" w:eastAsia="zh-CN" w:bidi="ar"/>
              </w:rPr>
              <w:t>质保期内，每年到各设备安装点对文化协管员开展至少一次免费技术培训服务的得6分（投标文件中提供承诺函）。</w:t>
            </w:r>
          </w:p>
          <w:p>
            <w:pPr>
              <w:snapToGrid w:val="0"/>
              <w:spacing w:beforeLines="50"/>
              <w:rPr>
                <w:rFonts w:ascii="宋体" w:hAnsi="宋体" w:eastAsia="宋体" w:cs="Times New Roman"/>
                <w:szCs w:val="21"/>
              </w:rPr>
            </w:pPr>
            <w:r>
              <w:rPr>
                <w:rFonts w:hint="eastAsia" w:ascii="宋体" w:hAnsi="宋体" w:cs="Times New Roman"/>
                <w:b w:val="0"/>
                <w:i w:val="0"/>
                <w:color w:val="000000"/>
                <w:kern w:val="2"/>
                <w:sz w:val="21"/>
                <w:szCs w:val="21"/>
                <w:u w:val="none"/>
                <w:lang w:val="en-US" w:eastAsia="zh-CN" w:bidi="ar"/>
              </w:rPr>
              <w:t>4、质保期内，每年到各设备安装点进行免费巡检得6分（投标文件中提供承诺函）。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continue"/>
            <w:tcBorders>
              <w:right w:val="single" w:color="auto" w:sz="4" w:space="0"/>
            </w:tcBorders>
          </w:tcPr>
          <w:p>
            <w:pPr>
              <w:snapToGrid w:val="0"/>
              <w:spacing w:beforeLines="50"/>
              <w:rPr>
                <w:rFonts w:ascii="宋体" w:hAnsi="宋体" w:eastAsia="宋体" w:cs="Times New Roman"/>
                <w:szCs w:val="21"/>
              </w:rPr>
            </w:pPr>
          </w:p>
        </w:tc>
        <w:tc>
          <w:tcPr>
            <w:tcW w:w="1560" w:type="dxa"/>
            <w:tcBorders>
              <w:left w:val="single" w:color="auto" w:sz="4" w:space="0"/>
              <w:right w:val="single" w:color="auto" w:sz="4" w:space="0"/>
            </w:tcBorders>
            <w:vAlign w:val="center"/>
          </w:tcPr>
          <w:p>
            <w:pPr>
              <w:snapToGrid w:val="0"/>
              <w:spacing w:beforeLines="50"/>
              <w:jc w:val="center"/>
              <w:rPr>
                <w:rFonts w:ascii="宋体" w:hAnsi="宋体" w:eastAsia="宋体" w:cs="Times New Roman"/>
                <w:szCs w:val="21"/>
              </w:rPr>
            </w:pPr>
            <w:r>
              <w:rPr>
                <w:rFonts w:hint="eastAsia" w:ascii="宋体" w:hAnsi="宋体" w:eastAsia="宋体" w:cs="Times New Roman"/>
                <w:szCs w:val="21"/>
              </w:rPr>
              <w:t>投标文件编制</w:t>
            </w:r>
          </w:p>
          <w:p>
            <w:pPr>
              <w:snapToGrid w:val="0"/>
              <w:spacing w:beforeLines="50"/>
              <w:jc w:val="center"/>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1</w:t>
            </w:r>
            <w:r>
              <w:rPr>
                <w:rFonts w:hint="eastAsia" w:ascii="宋体" w:hAnsi="宋体" w:eastAsia="宋体" w:cs="Times New Roman"/>
                <w:szCs w:val="21"/>
              </w:rPr>
              <w:t>分）</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spacing w:beforeLines="50"/>
              <w:rPr>
                <w:rFonts w:ascii="宋体" w:hAnsi="宋体" w:eastAsia="宋体" w:cs="Times New Roman"/>
                <w:szCs w:val="21"/>
              </w:rPr>
            </w:pPr>
            <w:r>
              <w:rPr>
                <w:rFonts w:hint="eastAsia" w:ascii="宋体" w:hAnsi="宋体" w:cs="Times New Roman"/>
                <w:b w:val="0"/>
                <w:i w:val="0"/>
                <w:color w:val="000000"/>
                <w:kern w:val="2"/>
                <w:sz w:val="21"/>
                <w:szCs w:val="21"/>
                <w:u w:val="none"/>
                <w:lang w:val="en-US" w:eastAsia="zh-CN" w:bidi="ar"/>
              </w:rPr>
              <w:t>编制规范、文字清晰、无差错1分。</w:t>
            </w:r>
          </w:p>
        </w:tc>
      </w:tr>
    </w:tbl>
    <w:p>
      <w:pPr>
        <w:spacing w:line="360" w:lineRule="auto"/>
        <w:ind w:firstLine="422" w:firstLineChars="200"/>
        <w:rPr>
          <w:rFonts w:cs="仿宋_GB2312" w:asciiTheme="minorEastAsia" w:hAnsiTheme="minorEastAsia"/>
          <w:b/>
          <w:szCs w:val="21"/>
          <w:lang w:val="zh-CN"/>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0"/>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0"/>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48"/>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7" w:name="_Toc174185203"/>
      <w:bookmarkStart w:id="8" w:name="_Toc186274126"/>
      <w:bookmarkStart w:id="9" w:name="_Toc184023138"/>
      <w:r>
        <w:rPr>
          <w:rFonts w:hint="eastAsia" w:cs="黑体" w:asciiTheme="minorEastAsia" w:hAnsiTheme="minorEastAsia" w:eastAsiaTheme="minorEastAsia"/>
          <w:color w:val="auto"/>
          <w:kern w:val="2"/>
          <w:sz w:val="28"/>
          <w:szCs w:val="28"/>
          <w:lang w:val="zh-CN"/>
        </w:rPr>
        <w:t>一、投标人应答索引表</w:t>
      </w:r>
      <w:bookmarkEnd w:id="7"/>
      <w:bookmarkEnd w:id="8"/>
      <w:bookmarkEnd w:id="9"/>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hint="eastAsia" w:ascii="楷体" w:hAnsi="楷体" w:eastAsia="楷体"/>
          <w:color w:val="000000"/>
          <w:sz w:val="24"/>
          <w:szCs w:val="24"/>
        </w:rPr>
        <w:instrText xml:space="preserve">= 4 \* GB3</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hint="eastAsia" w:cs="宋体" w:asciiTheme="minorEastAsia" w:hAnsiTheme="minorEastAsia"/>
          <w:szCs w:val="21"/>
          <w:lang w:val="en-US" w:eastAsia="zh-CN"/>
        </w:rPr>
        <w:t xml:space="preserve">     </w:t>
      </w:r>
      <w:r>
        <w:rPr>
          <w:rFonts w:hint="eastAsia" w:cs="宋体" w:asciiTheme="minorEastAsia" w:hAnsiTheme="minorEastAsia"/>
          <w:szCs w:val="21"/>
          <w:lang w:val="zh-CN"/>
        </w:rPr>
        <w:t>年</w:t>
      </w:r>
      <w:r>
        <w:rPr>
          <w:rFonts w:hint="eastAsia" w:cs="宋体" w:asciiTheme="minorEastAsia" w:hAnsiTheme="minorEastAsia"/>
          <w:szCs w:val="21"/>
          <w:lang w:val="en-US" w:eastAsia="zh-CN"/>
        </w:rPr>
        <w:t xml:space="preserve">   </w:t>
      </w:r>
      <w:r>
        <w:rPr>
          <w:rFonts w:hint="eastAsia" w:cs="宋体" w:asciiTheme="minorEastAsia" w:hAnsiTheme="minorEastAsia"/>
          <w:szCs w:val="21"/>
          <w:lang w:val="zh-CN"/>
        </w:rPr>
        <w:t>月</w:t>
      </w:r>
      <w:r>
        <w:rPr>
          <w:rFonts w:hint="eastAsia" w:cs="宋体" w:asciiTheme="minorEastAsia" w:hAnsiTheme="minorEastAsia"/>
          <w:szCs w:val="21"/>
          <w:lang w:val="en-US" w:eastAsia="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致：许昌市政府采购中心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r>
        <w:rPr>
          <w:rFonts w:hint="eastAsia" w:ascii="宋体" w:hAnsi="宋体"/>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hint="eastAsia" w:cs="Courier New" w:asciiTheme="minorEastAsia" w:hAnsiTheme="minorEastAsia"/>
          <w:szCs w:val="21"/>
        </w:rPr>
      </w:pPr>
      <w:r>
        <w:rPr>
          <w:rFonts w:hint="eastAsia" w:asciiTheme="minorEastAsia" w:hAnsiTheme="minorEastAsia"/>
          <w:snapToGrid w:val="0"/>
          <w:kern w:val="0"/>
          <w:szCs w:val="21"/>
        </w:rPr>
        <w:t>在此提交的投标文件，正本一份</w:t>
      </w:r>
      <w:r>
        <w:rPr>
          <w:rFonts w:hint="eastAsia" w:cs="Courier New" w:asciiTheme="minorEastAsia" w:hAnsiTheme="minorEastAsia"/>
          <w:szCs w:val="21"/>
        </w:rPr>
        <w:t>，副本一份。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39"/>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39"/>
        <w:spacing w:line="480" w:lineRule="auto"/>
        <w:ind w:firstLine="472" w:firstLineChars="225"/>
        <w:jc w:val="left"/>
        <w:rPr>
          <w:rFonts w:asciiTheme="minorEastAsia" w:hAnsiTheme="minorEastAsia"/>
          <w:color w:val="000000"/>
          <w:sz w:val="21"/>
          <w:szCs w:val="21"/>
        </w:rPr>
      </w:pPr>
    </w:p>
    <w:p>
      <w:pPr>
        <w:pStyle w:val="39"/>
        <w:spacing w:line="480" w:lineRule="auto"/>
        <w:ind w:firstLine="472" w:firstLineChars="225"/>
        <w:jc w:val="left"/>
        <w:rPr>
          <w:rFonts w:asciiTheme="minorEastAsia" w:hAnsiTheme="minorEastAsia"/>
          <w:color w:val="000000"/>
          <w:sz w:val="21"/>
          <w:szCs w:val="21"/>
        </w:rPr>
      </w:pPr>
    </w:p>
    <w:p>
      <w:pPr>
        <w:pStyle w:val="39"/>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39"/>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2"/>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1"/>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10" w:name="_资格证明文件"/>
            <w:bookmarkEnd w:id="10"/>
            <w:bookmarkStart w:id="11"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11"/>
          </w:p>
        </w:tc>
        <w:tc>
          <w:tcPr>
            <w:tcW w:w="4492" w:type="dxa"/>
            <w:gridSpan w:val="2"/>
            <w:vAlign w:val="center"/>
          </w:tcPr>
          <w:p>
            <w:pPr>
              <w:jc w:val="center"/>
              <w:rPr>
                <w:rFonts w:asciiTheme="minorEastAsia" w:hAnsiTheme="minorEastAsia"/>
                <w:szCs w:val="21"/>
              </w:rPr>
            </w:pPr>
            <w:bookmarkStart w:id="12"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12"/>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投标人名称（盖章）：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许昌市政府采购中心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ascii="宋体" w:hAnsi="宋体" w:eastAsia="宋体" w:cs="宋体"/>
          <w:szCs w:val="21"/>
          <w:lang w:val="zh-CN"/>
        </w:rPr>
        <w:t>____年____月____日____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投标人名称（盖章）：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说明：所投产品节能认证证书须附后。</w:t>
      </w: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ind w:left="630" w:hanging="630" w:hangingChars="300"/>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投标人名称（盖章）：　　　　　　　　　</w:t>
      </w:r>
      <w:r>
        <w:rPr>
          <w:rFonts w:hint="eastAsia" w:cs="Arial" w:asciiTheme="minorEastAsia" w:hAnsiTheme="minorEastAsia"/>
          <w:color w:val="000000"/>
          <w:szCs w:val="21"/>
        </w:rPr>
        <w:br w:type="textWrapping"/>
      </w:r>
      <w:r>
        <w:rPr>
          <w:rFonts w:hint="eastAsia" w:cs="Arial" w:asciiTheme="minorEastAsia" w:hAnsiTheme="minorEastAsia"/>
          <w:color w:val="000000"/>
          <w:szCs w:val="21"/>
        </w:rPr>
        <w:t>日　  期：      年    月    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3" w:name="OLE_LINK14"/>
      <w:bookmarkStart w:id="14" w:name="OLE_LINK13"/>
      <w:r>
        <w:rPr>
          <w:rFonts w:hint="eastAsia" w:ascii="宋体" w:hAnsi="宋体"/>
          <w:b/>
          <w:bCs/>
          <w:color w:val="000000"/>
          <w:sz w:val="24"/>
          <w:szCs w:val="24"/>
        </w:rPr>
        <w:t>4.10 残疾人福利性单位声明函</w:t>
      </w:r>
    </w:p>
    <w:bookmarkEnd w:id="13"/>
    <w:bookmarkEnd w:id="14"/>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单位名称（盖章）：</w:t>
      </w: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 xml:space="preserve"> 日    期：      年    月    日</w:t>
      </w:r>
    </w:p>
    <w:p>
      <w:pPr>
        <w:spacing w:line="480" w:lineRule="auto"/>
        <w:ind w:left="4358" w:leftChars="2075"/>
        <w:rPr>
          <w:rFonts w:cs="Arial" w:asciiTheme="minorEastAsia" w:hAnsiTheme="minorEastAsia"/>
          <w:color w:val="000000"/>
          <w:szCs w:val="21"/>
        </w:rPr>
      </w:pPr>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4E8D75"/>
    <w:multiLevelType w:val="singleLevel"/>
    <w:tmpl w:val="EA4E8D75"/>
    <w:lvl w:ilvl="0" w:tentative="0">
      <w:start w:val="1"/>
      <w:numFmt w:val="decimal"/>
      <w:lvlText w:val="%1."/>
      <w:lvlJc w:val="left"/>
      <w:pPr>
        <w:tabs>
          <w:tab w:val="left" w:pos="312"/>
        </w:tabs>
      </w:p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BF954B0"/>
    <w:multiLevelType w:val="singleLevel"/>
    <w:tmpl w:val="1BF954B0"/>
    <w:lvl w:ilvl="0" w:tentative="0">
      <w:start w:val="1"/>
      <w:numFmt w:val="chineseCounting"/>
      <w:suff w:val="nothing"/>
      <w:lvlText w:val="%1、"/>
      <w:lvlJc w:val="left"/>
      <w:rPr>
        <w:rFonts w:hint="eastAsia"/>
      </w:rPr>
    </w:lvl>
  </w:abstractNum>
  <w:abstractNum w:abstractNumId="7">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3975C7F"/>
    <w:multiLevelType w:val="singleLevel"/>
    <w:tmpl w:val="43975C7F"/>
    <w:lvl w:ilvl="0" w:tentative="0">
      <w:start w:val="1"/>
      <w:numFmt w:val="decimal"/>
      <w:suff w:val="nothing"/>
      <w:lvlText w:val="%1、"/>
      <w:lvlJc w:val="left"/>
    </w:lvl>
  </w:abstractNum>
  <w:abstractNum w:abstractNumId="13">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9F817C2"/>
    <w:multiLevelType w:val="singleLevel"/>
    <w:tmpl w:val="59F817C2"/>
    <w:lvl w:ilvl="0" w:tentative="0">
      <w:start w:val="2"/>
      <w:numFmt w:val="chineseCounting"/>
      <w:suff w:val="space"/>
      <w:lvlText w:val="第%1章"/>
      <w:lvlJc w:val="left"/>
    </w:lvl>
  </w:abstractNum>
  <w:abstractNum w:abstractNumId="15">
    <w:nsid w:val="59F817E8"/>
    <w:multiLevelType w:val="singleLevel"/>
    <w:tmpl w:val="59F817E8"/>
    <w:lvl w:ilvl="0" w:tentative="0">
      <w:start w:val="1"/>
      <w:numFmt w:val="chineseCounting"/>
      <w:pStyle w:val="48"/>
      <w:suff w:val="nothing"/>
      <w:lvlText w:val="%1、"/>
      <w:lvlJc w:val="left"/>
    </w:lvl>
  </w:abstractNum>
  <w:abstractNum w:abstractNumId="16">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15"/>
  </w:num>
  <w:num w:numId="4">
    <w:abstractNumId w:val="14"/>
  </w:num>
  <w:num w:numId="5">
    <w:abstractNumId w:val="6"/>
  </w:num>
  <w:num w:numId="6">
    <w:abstractNumId w:val="9"/>
  </w:num>
  <w:num w:numId="7">
    <w:abstractNumId w:val="16"/>
  </w:num>
  <w:num w:numId="8">
    <w:abstractNumId w:val="5"/>
  </w:num>
  <w:num w:numId="9">
    <w:abstractNumId w:val="7"/>
  </w:num>
  <w:num w:numId="10">
    <w:abstractNumId w:val="18"/>
  </w:num>
  <w:num w:numId="11">
    <w:abstractNumId w:val="11"/>
  </w:num>
  <w:num w:numId="12">
    <w:abstractNumId w:val="17"/>
  </w:num>
  <w:num w:numId="13">
    <w:abstractNumId w:val="4"/>
  </w:num>
  <w:num w:numId="14">
    <w:abstractNumId w:val="8"/>
  </w:num>
  <w:num w:numId="15">
    <w:abstractNumId w:val="13"/>
  </w:num>
  <w:num w:numId="16">
    <w:abstractNumId w:val="10"/>
  </w:num>
  <w:num w:numId="17">
    <w:abstractNumId w:val="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8034C"/>
    <w:rsid w:val="0001370A"/>
    <w:rsid w:val="00015F84"/>
    <w:rsid w:val="00032E32"/>
    <w:rsid w:val="000332D6"/>
    <w:rsid w:val="000346ED"/>
    <w:rsid w:val="000576C2"/>
    <w:rsid w:val="00073D7B"/>
    <w:rsid w:val="00075D7D"/>
    <w:rsid w:val="000779E8"/>
    <w:rsid w:val="00077E62"/>
    <w:rsid w:val="00080F36"/>
    <w:rsid w:val="00085F8B"/>
    <w:rsid w:val="0008676F"/>
    <w:rsid w:val="000873AE"/>
    <w:rsid w:val="000928D7"/>
    <w:rsid w:val="00094EAD"/>
    <w:rsid w:val="000A4572"/>
    <w:rsid w:val="000B5686"/>
    <w:rsid w:val="000D07EA"/>
    <w:rsid w:val="000D2DED"/>
    <w:rsid w:val="000D38F9"/>
    <w:rsid w:val="000D39AC"/>
    <w:rsid w:val="000E4E1E"/>
    <w:rsid w:val="000F51B5"/>
    <w:rsid w:val="00100BEF"/>
    <w:rsid w:val="001013D9"/>
    <w:rsid w:val="0010571F"/>
    <w:rsid w:val="00117B60"/>
    <w:rsid w:val="00121E2F"/>
    <w:rsid w:val="00133EDE"/>
    <w:rsid w:val="00142DB6"/>
    <w:rsid w:val="00152A00"/>
    <w:rsid w:val="00156EC1"/>
    <w:rsid w:val="00160E65"/>
    <w:rsid w:val="00162C1E"/>
    <w:rsid w:val="001D4207"/>
    <w:rsid w:val="001E08DA"/>
    <w:rsid w:val="001E7C2C"/>
    <w:rsid w:val="001F5571"/>
    <w:rsid w:val="00203BE3"/>
    <w:rsid w:val="00210C2B"/>
    <w:rsid w:val="00210FCB"/>
    <w:rsid w:val="00250C01"/>
    <w:rsid w:val="00293C27"/>
    <w:rsid w:val="002945DA"/>
    <w:rsid w:val="002A5B82"/>
    <w:rsid w:val="002C7916"/>
    <w:rsid w:val="002D4951"/>
    <w:rsid w:val="002E2CED"/>
    <w:rsid w:val="002F3A7B"/>
    <w:rsid w:val="002F4123"/>
    <w:rsid w:val="003033ED"/>
    <w:rsid w:val="003044A3"/>
    <w:rsid w:val="00320DAC"/>
    <w:rsid w:val="00323356"/>
    <w:rsid w:val="003242B4"/>
    <w:rsid w:val="003305F9"/>
    <w:rsid w:val="00335F83"/>
    <w:rsid w:val="00337912"/>
    <w:rsid w:val="00344842"/>
    <w:rsid w:val="003552A2"/>
    <w:rsid w:val="00372961"/>
    <w:rsid w:val="0038333D"/>
    <w:rsid w:val="00390295"/>
    <w:rsid w:val="003B75ED"/>
    <w:rsid w:val="003C7F5A"/>
    <w:rsid w:val="003F5CD2"/>
    <w:rsid w:val="00406170"/>
    <w:rsid w:val="00410B93"/>
    <w:rsid w:val="00414383"/>
    <w:rsid w:val="004207F8"/>
    <w:rsid w:val="00422114"/>
    <w:rsid w:val="0044305C"/>
    <w:rsid w:val="004438F4"/>
    <w:rsid w:val="00461483"/>
    <w:rsid w:val="00465B6D"/>
    <w:rsid w:val="00473ADD"/>
    <w:rsid w:val="00476C13"/>
    <w:rsid w:val="004A1AF2"/>
    <w:rsid w:val="004A383B"/>
    <w:rsid w:val="004A4195"/>
    <w:rsid w:val="004B054D"/>
    <w:rsid w:val="004E07F6"/>
    <w:rsid w:val="004E0F6D"/>
    <w:rsid w:val="004E5765"/>
    <w:rsid w:val="004F121A"/>
    <w:rsid w:val="004F1C5F"/>
    <w:rsid w:val="004F32A0"/>
    <w:rsid w:val="004F7AD2"/>
    <w:rsid w:val="00501891"/>
    <w:rsid w:val="00515F85"/>
    <w:rsid w:val="0052728E"/>
    <w:rsid w:val="005316FF"/>
    <w:rsid w:val="0054649B"/>
    <w:rsid w:val="00550D0B"/>
    <w:rsid w:val="00575D26"/>
    <w:rsid w:val="0057676D"/>
    <w:rsid w:val="0058008A"/>
    <w:rsid w:val="0058369C"/>
    <w:rsid w:val="0058393C"/>
    <w:rsid w:val="0058525C"/>
    <w:rsid w:val="005A39DD"/>
    <w:rsid w:val="005A4753"/>
    <w:rsid w:val="005B0C29"/>
    <w:rsid w:val="005B52B6"/>
    <w:rsid w:val="005C0CF5"/>
    <w:rsid w:val="005C3AE6"/>
    <w:rsid w:val="005C5F5B"/>
    <w:rsid w:val="005C67C8"/>
    <w:rsid w:val="005E534D"/>
    <w:rsid w:val="005F225E"/>
    <w:rsid w:val="005F6F6A"/>
    <w:rsid w:val="00600306"/>
    <w:rsid w:val="006078AC"/>
    <w:rsid w:val="00614340"/>
    <w:rsid w:val="006303FC"/>
    <w:rsid w:val="00630CA6"/>
    <w:rsid w:val="00634FA0"/>
    <w:rsid w:val="00636AAD"/>
    <w:rsid w:val="00642CFC"/>
    <w:rsid w:val="006503D0"/>
    <w:rsid w:val="0066419E"/>
    <w:rsid w:val="00667B6D"/>
    <w:rsid w:val="0067566A"/>
    <w:rsid w:val="0067738B"/>
    <w:rsid w:val="00680752"/>
    <w:rsid w:val="00681926"/>
    <w:rsid w:val="006846AE"/>
    <w:rsid w:val="0068663A"/>
    <w:rsid w:val="00687FC2"/>
    <w:rsid w:val="006907F7"/>
    <w:rsid w:val="00693F99"/>
    <w:rsid w:val="006B7982"/>
    <w:rsid w:val="006D10FD"/>
    <w:rsid w:val="006D5FEB"/>
    <w:rsid w:val="006D7001"/>
    <w:rsid w:val="006D77A9"/>
    <w:rsid w:val="006E145E"/>
    <w:rsid w:val="006E1AB0"/>
    <w:rsid w:val="00702C35"/>
    <w:rsid w:val="0071006A"/>
    <w:rsid w:val="00717D9E"/>
    <w:rsid w:val="0072406E"/>
    <w:rsid w:val="00736FD5"/>
    <w:rsid w:val="00750835"/>
    <w:rsid w:val="00765BB6"/>
    <w:rsid w:val="00770487"/>
    <w:rsid w:val="00784A09"/>
    <w:rsid w:val="00794F26"/>
    <w:rsid w:val="007A1275"/>
    <w:rsid w:val="007C3980"/>
    <w:rsid w:val="007D71A1"/>
    <w:rsid w:val="007E0E82"/>
    <w:rsid w:val="007F4CBA"/>
    <w:rsid w:val="007F6674"/>
    <w:rsid w:val="00807B25"/>
    <w:rsid w:val="00815A8A"/>
    <w:rsid w:val="00823F0C"/>
    <w:rsid w:val="00835490"/>
    <w:rsid w:val="0084403D"/>
    <w:rsid w:val="00845044"/>
    <w:rsid w:val="00845E73"/>
    <w:rsid w:val="00847441"/>
    <w:rsid w:val="008543A6"/>
    <w:rsid w:val="0087048A"/>
    <w:rsid w:val="00872B2B"/>
    <w:rsid w:val="00875AAF"/>
    <w:rsid w:val="008840DE"/>
    <w:rsid w:val="00892943"/>
    <w:rsid w:val="008A5A2E"/>
    <w:rsid w:val="008B01DC"/>
    <w:rsid w:val="008B132A"/>
    <w:rsid w:val="008B5CD5"/>
    <w:rsid w:val="008B7021"/>
    <w:rsid w:val="008B7949"/>
    <w:rsid w:val="008D0201"/>
    <w:rsid w:val="008D2D0F"/>
    <w:rsid w:val="008E7B4D"/>
    <w:rsid w:val="008F0CB1"/>
    <w:rsid w:val="00904FB1"/>
    <w:rsid w:val="009164E8"/>
    <w:rsid w:val="00950B0F"/>
    <w:rsid w:val="00951B07"/>
    <w:rsid w:val="00956A32"/>
    <w:rsid w:val="00960738"/>
    <w:rsid w:val="009623EE"/>
    <w:rsid w:val="00962400"/>
    <w:rsid w:val="0097473D"/>
    <w:rsid w:val="00991EE9"/>
    <w:rsid w:val="009A0AC9"/>
    <w:rsid w:val="009B61E8"/>
    <w:rsid w:val="009C12AB"/>
    <w:rsid w:val="009D4208"/>
    <w:rsid w:val="009D76D2"/>
    <w:rsid w:val="009E01A6"/>
    <w:rsid w:val="009E0C30"/>
    <w:rsid w:val="00A04493"/>
    <w:rsid w:val="00A04AFF"/>
    <w:rsid w:val="00A22272"/>
    <w:rsid w:val="00A24AAD"/>
    <w:rsid w:val="00A305AC"/>
    <w:rsid w:val="00A33B8B"/>
    <w:rsid w:val="00A41EC5"/>
    <w:rsid w:val="00A57B03"/>
    <w:rsid w:val="00A678FE"/>
    <w:rsid w:val="00A831DE"/>
    <w:rsid w:val="00AA4948"/>
    <w:rsid w:val="00AA75E5"/>
    <w:rsid w:val="00AB190E"/>
    <w:rsid w:val="00AB1F1D"/>
    <w:rsid w:val="00AC4FB4"/>
    <w:rsid w:val="00AD282C"/>
    <w:rsid w:val="00AE1360"/>
    <w:rsid w:val="00AE565E"/>
    <w:rsid w:val="00AF47D5"/>
    <w:rsid w:val="00AF712E"/>
    <w:rsid w:val="00B03A69"/>
    <w:rsid w:val="00B055BE"/>
    <w:rsid w:val="00B14B8C"/>
    <w:rsid w:val="00B15E4D"/>
    <w:rsid w:val="00B16D9F"/>
    <w:rsid w:val="00B310D0"/>
    <w:rsid w:val="00B40EF5"/>
    <w:rsid w:val="00B510F5"/>
    <w:rsid w:val="00B54144"/>
    <w:rsid w:val="00B54904"/>
    <w:rsid w:val="00B622EF"/>
    <w:rsid w:val="00B67CBD"/>
    <w:rsid w:val="00B750A7"/>
    <w:rsid w:val="00B855ED"/>
    <w:rsid w:val="00B965F2"/>
    <w:rsid w:val="00BC0D9C"/>
    <w:rsid w:val="00BC0DFC"/>
    <w:rsid w:val="00BD1C8B"/>
    <w:rsid w:val="00BD1EE7"/>
    <w:rsid w:val="00BE0DFE"/>
    <w:rsid w:val="00BE45BC"/>
    <w:rsid w:val="00BF54FA"/>
    <w:rsid w:val="00C00BB2"/>
    <w:rsid w:val="00C01C37"/>
    <w:rsid w:val="00C1406D"/>
    <w:rsid w:val="00C21C83"/>
    <w:rsid w:val="00C247A1"/>
    <w:rsid w:val="00C4573C"/>
    <w:rsid w:val="00C457B9"/>
    <w:rsid w:val="00C556BC"/>
    <w:rsid w:val="00C5581B"/>
    <w:rsid w:val="00C62D22"/>
    <w:rsid w:val="00C63EF7"/>
    <w:rsid w:val="00C6500F"/>
    <w:rsid w:val="00C8034C"/>
    <w:rsid w:val="00CB10AE"/>
    <w:rsid w:val="00CB1C7E"/>
    <w:rsid w:val="00CB2B6A"/>
    <w:rsid w:val="00CC3D8E"/>
    <w:rsid w:val="00CC7610"/>
    <w:rsid w:val="00CD1D26"/>
    <w:rsid w:val="00CE2CF1"/>
    <w:rsid w:val="00D00C7D"/>
    <w:rsid w:val="00D023F6"/>
    <w:rsid w:val="00D050D2"/>
    <w:rsid w:val="00D379BE"/>
    <w:rsid w:val="00D40594"/>
    <w:rsid w:val="00D471CC"/>
    <w:rsid w:val="00D530CE"/>
    <w:rsid w:val="00D60CC8"/>
    <w:rsid w:val="00D60D1B"/>
    <w:rsid w:val="00D62B97"/>
    <w:rsid w:val="00D63CA1"/>
    <w:rsid w:val="00D678D3"/>
    <w:rsid w:val="00D76C9F"/>
    <w:rsid w:val="00D95F07"/>
    <w:rsid w:val="00DA1077"/>
    <w:rsid w:val="00DA62F5"/>
    <w:rsid w:val="00DA7BB8"/>
    <w:rsid w:val="00DB5925"/>
    <w:rsid w:val="00DB7E57"/>
    <w:rsid w:val="00DC3848"/>
    <w:rsid w:val="00DC3E97"/>
    <w:rsid w:val="00DC67C5"/>
    <w:rsid w:val="00DD3287"/>
    <w:rsid w:val="00DD71B6"/>
    <w:rsid w:val="00DE7D93"/>
    <w:rsid w:val="00DF0C77"/>
    <w:rsid w:val="00E20746"/>
    <w:rsid w:val="00E34F3B"/>
    <w:rsid w:val="00E4000B"/>
    <w:rsid w:val="00E432D5"/>
    <w:rsid w:val="00E574F2"/>
    <w:rsid w:val="00E650E5"/>
    <w:rsid w:val="00EA645B"/>
    <w:rsid w:val="00EA64C2"/>
    <w:rsid w:val="00EB1100"/>
    <w:rsid w:val="00EC7B35"/>
    <w:rsid w:val="00EE78AB"/>
    <w:rsid w:val="00EF2ACD"/>
    <w:rsid w:val="00EF46ED"/>
    <w:rsid w:val="00EF573C"/>
    <w:rsid w:val="00EF7D19"/>
    <w:rsid w:val="00F065C6"/>
    <w:rsid w:val="00F11527"/>
    <w:rsid w:val="00F27FEA"/>
    <w:rsid w:val="00F31DEF"/>
    <w:rsid w:val="00F35E04"/>
    <w:rsid w:val="00F45937"/>
    <w:rsid w:val="00F50A79"/>
    <w:rsid w:val="00F5201D"/>
    <w:rsid w:val="00F5755B"/>
    <w:rsid w:val="00F609BF"/>
    <w:rsid w:val="00F826A6"/>
    <w:rsid w:val="00F9402A"/>
    <w:rsid w:val="00F96B77"/>
    <w:rsid w:val="00FA256C"/>
    <w:rsid w:val="00FB1061"/>
    <w:rsid w:val="00FB2FC2"/>
    <w:rsid w:val="00FB3047"/>
    <w:rsid w:val="00FB7E42"/>
    <w:rsid w:val="00FC2988"/>
    <w:rsid w:val="00FC3B84"/>
    <w:rsid w:val="00FF620F"/>
    <w:rsid w:val="00FF6F49"/>
    <w:rsid w:val="03600024"/>
    <w:rsid w:val="0552238E"/>
    <w:rsid w:val="138379AC"/>
    <w:rsid w:val="1A15720A"/>
    <w:rsid w:val="24C76A4C"/>
    <w:rsid w:val="28A544E9"/>
    <w:rsid w:val="29AD436C"/>
    <w:rsid w:val="314E7D01"/>
    <w:rsid w:val="31E7228F"/>
    <w:rsid w:val="354C23B3"/>
    <w:rsid w:val="370A4A1F"/>
    <w:rsid w:val="372D24DD"/>
    <w:rsid w:val="41A759DB"/>
    <w:rsid w:val="49AF1700"/>
    <w:rsid w:val="50921DC9"/>
    <w:rsid w:val="593246FE"/>
    <w:rsid w:val="5D676916"/>
    <w:rsid w:val="5F8D482D"/>
    <w:rsid w:val="61C46652"/>
    <w:rsid w:val="7EBD61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7"/>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8"/>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2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5"/>
    <w:qFormat/>
    <w:uiPriority w:val="0"/>
    <w:rPr>
      <w:rFonts w:ascii="Times New Roman" w:hAnsi="Times New Roman" w:eastAsia="宋体" w:cs="Times New Roman"/>
      <w:color w:val="FF0000"/>
      <w:sz w:val="24"/>
      <w:szCs w:val="24"/>
    </w:rPr>
  </w:style>
  <w:style w:type="paragraph" w:styleId="9">
    <w:name w:val="Body Text"/>
    <w:basedOn w:val="1"/>
    <w:link w:val="49"/>
    <w:semiHidden/>
    <w:unhideWhenUsed/>
    <w:qFormat/>
    <w:uiPriority w:val="99"/>
    <w:pPr>
      <w:spacing w:after="120"/>
    </w:pPr>
  </w:style>
  <w:style w:type="paragraph" w:styleId="10">
    <w:name w:val="Body Text Indent"/>
    <w:basedOn w:val="1"/>
    <w:link w:val="53"/>
    <w:qFormat/>
    <w:uiPriority w:val="0"/>
    <w:pPr>
      <w:adjustRightInd w:val="0"/>
      <w:spacing w:after="120" w:line="360" w:lineRule="atLeast"/>
      <w:ind w:left="420" w:leftChars="200"/>
      <w:jc w:val="left"/>
      <w:textAlignment w:val="baseline"/>
    </w:pPr>
    <w:rPr>
      <w:sz w:val="24"/>
    </w:rPr>
  </w:style>
  <w:style w:type="paragraph" w:styleId="11">
    <w:name w:val="toc 5"/>
    <w:basedOn w:val="1"/>
    <w:next w:val="1"/>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0"/>
    <w:qFormat/>
    <w:uiPriority w:val="0"/>
    <w:rPr>
      <w:rFonts w:eastAsia="宋体"/>
      <w:sz w:val="24"/>
    </w:rPr>
  </w:style>
  <w:style w:type="paragraph" w:styleId="14">
    <w:name w:val="Date"/>
    <w:basedOn w:val="1"/>
    <w:next w:val="1"/>
    <w:link w:val="31"/>
    <w:unhideWhenUsed/>
    <w:qFormat/>
    <w:uiPriority w:val="99"/>
    <w:pPr>
      <w:ind w:left="100" w:leftChars="2500"/>
    </w:pPr>
  </w:style>
  <w:style w:type="paragraph" w:styleId="15">
    <w:name w:val="Balloon Text"/>
    <w:basedOn w:val="1"/>
    <w:link w:val="54"/>
    <w:semiHidden/>
    <w:unhideWhenUsed/>
    <w:qFormat/>
    <w:uiPriority w:val="99"/>
    <w:rPr>
      <w:sz w:val="18"/>
      <w:szCs w:val="18"/>
    </w:rPr>
  </w:style>
  <w:style w:type="paragraph" w:styleId="16">
    <w:name w:val="footer"/>
    <w:basedOn w:val="1"/>
    <w:link w:val="32"/>
    <w:unhideWhenUsed/>
    <w:qFormat/>
    <w:uiPriority w:val="99"/>
    <w:pPr>
      <w:tabs>
        <w:tab w:val="center" w:pos="4153"/>
        <w:tab w:val="right" w:pos="8306"/>
      </w:tabs>
      <w:snapToGrid w:val="0"/>
      <w:jc w:val="left"/>
    </w:pPr>
    <w:rPr>
      <w:sz w:val="18"/>
      <w:szCs w:val="18"/>
    </w:rPr>
  </w:style>
  <w:style w:type="paragraph" w:styleId="17">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50"/>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Hyperlink"/>
    <w:basedOn w:val="23"/>
    <w:unhideWhenUsed/>
    <w:qFormat/>
    <w:uiPriority w:val="99"/>
    <w:rPr>
      <w:color w:val="0000FF"/>
      <w:u w:val="single"/>
    </w:rPr>
  </w:style>
  <w:style w:type="character" w:customStyle="1" w:styleId="26">
    <w:name w:val="标题 1 Char"/>
    <w:basedOn w:val="23"/>
    <w:link w:val="2"/>
    <w:qFormat/>
    <w:uiPriority w:val="0"/>
    <w:rPr>
      <w:rFonts w:ascii="Calibri" w:hAnsi="Calibri" w:eastAsia="宋体" w:cs="Times New Roman"/>
      <w:b/>
      <w:bCs/>
      <w:kern w:val="44"/>
      <w:sz w:val="44"/>
      <w:szCs w:val="44"/>
    </w:rPr>
  </w:style>
  <w:style w:type="character" w:customStyle="1" w:styleId="27">
    <w:name w:val="标题 2 Char"/>
    <w:basedOn w:val="23"/>
    <w:link w:val="3"/>
    <w:qFormat/>
    <w:uiPriority w:val="0"/>
    <w:rPr>
      <w:rFonts w:ascii="Arial" w:hAnsi="Arial" w:eastAsia="黑体" w:cs="Times New Roman"/>
      <w:b/>
      <w:bCs/>
      <w:kern w:val="0"/>
      <w:sz w:val="32"/>
      <w:szCs w:val="32"/>
    </w:rPr>
  </w:style>
  <w:style w:type="character" w:customStyle="1" w:styleId="28">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29">
    <w:name w:val="标题 4 Char"/>
    <w:basedOn w:val="23"/>
    <w:link w:val="5"/>
    <w:qFormat/>
    <w:uiPriority w:val="0"/>
    <w:rPr>
      <w:rFonts w:ascii="Arial" w:hAnsi="Arial" w:eastAsia="黑体" w:cs="Times New Roman"/>
      <w:b/>
      <w:bCs/>
      <w:kern w:val="0"/>
      <w:sz w:val="28"/>
      <w:szCs w:val="28"/>
    </w:rPr>
  </w:style>
  <w:style w:type="character" w:customStyle="1" w:styleId="30">
    <w:name w:val="纯文本 Char"/>
    <w:basedOn w:val="23"/>
    <w:link w:val="13"/>
    <w:qFormat/>
    <w:uiPriority w:val="0"/>
    <w:rPr>
      <w:rFonts w:eastAsia="宋体"/>
      <w:sz w:val="24"/>
    </w:rPr>
  </w:style>
  <w:style w:type="character" w:customStyle="1" w:styleId="31">
    <w:name w:val="日期 Char"/>
    <w:basedOn w:val="23"/>
    <w:link w:val="14"/>
    <w:qFormat/>
    <w:uiPriority w:val="99"/>
  </w:style>
  <w:style w:type="character" w:customStyle="1" w:styleId="32">
    <w:name w:val="页脚 Char"/>
    <w:basedOn w:val="23"/>
    <w:link w:val="16"/>
    <w:qFormat/>
    <w:uiPriority w:val="99"/>
    <w:rPr>
      <w:sz w:val="18"/>
      <w:szCs w:val="18"/>
    </w:rPr>
  </w:style>
  <w:style w:type="character" w:customStyle="1" w:styleId="33">
    <w:name w:val="页眉 Char"/>
    <w:basedOn w:val="23"/>
    <w:link w:val="17"/>
    <w:qFormat/>
    <w:uiPriority w:val="99"/>
    <w:rPr>
      <w:sz w:val="18"/>
      <w:szCs w:val="18"/>
    </w:rPr>
  </w:style>
  <w:style w:type="character" w:customStyle="1" w:styleId="34">
    <w:name w:val="纯文本 Char1"/>
    <w:qFormat/>
    <w:uiPriority w:val="0"/>
    <w:rPr>
      <w:rFonts w:eastAsia="宋体"/>
      <w:sz w:val="24"/>
    </w:rPr>
  </w:style>
  <w:style w:type="paragraph" w:customStyle="1" w:styleId="3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6">
    <w:name w:val="列出段落1"/>
    <w:basedOn w:val="1"/>
    <w:qFormat/>
    <w:uiPriority w:val="34"/>
    <w:pPr>
      <w:ind w:firstLine="420" w:firstLineChars="200"/>
    </w:pPr>
  </w:style>
  <w:style w:type="paragraph" w:styleId="37">
    <w:name w:val="List Paragraph"/>
    <w:basedOn w:val="1"/>
    <w:unhideWhenUsed/>
    <w:qFormat/>
    <w:uiPriority w:val="99"/>
    <w:pPr>
      <w:ind w:firstLine="420" w:firstLineChars="200"/>
    </w:pPr>
  </w:style>
  <w:style w:type="character" w:customStyle="1" w:styleId="38">
    <w:name w:val="正文文本缩进 Char Char"/>
    <w:link w:val="39"/>
    <w:qFormat/>
    <w:uiPriority w:val="0"/>
    <w:rPr>
      <w:rFonts w:ascii="宋体"/>
      <w:sz w:val="24"/>
    </w:rPr>
  </w:style>
  <w:style w:type="paragraph" w:customStyle="1" w:styleId="39">
    <w:name w:val="正文文本缩进1"/>
    <w:basedOn w:val="1"/>
    <w:link w:val="38"/>
    <w:qFormat/>
    <w:uiPriority w:val="0"/>
    <w:pPr>
      <w:spacing w:line="360" w:lineRule="auto"/>
      <w:ind w:firstLine="480" w:firstLineChars="200"/>
    </w:pPr>
    <w:rPr>
      <w:rFonts w:ascii="宋体"/>
      <w:sz w:val="24"/>
    </w:rPr>
  </w:style>
  <w:style w:type="character" w:customStyle="1" w:styleId="40">
    <w:name w:val="日期 Char Char"/>
    <w:link w:val="41"/>
    <w:qFormat/>
    <w:uiPriority w:val="0"/>
    <w:rPr>
      <w:sz w:val="24"/>
    </w:rPr>
  </w:style>
  <w:style w:type="paragraph" w:customStyle="1" w:styleId="41">
    <w:name w:val="日期1"/>
    <w:basedOn w:val="1"/>
    <w:next w:val="1"/>
    <w:link w:val="40"/>
    <w:uiPriority w:val="0"/>
    <w:rPr>
      <w:sz w:val="24"/>
    </w:rPr>
  </w:style>
  <w:style w:type="paragraph" w:customStyle="1" w:styleId="4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5">
    <w:name w:val="正文文本 3 Char"/>
    <w:basedOn w:val="23"/>
    <w:link w:val="8"/>
    <w:qFormat/>
    <w:uiPriority w:val="0"/>
    <w:rPr>
      <w:rFonts w:ascii="Times New Roman" w:hAnsi="Times New Roman" w:eastAsia="宋体" w:cs="Times New Roman"/>
      <w:color w:val="FF0000"/>
      <w:sz w:val="24"/>
      <w:szCs w:val="24"/>
    </w:rPr>
  </w:style>
  <w:style w:type="character" w:customStyle="1" w:styleId="46">
    <w:name w:val="edittexttarea"/>
    <w:basedOn w:val="23"/>
    <w:qFormat/>
    <w:uiPriority w:val="0"/>
  </w:style>
  <w:style w:type="paragraph" w:customStyle="1" w:styleId="47">
    <w:name w:val="样式 标题 1 + 四号 居中 段前: 12 磅 段后: 12 磅 行距: 单倍行距"/>
    <w:basedOn w:val="2"/>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正文文本 Char"/>
    <w:basedOn w:val="23"/>
    <w:link w:val="9"/>
    <w:semiHidden/>
    <w:qFormat/>
    <w:uiPriority w:val="99"/>
  </w:style>
  <w:style w:type="character" w:customStyle="1" w:styleId="50">
    <w:name w:val="正文首行缩进 Char"/>
    <w:basedOn w:val="49"/>
    <w:link w:val="21"/>
    <w:qFormat/>
    <w:uiPriority w:val="0"/>
    <w:rPr>
      <w:rFonts w:ascii="宋体" w:hAnsi="Times New Roman" w:eastAsia="宋体" w:cs="Times New Roman"/>
      <w:kern w:val="0"/>
      <w:sz w:val="34"/>
      <w:szCs w:val="20"/>
    </w:rPr>
  </w:style>
  <w:style w:type="character" w:customStyle="1" w:styleId="51">
    <w:name w:val="HTML 预设格式 Char"/>
    <w:basedOn w:val="23"/>
    <w:link w:val="19"/>
    <w:semiHidden/>
    <w:qFormat/>
    <w:uiPriority w:val="99"/>
    <w:rPr>
      <w:rFonts w:ascii="宋体" w:hAnsi="宋体" w:eastAsia="宋体" w:cs="宋体"/>
      <w:kern w:val="0"/>
      <w:sz w:val="24"/>
      <w:szCs w:val="24"/>
    </w:rPr>
  </w:style>
  <w:style w:type="character" w:customStyle="1" w:styleId="52">
    <w:name w:val="正文文本缩进 Char"/>
    <w:link w:val="10"/>
    <w:qFormat/>
    <w:uiPriority w:val="0"/>
    <w:rPr>
      <w:sz w:val="24"/>
    </w:rPr>
  </w:style>
  <w:style w:type="character" w:customStyle="1" w:styleId="53">
    <w:name w:val="正文文本缩进 Char1"/>
    <w:basedOn w:val="23"/>
    <w:link w:val="10"/>
    <w:semiHidden/>
    <w:qFormat/>
    <w:uiPriority w:val="99"/>
  </w:style>
  <w:style w:type="character" w:customStyle="1" w:styleId="54">
    <w:name w:val="批注框文本 Char"/>
    <w:basedOn w:val="23"/>
    <w:link w:val="15"/>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28E4B5-CE13-4DE3-863C-5648FDBFDA3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75</Pages>
  <Words>5637</Words>
  <Characters>32131</Characters>
  <Lines>267</Lines>
  <Paragraphs>75</Paragraphs>
  <TotalTime>1</TotalTime>
  <ScaleCrop>false</ScaleCrop>
  <LinksUpToDate>false</LinksUpToDate>
  <CharactersWithSpaces>37693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2019-08-01T02:27:00Z</dcterms:created>
  <dc:creator>许昌市公共资源交易中心:孟莉</dc:creator>
  <cp:lastModifiedBy>许昌市公共资源交易中心:杨丹丹</cp:lastModifiedBy>
  <cp:lastPrinted>2019-08-02T09:19:00Z</cp:lastPrinted>
  <dcterms:modified xsi:type="dcterms:W3CDTF">2019-09-19T00:48:12Z</dcterms:modified>
  <cp:revision>284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