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val="en-US" w:eastAsia="zh-CN"/>
        </w:rPr>
        <w:t>JZFCG</w:t>
      </w:r>
      <w:r>
        <w:rPr>
          <w:rFonts w:ascii="宋体" w:hAnsi="宋体" w:eastAsia="宋体" w:cs="宋体"/>
          <w:b/>
          <w:color w:val="000000" w:themeColor="text1"/>
          <w:sz w:val="44"/>
          <w:szCs w:val="44"/>
        </w:rPr>
        <w:t>-G20190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val="en-US" w:eastAsia="zh-CN"/>
        </w:rPr>
        <w:t>84</w:t>
      </w:r>
      <w:r>
        <w:rPr>
          <w:rFonts w:ascii="宋体" w:hAnsi="宋体" w:eastAsia="宋体" w:cs="宋体"/>
          <w:b/>
          <w:color w:val="000000" w:themeColor="text1"/>
          <w:sz w:val="44"/>
          <w:szCs w:val="44"/>
        </w:rPr>
        <w:t>号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许昌经济技术开发区住房建设城市管理与环境保护局“龙门架限高杆、限宽地桩及配套设施项目”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  <w:t>中标结果公告</w:t>
      </w:r>
      <w:bookmarkStart w:id="0" w:name="_GoBack"/>
      <w:bookmarkEnd w:id="0"/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一、项目名称和编号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许昌经济技术开发区住房建设城市管理与环境保护局“龙门架限高杆、限宽地桩及配套设施项目”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JZFCG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-G20190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84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号</w:t>
      </w:r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二、开评标信息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开标日期：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2019年9月4日8时30分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评标地点：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许昌市公共资源交易中心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评审专家名单：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谢宗伟、牛长根、李耀伟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(组长）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、范玉柱、苏扬（业主代表）</w:t>
      </w:r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三、中标信息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</w:rPr>
        <w:t>中标人名称：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河南宝强安保设备有限公司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许昌市颍昌大道颍昌南苑一期 18 层 3 号北侧东起第一间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胡蔚丹            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0374-5122722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3375210元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中标金额：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大写：叁佰叁拾伍万柒仟陆佰柒拾圆整</w:t>
      </w:r>
    </w:p>
    <w:p>
      <w:pPr>
        <w:widowControl/>
        <w:spacing w:line="360" w:lineRule="auto"/>
        <w:ind w:firstLine="1600" w:firstLineChars="5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小写：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3357670元</w:t>
      </w:r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四、采购文件（附后）</w:t>
      </w:r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五、公告期限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7" w:beforeAutospacing="0" w:after="0" w:afterAutospacing="0" w:line="540" w:lineRule="atLeast"/>
        <w:ind w:left="0" w:right="0" w:firstLine="321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    本公告同时在以下网站发布：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《中国政府采购网》、《河南省政府采购网》、《许昌市政府采购网》、《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instrText xml:space="preserve"> HYPERLINK "https://www.baidu.com/link?url=8rmedzOhlAuXDcXgh4Ih79cf3oX63OtO_HyxHSCPnTT6Bb4nFcbI-6b-kaJFEjJrZKGkaq6fZ0YCvibRAKulsXONz3kZBFBKcnun2fra-tu&amp;wd=&amp;eqid=f166cd3a00044721000000025acd62c1" </w:instrTex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中国·许昌 许昌市政府网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》、《全国公共资源交易平台（河南省·许昌市）》。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    中标结果公告期限为1个工作日。</w:t>
      </w:r>
    </w:p>
    <w:p>
      <w:pPr>
        <w:widowControl/>
        <w:spacing w:line="360" w:lineRule="auto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</w:rPr>
        <w:t>六、联系方式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采购人：许昌经济技术开发区住房建设城市管理与环境保护局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地  址：许昌经济技术开发区管理委员会（瑞祥路中段）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联系人：李先生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联系电话：15837467772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代理机构：河南省伟信招标管理咨询有限公司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地    址：郑州市东风南路6号绿地中心北塔16楼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 系 人：廖女士</w:t>
      </w:r>
    </w:p>
    <w:p>
      <w:pPr>
        <w:pStyle w:val="5"/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联系电话：0374-2121949</w:t>
      </w:r>
    </w:p>
    <w:p>
      <w:pPr>
        <w:widowControl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</w:rPr>
        <w:t xml:space="preserve"> </w:t>
      </w:r>
    </w:p>
    <w:p>
      <w:pPr>
        <w:widowControl/>
        <w:spacing w:line="360" w:lineRule="auto"/>
        <w:ind w:firstLine="2240" w:firstLineChars="7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许昌经济技术开发区住房建设城市管理与环境保护局</w:t>
      </w:r>
    </w:p>
    <w:p>
      <w:pPr>
        <w:widowControl/>
        <w:spacing w:line="360" w:lineRule="auto"/>
        <w:rPr>
          <w:color w:val="000000" w:themeColor="text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     2019年9月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4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BF"/>
    <w:rsid w:val="00081F0E"/>
    <w:rsid w:val="000D3C26"/>
    <w:rsid w:val="0029469F"/>
    <w:rsid w:val="002C4CD0"/>
    <w:rsid w:val="002E480D"/>
    <w:rsid w:val="002E6A92"/>
    <w:rsid w:val="0037143E"/>
    <w:rsid w:val="003B7BA6"/>
    <w:rsid w:val="003C2EAA"/>
    <w:rsid w:val="00406336"/>
    <w:rsid w:val="004B1439"/>
    <w:rsid w:val="00526857"/>
    <w:rsid w:val="00551FF5"/>
    <w:rsid w:val="005548D0"/>
    <w:rsid w:val="005A6CA3"/>
    <w:rsid w:val="005E21D8"/>
    <w:rsid w:val="006A49A5"/>
    <w:rsid w:val="00800C34"/>
    <w:rsid w:val="0087237B"/>
    <w:rsid w:val="00901392"/>
    <w:rsid w:val="00940EA8"/>
    <w:rsid w:val="009B79D1"/>
    <w:rsid w:val="00A11F5D"/>
    <w:rsid w:val="00A84B60"/>
    <w:rsid w:val="00C32270"/>
    <w:rsid w:val="00C82D07"/>
    <w:rsid w:val="00D838FF"/>
    <w:rsid w:val="00DA2DE5"/>
    <w:rsid w:val="00DB2EBF"/>
    <w:rsid w:val="00DB44F1"/>
    <w:rsid w:val="00E44FC5"/>
    <w:rsid w:val="00F11185"/>
    <w:rsid w:val="130C785B"/>
    <w:rsid w:val="40B37F4B"/>
    <w:rsid w:val="739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ascii="Calibri" w:hAnsi="Calibri" w:eastAsia="宋体" w:cs="Times New Roman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9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over25"/>
    <w:basedOn w:val="8"/>
    <w:uiPriority w:val="0"/>
  </w:style>
  <w:style w:type="character" w:customStyle="1" w:styleId="16">
    <w:name w:val="red"/>
    <w:basedOn w:val="8"/>
    <w:uiPriority w:val="0"/>
    <w:rPr>
      <w:color w:val="FF0000"/>
      <w:sz w:val="18"/>
      <w:szCs w:val="18"/>
    </w:rPr>
  </w:style>
  <w:style w:type="character" w:customStyle="1" w:styleId="17">
    <w:name w:val="red1"/>
    <w:basedOn w:val="8"/>
    <w:uiPriority w:val="0"/>
    <w:rPr>
      <w:color w:val="FF0000"/>
      <w:sz w:val="18"/>
      <w:szCs w:val="18"/>
    </w:rPr>
  </w:style>
  <w:style w:type="character" w:customStyle="1" w:styleId="18">
    <w:name w:val="red2"/>
    <w:basedOn w:val="8"/>
    <w:uiPriority w:val="0"/>
    <w:rPr>
      <w:color w:val="CC0000"/>
    </w:rPr>
  </w:style>
  <w:style w:type="character" w:customStyle="1" w:styleId="19">
    <w:name w:val="red3"/>
    <w:basedOn w:val="8"/>
    <w:uiPriority w:val="0"/>
    <w:rPr>
      <w:color w:val="FF0000"/>
    </w:rPr>
  </w:style>
  <w:style w:type="character" w:customStyle="1" w:styleId="20">
    <w:name w:val="green"/>
    <w:basedOn w:val="8"/>
    <w:uiPriority w:val="0"/>
    <w:rPr>
      <w:color w:val="66AE00"/>
      <w:sz w:val="18"/>
      <w:szCs w:val="18"/>
    </w:rPr>
  </w:style>
  <w:style w:type="character" w:customStyle="1" w:styleId="21">
    <w:name w:val="green1"/>
    <w:basedOn w:val="8"/>
    <w:uiPriority w:val="0"/>
    <w:rPr>
      <w:color w:val="66AE00"/>
      <w:sz w:val="18"/>
      <w:szCs w:val="18"/>
    </w:rPr>
  </w:style>
  <w:style w:type="character" w:customStyle="1" w:styleId="22">
    <w:name w:val="blue"/>
    <w:basedOn w:val="8"/>
    <w:uiPriority w:val="0"/>
    <w:rPr>
      <w:color w:val="0371C6"/>
      <w:sz w:val="21"/>
      <w:szCs w:val="21"/>
    </w:rPr>
  </w:style>
  <w:style w:type="character" w:customStyle="1" w:styleId="23">
    <w:name w:val="right"/>
    <w:basedOn w:val="8"/>
    <w:uiPriority w:val="0"/>
    <w:rPr>
      <w:color w:val="999999"/>
      <w:sz w:val="18"/>
      <w:szCs w:val="18"/>
    </w:rPr>
  </w:style>
  <w:style w:type="character" w:customStyle="1" w:styleId="24">
    <w:name w:val="gb-j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2018-11-06T06:36:00Z</dcterms:created>
  <dc:creator>河南省伟信招标管理咨询有限公司:河南省伟信招标管理咨询有限公司</dc:creator>
  <cp:lastModifiedBy>Administrator</cp:lastModifiedBy>
  <cp:lastPrinted>2019-09-05T01:50:35Z</cp:lastPrinted>
  <dcterms:modified xsi:type="dcterms:W3CDTF">2019-09-05T02:01:57Z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