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52"/>
          <w:szCs w:val="52"/>
        </w:rPr>
      </w:pPr>
    </w:p>
    <w:p>
      <w:pPr>
        <w:spacing w:line="360" w:lineRule="auto"/>
        <w:jc w:val="center"/>
        <w:rPr>
          <w:rFonts w:hint="eastAsia" w:ascii="宋体" w:hAnsi="宋体"/>
          <w:b/>
          <w:bCs/>
          <w:color w:val="000000"/>
          <w:kern w:val="0"/>
          <w:sz w:val="52"/>
          <w:szCs w:val="52"/>
        </w:rPr>
      </w:pPr>
      <w:bookmarkStart w:id="0" w:name="_Toc365795512"/>
      <w:bookmarkEnd w:id="0"/>
      <w:bookmarkStart w:id="1" w:name="_Toc368151444"/>
      <w:bookmarkEnd w:id="1"/>
      <w:bookmarkStart w:id="2" w:name="_Toc366256207"/>
      <w:bookmarkEnd w:id="2"/>
      <w:bookmarkStart w:id="3" w:name="_Toc365584225"/>
      <w:bookmarkEnd w:id="3"/>
      <w:bookmarkStart w:id="4" w:name="_Toc365793825"/>
      <w:bookmarkEnd w:id="4"/>
      <w:bookmarkStart w:id="5" w:name="_Toc369689656"/>
      <w:bookmarkEnd w:id="5"/>
      <w:bookmarkStart w:id="6" w:name="_Toc365469629"/>
      <w:bookmarkEnd w:id="6"/>
      <w:bookmarkStart w:id="7" w:name="_Toc365469797"/>
      <w:bookmarkEnd w:id="7"/>
      <w:bookmarkStart w:id="8" w:name="_Toc366157738"/>
      <w:bookmarkEnd w:id="8"/>
      <w:r>
        <w:rPr>
          <w:rFonts w:hint="eastAsia" w:ascii="宋体" w:hAnsi="宋体"/>
          <w:b/>
          <w:bCs/>
          <w:color w:val="000000"/>
          <w:kern w:val="0"/>
          <w:sz w:val="52"/>
          <w:szCs w:val="52"/>
        </w:rPr>
        <w:t>禹州市无梁镇废弃矿山生态修复工程</w:t>
      </w:r>
    </w:p>
    <w:p>
      <w:pPr>
        <w:pStyle w:val="2"/>
        <w:jc w:val="center"/>
        <w:rPr>
          <w:rFonts w:hint="eastAsia" w:eastAsia="宋体"/>
          <w:sz w:val="44"/>
          <w:szCs w:val="44"/>
          <w:lang w:eastAsia="zh-CN"/>
        </w:rPr>
      </w:pPr>
      <w:r>
        <w:rPr>
          <w:rFonts w:hint="eastAsia" w:ascii="宋体" w:hAnsi="宋体"/>
          <w:b/>
          <w:bCs/>
          <w:color w:val="000000"/>
          <w:kern w:val="0"/>
          <w:sz w:val="44"/>
          <w:szCs w:val="44"/>
          <w:lang w:eastAsia="zh-CN"/>
        </w:rPr>
        <w:t>（第</w:t>
      </w:r>
      <w:r>
        <w:rPr>
          <w:rFonts w:hint="eastAsia" w:ascii="宋体" w:hAnsi="宋体"/>
          <w:b/>
          <w:bCs/>
          <w:color w:val="000000"/>
          <w:kern w:val="0"/>
          <w:sz w:val="44"/>
          <w:szCs w:val="44"/>
          <w:lang w:val="en-US" w:eastAsia="zh-CN"/>
        </w:rPr>
        <w:t>1</w:t>
      </w:r>
      <w:r>
        <w:rPr>
          <w:rFonts w:hint="eastAsia" w:ascii="宋体" w:hAnsi="宋体"/>
          <w:b/>
          <w:bCs/>
          <w:color w:val="000000"/>
          <w:kern w:val="0"/>
          <w:sz w:val="44"/>
          <w:szCs w:val="44"/>
          <w:lang w:eastAsia="zh-CN"/>
        </w:rPr>
        <w:t>标段）</w:t>
      </w:r>
    </w:p>
    <w:p>
      <w:pPr>
        <w:pStyle w:val="2"/>
        <w:ind w:left="0" w:leftChars="0" w:firstLine="0" w:firstLineChars="0"/>
        <w:rPr>
          <w:rFonts w:ascii="宋体" w:hAnsi="宋体"/>
          <w:b/>
          <w:bCs/>
          <w:color w:val="000000"/>
          <w:sz w:val="48"/>
          <w:szCs w:val="48"/>
        </w:rPr>
      </w:pPr>
    </w:p>
    <w:p>
      <w:pPr>
        <w:pStyle w:val="2"/>
        <w:ind w:left="0" w:leftChars="0" w:firstLine="0" w:firstLineChars="0"/>
        <w:rPr>
          <w:rFonts w:ascii="宋体" w:hAnsi="宋体"/>
          <w:b/>
          <w:bCs/>
          <w:color w:val="000000"/>
          <w:sz w:val="48"/>
          <w:szCs w:val="48"/>
        </w:rPr>
      </w:pPr>
    </w:p>
    <w:p>
      <w:pPr>
        <w:pStyle w:val="2"/>
        <w:ind w:left="0" w:leftChars="0" w:firstLine="0" w:firstLineChars="0"/>
        <w:rPr>
          <w:rFonts w:ascii="宋体" w:hAnsi="宋体"/>
          <w:b/>
          <w:bCs/>
          <w:color w:val="000000"/>
          <w:sz w:val="48"/>
          <w:szCs w:val="48"/>
        </w:rPr>
      </w:pPr>
    </w:p>
    <w:p>
      <w:pPr>
        <w:spacing w:line="360" w:lineRule="auto"/>
        <w:jc w:val="center"/>
        <w:rPr>
          <w:rFonts w:ascii="宋体" w:hAnsi="宋体"/>
          <w:b/>
          <w:color w:val="000000"/>
          <w:sz w:val="24"/>
          <w:szCs w:val="24"/>
        </w:rPr>
      </w:pPr>
      <w:r>
        <w:rPr>
          <w:rFonts w:hint="eastAsia" w:ascii="方正大标宋简体" w:hAnsi="方正大标宋简体" w:eastAsia="方正大标宋简体" w:cs="方正大标宋简体"/>
          <w:color w:val="000000"/>
          <w:spacing w:val="20"/>
          <w:sz w:val="96"/>
          <w:szCs w:val="96"/>
          <w:lang w:eastAsia="zh-CN"/>
        </w:rPr>
        <w:t>施工</w:t>
      </w:r>
      <w:r>
        <w:rPr>
          <w:rFonts w:hint="eastAsia" w:ascii="方正大标宋简体" w:hAnsi="方正大标宋简体" w:eastAsia="方正大标宋简体" w:cs="方正大标宋简体"/>
          <w:color w:val="000000"/>
          <w:spacing w:val="20"/>
          <w:sz w:val="96"/>
          <w:szCs w:val="96"/>
        </w:rPr>
        <w:t>招标文件</w:t>
      </w:r>
    </w:p>
    <w:p>
      <w:pPr>
        <w:autoSpaceDE w:val="0"/>
        <w:autoSpaceDN w:val="0"/>
        <w:adjustRightInd w:val="0"/>
        <w:spacing w:line="360" w:lineRule="auto"/>
        <w:jc w:val="center"/>
        <w:rPr>
          <w:rFonts w:hint="default" w:ascii="宋体" w:hAnsi="宋体" w:eastAsia="宋体"/>
          <w:b/>
          <w:sz w:val="21"/>
          <w:szCs w:val="21"/>
          <w:lang w:val="en-US" w:eastAsia="zh-CN"/>
        </w:rPr>
      </w:pPr>
      <w:r>
        <w:rPr>
          <w:rFonts w:hint="eastAsia" w:ascii="宋体" w:hAnsi="宋体"/>
          <w:b/>
          <w:sz w:val="21"/>
          <w:szCs w:val="21"/>
          <w:lang w:eastAsia="zh-CN"/>
        </w:rPr>
        <w:t>项目编号：</w:t>
      </w:r>
      <w:r>
        <w:rPr>
          <w:rFonts w:hint="eastAsia" w:ascii="宋体" w:hAnsi="宋体"/>
          <w:b/>
          <w:sz w:val="21"/>
          <w:szCs w:val="21"/>
          <w:lang w:val="en-US" w:eastAsia="zh-CN"/>
        </w:rPr>
        <w:t>JSGC-SZ2019179</w:t>
      </w:r>
    </w:p>
    <w:p>
      <w:pPr>
        <w:autoSpaceDE w:val="0"/>
        <w:autoSpaceDN w:val="0"/>
        <w:adjustRightInd w:val="0"/>
        <w:spacing w:line="360" w:lineRule="auto"/>
        <w:jc w:val="center"/>
        <w:rPr>
          <w:rFonts w:ascii="宋体" w:hAnsi="宋体"/>
          <w:color w:val="000000"/>
          <w:sz w:val="24"/>
          <w:szCs w:val="24"/>
        </w:rPr>
      </w:pPr>
    </w:p>
    <w:p>
      <w:pPr>
        <w:autoSpaceDE w:val="0"/>
        <w:autoSpaceDN w:val="0"/>
        <w:adjustRightInd w:val="0"/>
        <w:spacing w:line="360" w:lineRule="auto"/>
        <w:jc w:val="center"/>
        <w:rPr>
          <w:rFonts w:ascii="宋体" w:hAnsi="宋体"/>
          <w:color w:val="000000"/>
          <w:sz w:val="24"/>
          <w:szCs w:val="24"/>
        </w:rPr>
      </w:pPr>
    </w:p>
    <w:p>
      <w:pPr>
        <w:pStyle w:val="2"/>
        <w:rPr>
          <w:rFonts w:ascii="宋体" w:hAnsi="宋体"/>
          <w:color w:val="000000"/>
          <w:sz w:val="24"/>
          <w:szCs w:val="24"/>
        </w:rPr>
      </w:pPr>
    </w:p>
    <w:p>
      <w:pPr>
        <w:pStyle w:val="2"/>
        <w:rPr>
          <w:rFonts w:ascii="宋体" w:hAnsi="宋体"/>
          <w:color w:val="000000"/>
          <w:sz w:val="24"/>
          <w:szCs w:val="24"/>
        </w:rPr>
      </w:pPr>
    </w:p>
    <w:p>
      <w:pPr>
        <w:pStyle w:val="2"/>
      </w:pPr>
    </w:p>
    <w:p>
      <w:pPr>
        <w:pStyle w:val="2"/>
        <w:ind w:firstLine="210"/>
      </w:pPr>
    </w:p>
    <w:p>
      <w:pPr>
        <w:spacing w:line="480" w:lineRule="auto"/>
        <w:ind w:firstLine="2415" w:firstLineChars="859"/>
        <w:rPr>
          <w:b/>
          <w:bCs/>
          <w:color w:val="auto"/>
          <w:sz w:val="28"/>
          <w:szCs w:val="28"/>
        </w:rPr>
      </w:pPr>
      <w:r>
        <w:rPr>
          <w:rFonts w:hint="eastAsia" w:ascii="宋体" w:hAnsi="宋体"/>
          <w:b/>
          <w:bCs/>
          <w:color w:val="auto"/>
          <w:sz w:val="28"/>
          <w:szCs w:val="28"/>
        </w:rPr>
        <w:t>招 标 人：</w:t>
      </w:r>
      <w:r>
        <w:rPr>
          <w:rFonts w:hint="eastAsia"/>
          <w:b/>
          <w:bCs/>
          <w:color w:val="auto"/>
          <w:sz w:val="28"/>
          <w:szCs w:val="28"/>
        </w:rPr>
        <w:t>禹州市</w:t>
      </w:r>
      <w:r>
        <w:rPr>
          <w:rFonts w:hint="eastAsia"/>
          <w:b/>
          <w:bCs/>
          <w:color w:val="auto"/>
          <w:sz w:val="28"/>
          <w:szCs w:val="28"/>
          <w:lang w:eastAsia="zh-CN"/>
        </w:rPr>
        <w:t>无梁</w:t>
      </w:r>
      <w:r>
        <w:rPr>
          <w:rFonts w:hint="eastAsia"/>
          <w:b/>
          <w:bCs/>
          <w:color w:val="auto"/>
          <w:sz w:val="28"/>
          <w:szCs w:val="28"/>
        </w:rPr>
        <w:t>镇人民政府</w:t>
      </w:r>
    </w:p>
    <w:p>
      <w:pPr>
        <w:spacing w:line="360" w:lineRule="auto"/>
        <w:ind w:firstLine="2415" w:firstLineChars="859"/>
        <w:rPr>
          <w:rFonts w:ascii="宋体" w:hAnsi="宋体"/>
          <w:b/>
          <w:bCs/>
          <w:color w:val="auto"/>
          <w:sz w:val="28"/>
          <w:szCs w:val="28"/>
          <w:u w:val="none"/>
        </w:rPr>
      </w:pPr>
      <w:r>
        <w:rPr>
          <w:rFonts w:hint="eastAsia" w:ascii="宋体" w:hAnsi="宋体"/>
          <w:b/>
          <w:bCs/>
          <w:color w:val="auto"/>
          <w:sz w:val="28"/>
          <w:szCs w:val="28"/>
        </w:rPr>
        <w:t>监督单位：</w:t>
      </w:r>
      <w:r>
        <w:rPr>
          <w:rFonts w:hint="eastAsia"/>
          <w:b/>
          <w:bCs/>
          <w:color w:val="auto"/>
          <w:sz w:val="28"/>
          <w:szCs w:val="28"/>
        </w:rPr>
        <w:t>禹州市土地开发整理中心</w:t>
      </w:r>
    </w:p>
    <w:p>
      <w:pPr>
        <w:jc w:val="center"/>
        <w:rPr>
          <w:rFonts w:ascii="宋体" w:hAnsi="宋体"/>
          <w:b/>
          <w:bCs/>
          <w:color w:val="auto"/>
          <w:sz w:val="28"/>
          <w:szCs w:val="28"/>
        </w:rPr>
      </w:pPr>
      <w:r>
        <w:rPr>
          <w:rFonts w:hint="eastAsia" w:ascii="宋体" w:hAnsi="宋体"/>
          <w:b/>
          <w:bCs/>
          <w:color w:val="auto"/>
          <w:sz w:val="28"/>
          <w:szCs w:val="28"/>
        </w:rPr>
        <w:t>代理机构：</w:t>
      </w:r>
      <w:r>
        <w:rPr>
          <w:rFonts w:hint="eastAsia" w:hAnsi="宋体"/>
          <w:b/>
          <w:bCs/>
          <w:color w:val="auto"/>
          <w:sz w:val="28"/>
          <w:szCs w:val="28"/>
          <w:u w:val="none"/>
          <w:lang w:eastAsia="zh-CN"/>
        </w:rPr>
        <w:t>华夏城投项目管理有限公司</w:t>
      </w:r>
    </w:p>
    <w:p>
      <w:pPr>
        <w:spacing w:line="480" w:lineRule="auto"/>
        <w:ind w:right="480" w:firstLine="2415" w:firstLineChars="859"/>
        <w:jc w:val="left"/>
        <w:rPr>
          <w:b/>
          <w:bCs/>
          <w:color w:val="auto"/>
          <w:sz w:val="32"/>
          <w:szCs w:val="32"/>
        </w:rPr>
      </w:pPr>
      <w:r>
        <w:rPr>
          <w:rFonts w:hint="eastAsia" w:ascii="宋体" w:hAnsi="宋体"/>
          <w:b/>
          <w:bCs/>
          <w:color w:val="auto"/>
          <w:sz w:val="28"/>
          <w:szCs w:val="28"/>
        </w:rPr>
        <w:t>日　　期：</w:t>
      </w:r>
      <w:r>
        <w:rPr>
          <w:rFonts w:hint="eastAsia" w:ascii="宋体" w:hAnsi="宋体"/>
          <w:b/>
          <w:bCs/>
          <w:color w:val="auto"/>
          <w:sz w:val="28"/>
          <w:szCs w:val="28"/>
          <w:u w:val="none"/>
        </w:rPr>
        <w:t xml:space="preserve">　　二○一九年 </w:t>
      </w:r>
      <w:r>
        <w:rPr>
          <w:rFonts w:hint="eastAsia" w:ascii="宋体" w:hAnsi="宋体"/>
          <w:b/>
          <w:bCs/>
          <w:color w:val="auto"/>
          <w:sz w:val="28"/>
          <w:szCs w:val="28"/>
          <w:u w:val="none"/>
          <w:lang w:eastAsia="zh-CN"/>
        </w:rPr>
        <w:t>八</w:t>
      </w:r>
      <w:r>
        <w:rPr>
          <w:rFonts w:hint="eastAsia" w:ascii="宋体" w:hAnsi="宋体"/>
          <w:b/>
          <w:bCs/>
          <w:color w:val="auto"/>
          <w:sz w:val="28"/>
          <w:szCs w:val="28"/>
          <w:u w:val="none"/>
        </w:rPr>
        <w:t xml:space="preserve"> 月　　</w:t>
      </w:r>
    </w:p>
    <w:p>
      <w:pPr>
        <w:widowControl/>
        <w:spacing w:line="480" w:lineRule="auto"/>
        <w:ind w:firstLine="1905" w:firstLineChars="593"/>
        <w:jc w:val="left"/>
        <w:rPr>
          <w:rFonts w:ascii="宋体" w:hAnsi="宋体" w:cs="宋体"/>
          <w:b/>
          <w:bCs/>
          <w:color w:val="auto"/>
          <w:sz w:val="32"/>
          <w:szCs w:val="32"/>
        </w:rPr>
        <w:sectPr>
          <w:footerReference r:id="rId3" w:type="default"/>
          <w:pgSz w:w="11906" w:h="16838"/>
          <w:pgMar w:top="1531" w:right="1134" w:bottom="1191" w:left="1134" w:header="720" w:footer="720" w:gutter="0"/>
          <w:pgNumType w:fmt="decimal"/>
          <w:cols w:space="720" w:num="1"/>
          <w:docGrid w:type="lines" w:linePitch="312" w:charSpace="0"/>
        </w:sectPr>
      </w:pPr>
    </w:p>
    <w:p>
      <w:pPr>
        <w:spacing w:line="360" w:lineRule="auto"/>
        <w:ind w:right="482"/>
        <w:jc w:val="center"/>
        <w:outlineLvl w:val="0"/>
        <w:rPr>
          <w:rFonts w:ascii="方正大标宋简体" w:hAnsi="方正大标宋简体" w:eastAsia="方正大标宋简体" w:cs="方正大标宋简体"/>
          <w:b/>
          <w:bCs/>
          <w:color w:val="000000"/>
          <w:sz w:val="44"/>
          <w:szCs w:val="44"/>
        </w:rPr>
      </w:pPr>
      <w:bookmarkStart w:id="9" w:name="_Toc503873661"/>
      <w:bookmarkStart w:id="10" w:name="_Toc503433944"/>
    </w:p>
    <w:p>
      <w:pPr>
        <w:spacing w:line="360" w:lineRule="auto"/>
        <w:ind w:right="482"/>
        <w:jc w:val="center"/>
        <w:outlineLvl w:val="0"/>
        <w:rPr>
          <w:rFonts w:ascii="方正大标宋简体" w:hAnsi="方正大标宋简体" w:eastAsia="方正大标宋简体" w:cs="方正大标宋简体"/>
          <w:b/>
          <w:bCs/>
          <w:color w:val="000000"/>
          <w:sz w:val="44"/>
          <w:szCs w:val="44"/>
        </w:rPr>
      </w:pPr>
      <w:r>
        <w:rPr>
          <w:rFonts w:hint="eastAsia" w:ascii="方正大标宋简体" w:hAnsi="方正大标宋简体" w:eastAsia="方正大标宋简体" w:cs="方正大标宋简体"/>
          <w:b/>
          <w:bCs/>
          <w:color w:val="000000"/>
          <w:sz w:val="44"/>
          <w:szCs w:val="44"/>
        </w:rPr>
        <w:t>目    录</w:t>
      </w:r>
      <w:bookmarkEnd w:id="9"/>
      <w:bookmarkEnd w:id="10"/>
    </w:p>
    <w:p>
      <w:pPr>
        <w:pStyle w:val="12"/>
        <w:tabs>
          <w:tab w:val="right" w:leader="dot" w:pos="9402"/>
        </w:tabs>
        <w:spacing w:line="600" w:lineRule="auto"/>
        <w:ind w:firstLine="281" w:firstLineChars="100"/>
        <w:rPr>
          <w:rFonts w:ascii="宋体" w:hAnsi="宋体" w:cstheme="minorBidi"/>
          <w:b/>
          <w:sz w:val="28"/>
          <w:szCs w:val="32"/>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"_Toc503873663" </w:instrText>
      </w:r>
      <w:r>
        <w:fldChar w:fldCharType="separate"/>
      </w:r>
      <w:r>
        <w:rPr>
          <w:rStyle w:val="19"/>
          <w:rFonts w:hint="eastAsia" w:ascii="宋体" w:hAnsi="宋体"/>
          <w:b/>
          <w:kern w:val="0"/>
          <w:sz w:val="28"/>
          <w:szCs w:val="28"/>
        </w:rPr>
        <w:t>第一章</w:t>
      </w:r>
      <w:r>
        <w:rPr>
          <w:rStyle w:val="19"/>
          <w:rFonts w:hint="eastAsia" w:ascii="宋体" w:hAnsi="宋体"/>
          <w:b/>
          <w:kern w:val="0"/>
          <w:sz w:val="28"/>
          <w:szCs w:val="28"/>
          <w:lang w:val="en-US" w:eastAsia="zh-CN"/>
        </w:rPr>
        <w:t xml:space="preserve"> </w:t>
      </w:r>
      <w:r>
        <w:rPr>
          <w:rStyle w:val="19"/>
          <w:rFonts w:hint="eastAsia" w:ascii="宋体" w:hAnsi="宋体"/>
          <w:b/>
          <w:kern w:val="0"/>
          <w:sz w:val="28"/>
          <w:szCs w:val="28"/>
        </w:rPr>
        <w:t>招标公告</w:t>
      </w:r>
      <w:r>
        <w:rPr>
          <w:rFonts w:ascii="宋体" w:hAnsi="宋体"/>
          <w:b/>
          <w:sz w:val="28"/>
          <w:szCs w:val="28"/>
        </w:rPr>
        <w:tab/>
      </w:r>
      <w:r>
        <w:rPr>
          <w:rFonts w:hint="eastAsia" w:ascii="宋体" w:hAnsi="宋体"/>
          <w:b/>
          <w:sz w:val="28"/>
          <w:szCs w:val="28"/>
          <w:lang w:val="en-US" w:eastAsia="zh-CN"/>
        </w:rPr>
        <w:t>2</w:t>
      </w:r>
      <w:r>
        <w:rPr>
          <w:rFonts w:hint="eastAsia" w:ascii="宋体" w:hAnsi="宋体"/>
          <w:b/>
          <w:sz w:val="28"/>
          <w:szCs w:val="28"/>
        </w:rPr>
        <w:fldChar w:fldCharType="end"/>
      </w:r>
    </w:p>
    <w:p>
      <w:pPr>
        <w:pStyle w:val="12"/>
        <w:tabs>
          <w:tab w:val="right" w:leader="dot" w:pos="9402"/>
        </w:tabs>
        <w:spacing w:line="600" w:lineRule="auto"/>
        <w:ind w:firstLine="315" w:firstLineChars="150"/>
        <w:rPr>
          <w:rFonts w:ascii="宋体" w:hAnsi="宋体" w:cstheme="minorBidi"/>
          <w:b/>
          <w:sz w:val="28"/>
          <w:szCs w:val="32"/>
        </w:rPr>
      </w:pPr>
      <w:r>
        <w:fldChar w:fldCharType="begin"/>
      </w:r>
      <w:r>
        <w:instrText xml:space="preserve"> HYPERLINK \l "_Toc503873664" </w:instrText>
      </w:r>
      <w:r>
        <w:fldChar w:fldCharType="separate"/>
      </w:r>
      <w:r>
        <w:rPr>
          <w:rStyle w:val="19"/>
          <w:rFonts w:hint="eastAsia" w:ascii="宋体" w:hAnsi="宋体"/>
          <w:b/>
          <w:bCs/>
          <w:sz w:val="28"/>
          <w:szCs w:val="28"/>
        </w:rPr>
        <w:t>第二章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投标人须知</w:t>
      </w:r>
      <w:r>
        <w:rPr>
          <w:rFonts w:ascii="宋体" w:hAnsi="宋体"/>
          <w:b/>
          <w:sz w:val="28"/>
          <w:szCs w:val="28"/>
        </w:rPr>
        <w:tab/>
      </w:r>
      <w:r>
        <w:rPr>
          <w:rFonts w:hint="eastAsia" w:ascii="宋体" w:hAnsi="宋体"/>
          <w:b/>
          <w:sz w:val="28"/>
          <w:szCs w:val="28"/>
          <w:lang w:val="en-US" w:eastAsia="zh-CN"/>
        </w:rPr>
        <w:t>5</w:t>
      </w:r>
      <w:r>
        <w:rPr>
          <w:rFonts w:hint="eastAsia" w:ascii="宋体" w:hAnsi="宋体"/>
          <w:b/>
          <w:sz w:val="28"/>
          <w:szCs w:val="28"/>
        </w:rPr>
        <w:fldChar w:fldCharType="end"/>
      </w:r>
    </w:p>
    <w:p>
      <w:pPr>
        <w:pStyle w:val="12"/>
        <w:tabs>
          <w:tab w:val="right" w:leader="dot" w:pos="9402"/>
        </w:tabs>
        <w:spacing w:line="600" w:lineRule="auto"/>
        <w:ind w:firstLine="315" w:firstLineChars="150"/>
        <w:rPr>
          <w:rFonts w:ascii="宋体" w:hAnsi="宋体" w:cstheme="minorBidi"/>
          <w:b/>
          <w:sz w:val="28"/>
          <w:szCs w:val="32"/>
        </w:rPr>
      </w:pPr>
      <w:r>
        <w:fldChar w:fldCharType="begin"/>
      </w:r>
      <w:r>
        <w:instrText xml:space="preserve"> HYPERLINK \l "_Toc503873689" </w:instrText>
      </w:r>
      <w:r>
        <w:fldChar w:fldCharType="separate"/>
      </w:r>
      <w:r>
        <w:rPr>
          <w:rStyle w:val="19"/>
          <w:rFonts w:hint="eastAsia" w:ascii="宋体" w:hAnsi="宋体"/>
          <w:b/>
          <w:bCs/>
          <w:kern w:val="0"/>
          <w:sz w:val="28"/>
          <w:szCs w:val="28"/>
        </w:rPr>
        <w:t>第三章</w:t>
      </w:r>
      <w:r>
        <w:rPr>
          <w:rStyle w:val="19"/>
          <w:rFonts w:hint="eastAsia" w:ascii="宋体" w:hAnsi="宋体"/>
          <w:b/>
          <w:bCs/>
          <w:kern w:val="0"/>
          <w:sz w:val="28"/>
          <w:szCs w:val="28"/>
          <w:lang w:val="en-US" w:eastAsia="zh-CN"/>
        </w:rPr>
        <w:t xml:space="preserve"> </w:t>
      </w:r>
      <w:r>
        <w:rPr>
          <w:rStyle w:val="19"/>
          <w:rFonts w:hint="eastAsia" w:ascii="宋体" w:hAnsi="宋体"/>
          <w:b/>
          <w:bCs/>
          <w:kern w:val="0"/>
          <w:sz w:val="28"/>
          <w:szCs w:val="28"/>
        </w:rPr>
        <w:t>评标办法（合理低价中标法）</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_Toc503873689 \h </w:instrText>
      </w:r>
      <w:r>
        <w:rPr>
          <w:rFonts w:ascii="宋体" w:hAnsi="宋体"/>
          <w:b/>
          <w:sz w:val="28"/>
          <w:szCs w:val="28"/>
        </w:rPr>
        <w:fldChar w:fldCharType="separate"/>
      </w:r>
      <w:r>
        <w:rPr>
          <w:rFonts w:ascii="宋体" w:hAnsi="宋体"/>
          <w:b/>
          <w:sz w:val="28"/>
          <w:szCs w:val="28"/>
        </w:rPr>
        <w:t>23</w:t>
      </w:r>
      <w:r>
        <w:rPr>
          <w:rFonts w:ascii="宋体" w:hAnsi="宋体"/>
          <w:b/>
          <w:sz w:val="28"/>
          <w:szCs w:val="28"/>
        </w:rPr>
        <w:fldChar w:fldCharType="end"/>
      </w:r>
      <w:r>
        <w:rPr>
          <w:rFonts w:ascii="宋体" w:hAnsi="宋体"/>
          <w:b/>
          <w:sz w:val="28"/>
          <w:szCs w:val="28"/>
        </w:rPr>
        <w:fldChar w:fldCharType="end"/>
      </w:r>
    </w:p>
    <w:p>
      <w:pPr>
        <w:pStyle w:val="12"/>
        <w:tabs>
          <w:tab w:val="right" w:leader="dot" w:pos="9402"/>
        </w:tabs>
        <w:spacing w:line="600" w:lineRule="auto"/>
        <w:ind w:firstLine="315" w:firstLineChars="150"/>
        <w:rPr>
          <w:rFonts w:hint="eastAsia" w:ascii="宋体" w:hAnsi="宋体" w:eastAsia="宋体" w:cstheme="minorBidi"/>
          <w:b/>
          <w:sz w:val="28"/>
          <w:szCs w:val="32"/>
          <w:lang w:val="en-US" w:eastAsia="zh-CN"/>
        </w:rPr>
      </w:pPr>
      <w:r>
        <w:fldChar w:fldCharType="begin"/>
      </w:r>
      <w:r>
        <w:instrText xml:space="preserve"> HYPERLINK \l "_Toc503873699" </w:instrText>
      </w:r>
      <w:r>
        <w:fldChar w:fldCharType="separate"/>
      </w:r>
      <w:r>
        <w:rPr>
          <w:rStyle w:val="19"/>
          <w:rFonts w:hint="eastAsia" w:ascii="宋体" w:hAnsi="宋体"/>
          <w:b/>
          <w:bCs/>
          <w:sz w:val="28"/>
          <w:szCs w:val="28"/>
        </w:rPr>
        <w:t>第四章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合同条款及格式</w:t>
      </w:r>
      <w:r>
        <w:rPr>
          <w:rFonts w:ascii="宋体" w:hAnsi="宋体"/>
          <w:b/>
          <w:sz w:val="28"/>
          <w:szCs w:val="28"/>
        </w:rPr>
        <w:tab/>
      </w:r>
      <w:r>
        <w:rPr>
          <w:rFonts w:hint="eastAsia" w:ascii="宋体" w:hAnsi="宋体"/>
          <w:b/>
          <w:sz w:val="28"/>
          <w:szCs w:val="28"/>
          <w:lang w:val="en-US" w:eastAsia="zh-CN"/>
        </w:rPr>
        <w:t>3</w:t>
      </w:r>
      <w:r>
        <w:rPr>
          <w:rFonts w:ascii="宋体" w:hAnsi="宋体"/>
          <w:b/>
          <w:sz w:val="28"/>
          <w:szCs w:val="28"/>
        </w:rPr>
        <w:fldChar w:fldCharType="end"/>
      </w:r>
      <w:r>
        <w:rPr>
          <w:rFonts w:hint="eastAsia" w:ascii="宋体" w:hAnsi="宋体"/>
          <w:b/>
          <w:sz w:val="28"/>
          <w:szCs w:val="28"/>
          <w:lang w:val="en-US" w:eastAsia="zh-CN"/>
        </w:rPr>
        <w:t>9</w:t>
      </w:r>
    </w:p>
    <w:p>
      <w:pPr>
        <w:pStyle w:val="12"/>
        <w:tabs>
          <w:tab w:val="right" w:leader="dot" w:pos="9402"/>
        </w:tabs>
        <w:spacing w:line="600" w:lineRule="auto"/>
        <w:ind w:firstLine="315" w:firstLineChars="150"/>
        <w:rPr>
          <w:rFonts w:hint="eastAsia" w:ascii="宋体" w:hAnsi="宋体" w:eastAsia="宋体" w:cstheme="minorBidi"/>
          <w:b/>
          <w:sz w:val="28"/>
          <w:szCs w:val="32"/>
          <w:lang w:eastAsia="zh-CN"/>
        </w:rPr>
      </w:pPr>
      <w:r>
        <w:fldChar w:fldCharType="begin"/>
      </w:r>
      <w:r>
        <w:instrText xml:space="preserve"> HYPERLINK \l "_Toc503873702" </w:instrText>
      </w:r>
      <w:r>
        <w:fldChar w:fldCharType="separate"/>
      </w:r>
      <w:r>
        <w:rPr>
          <w:rStyle w:val="19"/>
          <w:rFonts w:hint="eastAsia" w:ascii="宋体" w:hAnsi="宋体"/>
          <w:b/>
          <w:bCs/>
          <w:sz w:val="28"/>
          <w:szCs w:val="28"/>
        </w:rPr>
        <w:t>第五章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工程量清单</w:t>
      </w:r>
      <w:r>
        <w:rPr>
          <w:rFonts w:ascii="宋体" w:hAnsi="宋体"/>
          <w:b/>
          <w:sz w:val="28"/>
          <w:szCs w:val="28"/>
        </w:rPr>
        <w:tab/>
      </w:r>
      <w:r>
        <w:rPr>
          <w:rFonts w:hint="eastAsia" w:ascii="宋体" w:hAnsi="宋体"/>
          <w:b/>
          <w:sz w:val="28"/>
          <w:szCs w:val="28"/>
          <w:lang w:val="en-US" w:eastAsia="zh-CN"/>
        </w:rPr>
        <w:t>5</w:t>
      </w:r>
      <w:r>
        <w:rPr>
          <w:rFonts w:hint="eastAsia" w:ascii="宋体" w:hAnsi="宋体"/>
          <w:b/>
          <w:sz w:val="28"/>
          <w:szCs w:val="28"/>
        </w:rPr>
        <w:fldChar w:fldCharType="end"/>
      </w:r>
      <w:r>
        <w:rPr>
          <w:rFonts w:hint="eastAsia" w:ascii="宋体" w:hAnsi="宋体"/>
          <w:b/>
          <w:sz w:val="28"/>
          <w:szCs w:val="28"/>
          <w:lang w:val="en-US" w:eastAsia="zh-CN"/>
        </w:rPr>
        <w:t>8</w:t>
      </w:r>
    </w:p>
    <w:p>
      <w:pPr>
        <w:pStyle w:val="12"/>
        <w:tabs>
          <w:tab w:val="right" w:leader="dot" w:pos="9402"/>
        </w:tabs>
        <w:spacing w:line="600" w:lineRule="auto"/>
        <w:ind w:firstLine="315" w:firstLineChars="150"/>
        <w:rPr>
          <w:rFonts w:hint="eastAsia" w:ascii="宋体" w:hAnsi="宋体" w:eastAsia="宋体" w:cstheme="minorBidi"/>
          <w:b/>
          <w:sz w:val="28"/>
          <w:szCs w:val="32"/>
          <w:lang w:eastAsia="zh-CN"/>
        </w:rPr>
      </w:pPr>
      <w:r>
        <w:fldChar w:fldCharType="begin"/>
      </w:r>
      <w:r>
        <w:instrText xml:space="preserve"> HYPERLINK \l "_Toc503873704" </w:instrText>
      </w:r>
      <w:r>
        <w:fldChar w:fldCharType="separate"/>
      </w:r>
      <w:r>
        <w:rPr>
          <w:rStyle w:val="19"/>
          <w:rFonts w:hint="eastAsia" w:ascii="宋体" w:hAnsi="宋体"/>
          <w:b/>
          <w:bCs/>
          <w:sz w:val="28"/>
          <w:szCs w:val="28"/>
        </w:rPr>
        <w:t>第六章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图纸</w:t>
      </w:r>
      <w:r>
        <w:rPr>
          <w:rFonts w:ascii="宋体" w:hAnsi="宋体"/>
          <w:b/>
          <w:sz w:val="28"/>
          <w:szCs w:val="28"/>
        </w:rPr>
        <w:tab/>
      </w:r>
      <w:r>
        <w:rPr>
          <w:rFonts w:hint="eastAsia" w:ascii="宋体" w:hAnsi="宋体"/>
          <w:b/>
          <w:sz w:val="28"/>
          <w:szCs w:val="28"/>
          <w:lang w:val="en-US" w:eastAsia="zh-CN"/>
        </w:rPr>
        <w:t>6</w:t>
      </w:r>
      <w:r>
        <w:rPr>
          <w:rFonts w:hint="eastAsia" w:ascii="宋体" w:hAnsi="宋体"/>
          <w:b/>
          <w:sz w:val="28"/>
          <w:szCs w:val="28"/>
        </w:rPr>
        <w:fldChar w:fldCharType="end"/>
      </w:r>
      <w:r>
        <w:rPr>
          <w:rFonts w:hint="eastAsia" w:ascii="宋体" w:hAnsi="宋体"/>
          <w:b/>
          <w:sz w:val="28"/>
          <w:szCs w:val="28"/>
          <w:lang w:val="en-US" w:eastAsia="zh-CN"/>
        </w:rPr>
        <w:t>0</w:t>
      </w:r>
    </w:p>
    <w:p>
      <w:pPr>
        <w:pStyle w:val="12"/>
        <w:tabs>
          <w:tab w:val="right" w:leader="dot" w:pos="9402"/>
        </w:tabs>
        <w:spacing w:line="600" w:lineRule="auto"/>
        <w:ind w:firstLine="315" w:firstLineChars="150"/>
        <w:rPr>
          <w:rFonts w:hint="eastAsia" w:ascii="宋体" w:hAnsi="宋体" w:eastAsia="宋体" w:cstheme="minorBidi"/>
          <w:b/>
          <w:sz w:val="28"/>
          <w:szCs w:val="32"/>
          <w:lang w:val="en-US" w:eastAsia="zh-CN"/>
        </w:rPr>
      </w:pPr>
      <w:r>
        <w:fldChar w:fldCharType="begin"/>
      </w:r>
      <w:r>
        <w:instrText xml:space="preserve"> HYPERLINK \l "_Toc503873706" </w:instrText>
      </w:r>
      <w:r>
        <w:fldChar w:fldCharType="separate"/>
      </w:r>
      <w:r>
        <w:rPr>
          <w:rStyle w:val="19"/>
          <w:rFonts w:hint="eastAsia" w:ascii="宋体" w:hAnsi="宋体"/>
          <w:b/>
          <w:bCs/>
          <w:sz w:val="28"/>
          <w:szCs w:val="28"/>
        </w:rPr>
        <w:t>第七章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技术标准和要求</w:t>
      </w:r>
      <w:r>
        <w:rPr>
          <w:rFonts w:ascii="宋体" w:hAnsi="宋体"/>
          <w:b/>
          <w:sz w:val="28"/>
          <w:szCs w:val="28"/>
        </w:rPr>
        <w:tab/>
      </w:r>
      <w:r>
        <w:rPr>
          <w:rFonts w:hint="eastAsia" w:ascii="宋体" w:hAnsi="宋体"/>
          <w:b/>
          <w:sz w:val="28"/>
          <w:szCs w:val="28"/>
          <w:lang w:val="en-US" w:eastAsia="zh-CN"/>
        </w:rPr>
        <w:t>6</w:t>
      </w:r>
      <w:r>
        <w:rPr>
          <w:rFonts w:hint="eastAsia" w:ascii="宋体" w:hAnsi="宋体"/>
          <w:b/>
          <w:sz w:val="28"/>
          <w:szCs w:val="28"/>
        </w:rPr>
        <w:fldChar w:fldCharType="end"/>
      </w:r>
      <w:r>
        <w:rPr>
          <w:rFonts w:hint="eastAsia" w:ascii="宋体" w:hAnsi="宋体"/>
          <w:b/>
          <w:sz w:val="28"/>
          <w:szCs w:val="28"/>
          <w:lang w:val="en-US" w:eastAsia="zh-CN"/>
        </w:rPr>
        <w:t>1</w:t>
      </w:r>
    </w:p>
    <w:p>
      <w:pPr>
        <w:pStyle w:val="12"/>
        <w:tabs>
          <w:tab w:val="right" w:leader="dot" w:pos="9402"/>
        </w:tabs>
        <w:spacing w:line="600" w:lineRule="auto"/>
        <w:ind w:firstLine="315" w:firstLineChars="150"/>
        <w:rPr>
          <w:rFonts w:ascii="宋体" w:hAnsi="宋体" w:cstheme="minorBidi"/>
          <w:b/>
          <w:sz w:val="28"/>
          <w:szCs w:val="32"/>
        </w:rPr>
      </w:pPr>
      <w:r>
        <w:fldChar w:fldCharType="begin"/>
      </w:r>
      <w:r>
        <w:instrText xml:space="preserve"> HYPERLINK \l "_Toc503873708" </w:instrText>
      </w:r>
      <w:r>
        <w:fldChar w:fldCharType="separate"/>
      </w:r>
      <w:r>
        <w:rPr>
          <w:rStyle w:val="19"/>
          <w:rFonts w:hint="eastAsia" w:ascii="宋体" w:hAnsi="宋体"/>
          <w:b/>
          <w:bCs/>
          <w:sz w:val="28"/>
          <w:szCs w:val="28"/>
        </w:rPr>
        <w:t>第八章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投标文件格式</w:t>
      </w:r>
      <w:r>
        <w:rPr>
          <w:rFonts w:ascii="宋体" w:hAnsi="宋体"/>
          <w:b/>
          <w:sz w:val="28"/>
          <w:szCs w:val="28"/>
        </w:rPr>
        <w:tab/>
      </w:r>
      <w:r>
        <w:rPr>
          <w:rFonts w:hint="eastAsia" w:ascii="宋体" w:hAnsi="宋体"/>
          <w:b/>
          <w:sz w:val="28"/>
          <w:szCs w:val="28"/>
          <w:lang w:val="en-US" w:eastAsia="zh-CN"/>
        </w:rPr>
        <w:t>6</w:t>
      </w:r>
      <w:r>
        <w:rPr>
          <w:rFonts w:hint="eastAsia" w:ascii="宋体" w:hAnsi="宋体"/>
          <w:b/>
          <w:sz w:val="28"/>
          <w:szCs w:val="28"/>
        </w:rPr>
        <w:fldChar w:fldCharType="end"/>
      </w:r>
      <w:r>
        <w:rPr>
          <w:rFonts w:hint="eastAsia" w:ascii="宋体" w:hAnsi="宋体"/>
          <w:b/>
          <w:sz w:val="28"/>
          <w:szCs w:val="28"/>
          <w:lang w:val="en-US" w:eastAsia="zh-CN"/>
        </w:rPr>
        <w:t>8</w:t>
      </w:r>
    </w:p>
    <w:p>
      <w:pPr>
        <w:spacing w:line="600" w:lineRule="auto"/>
        <w:sectPr>
          <w:footerReference r:id="rId4" w:type="default"/>
          <w:pgSz w:w="11906" w:h="16838"/>
          <w:pgMar w:top="1247" w:right="1247" w:bottom="1247" w:left="1247" w:header="720" w:footer="720" w:gutter="0"/>
          <w:pgNumType w:fmt="decimal" w:start="1"/>
          <w:cols w:space="720" w:num="1"/>
          <w:docGrid w:type="lines" w:linePitch="312" w:charSpace="0"/>
        </w:sectPr>
      </w:pPr>
      <w:r>
        <w:rPr>
          <w:rFonts w:ascii="宋体" w:hAnsi="宋体"/>
          <w:b/>
          <w:sz w:val="28"/>
          <w:szCs w:val="28"/>
        </w:rPr>
        <w:fldChar w:fldCharType="end"/>
      </w:r>
    </w:p>
    <w:p>
      <w:pPr>
        <w:numPr>
          <w:ilvl w:val="0"/>
          <w:numId w:val="0"/>
        </w:numPr>
        <w:spacing w:line="240" w:lineRule="auto"/>
        <w:jc w:val="center"/>
        <w:outlineLvl w:val="0"/>
        <w:rPr>
          <w:rFonts w:hint="eastAsia" w:ascii="宋体" w:hAnsi="宋体"/>
          <w:b/>
          <w:bCs/>
          <w:color w:val="000000"/>
          <w:kern w:val="0"/>
          <w:sz w:val="32"/>
          <w:szCs w:val="32"/>
        </w:rPr>
      </w:pPr>
      <w:bookmarkStart w:id="11" w:name="_Toc370458147"/>
      <w:bookmarkEnd w:id="11"/>
      <w:bookmarkStart w:id="12" w:name="_Toc26766"/>
      <w:bookmarkEnd w:id="12"/>
      <w:bookmarkStart w:id="13" w:name="_Toc25943"/>
      <w:bookmarkEnd w:id="13"/>
      <w:bookmarkStart w:id="14" w:name="_Toc9331"/>
      <w:bookmarkEnd w:id="14"/>
      <w:bookmarkStart w:id="15" w:name="_Toc14290"/>
      <w:bookmarkEnd w:id="15"/>
      <w:bookmarkStart w:id="16" w:name="_Toc283381925"/>
      <w:bookmarkEnd w:id="16"/>
      <w:bookmarkStart w:id="17" w:name="_Toc23548"/>
      <w:bookmarkStart w:id="18" w:name="_Toc503873663"/>
      <w:r>
        <w:rPr>
          <w:rStyle w:val="30"/>
          <w:rFonts w:hint="eastAsia"/>
          <w:b/>
          <w:bCs/>
          <w:kern w:val="0"/>
          <w:sz w:val="36"/>
          <w:szCs w:val="36"/>
          <w:lang w:eastAsia="zh-CN"/>
        </w:rPr>
        <w:t>第一章</w:t>
      </w:r>
      <w:r>
        <w:rPr>
          <w:rStyle w:val="30"/>
          <w:rFonts w:hint="default"/>
          <w:b/>
          <w:bCs/>
          <w:kern w:val="0"/>
          <w:sz w:val="36"/>
          <w:szCs w:val="36"/>
        </w:rPr>
        <w:t xml:space="preserve"> 招标公告</w:t>
      </w:r>
    </w:p>
    <w:p>
      <w:pPr>
        <w:widowControl/>
        <w:spacing w:line="400" w:lineRule="exact"/>
        <w:ind w:right="-153"/>
        <w:jc w:val="center"/>
        <w:rPr>
          <w:rFonts w:ascii="宋体" w:hAnsi="宋体"/>
          <w:b/>
          <w:bCs/>
          <w:color w:val="000000"/>
          <w:kern w:val="0"/>
          <w:sz w:val="32"/>
          <w:szCs w:val="32"/>
        </w:rPr>
      </w:pPr>
      <w:r>
        <w:rPr>
          <w:rFonts w:hint="eastAsia" w:ascii="宋体" w:hAnsi="宋体"/>
          <w:b/>
          <w:bCs/>
          <w:color w:val="000000"/>
          <w:kern w:val="0"/>
          <w:sz w:val="32"/>
          <w:szCs w:val="32"/>
        </w:rPr>
        <w:t>禹州市</w:t>
      </w:r>
      <w:r>
        <w:rPr>
          <w:rFonts w:hint="eastAsia" w:ascii="宋体" w:hAnsi="宋体"/>
          <w:b/>
          <w:bCs/>
          <w:color w:val="000000"/>
          <w:kern w:val="0"/>
          <w:sz w:val="32"/>
          <w:szCs w:val="32"/>
          <w:lang w:eastAsia="zh-CN"/>
        </w:rPr>
        <w:t>无梁</w:t>
      </w:r>
      <w:r>
        <w:rPr>
          <w:rFonts w:hint="eastAsia" w:ascii="宋体" w:hAnsi="宋体"/>
          <w:b/>
          <w:bCs/>
          <w:color w:val="000000"/>
          <w:kern w:val="0"/>
          <w:sz w:val="32"/>
          <w:szCs w:val="32"/>
        </w:rPr>
        <w:t>镇</w:t>
      </w:r>
      <w:r>
        <w:rPr>
          <w:rFonts w:hint="eastAsia" w:ascii="宋体" w:hAnsi="宋体"/>
          <w:b/>
          <w:bCs/>
          <w:color w:val="000000"/>
          <w:kern w:val="0"/>
          <w:sz w:val="32"/>
          <w:szCs w:val="32"/>
          <w:lang w:eastAsia="zh-CN"/>
        </w:rPr>
        <w:t>废弃矿山生态修复工程</w:t>
      </w:r>
      <w:r>
        <w:rPr>
          <w:rFonts w:hint="eastAsia" w:ascii="宋体" w:hAnsi="宋体"/>
          <w:b/>
          <w:bCs/>
          <w:color w:val="000000"/>
          <w:kern w:val="0"/>
          <w:sz w:val="32"/>
          <w:szCs w:val="32"/>
        </w:rPr>
        <w:t>招标公告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 招标条件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本次招标项目</w:t>
      </w:r>
      <w:r>
        <w:rPr>
          <w:rFonts w:hint="eastAsia" w:ascii="宋体" w:hAnsi="宋体" w:eastAsia="宋体" w:cs="宋体"/>
          <w:sz w:val="21"/>
          <w:szCs w:val="21"/>
          <w:lang w:val="en-US" w:eastAsia="zh-CN"/>
        </w:rPr>
        <w:t>禹州市无梁镇废弃矿山生态修复工程</w:t>
      </w:r>
      <w:r>
        <w:rPr>
          <w:rFonts w:hint="eastAsia" w:ascii="宋体" w:hAnsi="宋体" w:eastAsia="宋体" w:cs="宋体"/>
          <w:sz w:val="21"/>
          <w:szCs w:val="21"/>
        </w:rPr>
        <w:t>已由相关主管部门批准建设，招标人为</w:t>
      </w:r>
      <w:r>
        <w:rPr>
          <w:rFonts w:hint="eastAsia" w:ascii="宋体" w:hAnsi="宋体" w:eastAsia="宋体" w:cs="宋体"/>
          <w:sz w:val="21"/>
          <w:szCs w:val="21"/>
          <w:lang w:eastAsia="zh-CN"/>
        </w:rPr>
        <w:t>禹州市无梁镇人民政府</w:t>
      </w:r>
      <w:r>
        <w:rPr>
          <w:rFonts w:hint="eastAsia" w:ascii="宋体" w:hAnsi="宋体" w:eastAsia="宋体" w:cs="宋体"/>
          <w:sz w:val="21"/>
          <w:szCs w:val="21"/>
        </w:rPr>
        <w:t>，项目资金已落实。项目已具备招标条件，现对该项目施工</w:t>
      </w:r>
      <w:r>
        <w:rPr>
          <w:rFonts w:hint="eastAsia" w:ascii="宋体" w:hAnsi="宋体" w:eastAsia="宋体" w:cs="宋体"/>
          <w:sz w:val="21"/>
          <w:szCs w:val="21"/>
          <w:lang w:eastAsia="zh-CN"/>
        </w:rPr>
        <w:t>和监理</w:t>
      </w:r>
      <w:r>
        <w:rPr>
          <w:rFonts w:hint="eastAsia" w:ascii="宋体" w:hAnsi="宋体" w:eastAsia="宋体" w:cs="宋体"/>
          <w:sz w:val="21"/>
          <w:szCs w:val="21"/>
        </w:rPr>
        <w:t>进行国内公开招标。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2.项目概况与招标范围</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2.1工程名称：</w:t>
      </w:r>
      <w:r>
        <w:rPr>
          <w:rFonts w:hint="eastAsia" w:ascii="宋体" w:hAnsi="宋体" w:eastAsia="宋体" w:cs="宋体"/>
          <w:sz w:val="21"/>
          <w:szCs w:val="21"/>
          <w:lang w:val="en-US" w:eastAsia="zh-CN"/>
        </w:rPr>
        <w:t>禹州市无梁镇废弃矿山生态修复工程</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2.2工程编号：</w:t>
      </w:r>
      <w:r>
        <w:rPr>
          <w:rFonts w:hint="eastAsia" w:ascii="宋体" w:hAnsi="宋体" w:eastAsia="宋体" w:cs="宋体"/>
          <w:sz w:val="21"/>
          <w:szCs w:val="21"/>
          <w:lang w:val="en-US" w:eastAsia="zh-CN"/>
        </w:rPr>
        <w:t>JSGC-SZ-2019</w:t>
      </w:r>
      <w:r>
        <w:rPr>
          <w:rFonts w:hint="eastAsia" w:ascii="宋体" w:hAnsi="宋体" w:cs="宋体"/>
          <w:sz w:val="21"/>
          <w:szCs w:val="21"/>
          <w:lang w:val="en-US" w:eastAsia="zh-CN"/>
        </w:rPr>
        <w:t>179</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2.3招标控制价：</w:t>
      </w:r>
      <w:r>
        <w:rPr>
          <w:rFonts w:hint="eastAsia" w:ascii="宋体" w:hAnsi="宋体" w:cs="宋体"/>
          <w:sz w:val="21"/>
          <w:szCs w:val="21"/>
          <w:lang w:val="en-US" w:eastAsia="zh-CN"/>
        </w:rPr>
        <w:t>第1</w:t>
      </w:r>
      <w:r>
        <w:rPr>
          <w:rFonts w:hint="eastAsia" w:ascii="宋体" w:hAnsi="宋体" w:eastAsia="宋体" w:cs="宋体"/>
          <w:sz w:val="21"/>
          <w:szCs w:val="21"/>
          <w:lang w:val="en-US" w:eastAsia="zh-CN"/>
        </w:rPr>
        <w:t>标段</w:t>
      </w:r>
      <w:r>
        <w:rPr>
          <w:rFonts w:hint="eastAsia" w:ascii="宋体" w:hAnsi="宋体" w:cs="宋体"/>
          <w:sz w:val="21"/>
          <w:szCs w:val="21"/>
          <w:lang w:val="en-US" w:eastAsia="zh-CN"/>
        </w:rPr>
        <w:t>（施工）</w:t>
      </w:r>
      <w:r>
        <w:rPr>
          <w:rFonts w:hint="eastAsia" w:ascii="宋体" w:hAnsi="宋体" w:eastAsia="宋体" w:cs="宋体"/>
          <w:sz w:val="21"/>
          <w:szCs w:val="21"/>
          <w:lang w:val="en-US" w:eastAsia="zh-CN"/>
        </w:rPr>
        <w:t>：11767514.62元；</w:t>
      </w:r>
      <w:r>
        <w:rPr>
          <w:rFonts w:hint="eastAsia" w:ascii="宋体" w:hAnsi="宋体" w:cs="宋体"/>
          <w:sz w:val="21"/>
          <w:szCs w:val="21"/>
          <w:lang w:val="en-US" w:eastAsia="zh-CN"/>
        </w:rPr>
        <w:t>第2</w:t>
      </w:r>
      <w:r>
        <w:rPr>
          <w:rFonts w:hint="eastAsia" w:ascii="宋体" w:hAnsi="宋体" w:eastAsia="宋体" w:cs="宋体"/>
          <w:sz w:val="21"/>
          <w:szCs w:val="21"/>
          <w:lang w:val="en-US" w:eastAsia="zh-CN"/>
        </w:rPr>
        <w:t>标段</w:t>
      </w:r>
      <w:r>
        <w:rPr>
          <w:rFonts w:hint="eastAsia" w:ascii="宋体" w:hAnsi="宋体" w:cs="宋体"/>
          <w:sz w:val="21"/>
          <w:szCs w:val="21"/>
          <w:lang w:val="en-US" w:eastAsia="zh-CN"/>
        </w:rPr>
        <w:t>（监理）</w:t>
      </w:r>
      <w:r>
        <w:rPr>
          <w:rFonts w:hint="eastAsia" w:ascii="宋体" w:hAnsi="宋体" w:eastAsia="宋体" w:cs="宋体"/>
          <w:sz w:val="21"/>
          <w:szCs w:val="21"/>
          <w:lang w:val="en-US" w:eastAsia="zh-CN"/>
        </w:rPr>
        <w:t>：117000.00元</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2.4</w:t>
      </w:r>
      <w:r>
        <w:rPr>
          <w:rFonts w:hint="eastAsia" w:ascii="宋体" w:hAnsi="宋体" w:eastAsia="宋体" w:cs="宋体"/>
          <w:sz w:val="21"/>
          <w:szCs w:val="21"/>
        </w:rPr>
        <w:t>招标范围：</w:t>
      </w:r>
      <w:r>
        <w:rPr>
          <w:rFonts w:hint="eastAsia" w:ascii="宋体" w:hAnsi="宋体" w:cs="宋体"/>
          <w:sz w:val="21"/>
          <w:szCs w:val="21"/>
          <w:lang w:eastAsia="zh-CN"/>
        </w:rPr>
        <w:t>第</w:t>
      </w:r>
      <w:r>
        <w:rPr>
          <w:rFonts w:hint="eastAsia" w:ascii="宋体" w:hAnsi="宋体" w:cs="宋体"/>
          <w:sz w:val="21"/>
          <w:szCs w:val="21"/>
          <w:lang w:val="en-US" w:eastAsia="zh-CN"/>
        </w:rPr>
        <w:t>1</w:t>
      </w:r>
      <w:r>
        <w:rPr>
          <w:rFonts w:hint="eastAsia" w:ascii="宋体" w:hAnsi="宋体" w:eastAsia="宋体" w:cs="宋体"/>
          <w:sz w:val="21"/>
          <w:szCs w:val="21"/>
          <w:lang w:eastAsia="zh-CN"/>
        </w:rPr>
        <w:t>标段</w:t>
      </w:r>
      <w:r>
        <w:rPr>
          <w:rFonts w:hint="eastAsia" w:ascii="宋体" w:hAnsi="宋体" w:cs="宋体"/>
          <w:sz w:val="21"/>
          <w:szCs w:val="21"/>
          <w:lang w:eastAsia="zh-CN"/>
        </w:rPr>
        <w:t>（施工）</w:t>
      </w:r>
      <w:r>
        <w:rPr>
          <w:rFonts w:hint="eastAsia" w:ascii="宋体" w:hAnsi="宋体" w:eastAsia="宋体" w:cs="宋体"/>
          <w:sz w:val="21"/>
          <w:szCs w:val="21"/>
        </w:rPr>
        <w:t>招标范围为招标文件、工程量清单、答疑纪要及补充文件等范围内的所有内容；</w:t>
      </w:r>
      <w:r>
        <w:rPr>
          <w:rFonts w:hint="eastAsia" w:ascii="宋体" w:hAnsi="宋体" w:cs="宋体"/>
          <w:sz w:val="21"/>
          <w:szCs w:val="21"/>
          <w:lang w:eastAsia="zh-CN"/>
        </w:rPr>
        <w:t>第</w:t>
      </w:r>
      <w:r>
        <w:rPr>
          <w:rFonts w:hint="eastAsia" w:ascii="宋体" w:hAnsi="宋体" w:cs="宋体"/>
          <w:sz w:val="21"/>
          <w:szCs w:val="21"/>
          <w:lang w:val="en-US" w:eastAsia="zh-CN"/>
        </w:rPr>
        <w:t>2</w:t>
      </w:r>
      <w:r>
        <w:rPr>
          <w:rFonts w:hint="eastAsia" w:ascii="宋体" w:hAnsi="宋体" w:eastAsia="宋体" w:cs="宋体"/>
          <w:sz w:val="21"/>
          <w:szCs w:val="21"/>
          <w:lang w:eastAsia="zh-CN"/>
        </w:rPr>
        <w:t>标段</w:t>
      </w:r>
      <w:r>
        <w:rPr>
          <w:rFonts w:hint="eastAsia" w:ascii="宋体" w:hAnsi="宋体" w:cs="宋体"/>
          <w:sz w:val="21"/>
          <w:szCs w:val="21"/>
          <w:lang w:eastAsia="zh-CN"/>
        </w:rPr>
        <w:t>（监理）</w:t>
      </w:r>
      <w:r>
        <w:rPr>
          <w:rFonts w:hint="eastAsia" w:ascii="宋体" w:hAnsi="宋体" w:eastAsia="宋体" w:cs="宋体"/>
          <w:sz w:val="21"/>
          <w:szCs w:val="21"/>
        </w:rPr>
        <w:t>招标范围为</w:t>
      </w:r>
      <w:r>
        <w:rPr>
          <w:rFonts w:hint="eastAsia"/>
          <w:sz w:val="21"/>
          <w:szCs w:val="21"/>
          <w:lang w:val="en-US" w:eastAsia="zh-CN"/>
        </w:rPr>
        <w:t>施工全过程及保修期监理</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5</w:t>
      </w:r>
      <w:r>
        <w:rPr>
          <w:rFonts w:hint="eastAsia" w:ascii="宋体" w:hAnsi="宋体" w:eastAsia="宋体" w:cs="宋体"/>
          <w:sz w:val="21"/>
          <w:szCs w:val="21"/>
        </w:rPr>
        <w:t>质量要求：合格</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cs="宋体"/>
          <w:sz w:val="21"/>
          <w:szCs w:val="21"/>
          <w:lang w:val="en-US" w:eastAsia="zh-CN"/>
        </w:rPr>
        <w:t>6</w:t>
      </w:r>
      <w:r>
        <w:rPr>
          <w:rFonts w:hint="eastAsia" w:ascii="宋体" w:hAnsi="宋体" w:eastAsia="宋体" w:cs="宋体"/>
          <w:sz w:val="21"/>
          <w:szCs w:val="21"/>
        </w:rPr>
        <w:t>发包方式：总承包</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cs="宋体"/>
          <w:sz w:val="21"/>
          <w:szCs w:val="21"/>
          <w:lang w:val="en-US" w:eastAsia="zh-CN"/>
        </w:rPr>
        <w:t>7</w:t>
      </w:r>
      <w:r>
        <w:rPr>
          <w:rFonts w:hint="eastAsia" w:ascii="宋体" w:hAnsi="宋体" w:eastAsia="宋体" w:cs="宋体"/>
          <w:sz w:val="21"/>
          <w:szCs w:val="21"/>
        </w:rPr>
        <w:t>标段划分：本项目共</w:t>
      </w:r>
      <w:r>
        <w:rPr>
          <w:rFonts w:hint="eastAsia" w:ascii="宋体" w:hAnsi="宋体" w:eastAsia="宋体" w:cs="宋体"/>
          <w:sz w:val="21"/>
          <w:szCs w:val="21"/>
          <w:lang w:val="en-US" w:eastAsia="zh-CN"/>
        </w:rPr>
        <w:t>2</w:t>
      </w:r>
      <w:r>
        <w:rPr>
          <w:rFonts w:hint="eastAsia" w:ascii="宋体" w:hAnsi="宋体" w:eastAsia="宋体" w:cs="宋体"/>
          <w:sz w:val="21"/>
          <w:szCs w:val="21"/>
        </w:rPr>
        <w:t>个标段</w:t>
      </w:r>
      <w:r>
        <w:rPr>
          <w:rFonts w:hint="eastAsia" w:ascii="宋体" w:hAnsi="宋体" w:eastAsia="宋体" w:cs="宋体"/>
          <w:sz w:val="21"/>
          <w:szCs w:val="21"/>
          <w:lang w:eastAsia="zh-CN"/>
        </w:rPr>
        <w:t>：</w:t>
      </w:r>
      <w:r>
        <w:rPr>
          <w:rFonts w:hint="eastAsia" w:ascii="宋体" w:hAnsi="宋体" w:cs="宋体"/>
          <w:sz w:val="21"/>
          <w:szCs w:val="21"/>
          <w:lang w:eastAsia="zh-CN"/>
        </w:rPr>
        <w:t>第</w:t>
      </w:r>
      <w:r>
        <w:rPr>
          <w:rFonts w:hint="eastAsia" w:ascii="宋体" w:hAnsi="宋体" w:cs="宋体"/>
          <w:sz w:val="21"/>
          <w:szCs w:val="21"/>
          <w:lang w:val="en-US" w:eastAsia="zh-CN"/>
        </w:rPr>
        <w:t>1标段：</w:t>
      </w:r>
      <w:r>
        <w:rPr>
          <w:rFonts w:hint="eastAsia" w:ascii="宋体" w:hAnsi="宋体" w:eastAsia="宋体" w:cs="宋体"/>
          <w:sz w:val="21"/>
          <w:szCs w:val="21"/>
          <w:lang w:eastAsia="zh-CN"/>
        </w:rPr>
        <w:t>施工标段</w:t>
      </w:r>
      <w:r>
        <w:rPr>
          <w:rFonts w:hint="eastAsia" w:ascii="宋体" w:hAnsi="宋体" w:cs="宋体"/>
          <w:sz w:val="21"/>
          <w:szCs w:val="21"/>
          <w:lang w:val="en-US" w:eastAsia="zh-CN"/>
        </w:rPr>
        <w:t xml:space="preserve">    第2标段：</w:t>
      </w:r>
      <w:r>
        <w:rPr>
          <w:rFonts w:hint="eastAsia" w:ascii="宋体" w:hAnsi="宋体" w:eastAsia="宋体" w:cs="宋体"/>
          <w:sz w:val="21"/>
          <w:szCs w:val="21"/>
          <w:lang w:eastAsia="zh-CN"/>
        </w:rPr>
        <w:t>监理标段</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cs="宋体"/>
          <w:sz w:val="21"/>
          <w:szCs w:val="21"/>
          <w:lang w:val="en-US" w:eastAsia="zh-CN"/>
        </w:rPr>
        <w:t>8</w:t>
      </w:r>
      <w:r>
        <w:rPr>
          <w:rFonts w:hint="eastAsia" w:ascii="宋体" w:hAnsi="宋体" w:eastAsia="宋体" w:cs="宋体"/>
          <w:sz w:val="21"/>
          <w:szCs w:val="21"/>
        </w:rPr>
        <w:t>计划工期：</w:t>
      </w:r>
      <w:r>
        <w:rPr>
          <w:rFonts w:hint="eastAsia" w:ascii="宋体" w:hAnsi="宋体" w:cs="宋体"/>
          <w:sz w:val="21"/>
          <w:szCs w:val="21"/>
          <w:lang w:eastAsia="zh-CN"/>
        </w:rPr>
        <w:t>第</w:t>
      </w:r>
      <w:r>
        <w:rPr>
          <w:rFonts w:hint="eastAsia" w:ascii="宋体" w:hAnsi="宋体" w:cs="宋体"/>
          <w:sz w:val="21"/>
          <w:szCs w:val="21"/>
          <w:lang w:val="en-US" w:eastAsia="zh-CN"/>
        </w:rPr>
        <w:t>1</w:t>
      </w:r>
      <w:r>
        <w:rPr>
          <w:rFonts w:hint="eastAsia" w:ascii="宋体" w:hAnsi="宋体" w:eastAsia="宋体" w:cs="宋体"/>
          <w:sz w:val="21"/>
          <w:szCs w:val="21"/>
          <w:lang w:eastAsia="zh-CN"/>
        </w:rPr>
        <w:t>标段</w:t>
      </w:r>
      <w:r>
        <w:rPr>
          <w:rFonts w:hint="eastAsia" w:ascii="宋体" w:hAnsi="宋体" w:cs="宋体"/>
          <w:sz w:val="21"/>
          <w:szCs w:val="21"/>
          <w:lang w:eastAsia="zh-CN"/>
        </w:rPr>
        <w:t>（施工）</w:t>
      </w:r>
      <w:r>
        <w:rPr>
          <w:rFonts w:hint="eastAsia" w:ascii="宋体" w:hAnsi="宋体" w:eastAsia="宋体" w:cs="宋体"/>
          <w:sz w:val="21"/>
          <w:szCs w:val="21"/>
          <w:lang w:eastAsia="zh-CN"/>
        </w:rPr>
        <w:t>：</w:t>
      </w:r>
      <w:r>
        <w:rPr>
          <w:rFonts w:hint="eastAsia" w:ascii="宋体" w:hAnsi="宋体" w:cs="宋体"/>
          <w:sz w:val="21"/>
          <w:szCs w:val="21"/>
          <w:lang w:val="en-US" w:eastAsia="zh-CN"/>
        </w:rPr>
        <w:t xml:space="preserve">60 </w:t>
      </w:r>
      <w:r>
        <w:rPr>
          <w:rFonts w:hint="eastAsia" w:ascii="宋体" w:hAnsi="宋体" w:eastAsia="宋体" w:cs="宋体"/>
          <w:sz w:val="21"/>
          <w:szCs w:val="21"/>
        </w:rPr>
        <w:t>日历天</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1680" w:firstLineChars="800"/>
        <w:textAlignment w:val="auto"/>
        <w:rPr>
          <w:rFonts w:hint="eastAsia" w:ascii="宋体" w:hAnsi="宋体" w:eastAsia="宋体" w:cs="宋体"/>
          <w:sz w:val="21"/>
          <w:szCs w:val="21"/>
          <w:lang w:eastAsia="zh-CN"/>
        </w:rPr>
      </w:pPr>
      <w:r>
        <w:rPr>
          <w:rFonts w:hint="eastAsia" w:ascii="宋体" w:hAnsi="宋体" w:cs="宋体"/>
          <w:sz w:val="21"/>
          <w:szCs w:val="21"/>
          <w:lang w:eastAsia="zh-CN"/>
        </w:rPr>
        <w:t>第</w:t>
      </w:r>
      <w:r>
        <w:rPr>
          <w:rFonts w:hint="eastAsia" w:ascii="宋体" w:hAnsi="宋体" w:cs="宋体"/>
          <w:sz w:val="21"/>
          <w:szCs w:val="21"/>
          <w:lang w:val="en-US" w:eastAsia="zh-CN"/>
        </w:rPr>
        <w:t>2</w:t>
      </w:r>
      <w:r>
        <w:rPr>
          <w:rFonts w:hint="eastAsia" w:ascii="宋体" w:hAnsi="宋体" w:eastAsia="宋体" w:cs="宋体"/>
          <w:sz w:val="21"/>
          <w:szCs w:val="21"/>
          <w:lang w:eastAsia="zh-CN"/>
        </w:rPr>
        <w:t>标段</w:t>
      </w:r>
      <w:r>
        <w:rPr>
          <w:rFonts w:hint="eastAsia" w:ascii="宋体" w:hAnsi="宋体" w:cs="宋体"/>
          <w:sz w:val="21"/>
          <w:szCs w:val="21"/>
          <w:lang w:eastAsia="zh-CN"/>
        </w:rPr>
        <w:t>（</w:t>
      </w:r>
      <w:r>
        <w:rPr>
          <w:rFonts w:hint="eastAsia" w:ascii="宋体" w:hAnsi="宋体" w:cs="宋体"/>
          <w:sz w:val="21"/>
          <w:szCs w:val="21"/>
          <w:lang w:val="en-US" w:eastAsia="zh-CN"/>
        </w:rPr>
        <w:t>监理</w:t>
      </w:r>
      <w:r>
        <w:rPr>
          <w:rFonts w:hint="eastAsia" w:ascii="宋体" w:hAnsi="宋体" w:cs="宋体"/>
          <w:sz w:val="21"/>
          <w:szCs w:val="21"/>
          <w:lang w:eastAsia="zh-CN"/>
        </w:rPr>
        <w:t>）</w:t>
      </w:r>
      <w:r>
        <w:rPr>
          <w:rFonts w:hint="eastAsia" w:ascii="宋体" w:hAnsi="宋体" w:eastAsia="宋体" w:cs="宋体"/>
          <w:sz w:val="21"/>
          <w:szCs w:val="21"/>
          <w:lang w:eastAsia="zh-CN"/>
        </w:rPr>
        <w:t>：</w:t>
      </w:r>
      <w:r>
        <w:rPr>
          <w:rFonts w:hint="eastAsia" w:hAnsi="宋体"/>
          <w:bCs/>
          <w:sz w:val="21"/>
          <w:szCs w:val="21"/>
          <w:lang w:val="en-US" w:eastAsia="zh-CN"/>
        </w:rPr>
        <w:t>开工之日起至保修期结束。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投标人资格要求</w:t>
      </w:r>
    </w:p>
    <w:p>
      <w:pPr>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3.1</w:t>
      </w:r>
      <w:r>
        <w:rPr>
          <w:rFonts w:hint="eastAsia" w:ascii="宋体" w:hAnsi="宋体" w:cs="宋体"/>
          <w:b/>
          <w:bCs/>
          <w:sz w:val="21"/>
          <w:szCs w:val="21"/>
          <w:lang w:val="en-US" w:eastAsia="zh-CN"/>
        </w:rPr>
        <w:t>第1</w:t>
      </w:r>
      <w:r>
        <w:rPr>
          <w:rFonts w:hint="eastAsia" w:ascii="宋体" w:hAnsi="宋体" w:eastAsia="宋体" w:cs="宋体"/>
          <w:b/>
          <w:bCs/>
          <w:sz w:val="21"/>
          <w:szCs w:val="21"/>
          <w:lang w:val="en-US" w:eastAsia="zh-CN"/>
        </w:rPr>
        <w:t>标段</w:t>
      </w:r>
      <w:r>
        <w:rPr>
          <w:rFonts w:hint="eastAsia" w:ascii="宋体" w:hAnsi="宋体" w:cs="宋体"/>
          <w:b/>
          <w:bCs/>
          <w:sz w:val="21"/>
          <w:szCs w:val="21"/>
          <w:lang w:val="en-US" w:eastAsia="zh-CN"/>
        </w:rPr>
        <w:t>（施工）</w:t>
      </w:r>
      <w:r>
        <w:rPr>
          <w:rFonts w:hint="eastAsia" w:ascii="宋体" w:hAnsi="宋体" w:eastAsia="宋体" w:cs="宋体"/>
          <w:b/>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）投标人须具有中国境内注册的独立法人资格，具有有效的营业执照、税务登记证、组织机构代码证或具有统一社会信用代码的营业执照。</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人须具备市政公用工程施工总承包三级及以上资质，具有有效安全生产许可证，且财务状况良好，具有垫资建设本项目的能力。拟派项目经理须具备市政公用工程专业二级及以上注册建造师资格，并具有有效的安全生产考核合格证（B类证），未担任其他在建项目的项目经理。技术负责人须具有中级及以上技术职称。</w:t>
      </w:r>
    </w:p>
    <w:p>
      <w:pPr>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3.2</w:t>
      </w:r>
      <w:r>
        <w:rPr>
          <w:rFonts w:hint="eastAsia" w:ascii="宋体" w:hAnsi="宋体" w:cs="宋体"/>
          <w:b/>
          <w:bCs/>
          <w:sz w:val="21"/>
          <w:szCs w:val="21"/>
          <w:lang w:eastAsia="zh-CN"/>
        </w:rPr>
        <w:t>第</w:t>
      </w:r>
      <w:r>
        <w:rPr>
          <w:rFonts w:hint="eastAsia" w:ascii="宋体" w:hAnsi="宋体" w:cs="宋体"/>
          <w:b/>
          <w:bCs/>
          <w:sz w:val="21"/>
          <w:szCs w:val="21"/>
          <w:lang w:val="en-US" w:eastAsia="zh-CN"/>
        </w:rPr>
        <w:t>2</w:t>
      </w:r>
      <w:r>
        <w:rPr>
          <w:rFonts w:hint="eastAsia" w:ascii="宋体" w:hAnsi="宋体" w:eastAsia="宋体" w:cs="宋体"/>
          <w:b/>
          <w:bCs/>
          <w:sz w:val="21"/>
          <w:szCs w:val="21"/>
          <w:lang w:eastAsia="zh-CN"/>
        </w:rPr>
        <w:t>标段</w:t>
      </w:r>
      <w:r>
        <w:rPr>
          <w:rFonts w:hint="eastAsia" w:ascii="宋体" w:hAnsi="宋体" w:cs="宋体"/>
          <w:b/>
          <w:bCs/>
          <w:sz w:val="21"/>
          <w:szCs w:val="21"/>
          <w:lang w:eastAsia="zh-CN"/>
        </w:rPr>
        <w:t>（监理）</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）投标人具有独立法人资格（指投标人营业执照），投标人须具备建设行政主管部门颁发的</w:t>
      </w:r>
      <w:r>
        <w:rPr>
          <w:rFonts w:hint="eastAsia" w:ascii="宋体" w:hAnsi="宋体" w:cs="宋体"/>
          <w:sz w:val="21"/>
          <w:szCs w:val="21"/>
          <w:lang w:eastAsia="zh-CN"/>
        </w:rPr>
        <w:t>市政公用</w:t>
      </w:r>
      <w:r>
        <w:rPr>
          <w:rFonts w:hint="eastAsia" w:ascii="宋体" w:hAnsi="宋体" w:eastAsia="宋体" w:cs="宋体"/>
          <w:sz w:val="21"/>
          <w:szCs w:val="21"/>
          <w:lang w:eastAsia="zh-CN"/>
        </w:rPr>
        <w:t>工程监理专业丙级及以上资质或工程监理综合资质</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拟派总监理工程师须具有市政公用工程专业注册监理工程师资格。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3</w:t>
      </w:r>
      <w:r>
        <w:rPr>
          <w:rFonts w:hint="eastAsia" w:ascii="宋体" w:hAnsi="宋体" w:eastAsia="宋体" w:cs="宋体"/>
          <w:sz w:val="21"/>
          <w:szCs w:val="21"/>
        </w:rPr>
        <w:t>委托代理人、项目经理</w:t>
      </w:r>
      <w:r>
        <w:rPr>
          <w:rFonts w:hint="eastAsia" w:ascii="宋体" w:hAnsi="宋体" w:eastAsia="宋体" w:cs="宋体"/>
          <w:sz w:val="21"/>
          <w:szCs w:val="21"/>
          <w:lang w:eastAsia="zh-CN"/>
        </w:rPr>
        <w:t>（总监）</w:t>
      </w:r>
      <w:r>
        <w:rPr>
          <w:rFonts w:hint="eastAsia" w:ascii="宋体" w:hAnsi="宋体" w:eastAsia="宋体" w:cs="宋体"/>
          <w:sz w:val="21"/>
          <w:szCs w:val="21"/>
        </w:rPr>
        <w:t>须为本单位在职人员（须提供劳务合同和本单位缴纳的一年及以上养老保险明细，若如投标人成立时间不足一年的，养老保险缴纳证明及劳动合同以成立实际时间计算）。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财务要求：企业没有被接管、冻结、破产状态；具有近三年</w:t>
      </w:r>
      <w:r>
        <w:rPr>
          <w:rFonts w:hint="eastAsia" w:ascii="宋体" w:hAnsi="宋体" w:cs="宋体"/>
          <w:sz w:val="21"/>
          <w:szCs w:val="21"/>
          <w:lang w:eastAsia="zh-CN"/>
        </w:rPr>
        <w:t>度</w:t>
      </w:r>
      <w:r>
        <w:rPr>
          <w:rFonts w:hint="eastAsia" w:ascii="宋体" w:hAnsi="宋体" w:eastAsia="宋体" w:cs="宋体"/>
          <w:sz w:val="21"/>
          <w:szCs w:val="21"/>
        </w:rPr>
        <w:t>（201</w:t>
      </w:r>
      <w:r>
        <w:rPr>
          <w:rFonts w:hint="eastAsia" w:ascii="宋体" w:hAnsi="宋体" w:cs="宋体"/>
          <w:sz w:val="21"/>
          <w:szCs w:val="21"/>
          <w:lang w:val="en-US" w:eastAsia="zh-CN"/>
        </w:rPr>
        <w:t>6</w:t>
      </w:r>
      <w:r>
        <w:rPr>
          <w:rFonts w:hint="eastAsia" w:ascii="宋体" w:hAnsi="宋体" w:eastAsia="宋体" w:cs="宋体"/>
          <w:sz w:val="21"/>
          <w:szCs w:val="21"/>
        </w:rPr>
        <w:t>年度－201</w:t>
      </w:r>
      <w:r>
        <w:rPr>
          <w:rFonts w:hint="eastAsia" w:ascii="宋体" w:hAnsi="宋体" w:cs="宋体"/>
          <w:sz w:val="21"/>
          <w:szCs w:val="21"/>
          <w:lang w:val="en-US" w:eastAsia="zh-CN"/>
        </w:rPr>
        <w:t>8</w:t>
      </w:r>
      <w:r>
        <w:rPr>
          <w:rFonts w:hint="eastAsia" w:ascii="宋体" w:hAnsi="宋体" w:eastAsia="宋体" w:cs="宋体"/>
          <w:sz w:val="21"/>
          <w:szCs w:val="21"/>
        </w:rPr>
        <w:t>年度）经审计的财务审计报告（若企业成立年份不足三年的，则以企业成立年份向后推算，提供相应年份的经审计的财务审计报告）；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5</w:t>
      </w:r>
      <w:r>
        <w:rPr>
          <w:rFonts w:hint="eastAsia" w:ascii="宋体" w:hAnsi="宋体" w:eastAsia="宋体" w:cs="宋体"/>
          <w:sz w:val="21"/>
          <w:szCs w:val="21"/>
        </w:rPr>
        <w:t>业绩要求：近三年（201</w:t>
      </w:r>
      <w:r>
        <w:rPr>
          <w:rFonts w:hint="eastAsia" w:ascii="宋体" w:hAnsi="宋体" w:eastAsia="宋体" w:cs="宋体"/>
          <w:sz w:val="21"/>
          <w:szCs w:val="21"/>
          <w:lang w:val="en-US" w:eastAsia="zh-CN"/>
        </w:rPr>
        <w:t>6</w:t>
      </w:r>
      <w:r>
        <w:rPr>
          <w:rFonts w:hint="eastAsia" w:ascii="宋体" w:hAnsi="宋体" w:eastAsia="宋体" w:cs="宋体"/>
          <w:sz w:val="21"/>
          <w:szCs w:val="21"/>
        </w:rPr>
        <w:t>年1月1日起）企业承担过类似项目业绩（土地开发整理工程、土地综合整治项目、农业综合开发工程等与本工程内容类似的工程，以合同签订日期为准）。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3.6外省企业需在河南省建筑市场监管公共服务平台备案</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7</w:t>
      </w:r>
      <w:r>
        <w:rPr>
          <w:rFonts w:hint="eastAsia" w:ascii="宋体" w:hAnsi="宋体" w:eastAsia="宋体" w:cs="宋体"/>
          <w:sz w:val="21"/>
          <w:szCs w:val="21"/>
        </w:rPr>
        <w:t>本项目不接受联合体投标</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8</w:t>
      </w:r>
      <w:r>
        <w:rPr>
          <w:rFonts w:hint="eastAsia" w:ascii="宋体" w:hAnsi="宋体" w:eastAsia="宋体" w:cs="宋体"/>
          <w:sz w:val="21"/>
          <w:szCs w:val="21"/>
        </w:rPr>
        <w:t>截止投标报名时，</w:t>
      </w:r>
      <w:r>
        <w:rPr>
          <w:rFonts w:hint="eastAsia" w:ascii="宋体" w:hAnsi="宋体" w:eastAsia="宋体" w:cs="宋体"/>
          <w:b w:val="0"/>
          <w:bCs w:val="0"/>
          <w:color w:val="auto"/>
          <w:sz w:val="21"/>
          <w:szCs w:val="21"/>
        </w:rPr>
        <w:t>被河南省国土资源厅通报批评正在整改中、信用等级被河南省土地整理中心评定为B级及以下或被省（市）土地整理中心限制投标的均不得参与本工程的投标报名</w:t>
      </w:r>
      <w:r>
        <w:rPr>
          <w:rFonts w:hint="eastAsia" w:ascii="宋体" w:hAnsi="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3.9</w:t>
      </w:r>
      <w:r>
        <w:rPr>
          <w:rFonts w:hint="eastAsia" w:ascii="宋体" w:hAnsi="宋体" w:eastAsia="宋体" w:cs="宋体"/>
          <w:sz w:val="21"/>
          <w:szCs w:val="21"/>
        </w:rPr>
        <w:t>投标人须具备良好的社会信誉：没有处于被责令停产、停业或投标资格被暂停取消状态。投标人需提供 “信用中国”网站（</w:t>
      </w:r>
      <w:r>
        <w:rPr>
          <w:rFonts w:hint="eastAsia" w:ascii="宋体" w:hAnsi="宋体" w:eastAsia="宋体" w:cs="宋体"/>
          <w:b/>
          <w:bCs/>
          <w:sz w:val="21"/>
          <w:szCs w:val="21"/>
        </w:rPr>
        <w:t>www.creditchina.gov.cn</w:t>
      </w:r>
      <w:r>
        <w:rPr>
          <w:rFonts w:hint="eastAsia" w:ascii="宋体" w:hAnsi="宋体" w:eastAsia="宋体" w:cs="宋体"/>
          <w:sz w:val="21"/>
          <w:szCs w:val="21"/>
        </w:rPr>
        <w:t>）的“失信被执行人”和“重大税收违法案件当事人名单”、“中国政府采购”网站（</w:t>
      </w:r>
      <w:r>
        <w:rPr>
          <w:rFonts w:hint="eastAsia" w:ascii="宋体" w:hAnsi="宋体" w:eastAsia="宋体" w:cs="宋体"/>
          <w:b/>
          <w:bCs/>
          <w:sz w:val="21"/>
          <w:szCs w:val="21"/>
        </w:rPr>
        <w:t>www.ccgp.gov.cn）</w:t>
      </w:r>
      <w:r>
        <w:rPr>
          <w:rFonts w:hint="eastAsia" w:ascii="宋体" w:hAnsi="宋体" w:eastAsia="宋体" w:cs="宋体"/>
          <w:sz w:val="21"/>
          <w:szCs w:val="21"/>
        </w:rPr>
        <w:t>的“政府采购严重违法失信行为记录名单”查询结果页面截图，若有不良记录，报名无效（执行财库【2016】125号文）（以网上公示为准）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jc w:val="left"/>
        <w:textAlignment w:val="auto"/>
        <w:rPr>
          <w:rFonts w:hint="eastAsia" w:ascii="宋体" w:hAnsi="宋体" w:eastAsia="宋体" w:cs="宋体"/>
          <w:b/>
          <w:bCs w:val="0"/>
          <w:color w:val="000000"/>
          <w:sz w:val="21"/>
          <w:szCs w:val="21"/>
        </w:rPr>
      </w:pPr>
      <w:r>
        <w:rPr>
          <w:rFonts w:hint="eastAsia" w:hAnsi="宋体" w:cs="宋体"/>
          <w:b/>
          <w:bCs w:val="0"/>
          <w:color w:val="000000"/>
          <w:sz w:val="21"/>
          <w:szCs w:val="21"/>
        </w:rPr>
        <w:t>注：</w:t>
      </w:r>
      <w:r>
        <w:rPr>
          <w:rFonts w:hint="eastAsia" w:ascii="宋体" w:hAnsi="宋体"/>
          <w:b/>
          <w:bCs w:val="0"/>
          <w:color w:val="000000"/>
          <w:sz w:val="21"/>
          <w:szCs w:val="21"/>
        </w:rPr>
        <w:t>该项目先由中标人垫资建设，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sz w:val="21"/>
          <w:szCs w:val="21"/>
          <w:lang w:val="en-US" w:eastAsia="zh-CN"/>
        </w:rPr>
      </w:pPr>
      <w:r>
        <w:rPr>
          <w:rFonts w:hint="eastAsia" w:ascii="宋体" w:hAnsi="宋体" w:cs="宋体"/>
          <w:b/>
          <w:bCs/>
          <w:sz w:val="21"/>
          <w:szCs w:val="21"/>
          <w:lang w:val="en-US" w:eastAsia="zh-CN"/>
        </w:rPr>
        <w:t>4.</w:t>
      </w:r>
      <w:r>
        <w:rPr>
          <w:rFonts w:hint="eastAsia" w:ascii="宋体" w:hAnsi="宋体" w:eastAsia="宋体" w:cs="宋体"/>
          <w:b/>
          <w:bCs/>
          <w:sz w:val="21"/>
          <w:szCs w:val="21"/>
        </w:rPr>
        <w:t>报名时间、地点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4.1报名截止时间：2019年</w:t>
      </w:r>
      <w:r>
        <w:rPr>
          <w:rFonts w:hint="eastAsia" w:ascii="宋体" w:hAnsi="宋体" w:cs="宋体"/>
          <w:b w:val="0"/>
          <w:bCs/>
          <w:sz w:val="21"/>
          <w:szCs w:val="21"/>
          <w:lang w:val="en-US" w:eastAsia="zh-CN"/>
        </w:rPr>
        <w:t>9</w:t>
      </w:r>
      <w:r>
        <w:rPr>
          <w:rFonts w:hint="eastAsia" w:ascii="宋体" w:hAnsi="宋体" w:eastAsia="宋体" w:cs="宋体"/>
          <w:b w:val="0"/>
          <w:bCs/>
          <w:sz w:val="21"/>
          <w:szCs w:val="21"/>
        </w:rPr>
        <w:t xml:space="preserve">月 </w:t>
      </w:r>
      <w:r>
        <w:rPr>
          <w:rFonts w:hint="eastAsia" w:ascii="宋体" w:hAnsi="宋体" w:cs="宋体"/>
          <w:b w:val="0"/>
          <w:bCs/>
          <w:sz w:val="21"/>
          <w:szCs w:val="21"/>
          <w:lang w:val="en-US" w:eastAsia="zh-CN"/>
        </w:rPr>
        <w:t>25</w:t>
      </w:r>
      <w:r>
        <w:rPr>
          <w:rFonts w:hint="eastAsia" w:ascii="宋体" w:hAnsi="宋体" w:eastAsia="宋体" w:cs="宋体"/>
          <w:b w:val="0"/>
          <w:bCs/>
          <w:sz w:val="21"/>
          <w:szCs w:val="21"/>
        </w:rPr>
        <w:t xml:space="preserve"> 日上午</w:t>
      </w:r>
      <w:r>
        <w:rPr>
          <w:rFonts w:hint="eastAsia" w:ascii="宋体" w:hAnsi="宋体" w:cs="宋体"/>
          <w:b w:val="0"/>
          <w:bCs/>
          <w:sz w:val="21"/>
          <w:szCs w:val="21"/>
          <w:lang w:val="en-US" w:eastAsia="zh-CN"/>
        </w:rPr>
        <w:t>8</w:t>
      </w:r>
      <w:r>
        <w:rPr>
          <w:rFonts w:hint="eastAsia" w:ascii="宋体" w:hAnsi="宋体" w:eastAsia="宋体" w:cs="宋体"/>
          <w:b w:val="0"/>
          <w:bCs/>
          <w:sz w:val="21"/>
          <w:szCs w:val="21"/>
        </w:rPr>
        <w:t xml:space="preserve"> 时</w:t>
      </w:r>
      <w:r>
        <w:rPr>
          <w:rFonts w:hint="eastAsia" w:ascii="宋体" w:hAnsi="宋体" w:cs="宋体"/>
          <w:b w:val="0"/>
          <w:bCs/>
          <w:sz w:val="21"/>
          <w:szCs w:val="21"/>
          <w:lang w:val="en-US" w:eastAsia="zh-CN"/>
        </w:rPr>
        <w:t>30</w:t>
      </w:r>
      <w:r>
        <w:rPr>
          <w:rFonts w:hint="eastAsia" w:ascii="宋体" w:hAnsi="宋体" w:eastAsia="宋体" w:cs="宋体"/>
          <w:b w:val="0"/>
          <w:bCs/>
          <w:sz w:val="21"/>
          <w:szCs w:val="21"/>
        </w:rPr>
        <w:t xml:space="preserve"> 分（北京时间）。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4.2报名方式：网上报名。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4.2.1注册：持CA数字认证证书，登录【全国公共资源交易平台（河南省·许昌市）】“系统用户注册”入口（</w:t>
      </w:r>
      <w:r>
        <w:rPr>
          <w:rFonts w:hint="eastAsia" w:ascii="宋体" w:hAnsi="宋体" w:eastAsia="宋体" w:cs="宋体"/>
          <w:b/>
          <w:bCs w:val="0"/>
          <w:sz w:val="21"/>
          <w:szCs w:val="21"/>
        </w:rPr>
        <w:fldChar w:fldCharType="begin"/>
      </w:r>
      <w:r>
        <w:rPr>
          <w:rFonts w:hint="eastAsia" w:ascii="宋体" w:hAnsi="宋体" w:eastAsia="宋体" w:cs="宋体"/>
          <w:b/>
          <w:bCs w:val="0"/>
          <w:sz w:val="21"/>
          <w:szCs w:val="21"/>
        </w:rPr>
        <w:instrText xml:space="preserve"> HYPERLINK "http://221.14.6.70:8088/ggzy/eps/public/RegistAllJcxx.html" </w:instrText>
      </w:r>
      <w:r>
        <w:rPr>
          <w:rFonts w:hint="eastAsia" w:ascii="宋体" w:hAnsi="宋体" w:eastAsia="宋体" w:cs="宋体"/>
          <w:b/>
          <w:bCs w:val="0"/>
          <w:sz w:val="21"/>
          <w:szCs w:val="21"/>
        </w:rPr>
        <w:fldChar w:fldCharType="separate"/>
      </w:r>
      <w:r>
        <w:rPr>
          <w:rFonts w:hint="eastAsia" w:ascii="宋体" w:hAnsi="宋体" w:eastAsia="宋体" w:cs="宋体"/>
          <w:b/>
          <w:bCs w:val="0"/>
          <w:sz w:val="21"/>
          <w:szCs w:val="21"/>
        </w:rPr>
        <w:t>http://221.14.6.70:8088/ggzy/eps/public/RegistAllJcxx.html</w:t>
      </w:r>
      <w:r>
        <w:rPr>
          <w:rFonts w:hint="eastAsia" w:ascii="宋体" w:hAnsi="宋体" w:eastAsia="宋体" w:cs="宋体"/>
          <w:b/>
          <w:bCs w:val="0"/>
          <w:sz w:val="21"/>
          <w:szCs w:val="21"/>
        </w:rPr>
        <w:fldChar w:fldCharType="end"/>
      </w:r>
      <w:r>
        <w:rPr>
          <w:rFonts w:hint="eastAsia" w:ascii="宋体" w:hAnsi="宋体" w:eastAsia="宋体" w:cs="宋体"/>
          <w:b/>
          <w:bCs w:val="0"/>
          <w:sz w:val="21"/>
          <w:szCs w:val="21"/>
        </w:rPr>
        <w:t>）</w:t>
      </w:r>
      <w:r>
        <w:rPr>
          <w:rFonts w:hint="eastAsia" w:ascii="宋体" w:hAnsi="宋体" w:eastAsia="宋体" w:cs="宋体"/>
          <w:b w:val="0"/>
          <w:bCs/>
          <w:sz w:val="21"/>
          <w:szCs w:val="21"/>
        </w:rPr>
        <w:t>进行免费注册登记（详见网站首页“常见问题解答-诚信库网上注册相关资料下载”）。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b w:val="0"/>
          <w:bCs/>
          <w:sz w:val="21"/>
          <w:szCs w:val="21"/>
        </w:rPr>
        <w:t>4.2.2报名：登录【全国公共资源交易平台（河南省·许昌市）】“投标人/供应商登录”入口</w:t>
      </w:r>
      <w:r>
        <w:rPr>
          <w:rFonts w:hint="eastAsia" w:ascii="宋体" w:hAnsi="宋体" w:eastAsia="宋体" w:cs="宋体"/>
          <w:b/>
          <w:bCs w:val="0"/>
          <w:sz w:val="21"/>
          <w:szCs w:val="21"/>
        </w:rPr>
        <w:t>（</w:t>
      </w:r>
      <w:r>
        <w:rPr>
          <w:rFonts w:hint="eastAsia" w:ascii="宋体" w:hAnsi="宋体" w:eastAsia="宋体" w:cs="宋体"/>
          <w:b/>
          <w:bCs w:val="0"/>
          <w:sz w:val="21"/>
          <w:szCs w:val="21"/>
        </w:rPr>
        <w:fldChar w:fldCharType="begin"/>
      </w:r>
      <w:r>
        <w:rPr>
          <w:rFonts w:hint="eastAsia" w:ascii="宋体" w:hAnsi="宋体" w:eastAsia="宋体" w:cs="宋体"/>
          <w:b/>
          <w:bCs w:val="0"/>
          <w:sz w:val="21"/>
          <w:szCs w:val="21"/>
        </w:rPr>
        <w:instrText xml:space="preserve"> HYPERLINK "http://221.14.6.70:8088/ggzy/" </w:instrText>
      </w:r>
      <w:r>
        <w:rPr>
          <w:rFonts w:hint="eastAsia" w:ascii="宋体" w:hAnsi="宋体" w:eastAsia="宋体" w:cs="宋体"/>
          <w:b/>
          <w:bCs w:val="0"/>
          <w:sz w:val="21"/>
          <w:szCs w:val="21"/>
        </w:rPr>
        <w:fldChar w:fldCharType="separate"/>
      </w:r>
      <w:r>
        <w:rPr>
          <w:rFonts w:hint="eastAsia" w:ascii="宋体" w:hAnsi="宋体" w:eastAsia="宋体" w:cs="宋体"/>
          <w:b/>
          <w:bCs w:val="0"/>
          <w:sz w:val="21"/>
          <w:szCs w:val="21"/>
        </w:rPr>
        <w:t>http://221.14.6.70:8088/ggzy/</w:t>
      </w:r>
      <w:r>
        <w:rPr>
          <w:rFonts w:hint="eastAsia" w:ascii="宋体" w:hAnsi="宋体" w:eastAsia="宋体" w:cs="宋体"/>
          <w:b/>
          <w:bCs w:val="0"/>
          <w:sz w:val="21"/>
          <w:szCs w:val="21"/>
        </w:rPr>
        <w:fldChar w:fldCharType="end"/>
      </w:r>
      <w:r>
        <w:rPr>
          <w:rFonts w:hint="eastAsia" w:ascii="宋体" w:hAnsi="宋体" w:eastAsia="宋体" w:cs="宋体"/>
          <w:b/>
          <w:bCs w:val="0"/>
          <w:sz w:val="21"/>
          <w:szCs w:val="21"/>
        </w:rPr>
        <w:t>）</w:t>
      </w:r>
      <w:r>
        <w:rPr>
          <w:rFonts w:hint="eastAsia" w:ascii="宋体" w:hAnsi="宋体" w:eastAsia="宋体" w:cs="宋体"/>
          <w:b w:val="0"/>
          <w:bCs/>
          <w:sz w:val="21"/>
          <w:szCs w:val="21"/>
        </w:rPr>
        <w:t>，在报名期限内报名。（详见网站首页“常见问题解答-交易系统操作手册”）。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5.招标文件、工程量清单和施工图纸的获取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5.1招标文件和工程量清单的获取：投标人于投标文件递交截止时间前均可登录《全国公共资源交易平台(河南省·许昌市)》</w:t>
      </w:r>
      <w:r>
        <w:rPr>
          <w:rFonts w:hint="eastAsia" w:ascii="宋体" w:hAnsi="宋体" w:eastAsia="宋体" w:cs="宋体"/>
          <w:b/>
          <w:bCs w:val="0"/>
          <w:sz w:val="21"/>
          <w:szCs w:val="21"/>
        </w:rPr>
        <w:t>（</w:t>
      </w:r>
      <w:r>
        <w:rPr>
          <w:rFonts w:hint="eastAsia" w:ascii="宋体" w:hAnsi="宋体" w:eastAsia="宋体" w:cs="宋体"/>
          <w:b/>
          <w:bCs w:val="0"/>
          <w:sz w:val="21"/>
          <w:szCs w:val="21"/>
        </w:rPr>
        <w:fldChar w:fldCharType="begin"/>
      </w:r>
      <w:r>
        <w:rPr>
          <w:rFonts w:hint="eastAsia" w:ascii="宋体" w:hAnsi="宋体" w:eastAsia="宋体" w:cs="宋体"/>
          <w:b/>
          <w:bCs w:val="0"/>
          <w:sz w:val="21"/>
          <w:szCs w:val="21"/>
        </w:rPr>
        <w:instrText xml:space="preserve"> HYPERLINK "http://ggzy.xuchang.gov.cn/" </w:instrText>
      </w:r>
      <w:r>
        <w:rPr>
          <w:rFonts w:hint="eastAsia" w:ascii="宋体" w:hAnsi="宋体" w:eastAsia="宋体" w:cs="宋体"/>
          <w:b/>
          <w:bCs w:val="0"/>
          <w:sz w:val="21"/>
          <w:szCs w:val="21"/>
        </w:rPr>
        <w:fldChar w:fldCharType="separate"/>
      </w:r>
      <w:r>
        <w:rPr>
          <w:rFonts w:hint="eastAsia" w:ascii="宋体" w:hAnsi="宋体" w:eastAsia="宋体" w:cs="宋体"/>
          <w:b/>
          <w:bCs w:val="0"/>
          <w:sz w:val="21"/>
          <w:szCs w:val="21"/>
        </w:rPr>
        <w:t>http://ggzy.xuchang.gov.cn/</w:t>
      </w:r>
      <w:r>
        <w:rPr>
          <w:rFonts w:hint="eastAsia" w:ascii="宋体" w:hAnsi="宋体" w:eastAsia="宋体" w:cs="宋体"/>
          <w:b/>
          <w:bCs w:val="0"/>
          <w:sz w:val="21"/>
          <w:szCs w:val="21"/>
        </w:rPr>
        <w:fldChar w:fldCharType="end"/>
      </w:r>
      <w:r>
        <w:rPr>
          <w:rFonts w:hint="eastAsia" w:ascii="宋体" w:hAnsi="宋体" w:eastAsia="宋体" w:cs="宋体"/>
          <w:b/>
          <w:bCs w:val="0"/>
          <w:sz w:val="21"/>
          <w:szCs w:val="21"/>
        </w:rPr>
        <w:t>）</w:t>
      </w:r>
      <w:r>
        <w:rPr>
          <w:rFonts w:hint="eastAsia" w:ascii="宋体" w:hAnsi="宋体" w:eastAsia="宋体" w:cs="宋体"/>
          <w:b w:val="0"/>
          <w:bCs/>
          <w:sz w:val="21"/>
          <w:szCs w:val="21"/>
        </w:rPr>
        <w:t>，通过“投标人/供应商登录” 入口自行下载。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5.2施工图纸下载：按照招标文件中第二章投标人须知前附表所给的网址自行下载。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5.3招标文件每套售价500元，于递交投标文件时缴纳给招标代理机构，售后不退。</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b w:val="0"/>
          <w:bCs/>
          <w:sz w:val="21"/>
          <w:szCs w:val="21"/>
        </w:rPr>
        <w:t>5.4特别提示：该项目所有澄清、修改、答疑、变更均通过全国公共资源交易平台（河南省·许昌市）发布，不再另行通知，请各潜在投标人及时关注全国公共资源交易平台（河南省·许昌市）对该项目有关信息的发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6.投标文件的递交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6.1 本项目为全流程电子化交易项目，须提交电子投标文件和纸质投标文件（正本1份、副本</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 xml:space="preserve">6.2 </w:t>
      </w:r>
      <w:r>
        <w:rPr>
          <w:rFonts w:hint="eastAsia" w:ascii="宋体" w:hAnsi="宋体" w:eastAsia="宋体" w:cs="宋体"/>
          <w:b w:val="0"/>
          <w:bCs/>
          <w:sz w:val="21"/>
          <w:szCs w:val="21"/>
          <w:lang w:val="en-US" w:eastAsia="zh-CN"/>
        </w:rPr>
        <w:t>投标文件递交的截止时间为2019年</w:t>
      </w:r>
      <w:r>
        <w:rPr>
          <w:rFonts w:hint="eastAsia" w:ascii="宋体" w:hAnsi="宋体" w:cs="宋体"/>
          <w:b w:val="0"/>
          <w:bCs/>
          <w:sz w:val="21"/>
          <w:szCs w:val="21"/>
          <w:lang w:val="en-US" w:eastAsia="zh-CN"/>
        </w:rPr>
        <w:t>9</w:t>
      </w:r>
      <w:r>
        <w:rPr>
          <w:rFonts w:hint="eastAsia" w:ascii="宋体" w:hAnsi="宋体" w:eastAsia="宋体" w:cs="宋体"/>
          <w:b w:val="0"/>
          <w:bCs/>
          <w:sz w:val="21"/>
          <w:szCs w:val="21"/>
          <w:lang w:val="en-US" w:eastAsia="zh-CN"/>
        </w:rPr>
        <w:t>月</w:t>
      </w:r>
      <w:r>
        <w:rPr>
          <w:rFonts w:hint="eastAsia" w:ascii="宋体" w:hAnsi="宋体" w:cs="宋体"/>
          <w:b w:val="0"/>
          <w:bCs/>
          <w:sz w:val="21"/>
          <w:szCs w:val="21"/>
          <w:lang w:val="en-US" w:eastAsia="zh-CN"/>
        </w:rPr>
        <w:t>25</w:t>
      </w:r>
      <w:r>
        <w:rPr>
          <w:rFonts w:hint="eastAsia" w:ascii="宋体" w:hAnsi="宋体" w:eastAsia="宋体" w:cs="宋体"/>
          <w:b w:val="0"/>
          <w:bCs/>
          <w:sz w:val="21"/>
          <w:szCs w:val="21"/>
          <w:lang w:val="en-US" w:eastAsia="zh-CN"/>
        </w:rPr>
        <w:t>日上午</w:t>
      </w:r>
      <w:r>
        <w:rPr>
          <w:rFonts w:hint="eastAsia" w:ascii="宋体" w:hAnsi="宋体" w:cs="宋体"/>
          <w:b w:val="0"/>
          <w:bCs/>
          <w:sz w:val="21"/>
          <w:szCs w:val="21"/>
          <w:lang w:val="en-US" w:eastAsia="zh-CN"/>
        </w:rPr>
        <w:t>8</w:t>
      </w:r>
      <w:r>
        <w:rPr>
          <w:rFonts w:hint="eastAsia" w:ascii="宋体" w:hAnsi="宋体" w:eastAsia="宋体" w:cs="宋体"/>
          <w:b w:val="0"/>
          <w:bCs/>
          <w:sz w:val="21"/>
          <w:szCs w:val="21"/>
          <w:lang w:val="en-US" w:eastAsia="zh-CN"/>
        </w:rPr>
        <w:t>时</w:t>
      </w:r>
      <w:r>
        <w:rPr>
          <w:rFonts w:hint="eastAsia" w:ascii="宋体" w:hAnsi="宋体" w:cs="宋体"/>
          <w:b w:val="0"/>
          <w:bCs/>
          <w:sz w:val="21"/>
          <w:szCs w:val="21"/>
          <w:lang w:val="en-US" w:eastAsia="zh-CN"/>
        </w:rPr>
        <w:t xml:space="preserve"> 30</w:t>
      </w:r>
      <w:r>
        <w:rPr>
          <w:rFonts w:hint="eastAsia" w:ascii="宋体" w:hAnsi="宋体" w:eastAsia="宋体" w:cs="宋体"/>
          <w:b w:val="0"/>
          <w:bCs/>
          <w:sz w:val="21"/>
          <w:szCs w:val="21"/>
          <w:lang w:val="en-US" w:eastAsia="zh-CN"/>
        </w:rPr>
        <w:t>分（北京时间），地点为禹州市公共资源交易中心第一开标室（禹州市行政服务中心楼</w:t>
      </w:r>
      <w:r>
        <w:rPr>
          <w:rFonts w:hint="eastAsia" w:ascii="宋体" w:hAnsi="宋体" w:cs="宋体"/>
          <w:b w:val="0"/>
          <w:bCs/>
          <w:sz w:val="21"/>
          <w:szCs w:val="21"/>
          <w:lang w:val="en-US" w:eastAsia="zh-CN"/>
        </w:rPr>
        <w:t>9</w:t>
      </w:r>
      <w:r>
        <w:rPr>
          <w:rFonts w:hint="eastAsia" w:ascii="宋体" w:hAnsi="宋体" w:eastAsia="宋体" w:cs="宋体"/>
          <w:b w:val="0"/>
          <w:bCs/>
          <w:sz w:val="21"/>
          <w:szCs w:val="21"/>
          <w:lang w:val="en-US" w:eastAsia="zh-CN"/>
        </w:rPr>
        <w:t>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6.4纸质投标文件提交地点：禹州市公共资源交易中心开标室（禹州市行政服务中心楼9楼）。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6.5未通过《全国公共资源交易平台(河南省▪许昌市)》公共资源交易系统下载招标文件的投标人，其投标文件将拒收。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6.6逾期送达的或者未送达指定地点的纸质投标文件、及仅提供纸质投标文件的，招标人不予受理。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Ansi="宋体" w:cs="宋体"/>
          <w:b/>
          <w:bCs/>
          <w:color w:val="auto"/>
        </w:rPr>
      </w:pPr>
      <w:r>
        <w:rPr>
          <w:rFonts w:ascii="宋体" w:hAnsi="宋体"/>
          <w:b/>
          <w:bCs/>
          <w:color w:val="auto"/>
          <w:kern w:val="0"/>
        </w:rPr>
        <w:t>7.</w:t>
      </w:r>
      <w:r>
        <w:rPr>
          <w:rFonts w:hint="eastAsia" w:hAnsi="宋体" w:cs="宋体"/>
          <w:b/>
          <w:bCs/>
          <w:color w:val="auto"/>
        </w:rPr>
        <w:t>发布公告的媒介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本招标公告同时在《全国公共资源交易平台（河南省·许昌市）》、《河南省电子招标投标公共服务平台》上公开发布。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8. 联系方式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招标人：禹州市</w:t>
      </w:r>
      <w:r>
        <w:rPr>
          <w:rFonts w:hint="eastAsia" w:ascii="宋体" w:hAnsi="宋体" w:eastAsia="宋体" w:cs="宋体"/>
          <w:sz w:val="21"/>
          <w:szCs w:val="21"/>
          <w:lang w:eastAsia="zh-CN"/>
        </w:rPr>
        <w:t>无梁镇</w:t>
      </w:r>
      <w:r>
        <w:rPr>
          <w:rFonts w:hint="eastAsia" w:ascii="宋体" w:hAnsi="宋体" w:eastAsia="宋体" w:cs="宋体"/>
          <w:sz w:val="21"/>
          <w:szCs w:val="21"/>
        </w:rPr>
        <w:t>人民政府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联系人：</w:t>
      </w:r>
      <w:r>
        <w:rPr>
          <w:rFonts w:hint="eastAsia" w:ascii="宋体" w:hAnsi="宋体" w:eastAsia="宋体" w:cs="宋体"/>
          <w:sz w:val="21"/>
          <w:szCs w:val="21"/>
          <w:lang w:eastAsia="zh-CN"/>
        </w:rPr>
        <w:t>吕先生</w:t>
      </w:r>
      <w:r>
        <w:rPr>
          <w:rFonts w:hint="eastAsia" w:ascii="宋体" w:hAnsi="宋体" w:cs="宋体"/>
          <w:sz w:val="21"/>
          <w:szCs w:val="21"/>
          <w:lang w:val="en-US" w:eastAsia="zh-CN"/>
        </w:rPr>
        <w:t xml:space="preserve">       </w:t>
      </w:r>
      <w:r>
        <w:rPr>
          <w:rFonts w:hint="eastAsia" w:ascii="宋体" w:hAnsi="宋体" w:eastAsia="宋体" w:cs="宋体"/>
          <w:sz w:val="21"/>
          <w:szCs w:val="21"/>
        </w:rPr>
        <w:t>联系电话：</w:t>
      </w:r>
      <w:r>
        <w:rPr>
          <w:rFonts w:hint="eastAsia" w:ascii="宋体" w:hAnsi="宋体" w:eastAsia="宋体" w:cs="宋体"/>
          <w:color w:val="000000"/>
          <w:sz w:val="21"/>
          <w:szCs w:val="21"/>
          <w:lang w:val="en-US" w:eastAsia="zh-CN"/>
        </w:rPr>
        <w:t>0374-8741003</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招标代理机构：</w:t>
      </w:r>
      <w:r>
        <w:rPr>
          <w:rFonts w:hint="eastAsia" w:ascii="宋体" w:hAnsi="宋体" w:eastAsia="宋体" w:cs="宋体"/>
          <w:sz w:val="21"/>
          <w:szCs w:val="21"/>
          <w:lang w:eastAsia="zh-CN"/>
        </w:rPr>
        <w:t>华夏城投项目管理有限公司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lang w:eastAsia="zh-CN"/>
        </w:rPr>
      </w:pPr>
      <w:r>
        <w:rPr>
          <w:rFonts w:hint="eastAsia" w:ascii="宋体" w:hAnsi="宋体" w:eastAsia="宋体" w:cs="宋体"/>
          <w:sz w:val="21"/>
          <w:szCs w:val="21"/>
        </w:rPr>
        <w:t>联系人：</w:t>
      </w:r>
      <w:r>
        <w:rPr>
          <w:rFonts w:hint="eastAsia" w:ascii="宋体" w:hAnsi="宋体" w:eastAsia="宋体" w:cs="宋体"/>
          <w:sz w:val="21"/>
          <w:szCs w:val="21"/>
          <w:lang w:eastAsia="zh-CN"/>
        </w:rPr>
        <w:t>姚</w:t>
      </w:r>
      <w:r>
        <w:rPr>
          <w:rFonts w:hint="eastAsia" w:ascii="宋体" w:hAnsi="宋体" w:eastAsia="宋体" w:cs="宋体"/>
          <w:sz w:val="21"/>
          <w:szCs w:val="21"/>
        </w:rPr>
        <w:t>先生</w:t>
      </w:r>
      <w:r>
        <w:rPr>
          <w:rFonts w:hint="eastAsia" w:ascii="宋体" w:hAnsi="宋体" w:cs="宋体"/>
          <w:sz w:val="21"/>
          <w:szCs w:val="21"/>
          <w:lang w:val="en-US" w:eastAsia="zh-CN"/>
        </w:rPr>
        <w:t xml:space="preserve">       </w:t>
      </w:r>
      <w:r>
        <w:rPr>
          <w:rFonts w:hint="eastAsia" w:ascii="宋体" w:hAnsi="宋体" w:eastAsia="宋体" w:cs="宋体"/>
          <w:sz w:val="21"/>
          <w:szCs w:val="21"/>
        </w:rPr>
        <w:t>联系电话：</w:t>
      </w:r>
      <w:r>
        <w:rPr>
          <w:rFonts w:hint="eastAsia" w:ascii="宋体" w:hAnsi="宋体" w:cs="宋体"/>
          <w:sz w:val="21"/>
          <w:szCs w:val="21"/>
          <w:lang w:val="en-US" w:eastAsia="zh-CN"/>
        </w:rPr>
        <w:t>0374-8258988</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hAnsi="宋体"/>
          <w:b/>
          <w:bCs/>
        </w:rPr>
      </w:pP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温馨提示：</w:t>
      </w:r>
    </w:p>
    <w:p>
      <w:pPr>
        <w:keepNext w:val="0"/>
        <w:keepLines w:val="0"/>
        <w:pageBreakBefore w:val="0"/>
        <w:widowControl/>
        <w:kinsoku/>
        <w:wordWrap/>
        <w:overflowPunct/>
        <w:topLinePunct w:val="0"/>
        <w:autoSpaceDE/>
        <w:autoSpaceDN/>
        <w:bidi w:val="0"/>
        <w:adjustRightInd w:val="0"/>
        <w:snapToGrid w:val="0"/>
        <w:spacing w:line="360" w:lineRule="exact"/>
        <w:ind w:firstLine="207" w:firstLineChars="99"/>
        <w:textAlignment w:val="auto"/>
        <w:rPr>
          <w:rFonts w:hint="eastAsia" w:ascii="宋体" w:hAnsi="宋体" w:eastAsia="宋体" w:cs="宋体"/>
          <w:b/>
          <w:bCs/>
          <w:sz w:val="21"/>
          <w:szCs w:val="21"/>
        </w:rPr>
      </w:pPr>
      <w:r>
        <w:rPr>
          <w:rFonts w:hint="eastAsia" w:ascii="宋体" w:hAnsi="宋体" w:eastAsia="宋体" w:cs="宋体"/>
          <w:sz w:val="21"/>
          <w:szCs w:val="21"/>
        </w:rPr>
        <w:t>本项目为全流程电子化交易项目，</w:t>
      </w:r>
      <w:r>
        <w:rPr>
          <w:rFonts w:hint="eastAsia" w:ascii="宋体" w:hAnsi="宋体" w:eastAsia="宋体" w:cs="宋体"/>
          <w:b/>
          <w:bCs/>
          <w:sz w:val="21"/>
          <w:szCs w:val="21"/>
        </w:rPr>
        <w:t>请认真阅读招标文件，并注意以下事项：</w:t>
      </w:r>
    </w:p>
    <w:p>
      <w:pPr>
        <w:keepNext w:val="0"/>
        <w:keepLines w:val="0"/>
        <w:pageBreakBefore w:val="0"/>
        <w:kinsoku/>
        <w:wordWrap/>
        <w:overflowPunct/>
        <w:topLinePunct w:val="0"/>
        <w:autoSpaceDE/>
        <w:autoSpaceDN/>
        <w:bidi w:val="0"/>
        <w:adjustRightInd w:val="0"/>
        <w:snapToGrid w:val="0"/>
        <w:spacing w:line="360" w:lineRule="exact"/>
        <w:ind w:left="-105" w:leftChars="-50" w:right="-105" w:rightChars="-5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1.投标人应按招标文件规定下载、编制、提交电子投标文件和纸质投标文件。开、评标现场不接受投标人递交的电子投标文件和纸质投标文件以外的其他资料。</w:t>
      </w:r>
    </w:p>
    <w:p>
      <w:pPr>
        <w:keepNext w:val="0"/>
        <w:keepLines w:val="0"/>
        <w:pageBreakBefore w:val="0"/>
        <w:kinsoku/>
        <w:wordWrap/>
        <w:overflowPunct/>
        <w:topLinePunct w:val="0"/>
        <w:autoSpaceDE/>
        <w:autoSpaceDN/>
        <w:bidi w:val="0"/>
        <w:adjustRightInd w:val="0"/>
        <w:snapToGrid w:val="0"/>
        <w:spacing w:line="360" w:lineRule="exact"/>
        <w:ind w:left="-105" w:leftChars="-50" w:right="-105" w:rightChars="-5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2.电子文件下载、制作、提交期间和开标（电子投标文件的解密）环节，投标人须使用CA数字证书（证书须在有效期内）。</w:t>
      </w:r>
    </w:p>
    <w:p>
      <w:pPr>
        <w:keepNext w:val="0"/>
        <w:keepLines w:val="0"/>
        <w:pageBreakBefore w:val="0"/>
        <w:kinsoku/>
        <w:wordWrap/>
        <w:overflowPunct/>
        <w:topLinePunct w:val="0"/>
        <w:autoSpaceDE/>
        <w:autoSpaceDN/>
        <w:bidi w:val="0"/>
        <w:adjustRightInd w:val="0"/>
        <w:snapToGrid w:val="0"/>
        <w:spacing w:line="360" w:lineRule="exact"/>
        <w:ind w:left="-105" w:leftChars="-50" w:right="-105" w:rightChars="-5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3.电子投标文件的制作</w:t>
      </w:r>
    </w:p>
    <w:p>
      <w:pPr>
        <w:keepNext w:val="0"/>
        <w:keepLines w:val="0"/>
        <w:pageBreakBefore w:val="0"/>
        <w:kinsoku/>
        <w:wordWrap/>
        <w:overflowPunct/>
        <w:topLinePunct w:val="0"/>
        <w:autoSpaceDE/>
        <w:autoSpaceDN/>
        <w:bidi w:val="0"/>
        <w:adjustRightInd w:val="0"/>
        <w:snapToGrid w:val="0"/>
        <w:spacing w:line="360" w:lineRule="exact"/>
        <w:ind w:left="-105" w:leftChars="-50" w:right="-105" w:righ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 投标人登录《全国公共资源交易平台(河南省▪许昌市)》公共资源交易系统</w:t>
      </w:r>
      <w:r>
        <w:rPr>
          <w:rFonts w:hint="eastAsia" w:ascii="宋体" w:hAnsi="宋体" w:eastAsia="宋体" w:cs="宋体"/>
          <w:b/>
          <w:bCs/>
          <w:color w:val="00B0F0"/>
          <w:sz w:val="21"/>
          <w:szCs w:val="21"/>
        </w:rPr>
        <w:t>（</w:t>
      </w:r>
      <w:r>
        <w:rPr>
          <w:rFonts w:hint="eastAsia" w:ascii="宋体" w:hAnsi="宋体" w:eastAsia="宋体" w:cs="宋体"/>
          <w:b/>
          <w:bCs/>
          <w:color w:val="00B0F0"/>
          <w:sz w:val="21"/>
          <w:szCs w:val="21"/>
        </w:rPr>
        <w:fldChar w:fldCharType="begin"/>
      </w:r>
      <w:r>
        <w:rPr>
          <w:rFonts w:hint="eastAsia" w:ascii="宋体" w:hAnsi="宋体" w:eastAsia="宋体" w:cs="宋体"/>
          <w:b/>
          <w:bCs/>
          <w:color w:val="00B0F0"/>
          <w:sz w:val="21"/>
          <w:szCs w:val="21"/>
        </w:rPr>
        <w:instrText xml:space="preserve"> HYPERLINK "http://221.14.6.70:8088/ggzy/" </w:instrText>
      </w:r>
      <w:r>
        <w:rPr>
          <w:rFonts w:hint="eastAsia" w:ascii="宋体" w:hAnsi="宋体" w:eastAsia="宋体" w:cs="宋体"/>
          <w:b/>
          <w:bCs/>
          <w:color w:val="00B0F0"/>
          <w:sz w:val="21"/>
          <w:szCs w:val="21"/>
        </w:rPr>
        <w:fldChar w:fldCharType="separate"/>
      </w:r>
      <w:r>
        <w:rPr>
          <w:rFonts w:hint="eastAsia" w:ascii="宋体" w:hAnsi="宋体" w:eastAsia="宋体" w:cs="宋体"/>
          <w:b/>
          <w:bCs/>
          <w:color w:val="00B0F0"/>
          <w:sz w:val="21"/>
          <w:szCs w:val="21"/>
          <w:u w:val="single"/>
        </w:rPr>
        <w:t>http://221.14.6.70:8088/ggzy/</w:t>
      </w:r>
      <w:r>
        <w:rPr>
          <w:rFonts w:hint="eastAsia" w:ascii="宋体" w:hAnsi="宋体" w:eastAsia="宋体" w:cs="宋体"/>
          <w:b/>
          <w:bCs/>
          <w:color w:val="00B0F0"/>
          <w:sz w:val="21"/>
          <w:szCs w:val="21"/>
          <w:u w:val="single"/>
        </w:rPr>
        <w:fldChar w:fldCharType="end"/>
      </w:r>
      <w:r>
        <w:rPr>
          <w:rFonts w:hint="eastAsia" w:ascii="宋体" w:hAnsi="宋体" w:eastAsia="宋体" w:cs="宋体"/>
          <w:b/>
          <w:bCs/>
          <w:color w:val="00B0F0"/>
          <w:sz w:val="21"/>
          <w:szCs w:val="21"/>
        </w:rPr>
        <w:t>）</w:t>
      </w:r>
      <w:r>
        <w:rPr>
          <w:rFonts w:hint="eastAsia" w:ascii="宋体" w:hAnsi="宋体" w:eastAsia="宋体" w:cs="宋体"/>
          <w:sz w:val="21"/>
          <w:szCs w:val="21"/>
        </w:rPr>
        <w:t>下载“许昌投标文件制作系统SEARUN V1.1”，按招标文件要求制作电子投标文件。</w:t>
      </w:r>
    </w:p>
    <w:p>
      <w:pPr>
        <w:keepNext w:val="0"/>
        <w:keepLines w:val="0"/>
        <w:pageBreakBefore w:val="0"/>
        <w:kinsoku/>
        <w:wordWrap/>
        <w:overflowPunct/>
        <w:topLinePunct w:val="0"/>
        <w:autoSpaceDE/>
        <w:autoSpaceDN/>
        <w:bidi w:val="0"/>
        <w:adjustRightInd w:val="0"/>
        <w:snapToGrid w:val="0"/>
        <w:spacing w:line="360" w:lineRule="exact"/>
        <w:ind w:left="-105" w:leftChars="-50" w:right="-105" w:righ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电子投标文件的制作，参考《全国公共资源交易平台(河南省▪许昌市)》公共资源交易系统——组件下载——交易系统操作手册（投标人、供应商）。</w:t>
      </w:r>
    </w:p>
    <w:p>
      <w:pPr>
        <w:keepNext w:val="0"/>
        <w:keepLines w:val="0"/>
        <w:pageBreakBefore w:val="0"/>
        <w:kinsoku/>
        <w:wordWrap/>
        <w:overflowPunct/>
        <w:topLinePunct w:val="0"/>
        <w:autoSpaceDE/>
        <w:autoSpaceDN/>
        <w:bidi w:val="0"/>
        <w:adjustRightInd w:val="0"/>
        <w:snapToGrid w:val="0"/>
        <w:spacing w:line="360" w:lineRule="exact"/>
        <w:ind w:left="-105" w:leftChars="-50" w:right="-105" w:righ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 投标人须将招标文件要求的资质、业绩、荣誉及相关人员证明材料等资料原件扫描件（或图片）制作到所提交的电子投标文件中。</w:t>
      </w:r>
    </w:p>
    <w:p>
      <w:pPr>
        <w:keepNext w:val="0"/>
        <w:keepLines w:val="0"/>
        <w:pageBreakBefore w:val="0"/>
        <w:kinsoku/>
        <w:wordWrap/>
        <w:overflowPunct/>
        <w:topLinePunct w:val="0"/>
        <w:autoSpaceDE/>
        <w:autoSpaceDN/>
        <w:bidi w:val="0"/>
        <w:adjustRightInd w:val="0"/>
        <w:snapToGrid w:val="0"/>
        <w:spacing w:line="360" w:lineRule="exact"/>
        <w:ind w:left="-105" w:leftChars="-50" w:right="-105" w:righ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kinsoku/>
        <w:wordWrap/>
        <w:overflowPunct/>
        <w:topLinePunct w:val="0"/>
        <w:autoSpaceDE/>
        <w:autoSpaceDN/>
        <w:bidi w:val="0"/>
        <w:adjustRightInd w:val="0"/>
        <w:snapToGrid w:val="0"/>
        <w:spacing w:line="360" w:lineRule="exact"/>
        <w:ind w:left="-105" w:leftChars="-50" w:right="-105" w:righ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keepNext w:val="0"/>
        <w:keepLines w:val="0"/>
        <w:pageBreakBefore w:val="0"/>
        <w:kinsoku/>
        <w:wordWrap/>
        <w:overflowPunct/>
        <w:topLinePunct w:val="0"/>
        <w:autoSpaceDE/>
        <w:autoSpaceDN/>
        <w:bidi w:val="0"/>
        <w:adjustRightInd w:val="0"/>
        <w:snapToGrid w:val="0"/>
        <w:spacing w:line="360" w:lineRule="exact"/>
        <w:ind w:left="-105" w:leftChars="-50" w:right="-105" w:rightChars="-5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4.电子投标文件的提交</w:t>
      </w:r>
    </w:p>
    <w:p>
      <w:pPr>
        <w:keepNext w:val="0"/>
        <w:keepLines w:val="0"/>
        <w:pageBreakBefore w:val="0"/>
        <w:kinsoku/>
        <w:wordWrap/>
        <w:overflowPunct/>
        <w:topLinePunct w:val="0"/>
        <w:autoSpaceDE/>
        <w:autoSpaceDN/>
        <w:bidi w:val="0"/>
        <w:adjustRightInd w:val="0"/>
        <w:snapToGrid w:val="0"/>
        <w:spacing w:line="360" w:lineRule="exact"/>
        <w:ind w:left="-105" w:leftChars="-50" w:right="-105" w:righ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4.1电子投标文件应在招标文件规定的投标文件提交截止时间（开标时间）之前成功提交至《全国公共资源交易平台(河南省▪许昌市)》公共资源交易系统</w:t>
      </w:r>
      <w:r>
        <w:rPr>
          <w:rFonts w:hint="eastAsia" w:ascii="宋体" w:hAnsi="宋体" w:eastAsia="宋体" w:cs="宋体"/>
          <w:b/>
          <w:bCs/>
          <w:color w:val="1F497D" w:themeColor="text2"/>
          <w:sz w:val="21"/>
          <w:szCs w:val="21"/>
        </w:rPr>
        <w:t>（</w:t>
      </w:r>
      <w:r>
        <w:rPr>
          <w:rFonts w:hint="eastAsia" w:ascii="宋体" w:hAnsi="宋体" w:eastAsia="宋体" w:cs="宋体"/>
          <w:b/>
          <w:bCs/>
          <w:color w:val="1F497D" w:themeColor="text2"/>
          <w:sz w:val="21"/>
          <w:szCs w:val="21"/>
        </w:rPr>
        <w:fldChar w:fldCharType="begin"/>
      </w:r>
      <w:r>
        <w:rPr>
          <w:rFonts w:hint="eastAsia" w:ascii="宋体" w:hAnsi="宋体" w:eastAsia="宋体" w:cs="宋体"/>
          <w:b/>
          <w:bCs/>
          <w:color w:val="1F497D" w:themeColor="text2"/>
          <w:sz w:val="21"/>
          <w:szCs w:val="21"/>
        </w:rPr>
        <w:instrText xml:space="preserve"> HYPERLINK "http://221.14.6.70:8088/ggzy/" </w:instrText>
      </w:r>
      <w:r>
        <w:rPr>
          <w:rFonts w:hint="eastAsia" w:ascii="宋体" w:hAnsi="宋体" w:eastAsia="宋体" w:cs="宋体"/>
          <w:b/>
          <w:bCs/>
          <w:color w:val="1F497D" w:themeColor="text2"/>
          <w:sz w:val="21"/>
          <w:szCs w:val="21"/>
        </w:rPr>
        <w:fldChar w:fldCharType="separate"/>
      </w:r>
      <w:r>
        <w:rPr>
          <w:rFonts w:hint="eastAsia" w:ascii="宋体" w:hAnsi="宋体" w:eastAsia="宋体" w:cs="宋体"/>
          <w:b/>
          <w:bCs/>
          <w:color w:val="1F497D" w:themeColor="text2"/>
          <w:sz w:val="21"/>
          <w:szCs w:val="21"/>
        </w:rPr>
        <w:t>http://221.14.6.70:8088/ggzy/</w:t>
      </w:r>
      <w:r>
        <w:rPr>
          <w:rFonts w:hint="eastAsia" w:ascii="宋体" w:hAnsi="宋体" w:eastAsia="宋体" w:cs="宋体"/>
          <w:b/>
          <w:bCs/>
          <w:color w:val="1F497D" w:themeColor="text2"/>
          <w:sz w:val="21"/>
          <w:szCs w:val="21"/>
        </w:rPr>
        <w:fldChar w:fldCharType="end"/>
      </w:r>
      <w:r>
        <w:rPr>
          <w:rFonts w:hint="eastAsia" w:ascii="宋体" w:hAnsi="宋体" w:eastAsia="宋体" w:cs="宋体"/>
          <w:color w:val="auto"/>
          <w:sz w:val="21"/>
          <w:szCs w:val="21"/>
        </w:rPr>
        <w:t>）</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val="0"/>
        <w:snapToGrid w:val="0"/>
        <w:spacing w:line="360" w:lineRule="exact"/>
        <w:ind w:left="-105" w:leftChars="-50" w:right="-105" w:righ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投标人应充分考虑并预留技术处理和上传数据所需时间。</w:t>
      </w:r>
    </w:p>
    <w:p>
      <w:pPr>
        <w:keepNext w:val="0"/>
        <w:keepLines w:val="0"/>
        <w:pageBreakBefore w:val="0"/>
        <w:kinsoku/>
        <w:wordWrap/>
        <w:overflowPunct/>
        <w:topLinePunct w:val="0"/>
        <w:autoSpaceDE/>
        <w:autoSpaceDN/>
        <w:bidi w:val="0"/>
        <w:adjustRightInd w:val="0"/>
        <w:snapToGrid w:val="0"/>
        <w:spacing w:line="360" w:lineRule="exact"/>
        <w:ind w:left="-105" w:leftChars="-50" w:right="-105" w:righ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 投标人对同一项目多个标段进行投标的，电子投标文件应按标段分别提交。</w:t>
      </w:r>
    </w:p>
    <w:p>
      <w:pPr>
        <w:keepNext w:val="0"/>
        <w:keepLines w:val="0"/>
        <w:pageBreakBefore w:val="0"/>
        <w:kinsoku/>
        <w:wordWrap/>
        <w:overflowPunct/>
        <w:topLinePunct w:val="0"/>
        <w:autoSpaceDE/>
        <w:autoSpaceDN/>
        <w:bidi w:val="0"/>
        <w:adjustRightInd w:val="0"/>
        <w:snapToGrid w:val="0"/>
        <w:spacing w:line="360" w:lineRule="exact"/>
        <w:ind w:left="-105" w:leftChars="-50" w:right="-105" w:righ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 电子投标文件成功提交后，投标人应打印“投标文件提交回执单”，供开标现场备查。</w:t>
      </w:r>
    </w:p>
    <w:p>
      <w:pPr>
        <w:keepNext w:val="0"/>
        <w:keepLines w:val="0"/>
        <w:pageBreakBefore w:val="0"/>
        <w:kinsoku/>
        <w:wordWrap/>
        <w:overflowPunct/>
        <w:topLinePunct w:val="0"/>
        <w:autoSpaceDE/>
        <w:autoSpaceDN/>
        <w:bidi w:val="0"/>
        <w:adjustRightInd w:val="0"/>
        <w:snapToGrid w:val="0"/>
        <w:spacing w:line="360" w:lineRule="exact"/>
        <w:ind w:left="-105" w:leftChars="-50" w:right="-105" w:rightChars="-5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5.评标依据</w:t>
      </w:r>
    </w:p>
    <w:p>
      <w:pPr>
        <w:keepNext w:val="0"/>
        <w:keepLines w:val="0"/>
        <w:pageBreakBefore w:val="0"/>
        <w:kinsoku/>
        <w:wordWrap/>
        <w:overflowPunct/>
        <w:topLinePunct w:val="0"/>
        <w:autoSpaceDE/>
        <w:autoSpaceDN/>
        <w:bidi w:val="0"/>
        <w:adjustRightInd w:val="0"/>
        <w:snapToGrid w:val="0"/>
        <w:spacing w:line="360" w:lineRule="exact"/>
        <w:ind w:right="-105" w:righ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5.1采用全流程电子化交易评标时，评标委员会以电子投标文件为依据评标。</w:t>
      </w:r>
    </w:p>
    <w:p>
      <w:pPr>
        <w:keepNext w:val="0"/>
        <w:keepLines w:val="0"/>
        <w:pageBreakBefore w:val="0"/>
        <w:widowControl/>
        <w:kinsoku/>
        <w:wordWrap/>
        <w:overflowPunct/>
        <w:topLinePunct w:val="0"/>
        <w:autoSpaceDE/>
        <w:autoSpaceDN/>
        <w:bidi w:val="0"/>
        <w:spacing w:line="360" w:lineRule="exact"/>
        <w:ind w:right="-153" w:firstLine="420" w:firstLineChars="200"/>
        <w:textAlignment w:val="auto"/>
        <w:rPr>
          <w:rFonts w:hint="eastAsia"/>
        </w:rPr>
      </w:pPr>
      <w:r>
        <w:rPr>
          <w:rFonts w:hint="eastAsia" w:ascii="宋体" w:hAnsi="宋体" w:eastAsia="宋体" w:cs="宋体"/>
          <w:sz w:val="21"/>
          <w:szCs w:val="21"/>
        </w:rPr>
        <w:t>5.2全流程电子化交易如因系统异常情况无法完成，将以人工方式进行。评标委员会以纸质投标文件为依据评标。</w:t>
      </w:r>
      <w:bookmarkEnd w:id="17"/>
      <w:bookmarkEnd w:id="18"/>
    </w:p>
    <w:p>
      <w:pPr>
        <w:pStyle w:val="4"/>
        <w:spacing w:line="360" w:lineRule="auto"/>
        <w:jc w:val="center"/>
        <w:rPr>
          <w:b/>
          <w:bCs/>
          <w:sz w:val="36"/>
          <w:szCs w:val="36"/>
        </w:rPr>
      </w:pPr>
      <w:bookmarkStart w:id="19" w:name="_Toc11246"/>
      <w:bookmarkEnd w:id="19"/>
      <w:bookmarkStart w:id="20" w:name="_Toc366157750"/>
      <w:bookmarkEnd w:id="20"/>
      <w:bookmarkStart w:id="21" w:name="_Toc5281"/>
      <w:bookmarkEnd w:id="21"/>
      <w:bookmarkStart w:id="22" w:name="_Toc21329"/>
      <w:bookmarkEnd w:id="22"/>
      <w:bookmarkStart w:id="23" w:name="_Toc843"/>
      <w:bookmarkEnd w:id="23"/>
      <w:bookmarkStart w:id="24" w:name="_Toc30388"/>
      <w:bookmarkEnd w:id="24"/>
      <w:bookmarkStart w:id="25" w:name="_Toc184635070"/>
      <w:bookmarkEnd w:id="25"/>
      <w:bookmarkStart w:id="26" w:name="_Toc503873664"/>
      <w:bookmarkStart w:id="27" w:name="_Toc370458149"/>
      <w:r>
        <w:rPr>
          <w:rFonts w:hint="eastAsia"/>
          <w:b/>
          <w:bCs/>
          <w:sz w:val="36"/>
          <w:szCs w:val="36"/>
        </w:rPr>
        <w:t>第二章  投标人须知</w:t>
      </w:r>
      <w:bookmarkEnd w:id="26"/>
      <w:bookmarkEnd w:id="27"/>
    </w:p>
    <w:p>
      <w:pPr>
        <w:pStyle w:val="5"/>
        <w:spacing w:line="360" w:lineRule="auto"/>
        <w:jc w:val="both"/>
        <w:rPr>
          <w:b/>
          <w:bCs/>
          <w:sz w:val="21"/>
          <w:szCs w:val="21"/>
        </w:rPr>
      </w:pPr>
      <w:bookmarkStart w:id="28" w:name="_Toc503873665"/>
      <w:bookmarkStart w:id="29" w:name="_Toc503433948"/>
      <w:r>
        <w:rPr>
          <w:rFonts w:hint="eastAsia"/>
          <w:b/>
          <w:bCs/>
          <w:sz w:val="21"/>
          <w:szCs w:val="21"/>
        </w:rPr>
        <w:t>投标人须知前附表</w:t>
      </w:r>
      <w:bookmarkEnd w:id="28"/>
      <w:bookmarkEnd w:id="29"/>
    </w:p>
    <w:tbl>
      <w:tblPr>
        <w:tblStyle w:val="15"/>
        <w:tblW w:w="9511" w:type="dxa"/>
        <w:jc w:val="center"/>
        <w:tblInd w:w="0" w:type="dxa"/>
        <w:tblLayout w:type="fixed"/>
        <w:tblCellMar>
          <w:top w:w="0" w:type="dxa"/>
          <w:left w:w="108" w:type="dxa"/>
          <w:bottom w:w="0" w:type="dxa"/>
          <w:right w:w="108" w:type="dxa"/>
        </w:tblCellMar>
      </w:tblPr>
      <w:tblGrid>
        <w:gridCol w:w="886"/>
        <w:gridCol w:w="1530"/>
        <w:gridCol w:w="608"/>
        <w:gridCol w:w="6487"/>
      </w:tblGrid>
      <w:tr>
        <w:tblPrEx>
          <w:tblLayout w:type="fixed"/>
          <w:tblCellMar>
            <w:top w:w="0" w:type="dxa"/>
            <w:left w:w="108" w:type="dxa"/>
            <w:bottom w:w="0" w:type="dxa"/>
            <w:right w:w="108" w:type="dxa"/>
          </w:tblCellMar>
        </w:tblPrEx>
        <w:trPr>
          <w:trHeight w:val="448"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rPr>
            </w:pPr>
            <w:r>
              <w:rPr>
                <w:rFonts w:hint="eastAsia" w:ascii="宋体" w:hAnsi="宋体"/>
                <w:b/>
                <w:bCs/>
                <w:color w:val="000000"/>
              </w:rPr>
              <w:t>条款号</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rPr>
            </w:pPr>
            <w:r>
              <w:rPr>
                <w:rFonts w:hint="eastAsia" w:ascii="宋体" w:hAnsi="宋体"/>
                <w:b/>
                <w:bCs/>
                <w:color w:val="000000"/>
              </w:rPr>
              <w:t>名 称</w:t>
            </w:r>
          </w:p>
        </w:tc>
        <w:tc>
          <w:tcPr>
            <w:tcW w:w="64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rPr>
            </w:pPr>
            <w:r>
              <w:rPr>
                <w:rFonts w:hint="eastAsia" w:ascii="宋体" w:hAnsi="宋体"/>
                <w:b/>
                <w:bCs/>
                <w:color w:val="000000"/>
              </w:rPr>
              <w:t>编 列 内 容</w:t>
            </w:r>
          </w:p>
        </w:tc>
      </w:tr>
      <w:tr>
        <w:tblPrEx>
          <w:tblLayout w:type="fixed"/>
          <w:tblCellMar>
            <w:top w:w="0" w:type="dxa"/>
            <w:left w:w="108" w:type="dxa"/>
            <w:bottom w:w="0" w:type="dxa"/>
            <w:right w:w="108" w:type="dxa"/>
          </w:tblCellMar>
        </w:tblPrEx>
        <w:trPr>
          <w:trHeight w:val="736"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1.1.2</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招标人</w:t>
            </w:r>
          </w:p>
        </w:tc>
        <w:tc>
          <w:tcPr>
            <w:tcW w:w="64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rPr>
            </w:pPr>
            <w:r>
              <w:rPr>
                <w:rFonts w:hint="eastAsia" w:ascii="宋体" w:hAnsi="宋体"/>
                <w:color w:val="000000"/>
              </w:rPr>
              <w:t>招标人：禹州市</w:t>
            </w:r>
            <w:r>
              <w:rPr>
                <w:rFonts w:hint="eastAsia" w:ascii="宋体" w:hAnsi="宋体"/>
                <w:color w:val="000000"/>
                <w:lang w:eastAsia="zh-CN"/>
              </w:rPr>
              <w:t>无梁</w:t>
            </w:r>
            <w:r>
              <w:rPr>
                <w:rFonts w:hint="eastAsia" w:ascii="宋体" w:hAnsi="宋体"/>
                <w:color w:val="000000"/>
              </w:rPr>
              <w:t>镇人民政府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color w:val="000000"/>
              </w:rPr>
              <w:t>地  址：禹州市</w:t>
            </w:r>
            <w:r>
              <w:rPr>
                <w:rFonts w:hint="eastAsia" w:ascii="宋体" w:hAnsi="宋体"/>
                <w:color w:val="000000"/>
                <w:lang w:eastAsia="zh-CN"/>
              </w:rPr>
              <w:t>无梁</w:t>
            </w:r>
            <w:r>
              <w:rPr>
                <w:rFonts w:hint="eastAsia" w:ascii="宋体" w:hAnsi="宋体"/>
                <w:color w:val="000000"/>
              </w:rPr>
              <w:t>镇</w:t>
            </w:r>
          </w:p>
        </w:tc>
      </w:tr>
      <w:tr>
        <w:tblPrEx>
          <w:tblLayout w:type="fixed"/>
          <w:tblCellMar>
            <w:top w:w="0" w:type="dxa"/>
            <w:left w:w="108" w:type="dxa"/>
            <w:bottom w:w="0" w:type="dxa"/>
            <w:right w:w="108" w:type="dxa"/>
          </w:tblCellMar>
        </w:tblPrEx>
        <w:trPr>
          <w:trHeight w:val="460"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1.1.3</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项目名称</w:t>
            </w:r>
          </w:p>
        </w:tc>
        <w:tc>
          <w:tcPr>
            <w:tcW w:w="6487"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kern w:val="0"/>
              </w:rPr>
              <w:t>禹州市无梁镇废弃矿山生态修复工程</w:t>
            </w:r>
          </w:p>
        </w:tc>
      </w:tr>
      <w:tr>
        <w:tblPrEx>
          <w:tblLayout w:type="fixed"/>
          <w:tblCellMar>
            <w:top w:w="0" w:type="dxa"/>
            <w:left w:w="108" w:type="dxa"/>
            <w:bottom w:w="0" w:type="dxa"/>
            <w:right w:w="108" w:type="dxa"/>
          </w:tblCellMar>
        </w:tblPrEx>
        <w:trPr>
          <w:trHeight w:val="445"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1.1.4</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建设地点</w:t>
            </w:r>
          </w:p>
        </w:tc>
        <w:tc>
          <w:tcPr>
            <w:tcW w:w="6487"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rPr>
            </w:pPr>
            <w:r>
              <w:rPr>
                <w:rFonts w:hint="eastAsia" w:ascii="宋体" w:hAnsi="宋体"/>
                <w:color w:val="000000"/>
              </w:rPr>
              <w:t>禹州市</w:t>
            </w:r>
            <w:r>
              <w:rPr>
                <w:rFonts w:hint="eastAsia" w:ascii="宋体" w:hAnsi="宋体"/>
                <w:color w:val="000000"/>
                <w:lang w:eastAsia="zh-CN"/>
              </w:rPr>
              <w:t>无梁</w:t>
            </w:r>
            <w:r>
              <w:rPr>
                <w:rFonts w:hint="eastAsia" w:ascii="宋体" w:hAnsi="宋体"/>
                <w:color w:val="000000"/>
              </w:rPr>
              <w:t>镇</w:t>
            </w:r>
          </w:p>
        </w:tc>
      </w:tr>
      <w:tr>
        <w:tblPrEx>
          <w:tblLayout w:type="fixed"/>
          <w:tblCellMar>
            <w:top w:w="0" w:type="dxa"/>
            <w:left w:w="108" w:type="dxa"/>
            <w:bottom w:w="0" w:type="dxa"/>
            <w:right w:w="108" w:type="dxa"/>
          </w:tblCellMar>
        </w:tblPrEx>
        <w:trPr>
          <w:trHeight w:val="659"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1.2.1</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资金来源</w:t>
            </w:r>
          </w:p>
        </w:tc>
        <w:tc>
          <w:tcPr>
            <w:tcW w:w="6487" w:type="dxa"/>
            <w:tcBorders>
              <w:top w:val="single" w:color="auto" w:sz="4" w:space="0"/>
              <w:left w:val="nil"/>
              <w:bottom w:val="single" w:color="auto" w:sz="4" w:space="0"/>
              <w:right w:val="single" w:color="auto" w:sz="4" w:space="0"/>
            </w:tcBorders>
            <w:vAlign w:val="center"/>
          </w:tcPr>
          <w:p>
            <w:pPr>
              <w:rPr>
                <w:rFonts w:ascii="宋体" w:hAnsi="宋体"/>
                <w:color w:val="auto"/>
              </w:rPr>
            </w:pPr>
            <w:r>
              <w:rPr>
                <w:rFonts w:hint="eastAsia" w:ascii="宋体" w:hAnsi="宋体"/>
                <w:color w:val="auto"/>
              </w:rPr>
              <w:t>财政补助资金（该项目先由中标人垫资建设，验收合格后由相关部门对其费用予以补助。中标人所垫资金不计利息。）</w:t>
            </w:r>
          </w:p>
        </w:tc>
      </w:tr>
      <w:tr>
        <w:tblPrEx>
          <w:tblLayout w:type="fixed"/>
          <w:tblCellMar>
            <w:top w:w="0" w:type="dxa"/>
            <w:left w:w="108" w:type="dxa"/>
            <w:bottom w:w="0" w:type="dxa"/>
            <w:right w:w="108" w:type="dxa"/>
          </w:tblCellMar>
        </w:tblPrEx>
        <w:trPr>
          <w:trHeight w:val="711"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1.3.1</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招标范围</w:t>
            </w:r>
          </w:p>
        </w:tc>
        <w:tc>
          <w:tcPr>
            <w:tcW w:w="6487" w:type="dxa"/>
            <w:tcBorders>
              <w:top w:val="single" w:color="auto" w:sz="4" w:space="0"/>
              <w:left w:val="nil"/>
              <w:bottom w:val="single" w:color="auto" w:sz="4" w:space="0"/>
              <w:right w:val="single" w:color="auto" w:sz="4" w:space="0"/>
            </w:tcBorders>
            <w:vAlign w:val="center"/>
          </w:tcPr>
          <w:p>
            <w:pPr>
              <w:pStyle w:val="26"/>
              <w:ind w:right="-153"/>
              <w:rPr>
                <w:rFonts w:ascii="宋体" w:hAnsi="宋体"/>
                <w:color w:val="000000"/>
              </w:rPr>
            </w:pPr>
            <w:r>
              <w:rPr>
                <w:rFonts w:hint="eastAsia" w:ascii="宋体" w:hAnsi="宋体" w:eastAsia="宋体" w:cs="宋体"/>
                <w:sz w:val="21"/>
                <w:szCs w:val="21"/>
              </w:rPr>
              <w:t>招标范围为招标文件、工程量清单、答疑纪要及补充文件等范围内的所有内容</w:t>
            </w:r>
            <w:r>
              <w:rPr>
                <w:rFonts w:hint="eastAsia" w:ascii="宋体" w:hAnsi="宋体"/>
                <w:color w:val="000000"/>
                <w:kern w:val="2"/>
              </w:rPr>
              <w:t xml:space="preserve"> </w:t>
            </w:r>
            <w:r>
              <w:rPr>
                <w:rFonts w:hint="eastAsia" w:ascii="宋体" w:hAnsi="宋体"/>
                <w:color w:val="000000"/>
                <w:kern w:val="2"/>
                <w:lang w:eastAsia="zh-CN"/>
              </w:rPr>
              <w:t>。</w:t>
            </w:r>
            <w:r>
              <w:rPr>
                <w:rFonts w:hint="eastAsia" w:ascii="宋体" w:hAnsi="宋体"/>
                <w:color w:val="000000"/>
                <w:kern w:val="2"/>
              </w:rPr>
              <w:t xml:space="preserve"> </w:t>
            </w:r>
          </w:p>
        </w:tc>
      </w:tr>
      <w:tr>
        <w:tblPrEx>
          <w:tblLayout w:type="fixed"/>
          <w:tblCellMar>
            <w:top w:w="0" w:type="dxa"/>
            <w:left w:w="108" w:type="dxa"/>
            <w:bottom w:w="0" w:type="dxa"/>
            <w:right w:w="108" w:type="dxa"/>
          </w:tblCellMar>
        </w:tblPrEx>
        <w:trPr>
          <w:trHeight w:val="48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1.3.2</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计划工期</w:t>
            </w:r>
          </w:p>
        </w:tc>
        <w:tc>
          <w:tcPr>
            <w:tcW w:w="6487"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auto"/>
              </w:rPr>
            </w:pPr>
            <w:r>
              <w:rPr>
                <w:rFonts w:hint="eastAsia" w:ascii="宋体" w:hAnsi="宋体"/>
                <w:color w:val="auto"/>
                <w:lang w:val="en-US" w:eastAsia="zh-CN"/>
              </w:rPr>
              <w:t>60</w:t>
            </w:r>
            <w:r>
              <w:rPr>
                <w:rFonts w:hint="eastAsia" w:ascii="宋体" w:hAnsi="宋体"/>
                <w:color w:val="auto"/>
              </w:rPr>
              <w:t>日历天</w:t>
            </w:r>
          </w:p>
        </w:tc>
      </w:tr>
      <w:tr>
        <w:tblPrEx>
          <w:tblLayout w:type="fixed"/>
          <w:tblCellMar>
            <w:top w:w="0" w:type="dxa"/>
            <w:left w:w="108" w:type="dxa"/>
            <w:bottom w:w="0" w:type="dxa"/>
            <w:right w:w="108" w:type="dxa"/>
          </w:tblCellMar>
        </w:tblPrEx>
        <w:trPr>
          <w:trHeight w:val="704"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1.3.3</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质量要求</w:t>
            </w:r>
          </w:p>
        </w:tc>
        <w:tc>
          <w:tcPr>
            <w:tcW w:w="6487" w:type="dxa"/>
            <w:tcBorders>
              <w:top w:val="single" w:color="auto" w:sz="4" w:space="0"/>
              <w:left w:val="nil"/>
              <w:bottom w:val="single" w:color="auto" w:sz="4" w:space="0"/>
              <w:right w:val="single" w:color="auto" w:sz="4" w:space="0"/>
            </w:tcBorders>
            <w:vAlign w:val="center"/>
          </w:tcPr>
          <w:p>
            <w:pPr>
              <w:spacing w:line="240" w:lineRule="auto"/>
              <w:rPr>
                <w:rFonts w:ascii="宋体" w:hAnsi="宋体"/>
                <w:color w:val="000000"/>
              </w:rPr>
            </w:pPr>
            <w:r>
              <w:rPr>
                <w:rFonts w:hint="eastAsia" w:ascii="宋体" w:hAnsi="宋体"/>
                <w:color w:val="auto"/>
              </w:rPr>
              <w:t>必须符合现行国家施工验收统一标准和相关专业验收规范的规定，工程质量达到合格标准。</w:t>
            </w:r>
          </w:p>
        </w:tc>
      </w:tr>
      <w:tr>
        <w:tblPrEx>
          <w:tblLayout w:type="fixed"/>
          <w:tblCellMar>
            <w:top w:w="0" w:type="dxa"/>
            <w:left w:w="108" w:type="dxa"/>
            <w:bottom w:w="0" w:type="dxa"/>
            <w:right w:w="108" w:type="dxa"/>
          </w:tblCellMar>
        </w:tblPrEx>
        <w:trPr>
          <w:trHeight w:val="581"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1.4.1</w:t>
            </w:r>
          </w:p>
        </w:tc>
        <w:tc>
          <w:tcPr>
            <w:tcW w:w="2138" w:type="dxa"/>
            <w:gridSpan w:val="2"/>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olor w:val="000000"/>
              </w:rPr>
            </w:pPr>
            <w:r>
              <w:rPr>
                <w:rFonts w:hint="eastAsia" w:ascii="宋体" w:hAnsi="宋体"/>
                <w:color w:val="000000"/>
              </w:rPr>
              <w:t>投标人资质条件、</w:t>
            </w:r>
          </w:p>
          <w:p>
            <w:pPr>
              <w:spacing w:line="240" w:lineRule="auto"/>
              <w:jc w:val="center"/>
              <w:rPr>
                <w:rFonts w:ascii="宋体" w:hAnsi="宋体"/>
                <w:color w:val="000000"/>
              </w:rPr>
            </w:pPr>
            <w:r>
              <w:rPr>
                <w:rFonts w:hint="eastAsia" w:ascii="宋体" w:hAnsi="宋体"/>
                <w:color w:val="000000"/>
              </w:rPr>
              <w:t>能力和信誉</w:t>
            </w:r>
          </w:p>
        </w:tc>
        <w:tc>
          <w:tcPr>
            <w:tcW w:w="6487" w:type="dxa"/>
            <w:tcBorders>
              <w:top w:val="single" w:color="auto" w:sz="4" w:space="0"/>
              <w:left w:val="nil"/>
              <w:bottom w:val="single" w:color="auto" w:sz="4" w:space="0"/>
              <w:right w:val="single" w:color="auto" w:sz="4" w:space="0"/>
            </w:tcBorders>
            <w:vAlign w:val="center"/>
          </w:tcPr>
          <w:p>
            <w:pPr>
              <w:spacing w:line="360" w:lineRule="auto"/>
              <w:rPr>
                <w:rFonts w:ascii="宋体" w:hAnsi="宋体"/>
                <w:b/>
                <w:bCs/>
              </w:rPr>
            </w:pPr>
            <w:r>
              <w:rPr>
                <w:rFonts w:hint="eastAsia" w:ascii="宋体" w:hAnsi="宋体"/>
              </w:rPr>
              <w:t>同招标公告相关要求。</w:t>
            </w:r>
          </w:p>
        </w:tc>
      </w:tr>
      <w:tr>
        <w:tblPrEx>
          <w:tblLayout w:type="fixed"/>
          <w:tblCellMar>
            <w:top w:w="0" w:type="dxa"/>
            <w:left w:w="108" w:type="dxa"/>
            <w:bottom w:w="0" w:type="dxa"/>
            <w:right w:w="108" w:type="dxa"/>
          </w:tblCellMar>
        </w:tblPrEx>
        <w:trPr>
          <w:trHeight w:val="445"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1.4.2</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是否接受联合体投标</w:t>
            </w:r>
          </w:p>
        </w:tc>
        <w:tc>
          <w:tcPr>
            <w:tcW w:w="6487"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不接受</w:t>
            </w:r>
          </w:p>
        </w:tc>
      </w:tr>
      <w:tr>
        <w:tblPrEx>
          <w:tblLayout w:type="fixed"/>
          <w:tblCellMar>
            <w:top w:w="0" w:type="dxa"/>
            <w:left w:w="108" w:type="dxa"/>
            <w:bottom w:w="0" w:type="dxa"/>
            <w:right w:w="108" w:type="dxa"/>
          </w:tblCellMar>
        </w:tblPrEx>
        <w:trPr>
          <w:trHeight w:val="465"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1.9</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踏勘现场</w:t>
            </w:r>
          </w:p>
        </w:tc>
        <w:tc>
          <w:tcPr>
            <w:tcW w:w="6487"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不组织</w:t>
            </w:r>
          </w:p>
        </w:tc>
      </w:tr>
      <w:tr>
        <w:tblPrEx>
          <w:tblLayout w:type="fixed"/>
          <w:tblCellMar>
            <w:top w:w="0" w:type="dxa"/>
            <w:left w:w="108" w:type="dxa"/>
            <w:bottom w:w="0" w:type="dxa"/>
            <w:right w:w="108" w:type="dxa"/>
          </w:tblCellMar>
        </w:tblPrEx>
        <w:trPr>
          <w:trHeight w:val="465"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1.12</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投标预备会</w:t>
            </w:r>
          </w:p>
        </w:tc>
        <w:tc>
          <w:tcPr>
            <w:tcW w:w="6487"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不召开</w:t>
            </w:r>
          </w:p>
        </w:tc>
      </w:tr>
      <w:tr>
        <w:tblPrEx>
          <w:tblLayout w:type="fixed"/>
          <w:tblCellMar>
            <w:top w:w="0" w:type="dxa"/>
            <w:left w:w="108" w:type="dxa"/>
            <w:bottom w:w="0" w:type="dxa"/>
            <w:right w:w="108" w:type="dxa"/>
          </w:tblCellMar>
        </w:tblPrEx>
        <w:trPr>
          <w:trHeight w:val="655"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2.1</w:t>
            </w:r>
          </w:p>
        </w:tc>
        <w:tc>
          <w:tcPr>
            <w:tcW w:w="2138"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构成招标文件的</w:t>
            </w:r>
          </w:p>
          <w:p>
            <w:pPr>
              <w:jc w:val="center"/>
              <w:rPr>
                <w:rFonts w:ascii="宋体" w:hAnsi="宋体"/>
                <w:color w:val="000000"/>
              </w:rPr>
            </w:pPr>
            <w:r>
              <w:rPr>
                <w:rFonts w:hint="eastAsia" w:ascii="宋体" w:hAnsi="宋体"/>
                <w:color w:val="000000"/>
              </w:rPr>
              <w:t>其他材料</w:t>
            </w:r>
          </w:p>
        </w:tc>
        <w:tc>
          <w:tcPr>
            <w:tcW w:w="6487"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图纸答疑，经备案的招标文件补充和修改文件（如有）。</w:t>
            </w:r>
          </w:p>
        </w:tc>
      </w:tr>
      <w:tr>
        <w:tblPrEx>
          <w:tblLayout w:type="fixed"/>
          <w:tblCellMar>
            <w:top w:w="0" w:type="dxa"/>
            <w:left w:w="108" w:type="dxa"/>
            <w:bottom w:w="0" w:type="dxa"/>
            <w:right w:w="108" w:type="dxa"/>
          </w:tblCellMar>
        </w:tblPrEx>
        <w:trPr>
          <w:trHeight w:val="906"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2.1.1</w:t>
            </w:r>
          </w:p>
        </w:tc>
        <w:tc>
          <w:tcPr>
            <w:tcW w:w="2138" w:type="dxa"/>
            <w:gridSpan w:val="2"/>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olor w:val="000000"/>
              </w:rPr>
            </w:pPr>
            <w:r>
              <w:rPr>
                <w:rFonts w:hint="eastAsia" w:ascii="宋体" w:hAnsi="宋体"/>
                <w:color w:val="000000"/>
              </w:rPr>
              <w:t>招标文件、工程量清单及图纸的获取</w:t>
            </w:r>
          </w:p>
        </w:tc>
        <w:tc>
          <w:tcPr>
            <w:tcW w:w="6487"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olor w:val="000000" w:themeColor="text1"/>
              </w:rPr>
            </w:pPr>
            <w:r>
              <w:rPr>
                <w:rFonts w:hint="eastAsia" w:ascii="宋体" w:hAnsi="宋体"/>
                <w:color w:val="000000" w:themeColor="text1"/>
              </w:rPr>
              <w:t>招标文件、工程量清单和图纸的获取：投标人于投标文件递交截止时间前均可登录【全国公共资源交易平台(河南省▪许昌市)】</w:t>
            </w:r>
            <w:r>
              <w:rPr>
                <w:rFonts w:hint="eastAsia" w:ascii="宋体" w:hAnsi="宋体"/>
                <w:b/>
                <w:bCs/>
                <w:color w:val="000000" w:themeColor="text1"/>
              </w:rPr>
              <w:t>（http://ggzy.xuchang.gov.cn/</w:t>
            </w:r>
            <w:r>
              <w:rPr>
                <w:rFonts w:hint="eastAsia" w:ascii="宋体" w:hAnsi="宋体"/>
                <w:color w:val="000000" w:themeColor="text1"/>
              </w:rPr>
              <w:t>），通过“投标人/供应商登录”后自行下载。</w:t>
            </w:r>
          </w:p>
        </w:tc>
      </w:tr>
      <w:tr>
        <w:tblPrEx>
          <w:tblLayout w:type="fixed"/>
          <w:tblCellMar>
            <w:top w:w="0" w:type="dxa"/>
            <w:left w:w="108" w:type="dxa"/>
            <w:bottom w:w="0" w:type="dxa"/>
            <w:right w:w="108" w:type="dxa"/>
          </w:tblCellMar>
        </w:tblPrEx>
        <w:trPr>
          <w:trHeight w:val="681"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2.2.1</w:t>
            </w:r>
          </w:p>
        </w:tc>
        <w:tc>
          <w:tcPr>
            <w:tcW w:w="21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投标人提出异议的</w:t>
            </w:r>
          </w:p>
          <w:p>
            <w:pPr>
              <w:jc w:val="center"/>
              <w:rPr>
                <w:rFonts w:ascii="宋体" w:hAnsi="宋体"/>
                <w:color w:val="000000"/>
              </w:rPr>
            </w:pPr>
            <w:r>
              <w:rPr>
                <w:rFonts w:hint="eastAsia" w:ascii="宋体" w:hAnsi="宋体"/>
                <w:color w:val="000000"/>
              </w:rPr>
              <w:t>截止时间</w:t>
            </w:r>
          </w:p>
        </w:tc>
        <w:tc>
          <w:tcPr>
            <w:tcW w:w="648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rPr>
            </w:pPr>
            <w:r>
              <w:rPr>
                <w:rFonts w:hint="eastAsia" w:ascii="宋体" w:hAnsi="宋体"/>
                <w:color w:val="000000"/>
              </w:rPr>
              <w:t>投标截止时间10日前。未按规定提出问题的视为投标人已熟知并响应招标文件的内容和要求。</w:t>
            </w:r>
          </w:p>
        </w:tc>
      </w:tr>
      <w:tr>
        <w:tblPrEx>
          <w:tblLayout w:type="fixed"/>
          <w:tblCellMar>
            <w:top w:w="0" w:type="dxa"/>
            <w:left w:w="108" w:type="dxa"/>
            <w:bottom w:w="0" w:type="dxa"/>
            <w:right w:w="108" w:type="dxa"/>
          </w:tblCellMar>
        </w:tblPrEx>
        <w:trPr>
          <w:trHeight w:val="630"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2.2.2</w:t>
            </w:r>
          </w:p>
        </w:tc>
        <w:tc>
          <w:tcPr>
            <w:tcW w:w="2138"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招标人答复异议</w:t>
            </w:r>
          </w:p>
          <w:p>
            <w:pPr>
              <w:jc w:val="center"/>
              <w:rPr>
                <w:rFonts w:ascii="宋体" w:hAnsi="宋体"/>
                <w:color w:val="000000"/>
              </w:rPr>
            </w:pPr>
            <w:r>
              <w:rPr>
                <w:rFonts w:hint="eastAsia" w:ascii="宋体" w:hAnsi="宋体"/>
                <w:color w:val="000000"/>
              </w:rPr>
              <w:t>的时间</w:t>
            </w:r>
          </w:p>
        </w:tc>
        <w:tc>
          <w:tcPr>
            <w:tcW w:w="6487"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自收到异议之日起3日内作出答复</w:t>
            </w:r>
          </w:p>
        </w:tc>
      </w:tr>
      <w:tr>
        <w:tblPrEx>
          <w:tblLayout w:type="fixed"/>
          <w:tblCellMar>
            <w:top w:w="0" w:type="dxa"/>
            <w:left w:w="108" w:type="dxa"/>
            <w:bottom w:w="0" w:type="dxa"/>
            <w:right w:w="108" w:type="dxa"/>
          </w:tblCellMar>
        </w:tblPrEx>
        <w:trPr>
          <w:trHeight w:val="670"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2.3.1</w:t>
            </w:r>
          </w:p>
        </w:tc>
        <w:tc>
          <w:tcPr>
            <w:tcW w:w="2138"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招标人澄清和修改</w:t>
            </w:r>
          </w:p>
          <w:p>
            <w:pPr>
              <w:jc w:val="center"/>
              <w:rPr>
                <w:rFonts w:ascii="宋体" w:hAnsi="宋体"/>
                <w:color w:val="000000"/>
              </w:rPr>
            </w:pPr>
            <w:r>
              <w:rPr>
                <w:rFonts w:hint="eastAsia" w:ascii="宋体" w:hAnsi="宋体"/>
                <w:color w:val="000000"/>
              </w:rPr>
              <w:t>招标文件的时间</w:t>
            </w:r>
          </w:p>
        </w:tc>
        <w:tc>
          <w:tcPr>
            <w:tcW w:w="6487"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投标截止时间15日前</w:t>
            </w:r>
          </w:p>
        </w:tc>
      </w:tr>
      <w:tr>
        <w:tblPrEx>
          <w:tblLayout w:type="fixed"/>
          <w:tblCellMar>
            <w:top w:w="0" w:type="dxa"/>
            <w:left w:w="108" w:type="dxa"/>
            <w:bottom w:w="0" w:type="dxa"/>
            <w:right w:w="108" w:type="dxa"/>
          </w:tblCellMar>
        </w:tblPrEx>
        <w:trPr>
          <w:trHeight w:val="430"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3.3.1</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投标有效期</w:t>
            </w:r>
          </w:p>
        </w:tc>
        <w:tc>
          <w:tcPr>
            <w:tcW w:w="6487"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rPr>
            </w:pPr>
            <w:r>
              <w:rPr>
                <w:rFonts w:hint="eastAsia" w:ascii="宋体" w:hAnsi="宋体" w:cs="仿宋_GB2312"/>
                <w:kern w:val="0"/>
              </w:rPr>
              <w:t>60日历天（从投标截止之日算起）</w:t>
            </w:r>
          </w:p>
        </w:tc>
      </w:tr>
      <w:tr>
        <w:tblPrEx>
          <w:tblLayout w:type="fixed"/>
          <w:tblCellMar>
            <w:top w:w="0" w:type="dxa"/>
            <w:left w:w="108" w:type="dxa"/>
            <w:bottom w:w="0" w:type="dxa"/>
            <w:right w:w="108" w:type="dxa"/>
          </w:tblCellMar>
        </w:tblPrEx>
        <w:trPr>
          <w:trHeight w:val="1900"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000000"/>
              </w:rPr>
            </w:pP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olor w:val="000000"/>
              </w:rPr>
            </w:pPr>
          </w:p>
        </w:tc>
        <w:tc>
          <w:tcPr>
            <w:tcW w:w="64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rPr>
            </w:pPr>
            <w:r>
              <w:rPr>
                <w:rFonts w:ascii="宋体" w:hAnsi="宋体"/>
                <w:color w:val="auto"/>
              </w:rPr>
              <w:t>1</w:t>
            </w:r>
            <w:r>
              <w:rPr>
                <w:rFonts w:hint="eastAsia" w:ascii="宋体" w:hAnsi="宋体"/>
                <w:color w:val="auto"/>
              </w:rPr>
              <w:t>、投标保证金的递交方式：银行转帐、银行电汇（均需从投标人的基本账户汇出），不接受以现金方式缴纳的投标保证金。凡以现金方式缴纳投标保证金而影响其投标结果的，由投标人自行负责。</w:t>
            </w:r>
            <w:r>
              <w:rPr>
                <w:rFonts w:ascii="宋体" w:hAnsi="宋体"/>
                <w:color w:val="auto"/>
              </w:rPr>
              <w:t xml:space="preserve"> </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仿宋_GB2312"/>
                <w:kern w:val="0"/>
              </w:rPr>
            </w:pPr>
            <w:r>
              <w:rPr>
                <w:rFonts w:hint="eastAsia" w:ascii="宋体" w:hAnsi="宋体"/>
                <w:color w:val="auto"/>
              </w:rPr>
              <w:t>使用银行转帐形式的，于截止时间前通过投标人基本账户将款项一次足额递交、成功绑定，以收款人到账时间为准，在途资金无效，视为</w:t>
            </w:r>
          </w:p>
        </w:tc>
      </w:tr>
      <w:tr>
        <w:tblPrEx>
          <w:tblLayout w:type="fixed"/>
          <w:tblCellMar>
            <w:top w:w="0" w:type="dxa"/>
            <w:left w:w="108" w:type="dxa"/>
            <w:bottom w:w="0" w:type="dxa"/>
            <w:right w:w="108" w:type="dxa"/>
          </w:tblCellMar>
        </w:tblPrEx>
        <w:trPr>
          <w:trHeight w:val="5730"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000000"/>
              </w:rPr>
            </w:pPr>
            <w:r>
              <w:rPr>
                <w:rFonts w:hint="eastAsia" w:ascii="宋体" w:hAnsi="宋体"/>
                <w:color w:val="000000"/>
              </w:rPr>
              <w:t>3.4.1</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olor w:val="000000"/>
              </w:rPr>
            </w:pPr>
            <w:r>
              <w:rPr>
                <w:rFonts w:hint="eastAsia" w:ascii="宋体" w:hAnsi="宋体"/>
              </w:rPr>
              <w:t>投标保证金须知</w:t>
            </w:r>
          </w:p>
        </w:tc>
        <w:tc>
          <w:tcPr>
            <w:tcW w:w="64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rPr>
            </w:pPr>
            <w:r>
              <w:rPr>
                <w:rFonts w:hint="eastAsia" w:ascii="宋体" w:hAnsi="宋体"/>
                <w:color w:val="auto"/>
              </w:rPr>
              <w:t>未按时交纳。同时投标人应承担节假日银行系统不能支付的风险。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rPr>
            </w:pPr>
            <w:r>
              <w:rPr>
                <w:rFonts w:ascii="宋体" w:hAnsi="宋体"/>
                <w:color w:val="auto"/>
              </w:rPr>
              <w:t>2</w:t>
            </w:r>
            <w:r>
              <w:rPr>
                <w:rFonts w:hint="eastAsia" w:ascii="宋体" w:hAnsi="宋体"/>
                <w:color w:val="auto"/>
              </w:rPr>
              <w:t>、因投标人的原因无法及时退还投标（竞买）保证金、滞留三年以上的投标（竞买）保证金上缴财政。</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rPr>
            </w:pPr>
            <w:r>
              <w:rPr>
                <w:rFonts w:ascii="宋体" w:hAnsi="宋体"/>
                <w:color w:val="auto"/>
              </w:rPr>
              <w:t>3</w:t>
            </w:r>
            <w:r>
              <w:rPr>
                <w:rFonts w:hint="eastAsia" w:ascii="宋体" w:hAnsi="宋体"/>
                <w:color w:val="auto"/>
              </w:rPr>
              <w:t>、自文件发布之日起，投标人需进行基本户备案（建设工程项目），已备案的基本户开户银行、账户发生变化的，须重新办理备案手续。备案后方可提交投标（竞买）保证金。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rPr>
            </w:pPr>
            <w:r>
              <w:rPr>
                <w:rFonts w:ascii="宋体" w:hAnsi="宋体"/>
                <w:color w:val="auto"/>
              </w:rPr>
              <w:t>4</w:t>
            </w:r>
            <w:r>
              <w:rPr>
                <w:rFonts w:hint="eastAsia" w:ascii="宋体" w:hAnsi="宋体"/>
                <w:color w:val="auto"/>
              </w:rPr>
              <w:t>、基本户备案流程</w:t>
            </w:r>
            <w:r>
              <w:rPr>
                <w:rFonts w:ascii="宋体" w:hAnsi="宋体"/>
                <w:color w:val="auto"/>
              </w:rPr>
              <w:t>:</w:t>
            </w:r>
            <w:r>
              <w:rPr>
                <w:rFonts w:hint="eastAsia" w:ascii="宋体" w:hAnsi="宋体"/>
                <w:color w:val="auto"/>
              </w:rPr>
              <w:t>工程建设项目的投标人登录注册网址</w:t>
            </w:r>
            <w:r>
              <w:rPr>
                <w:rFonts w:ascii="宋体" w:hAnsi="宋体"/>
                <w:b/>
                <w:bCs/>
                <w:color w:val="auto"/>
              </w:rPr>
              <w:t>:</w:t>
            </w:r>
            <w:r>
              <w:rPr>
                <w:rFonts w:ascii="宋体" w:hAnsi="宋体"/>
                <w:b/>
                <w:bCs/>
                <w:color w:val="auto"/>
                <w:u w:val="none"/>
              </w:rPr>
              <w:fldChar w:fldCharType="begin"/>
            </w:r>
            <w:r>
              <w:rPr>
                <w:rFonts w:ascii="宋体" w:hAnsi="宋体"/>
                <w:b/>
                <w:bCs/>
                <w:color w:val="auto"/>
                <w:u w:val="none"/>
              </w:rPr>
              <w:instrText xml:space="preserve"> HYPERLINK "http://221.14.6.70:8088/ggzy/" </w:instrText>
            </w:r>
            <w:r>
              <w:rPr>
                <w:rFonts w:ascii="宋体" w:hAnsi="宋体"/>
                <w:b/>
                <w:bCs/>
                <w:color w:val="auto"/>
                <w:u w:val="none"/>
              </w:rPr>
              <w:fldChar w:fldCharType="separate"/>
            </w:r>
            <w:r>
              <w:rPr>
                <w:rStyle w:val="19"/>
                <w:rFonts w:ascii="宋体" w:hAnsi="宋体"/>
                <w:b/>
                <w:bCs/>
              </w:rPr>
              <w:t>http://221.14.6.70:8088/ggzy/</w:t>
            </w:r>
            <w:r>
              <w:rPr>
                <w:rFonts w:ascii="宋体" w:hAnsi="宋体"/>
                <w:b/>
                <w:bCs/>
                <w:color w:val="auto"/>
                <w:u w:val="none"/>
              </w:rPr>
              <w:fldChar w:fldCharType="end"/>
            </w:r>
            <w:r>
              <w:rPr>
                <w:rFonts w:hint="eastAsia" w:ascii="宋体" w:hAnsi="宋体"/>
                <w:color w:val="auto"/>
              </w:rPr>
              <w:t>，进行系统用户注册，在注册流程中“银行账户”环节，增加“账户类别</w:t>
            </w:r>
            <w:r>
              <w:rPr>
                <w:rFonts w:ascii="宋体"/>
                <w:color w:val="auto"/>
              </w:rPr>
              <w:t>-</w:t>
            </w:r>
            <w:r>
              <w:rPr>
                <w:rFonts w:hint="eastAsia" w:ascii="宋体" w:hAnsi="宋体"/>
                <w:color w:val="auto"/>
              </w:rPr>
              <w:t>基本账户”，填写投标人基本账户信息，扫描上传基本户开户许可证（两者信息必须相符），保存备案信息，提交并绑定</w:t>
            </w:r>
            <w:r>
              <w:rPr>
                <w:rFonts w:ascii="宋体" w:hAnsi="宋体"/>
                <w:color w:val="auto"/>
              </w:rPr>
              <w:t>CA</w:t>
            </w:r>
            <w:r>
              <w:rPr>
                <w:rFonts w:hint="eastAsia" w:ascii="宋体" w:hAnsi="宋体"/>
                <w:color w:val="auto"/>
              </w:rPr>
              <w:t>后可缴纳、绑定投标保证金。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color w:val="auto"/>
              </w:rPr>
            </w:pPr>
            <w:r>
              <w:rPr>
                <w:rFonts w:ascii="宋体" w:hAnsi="宋体"/>
                <w:color w:val="auto"/>
              </w:rPr>
              <w:t>5</w:t>
            </w:r>
            <w:r>
              <w:rPr>
                <w:rFonts w:hint="eastAsia" w:ascii="宋体" w:hAnsi="宋体"/>
                <w:color w:val="auto"/>
              </w:rPr>
              <w:t>、特殊情况处理：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仿宋_GB2312"/>
                <w:kern w:val="0"/>
              </w:rPr>
            </w:pPr>
            <w:r>
              <w:rPr>
                <w:rFonts w:hint="eastAsia" w:ascii="宋体" w:hAnsi="宋体"/>
                <w:color w:val="auto"/>
              </w:rPr>
              <w:t>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hAnsi="宋体"/>
                <w:color w:val="auto"/>
              </w:rPr>
              <w:t>0374-8112523</w:t>
            </w:r>
            <w:r>
              <w:rPr>
                <w:rFonts w:hint="eastAsia" w:ascii="宋体" w:hAnsi="宋体"/>
                <w:color w:val="auto"/>
              </w:rPr>
              <w:t>）。</w:t>
            </w:r>
          </w:p>
        </w:tc>
      </w:tr>
      <w:tr>
        <w:tblPrEx>
          <w:tblLayout w:type="fixed"/>
          <w:tblCellMar>
            <w:top w:w="0" w:type="dxa"/>
            <w:left w:w="108" w:type="dxa"/>
            <w:bottom w:w="0" w:type="dxa"/>
            <w:right w:w="108" w:type="dxa"/>
          </w:tblCellMar>
        </w:tblPrEx>
        <w:trPr>
          <w:trHeight w:val="865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color w:val="000000"/>
              </w:rPr>
            </w:pPr>
          </w:p>
        </w:tc>
        <w:tc>
          <w:tcPr>
            <w:tcW w:w="213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000000"/>
              </w:rPr>
            </w:pPr>
          </w:p>
        </w:tc>
        <w:tc>
          <w:tcPr>
            <w:tcW w:w="6487"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eastAsia" w:ascii="宋体" w:hAnsi="宋体" w:eastAsia="宋体" w:cs="宋体"/>
              </w:rPr>
            </w:pPr>
            <w:r>
              <w:rPr>
                <w:rFonts w:hint="eastAsia" w:ascii="宋体" w:hAnsi="宋体" w:eastAsia="宋体" w:cs="宋体"/>
              </w:rPr>
              <w:t>1、投标保证金递交截止时间：同投标截止时间</w:t>
            </w: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eastAsia" w:ascii="宋体" w:hAnsi="宋体" w:eastAsia="宋体" w:cs="宋体"/>
              </w:rPr>
            </w:pPr>
            <w:r>
              <w:rPr>
                <w:rFonts w:hint="eastAsia" w:ascii="宋体" w:hAnsi="宋体" w:eastAsia="宋体" w:cs="宋体"/>
              </w:rPr>
              <w:t>2、投标保证金金额</w:t>
            </w:r>
            <w:r>
              <w:rPr>
                <w:rFonts w:hint="eastAsia" w:ascii="宋体" w:hAnsi="宋体" w:eastAsia="宋体" w:cs="宋体"/>
                <w:lang w:eastAsia="zh-CN"/>
              </w:rPr>
              <w:t>：</w:t>
            </w:r>
            <w:r>
              <w:rPr>
                <w:rFonts w:hint="eastAsia" w:ascii="宋体" w:hAnsi="宋体" w:cs="宋体"/>
                <w:b/>
                <w:bCs/>
                <w:lang w:eastAsia="zh-CN"/>
              </w:rPr>
              <w:t>贰</w:t>
            </w:r>
            <w:r>
              <w:rPr>
                <w:rFonts w:hint="eastAsia" w:ascii="宋体" w:hAnsi="宋体" w:eastAsia="宋体" w:cs="宋体"/>
                <w:b/>
                <w:bCs/>
                <w:lang w:eastAsia="zh-CN"/>
              </w:rPr>
              <w:t>拾万元</w:t>
            </w:r>
            <w:r>
              <w:rPr>
                <w:rFonts w:hint="eastAsia" w:ascii="宋体" w:hAnsi="宋体" w:eastAsia="宋体" w:cs="宋体"/>
                <w:b/>
                <w:bCs/>
              </w:rPr>
              <w:t>整（￥</w:t>
            </w:r>
            <w:r>
              <w:rPr>
                <w:rFonts w:hint="eastAsia" w:ascii="宋体" w:hAnsi="宋体" w:cs="宋体"/>
                <w:b/>
                <w:bCs/>
                <w:lang w:val="en-US" w:eastAsia="zh-CN"/>
              </w:rPr>
              <w:t>2</w:t>
            </w:r>
            <w:r>
              <w:rPr>
                <w:rFonts w:hint="eastAsia" w:ascii="宋体" w:hAnsi="宋体" w:eastAsia="宋体" w:cs="宋体"/>
                <w:b/>
                <w:bCs/>
                <w:lang w:val="en-US" w:eastAsia="zh-CN"/>
              </w:rPr>
              <w:t>00</w:t>
            </w:r>
            <w:r>
              <w:rPr>
                <w:rFonts w:hint="eastAsia" w:ascii="宋体" w:hAnsi="宋体" w:eastAsia="宋体" w:cs="宋体"/>
                <w:b/>
                <w:bCs/>
              </w:rPr>
              <w:t>000.00元） </w:t>
            </w: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eastAsia" w:ascii="宋体" w:hAnsi="宋体" w:eastAsia="宋体" w:cs="宋体"/>
              </w:rPr>
            </w:pPr>
            <w:r>
              <w:rPr>
                <w:rFonts w:hint="eastAsia" w:ascii="宋体" w:hAnsi="宋体" w:eastAsia="宋体" w:cs="宋体"/>
              </w:rPr>
              <w:t>3、投标保证金缴纳方式：</w:t>
            </w: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eastAsia" w:ascii="宋体" w:hAnsi="宋体" w:eastAsia="宋体" w:cs="宋体"/>
              </w:rPr>
            </w:pPr>
            <w:r>
              <w:rPr>
                <w:rFonts w:hint="eastAsia" w:ascii="宋体" w:hAnsi="宋体" w:eastAsia="宋体" w:cs="宋体"/>
              </w:rPr>
              <w:t>3.1投标人网上报名后，登录</w:t>
            </w:r>
            <w:r>
              <w:rPr>
                <w:rFonts w:ascii="宋体" w:hAnsi="宋体"/>
                <w:b/>
                <w:bCs/>
                <w:color w:val="auto"/>
                <w:u w:val="none"/>
              </w:rPr>
              <w:fldChar w:fldCharType="begin"/>
            </w:r>
            <w:r>
              <w:rPr>
                <w:rFonts w:ascii="宋体" w:hAnsi="宋体"/>
                <w:b/>
                <w:bCs/>
                <w:color w:val="auto"/>
                <w:u w:val="none"/>
              </w:rPr>
              <w:instrText xml:space="preserve"> HYPERLINK "http://221.14.6.70:8088/ggzy" </w:instrText>
            </w:r>
            <w:r>
              <w:rPr>
                <w:rFonts w:ascii="宋体" w:hAnsi="宋体"/>
                <w:b/>
                <w:bCs/>
                <w:color w:val="auto"/>
                <w:u w:val="none"/>
              </w:rPr>
              <w:fldChar w:fldCharType="separate"/>
            </w:r>
            <w:r>
              <w:rPr>
                <w:rStyle w:val="19"/>
                <w:rFonts w:ascii="宋体" w:hAnsi="宋体"/>
                <w:b/>
                <w:bCs/>
              </w:rPr>
              <w:t>http://221.14.6.70:8088/ggzy</w:t>
            </w:r>
            <w:r>
              <w:rPr>
                <w:rFonts w:ascii="宋体" w:hAnsi="宋体"/>
                <w:b/>
                <w:bCs/>
                <w:color w:val="auto"/>
                <w:u w:val="none"/>
              </w:rPr>
              <w:fldChar w:fldCharType="end"/>
            </w:r>
            <w:r>
              <w:rPr>
                <w:rFonts w:hint="eastAsia" w:ascii="宋体" w:hAnsi="宋体" w:eastAsia="宋体" w:cs="宋体"/>
                <w:b/>
                <w:bCs/>
              </w:rPr>
              <w:t>系</w:t>
            </w:r>
            <w:r>
              <w:rPr>
                <w:rFonts w:hint="eastAsia" w:ascii="宋体" w:hAnsi="宋体" w:eastAsia="宋体" w:cs="宋体"/>
              </w:rPr>
              <w:t>统，依次点击“会员向导”→“参与投标”→“费用缴纳说明”→“保证金缴纳说明单”，获取缴费说明单，根据每个标段的缴纳说明单在缴纳截止时间前缴纳；</w:t>
            </w: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eastAsia" w:ascii="宋体" w:hAnsi="宋体" w:eastAsia="宋体" w:cs="宋体"/>
              </w:rPr>
            </w:pPr>
            <w:r>
              <w:rPr>
                <w:rFonts w:hint="eastAsia" w:ascii="宋体" w:hAnsi="宋体" w:eastAsia="宋体" w:cs="宋体"/>
              </w:rPr>
              <w:t>3.2成功缴纳后重新登录前述系统，依次点击“会员向导”→“参与投标”→“保证金绑定”→“绑定”进行投标保证金绑定。</w:t>
            </w: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eastAsia" w:ascii="宋体" w:hAnsi="宋体" w:eastAsia="宋体" w:cs="宋体"/>
              </w:rPr>
            </w:pPr>
            <w:r>
              <w:rPr>
                <w:rFonts w:hint="eastAsia" w:ascii="宋体" w:hAnsi="宋体" w:eastAsia="宋体" w:cs="宋体"/>
              </w:rPr>
              <w:t>3.3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eastAsia" w:ascii="宋体" w:hAnsi="宋体" w:eastAsia="宋体" w:cs="宋体"/>
              </w:rPr>
            </w:pPr>
            <w:r>
              <w:rPr>
                <w:rFonts w:hint="eastAsia" w:ascii="宋体" w:hAnsi="宋体" w:eastAsia="宋体" w:cs="宋体"/>
              </w:rPr>
              <w:t>3.4 每个投标人每个项目每个标段只有唯一缴纳账号，切勿重复缴纳或错误缴纳。</w:t>
            </w: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eastAsia" w:ascii="宋体" w:hAnsi="宋体" w:eastAsia="宋体" w:cs="宋体"/>
              </w:rPr>
            </w:pPr>
            <w:r>
              <w:rPr>
                <w:rFonts w:hint="eastAsia" w:ascii="宋体" w:hAnsi="宋体" w:eastAsia="宋体" w:cs="宋体"/>
              </w:rPr>
              <w:t>保证金缴纳绑定问题咨询电话:0374-2961598。</w:t>
            </w: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eastAsia" w:ascii="宋体" w:hAnsi="宋体" w:eastAsia="宋体" w:cs="宋体"/>
              </w:rPr>
            </w:pPr>
            <w:r>
              <w:rPr>
                <w:rFonts w:hint="eastAsia" w:ascii="宋体" w:hAnsi="宋体" w:eastAsia="宋体" w:cs="宋体"/>
              </w:rPr>
              <w:t>4、未按上述规定操作引起的无效投标，由投标人自行负责。</w:t>
            </w: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eastAsia" w:ascii="宋体" w:hAnsi="宋体" w:eastAsia="宋体" w:cs="宋体"/>
              </w:rPr>
            </w:pPr>
            <w:r>
              <w:rPr>
                <w:rFonts w:hint="eastAsia" w:ascii="宋体" w:hAnsi="宋体" w:eastAsia="宋体" w:cs="宋体"/>
              </w:rPr>
              <w:t>5、汇款凭证无须备注项目编号和项目名称。</w:t>
            </w: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eastAsia" w:ascii="宋体" w:hAnsi="宋体" w:eastAsia="宋体" w:cs="宋体"/>
              </w:rPr>
            </w:pPr>
            <w:r>
              <w:rPr>
                <w:rFonts w:hint="eastAsia" w:ascii="宋体" w:hAnsi="宋体" w:eastAsia="宋体" w:cs="宋体"/>
              </w:rPr>
              <w:t>6、出现以下情形造成的投标保证金无效，由投标人自行负责。</w:t>
            </w: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eastAsia" w:ascii="宋体" w:hAnsi="宋体" w:eastAsia="宋体" w:cs="宋体"/>
              </w:rPr>
            </w:pPr>
            <w:r>
              <w:rPr>
                <w:rFonts w:hint="eastAsia" w:ascii="宋体" w:hAnsi="宋体" w:eastAsia="宋体" w:cs="宋体"/>
              </w:rPr>
              <w:t>(1)投标保证金未从投标人的基本账户转出；</w:t>
            </w: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eastAsia" w:ascii="宋体" w:hAnsi="宋体" w:eastAsia="宋体" w:cs="宋体"/>
              </w:rPr>
            </w:pPr>
            <w:r>
              <w:rPr>
                <w:rFonts w:hint="eastAsia" w:ascii="宋体" w:hAnsi="宋体" w:eastAsia="宋体" w:cs="宋体"/>
              </w:rPr>
              <w:t>(2)投标保证金未按照招标文件划分的标段依次转账。</w:t>
            </w: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pPr>
            <w:r>
              <w:rPr>
                <w:rFonts w:hint="eastAsia" w:ascii="宋体" w:hAnsi="宋体" w:eastAsia="宋体" w:cs="宋体"/>
              </w:rPr>
              <w:t>7、《保证金缴纳绑定操作指南》获取方法：登录许昌公共资源交易系统-组件下载-《保证金缴纳绑定操作指南》</w:t>
            </w:r>
          </w:p>
        </w:tc>
      </w:tr>
      <w:tr>
        <w:tblPrEx>
          <w:tblLayout w:type="fixed"/>
          <w:tblCellMar>
            <w:top w:w="0" w:type="dxa"/>
            <w:left w:w="108" w:type="dxa"/>
            <w:bottom w:w="0" w:type="dxa"/>
            <w:right w:w="108" w:type="dxa"/>
          </w:tblCellMar>
        </w:tblPrEx>
        <w:trPr>
          <w:trHeight w:val="184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3.4.2</w:t>
            </w:r>
          </w:p>
        </w:tc>
        <w:tc>
          <w:tcPr>
            <w:tcW w:w="21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投标保证金</w:t>
            </w:r>
          </w:p>
        </w:tc>
        <w:tc>
          <w:tcPr>
            <w:tcW w:w="64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rPr>
            </w:pPr>
            <w:r>
              <w:rPr>
                <w:rFonts w:hint="eastAsia" w:ascii="宋体" w:hAnsi="宋体"/>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Layout w:type="fixed"/>
          <w:tblCellMar>
            <w:top w:w="0" w:type="dxa"/>
            <w:left w:w="108" w:type="dxa"/>
            <w:bottom w:w="0" w:type="dxa"/>
            <w:right w:w="108" w:type="dxa"/>
          </w:tblCellMar>
        </w:tblPrEx>
        <w:trPr>
          <w:trHeight w:val="824"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3.5.2</w:t>
            </w:r>
          </w:p>
        </w:tc>
        <w:tc>
          <w:tcPr>
            <w:tcW w:w="213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rPr>
            </w:pPr>
            <w:r>
              <w:rPr>
                <w:rFonts w:hint="eastAsia" w:ascii="宋体" w:hAnsi="宋体"/>
                <w:color w:val="000000"/>
              </w:rPr>
              <w:t>近年财务状况的</w:t>
            </w:r>
          </w:p>
          <w:p>
            <w:pPr>
              <w:spacing w:line="240" w:lineRule="auto"/>
              <w:jc w:val="center"/>
              <w:rPr>
                <w:rFonts w:ascii="宋体" w:hAnsi="宋体"/>
                <w:color w:val="000000"/>
              </w:rPr>
            </w:pPr>
            <w:r>
              <w:rPr>
                <w:rFonts w:hint="eastAsia" w:ascii="宋体" w:hAnsi="宋体"/>
                <w:color w:val="000000"/>
              </w:rPr>
              <w:t>年份要求</w:t>
            </w:r>
          </w:p>
        </w:tc>
        <w:tc>
          <w:tcPr>
            <w:tcW w:w="6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rPr>
            </w:pPr>
            <w:r>
              <w:rPr>
                <w:rFonts w:hint="eastAsia" w:ascii="宋体" w:hAnsi="宋体" w:cs="Times New Roman"/>
              </w:rPr>
              <w:t>近三年度，指2016年度、2017年度、2018年度（投标人的成立时间少于三年的应提供成立以来的财务状况表）。</w:t>
            </w:r>
          </w:p>
        </w:tc>
      </w:tr>
      <w:tr>
        <w:tblPrEx>
          <w:tblLayout w:type="fixed"/>
          <w:tblCellMar>
            <w:top w:w="0" w:type="dxa"/>
            <w:left w:w="108" w:type="dxa"/>
            <w:bottom w:w="0" w:type="dxa"/>
            <w:right w:w="108" w:type="dxa"/>
          </w:tblCellMar>
        </w:tblPrEx>
        <w:trPr>
          <w:trHeight w:val="659"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3.5.3</w:t>
            </w:r>
          </w:p>
        </w:tc>
        <w:tc>
          <w:tcPr>
            <w:tcW w:w="2138"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近年完成的类似项目的年份要求</w:t>
            </w:r>
          </w:p>
        </w:tc>
        <w:tc>
          <w:tcPr>
            <w:tcW w:w="6487"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s="TimesNewRomanPSMT"/>
                <w:color w:val="000000"/>
                <w:kern w:val="0"/>
              </w:rPr>
              <w:t>指2016年1月1日至今</w:t>
            </w:r>
          </w:p>
        </w:tc>
      </w:tr>
      <w:tr>
        <w:tblPrEx>
          <w:tblLayout w:type="fixed"/>
          <w:tblCellMar>
            <w:top w:w="0" w:type="dxa"/>
            <w:left w:w="108" w:type="dxa"/>
            <w:bottom w:w="0" w:type="dxa"/>
            <w:right w:w="108" w:type="dxa"/>
          </w:tblCellMar>
        </w:tblPrEx>
        <w:trPr>
          <w:trHeight w:val="69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rPr>
            </w:pPr>
            <w:r>
              <w:rPr>
                <w:rFonts w:hint="eastAsia" w:ascii="宋体" w:hAnsi="宋体"/>
                <w:color w:val="000000"/>
              </w:rPr>
              <w:t>3.5.4</w:t>
            </w:r>
          </w:p>
        </w:tc>
        <w:tc>
          <w:tcPr>
            <w:tcW w:w="2138" w:type="dxa"/>
            <w:gridSpan w:val="2"/>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olor w:val="000000"/>
              </w:rPr>
            </w:pPr>
            <w:r>
              <w:rPr>
                <w:rFonts w:hint="eastAsia" w:ascii="宋体" w:hAnsi="宋体"/>
                <w:color w:val="000000"/>
              </w:rPr>
              <w:t>近年发生的诉讼及仲裁情况的年份要求</w:t>
            </w:r>
          </w:p>
        </w:tc>
        <w:tc>
          <w:tcPr>
            <w:tcW w:w="6487"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s="TimesNewRomanPSMT"/>
                <w:color w:val="000000"/>
                <w:kern w:val="0"/>
              </w:rPr>
              <w:t>指2016年1月1日至今</w:t>
            </w:r>
          </w:p>
        </w:tc>
      </w:tr>
      <w:tr>
        <w:tblPrEx>
          <w:tblLayout w:type="fixed"/>
          <w:tblCellMar>
            <w:top w:w="0" w:type="dxa"/>
            <w:left w:w="108" w:type="dxa"/>
            <w:bottom w:w="0" w:type="dxa"/>
            <w:right w:w="108" w:type="dxa"/>
          </w:tblCellMar>
        </w:tblPrEx>
        <w:trPr>
          <w:trHeight w:val="569"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3.6</w:t>
            </w:r>
          </w:p>
        </w:tc>
        <w:tc>
          <w:tcPr>
            <w:tcW w:w="2138"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是否允许递交备选</w:t>
            </w:r>
          </w:p>
          <w:p>
            <w:pPr>
              <w:jc w:val="center"/>
              <w:rPr>
                <w:rFonts w:ascii="宋体" w:hAnsi="宋体"/>
                <w:color w:val="000000"/>
              </w:rPr>
            </w:pPr>
            <w:r>
              <w:rPr>
                <w:rFonts w:hint="eastAsia" w:ascii="宋体" w:hAnsi="宋体"/>
                <w:color w:val="000000"/>
              </w:rPr>
              <w:t>投标方案</w:t>
            </w:r>
          </w:p>
        </w:tc>
        <w:tc>
          <w:tcPr>
            <w:tcW w:w="6487"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不允许</w:t>
            </w:r>
          </w:p>
        </w:tc>
      </w:tr>
      <w:tr>
        <w:tblPrEx>
          <w:tblLayout w:type="fixed"/>
          <w:tblCellMar>
            <w:top w:w="0" w:type="dxa"/>
            <w:left w:w="108" w:type="dxa"/>
            <w:bottom w:w="0" w:type="dxa"/>
            <w:right w:w="108" w:type="dxa"/>
          </w:tblCellMar>
        </w:tblPrEx>
        <w:trPr>
          <w:trHeight w:val="142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3.7.3</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签字或盖章要求</w:t>
            </w:r>
          </w:p>
        </w:tc>
        <w:tc>
          <w:tcPr>
            <w:tcW w:w="64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纸质投标文件：正本按招标文件要求签字盖章（无需逐页签字盖章），副本应与正本保持一致（可为正本的复印件）。正本与副本不一致的，以正本为准。</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b/>
                <w:bCs/>
              </w:rPr>
              <w:t>电子投标文件：按招标文件要求加盖</w:t>
            </w:r>
            <w:r>
              <w:rPr>
                <w:rFonts w:hint="eastAsia"/>
                <w:b/>
                <w:bCs/>
                <w:lang w:val="zh-CN"/>
              </w:rPr>
              <w:t>电子印章和法人电子印章</w:t>
            </w:r>
            <w:r>
              <w:rPr>
                <w:rFonts w:hint="eastAsia"/>
                <w:b/>
                <w:bCs/>
              </w:rPr>
              <w:t>。</w:t>
            </w:r>
          </w:p>
        </w:tc>
      </w:tr>
      <w:tr>
        <w:tblPrEx>
          <w:tblLayout w:type="fixed"/>
          <w:tblCellMar>
            <w:top w:w="0" w:type="dxa"/>
            <w:left w:w="108" w:type="dxa"/>
            <w:bottom w:w="0" w:type="dxa"/>
            <w:right w:w="108" w:type="dxa"/>
          </w:tblCellMar>
        </w:tblPrEx>
        <w:trPr>
          <w:trHeight w:val="376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3.7.4</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投标文件份数</w:t>
            </w:r>
          </w:p>
        </w:tc>
        <w:tc>
          <w:tcPr>
            <w:tcW w:w="64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r>
              <w:rPr>
                <w:rFonts w:hint="eastAsia" w:ascii="宋体" w:hAnsi="宋体" w:eastAsia="宋体" w:cs="宋体"/>
              </w:rPr>
              <w:t>1、电子投标文件</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r>
              <w:rPr>
                <w:rFonts w:hint="eastAsia" w:ascii="宋体" w:hAnsi="宋体" w:eastAsia="宋体" w:cs="宋体"/>
              </w:rPr>
              <w:t>（1）成功上传至【全国公共资源交易平台（河南省·许昌市）】公共资源交易系统电子投标文件1份（文件格式为：XX公司XXX项目编号.file）。</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r>
              <w:rPr>
                <w:rFonts w:hint="eastAsia" w:ascii="宋体" w:hAnsi="宋体" w:eastAsia="宋体" w:cs="宋体"/>
              </w:rPr>
              <w:t>（2）使用电子介质存储的投标文件1份文件格式为：xxx公司XXX（项目编号）.bin）。</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r>
              <w:rPr>
                <w:rFonts w:hint="eastAsia" w:ascii="宋体" w:hAnsi="宋体" w:eastAsia="宋体" w:cs="宋体"/>
              </w:rPr>
              <w:t>2、纸质投标文件：正本1份，副本4份。</w:t>
            </w:r>
          </w:p>
          <w:p>
            <w:pPr>
              <w:keepNext w:val="0"/>
              <w:keepLines w:val="0"/>
              <w:pageBreakBefore w:val="0"/>
              <w:widowControl w:val="0"/>
              <w:kinsoku/>
              <w:wordWrap/>
              <w:overflowPunct/>
              <w:topLinePunct w:val="0"/>
              <w:bidi w:val="0"/>
              <w:snapToGrid/>
              <w:spacing w:line="340" w:lineRule="exact"/>
              <w:textAlignment w:val="auto"/>
              <w:rPr>
                <w:rFonts w:hint="eastAsia" w:ascii="宋体" w:hAnsi="宋体" w:eastAsia="宋体" w:cs="宋体"/>
              </w:rPr>
            </w:pPr>
            <w:r>
              <w:rPr>
                <w:rFonts w:hint="eastAsia" w:ascii="宋体" w:hAnsi="宋体" w:eastAsia="宋体" w:cs="宋体"/>
              </w:rPr>
              <w:t>3、电子投标文件和纸质投标文件的内容、格式、水印码、</w:t>
            </w:r>
            <w:r>
              <w:rPr>
                <w:rFonts w:hint="eastAsia" w:ascii="宋体" w:hAnsi="宋体" w:eastAsia="宋体" w:cs="宋体"/>
                <w:b/>
              </w:rPr>
              <w:t>电子签章</w:t>
            </w:r>
            <w:r>
              <w:rPr>
                <w:rFonts w:hint="eastAsia" w:ascii="宋体" w:hAnsi="宋体" w:eastAsia="宋体" w:cs="宋体"/>
              </w:rPr>
              <w:t>应一致。</w:t>
            </w:r>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ascii="宋体" w:hAnsi="宋体" w:cs="仿宋_GB2312"/>
                <w:kern w:val="0"/>
              </w:rPr>
            </w:pPr>
            <w:r>
              <w:rPr>
                <w:rFonts w:hint="eastAsia" w:ascii="宋体" w:hAnsi="宋体" w:eastAsia="宋体" w:cs="宋体"/>
                <w:b/>
                <w:bCs/>
              </w:rPr>
              <w:t>注:投标人提交的电子投标文件，必须是通过“许昌投标文件制作系统”制作，并经过签章和加密后生成的电子投标文件。</w:t>
            </w:r>
          </w:p>
        </w:tc>
      </w:tr>
      <w:tr>
        <w:tblPrEx>
          <w:tblLayout w:type="fixed"/>
          <w:tblCellMar>
            <w:top w:w="0" w:type="dxa"/>
            <w:left w:w="108" w:type="dxa"/>
            <w:bottom w:w="0" w:type="dxa"/>
            <w:right w:w="108" w:type="dxa"/>
          </w:tblCellMar>
        </w:tblPrEx>
        <w:trPr>
          <w:trHeight w:val="2102"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3.7.5</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装订要求</w:t>
            </w:r>
          </w:p>
        </w:tc>
        <w:tc>
          <w:tcPr>
            <w:tcW w:w="64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40" w:lineRule="exact"/>
              <w:textAlignment w:val="auto"/>
              <w:rPr>
                <w:rFonts w:hint="eastAsia" w:ascii="宋体" w:hAnsi="宋体" w:eastAsia="宋体" w:cs="宋体"/>
              </w:rPr>
            </w:pPr>
            <w:r>
              <w:rPr>
                <w:rFonts w:hint="eastAsia" w:ascii="宋体" w:hAnsi="宋体" w:eastAsia="宋体" w:cs="宋体"/>
              </w:rPr>
              <w:t>1、按照投标人须知第3.1项规定的投标文件组成内容，纸质投标文件应按以下要求装订：</w:t>
            </w:r>
          </w:p>
          <w:p>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rPr>
            </w:pPr>
            <w:r>
              <w:rPr>
                <w:rFonts w:hint="eastAsia" w:ascii="宋体" w:hAnsi="宋体" w:eastAsia="宋体" w:cs="宋体"/>
              </w:rPr>
              <w:t>采用胶装方式分别装订、统一包装。装订应牢固、不易拆散和换页，不得采用活页装订。</w:t>
            </w:r>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ascii="宋体" w:hAnsi="宋体" w:cs="仿宋_GB2312"/>
                <w:color w:val="000000"/>
                <w:kern w:val="0"/>
              </w:rPr>
            </w:pPr>
            <w:r>
              <w:rPr>
                <w:rFonts w:hint="eastAsia" w:ascii="宋体" w:hAnsi="宋体" w:eastAsia="宋体" w:cs="宋体"/>
              </w:rPr>
              <w:t>2、使用电子介质存储的投标文件单独密封、盖章，并随纸质投标文件一并提交。</w:t>
            </w:r>
          </w:p>
        </w:tc>
      </w:tr>
      <w:tr>
        <w:tblPrEx>
          <w:tblLayout w:type="fixed"/>
          <w:tblCellMar>
            <w:top w:w="0" w:type="dxa"/>
            <w:left w:w="108" w:type="dxa"/>
            <w:bottom w:w="0" w:type="dxa"/>
            <w:right w:w="108" w:type="dxa"/>
          </w:tblCellMar>
        </w:tblPrEx>
        <w:trPr>
          <w:trHeight w:val="1751"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4.1.1</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封套上写明</w:t>
            </w:r>
          </w:p>
        </w:tc>
        <w:tc>
          <w:tcPr>
            <w:tcW w:w="6487"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ascii="宋体" w:hAnsi="宋体"/>
              </w:rPr>
            </w:pPr>
            <w:r>
              <w:rPr>
                <w:rFonts w:hint="eastAsia" w:ascii="宋体" w:hAnsi="宋体"/>
              </w:rPr>
              <w:t>招标人</w:t>
            </w:r>
            <w:r>
              <w:rPr>
                <w:rFonts w:hint="eastAsia" w:ascii="宋体" w:hAnsi="宋体" w:cs="仿宋_GB2312"/>
                <w:kern w:val="0"/>
              </w:rPr>
              <w:t>名称</w:t>
            </w:r>
            <w:r>
              <w:rPr>
                <w:rFonts w:hint="eastAsia" w:ascii="宋体" w:hAnsi="宋体"/>
              </w:rPr>
              <w:t>：</w:t>
            </w:r>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cs="仿宋_GB2312"/>
                <w:kern w:val="0"/>
              </w:rPr>
            </w:pPr>
            <w:r>
              <w:rPr>
                <w:rFonts w:hint="eastAsia" w:ascii="宋体" w:hAnsi="宋体" w:cs="仿宋_GB2312"/>
                <w:kern w:val="0"/>
              </w:rPr>
              <w:t>项目名称</w:t>
            </w:r>
            <w:r>
              <w:rPr>
                <w:rFonts w:hint="eastAsia" w:ascii="宋体" w:hAnsi="宋体" w:cs="仿宋_GB2312"/>
                <w:kern w:val="0"/>
                <w:lang w:eastAsia="zh-CN"/>
              </w:rPr>
              <w:t>、标段</w:t>
            </w:r>
            <w:r>
              <w:rPr>
                <w:rFonts w:hint="eastAsia" w:ascii="宋体" w:hAnsi="宋体" w:cs="仿宋_GB2312"/>
                <w:kern w:val="0"/>
              </w:rPr>
              <w:t>：</w:t>
            </w:r>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ascii="宋体" w:hAnsi="宋体" w:cs="仿宋_GB2312"/>
                <w:kern w:val="0"/>
              </w:rPr>
            </w:pPr>
            <w:r>
              <w:rPr>
                <w:rFonts w:hint="eastAsia" w:ascii="宋体" w:hAnsi="宋体" w:cs="仿宋_GB2312"/>
                <w:kern w:val="0"/>
              </w:rPr>
              <w:t>投标人名称：（盖章）</w:t>
            </w:r>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ascii="宋体" w:hAnsi="宋体" w:cs="仿宋_GB2312"/>
                <w:kern w:val="0"/>
              </w:rPr>
            </w:pPr>
            <w:r>
              <w:rPr>
                <w:rFonts w:hint="eastAsia" w:ascii="宋体" w:hAnsi="宋体" w:cs="仿宋_GB2312"/>
                <w:kern w:val="0"/>
              </w:rPr>
              <w:t>投标文件在  年  月    日    时   分前不得开启</w:t>
            </w:r>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ascii="宋体" w:hAnsi="宋体" w:cs="仿宋_GB2312"/>
                <w:color w:val="000000"/>
                <w:kern w:val="0"/>
              </w:rPr>
            </w:pPr>
            <w:r>
              <w:rPr>
                <w:rFonts w:hint="eastAsia" w:ascii="宋体" w:hAnsi="宋体" w:cs="黑体"/>
                <w:kern w:val="0"/>
              </w:rPr>
              <w:t>投标文件包封开口处应以密封条密封，并加盖骑缝章。</w:t>
            </w:r>
          </w:p>
        </w:tc>
      </w:tr>
      <w:tr>
        <w:tblPrEx>
          <w:tblLayout w:type="fixed"/>
          <w:tblCellMar>
            <w:top w:w="0" w:type="dxa"/>
            <w:left w:w="108" w:type="dxa"/>
            <w:bottom w:w="0" w:type="dxa"/>
            <w:right w:w="108" w:type="dxa"/>
          </w:tblCellMar>
        </w:tblPrEx>
        <w:trPr>
          <w:trHeight w:val="564"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4.2.1</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投标截止时间</w:t>
            </w:r>
          </w:p>
        </w:tc>
        <w:tc>
          <w:tcPr>
            <w:tcW w:w="6487"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rPr>
            </w:pPr>
            <w:r>
              <w:rPr>
                <w:rFonts w:hint="eastAsia" w:ascii="宋体" w:hAnsi="宋体" w:cs="黑体"/>
                <w:kern w:val="0"/>
                <w:u w:val="single"/>
                <w:lang w:val="en-US" w:eastAsia="zh-CN"/>
              </w:rPr>
              <w:t>2019</w:t>
            </w:r>
            <w:r>
              <w:rPr>
                <w:rFonts w:hint="eastAsia" w:ascii="宋体" w:hAnsi="宋体" w:cs="黑体"/>
                <w:kern w:val="0"/>
              </w:rPr>
              <w:t>年</w:t>
            </w:r>
            <w:r>
              <w:rPr>
                <w:rFonts w:hint="eastAsia" w:ascii="宋体" w:hAnsi="宋体" w:cs="黑体"/>
                <w:kern w:val="0"/>
                <w:u w:val="single"/>
                <w:lang w:val="en-US" w:eastAsia="zh-CN"/>
              </w:rPr>
              <w:t xml:space="preserve"> 9 </w:t>
            </w:r>
            <w:r>
              <w:rPr>
                <w:rFonts w:hint="eastAsia" w:ascii="宋体" w:hAnsi="宋体" w:cs="黑体"/>
                <w:kern w:val="0"/>
              </w:rPr>
              <w:t>月</w:t>
            </w:r>
            <w:r>
              <w:rPr>
                <w:rFonts w:hint="eastAsia" w:ascii="宋体" w:hAnsi="宋体" w:cs="黑体"/>
                <w:kern w:val="0"/>
                <w:u w:val="single"/>
                <w:lang w:val="en-US" w:eastAsia="zh-CN"/>
              </w:rPr>
              <w:t xml:space="preserve"> 25 </w:t>
            </w:r>
            <w:r>
              <w:rPr>
                <w:rFonts w:hint="eastAsia" w:ascii="宋体" w:hAnsi="宋体" w:cs="黑体"/>
                <w:kern w:val="0"/>
              </w:rPr>
              <w:t>日</w:t>
            </w:r>
            <w:r>
              <w:rPr>
                <w:rFonts w:hint="eastAsia" w:ascii="宋体" w:hAnsi="宋体" w:cs="黑体"/>
                <w:kern w:val="0"/>
                <w:u w:val="single"/>
                <w:lang w:val="en-US" w:eastAsia="zh-CN"/>
              </w:rPr>
              <w:t xml:space="preserve"> 8 </w:t>
            </w:r>
            <w:r>
              <w:rPr>
                <w:rFonts w:hint="eastAsia" w:ascii="宋体" w:hAnsi="宋体" w:cs="黑体"/>
                <w:kern w:val="0"/>
              </w:rPr>
              <w:t>时</w:t>
            </w:r>
            <w:r>
              <w:rPr>
                <w:rFonts w:hint="eastAsia" w:ascii="宋体" w:hAnsi="宋体" w:cs="黑体"/>
                <w:kern w:val="0"/>
                <w:u w:val="single"/>
                <w:lang w:val="en-US" w:eastAsia="zh-CN"/>
              </w:rPr>
              <w:t xml:space="preserve"> 30 </w:t>
            </w:r>
            <w:r>
              <w:rPr>
                <w:rFonts w:hint="eastAsia" w:ascii="宋体" w:hAnsi="宋体" w:cs="黑体"/>
                <w:kern w:val="0"/>
              </w:rPr>
              <w:t>分</w:t>
            </w:r>
            <w:r>
              <w:rPr>
                <w:rFonts w:hint="eastAsia" w:ascii="宋体" w:hAnsi="宋体" w:cs="黑体"/>
                <w:b/>
                <w:bCs/>
                <w:kern w:val="0"/>
              </w:rPr>
              <w:t>(北京时间)</w:t>
            </w:r>
          </w:p>
        </w:tc>
      </w:tr>
      <w:tr>
        <w:tblPrEx>
          <w:tblLayout w:type="fixed"/>
          <w:tblCellMar>
            <w:top w:w="0" w:type="dxa"/>
            <w:left w:w="108" w:type="dxa"/>
            <w:bottom w:w="0" w:type="dxa"/>
            <w:right w:w="108" w:type="dxa"/>
          </w:tblCellMar>
        </w:tblPrEx>
        <w:trPr>
          <w:trHeight w:val="514"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4.3.2</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递交投标文件地点</w:t>
            </w:r>
          </w:p>
        </w:tc>
        <w:tc>
          <w:tcPr>
            <w:tcW w:w="648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黑体"/>
                <w:color w:val="000000"/>
                <w:kern w:val="0"/>
              </w:rPr>
            </w:pPr>
            <w:r>
              <w:rPr>
                <w:rFonts w:hint="eastAsia" w:ascii="宋体" w:hAnsi="宋体" w:cs="黑体"/>
                <w:color w:val="000000"/>
                <w:kern w:val="0"/>
              </w:rPr>
              <w:t>禹州市公共资源交易中心第一开标室（禹州市行政服务中心楼</w:t>
            </w:r>
            <w:r>
              <w:rPr>
                <w:rFonts w:hint="eastAsia" w:ascii="宋体" w:hAnsi="宋体" w:cs="黑体"/>
                <w:color w:val="000000"/>
                <w:kern w:val="0"/>
                <w:lang w:val="en-US" w:eastAsia="zh-CN"/>
              </w:rPr>
              <w:t>9</w:t>
            </w:r>
            <w:r>
              <w:rPr>
                <w:rFonts w:hint="eastAsia" w:ascii="宋体" w:hAnsi="宋体" w:cs="黑体"/>
                <w:color w:val="000000"/>
                <w:kern w:val="0"/>
              </w:rPr>
              <w:t>楼）</w:t>
            </w:r>
          </w:p>
        </w:tc>
      </w:tr>
      <w:tr>
        <w:tblPrEx>
          <w:tblLayout w:type="fixed"/>
          <w:tblCellMar>
            <w:top w:w="0" w:type="dxa"/>
            <w:left w:w="108" w:type="dxa"/>
            <w:bottom w:w="0" w:type="dxa"/>
            <w:right w:w="108" w:type="dxa"/>
          </w:tblCellMar>
        </w:tblPrEx>
        <w:trPr>
          <w:trHeight w:val="514"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4.3.3</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是否退还投标文件</w:t>
            </w:r>
          </w:p>
        </w:tc>
        <w:tc>
          <w:tcPr>
            <w:tcW w:w="648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仿宋_GB2312"/>
                <w:color w:val="000000"/>
                <w:kern w:val="0"/>
              </w:rPr>
            </w:pPr>
            <w:r>
              <w:rPr>
                <w:rFonts w:hint="eastAsia" w:ascii="宋体" w:hAnsi="宋体" w:cs="仿宋_GB2312"/>
                <w:color w:val="000000"/>
                <w:kern w:val="0"/>
              </w:rPr>
              <w:t>否</w:t>
            </w:r>
          </w:p>
        </w:tc>
      </w:tr>
      <w:tr>
        <w:tblPrEx>
          <w:tblLayout w:type="fixed"/>
          <w:tblCellMar>
            <w:top w:w="0" w:type="dxa"/>
            <w:left w:w="108" w:type="dxa"/>
            <w:bottom w:w="0" w:type="dxa"/>
            <w:right w:w="108" w:type="dxa"/>
          </w:tblCellMar>
        </w:tblPrEx>
        <w:trPr>
          <w:trHeight w:val="72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5.1</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开标时间和地点</w:t>
            </w:r>
          </w:p>
        </w:tc>
        <w:tc>
          <w:tcPr>
            <w:tcW w:w="64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cs="仿宋_GB2312"/>
                <w:color w:val="000000"/>
                <w:kern w:val="0"/>
              </w:rPr>
            </w:pPr>
            <w:r>
              <w:rPr>
                <w:rFonts w:hint="eastAsia" w:ascii="宋体" w:hAnsi="宋体" w:cs="仿宋_GB2312"/>
                <w:color w:val="000000"/>
                <w:kern w:val="0"/>
              </w:rPr>
              <w:t>开标时间：</w:t>
            </w:r>
            <w:r>
              <w:rPr>
                <w:rFonts w:hint="eastAsia" w:ascii="宋体" w:hAnsi="宋体" w:cs="黑体"/>
                <w:color w:val="000000"/>
                <w:kern w:val="0"/>
              </w:rPr>
              <w:t>同投标截止时间；</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宋体" w:hAnsi="宋体" w:cs="仿宋_GB2312"/>
                <w:b/>
                <w:bCs/>
                <w:color w:val="000000"/>
                <w:kern w:val="0"/>
              </w:rPr>
            </w:pPr>
            <w:r>
              <w:rPr>
                <w:rFonts w:hint="eastAsia" w:ascii="宋体" w:hAnsi="宋体" w:cs="仿宋_GB2312"/>
                <w:color w:val="000000"/>
                <w:kern w:val="0"/>
              </w:rPr>
              <w:t>开标地</w:t>
            </w:r>
            <w:r>
              <w:rPr>
                <w:rFonts w:hint="eastAsia" w:ascii="宋体" w:hAnsi="宋体" w:cs="黑体"/>
                <w:color w:val="000000"/>
                <w:kern w:val="0"/>
              </w:rPr>
              <w:t>点：</w:t>
            </w:r>
            <w:r>
              <w:rPr>
                <w:rFonts w:hint="eastAsia" w:ascii="宋体" w:hAnsi="宋体" w:cs="仿宋_GB2312"/>
                <w:color w:val="000000"/>
                <w:kern w:val="0"/>
              </w:rPr>
              <w:t>同递交投标文件地点。</w:t>
            </w:r>
          </w:p>
        </w:tc>
      </w:tr>
      <w:tr>
        <w:tblPrEx>
          <w:tblLayout w:type="fixed"/>
          <w:tblCellMar>
            <w:top w:w="0" w:type="dxa"/>
            <w:left w:w="108" w:type="dxa"/>
            <w:bottom w:w="0" w:type="dxa"/>
            <w:right w:w="108" w:type="dxa"/>
          </w:tblCellMar>
        </w:tblPrEx>
        <w:trPr>
          <w:trHeight w:val="83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5.2</w:t>
            </w:r>
          </w:p>
        </w:tc>
        <w:tc>
          <w:tcPr>
            <w:tcW w:w="213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开标程序</w:t>
            </w:r>
          </w:p>
        </w:tc>
        <w:tc>
          <w:tcPr>
            <w:tcW w:w="6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仿宋_GB2312"/>
                <w:color w:val="000000"/>
                <w:kern w:val="0"/>
              </w:rPr>
            </w:pPr>
            <w:r>
              <w:rPr>
                <w:rFonts w:hint="eastAsia" w:ascii="宋体" w:hAnsi="宋体" w:cs="仿宋_GB2312"/>
                <w:color w:val="000000"/>
                <w:kern w:val="0"/>
              </w:rPr>
              <w:t>密封情况检查：由投标人代表检查投标文件的密封情况；</w:t>
            </w:r>
          </w:p>
          <w:p>
            <w:pPr>
              <w:keepNext w:val="0"/>
              <w:keepLines w:val="0"/>
              <w:pageBreakBefore w:val="0"/>
              <w:widowControl w:val="0"/>
              <w:kinsoku/>
              <w:wordWrap/>
              <w:overflowPunct/>
              <w:topLinePunct w:val="0"/>
              <w:bidi w:val="0"/>
              <w:snapToGrid/>
              <w:spacing w:line="360" w:lineRule="exact"/>
              <w:textAlignment w:val="auto"/>
              <w:rPr>
                <w:rFonts w:ascii="宋体" w:hAnsi="宋体"/>
                <w:color w:val="000000"/>
                <w:u w:val="single"/>
              </w:rPr>
            </w:pPr>
            <w:r>
              <w:rPr>
                <w:rFonts w:hint="eastAsia" w:ascii="宋体" w:hAnsi="宋体" w:cs="仿宋_GB2312"/>
                <w:color w:val="000000"/>
                <w:kern w:val="0"/>
              </w:rPr>
              <w:t>开标顺序：递交投标文件的顺序；</w:t>
            </w:r>
          </w:p>
        </w:tc>
      </w:tr>
      <w:tr>
        <w:tblPrEx>
          <w:tblLayout w:type="fixed"/>
          <w:tblCellMar>
            <w:top w:w="0" w:type="dxa"/>
            <w:left w:w="108" w:type="dxa"/>
            <w:bottom w:w="0" w:type="dxa"/>
            <w:right w:w="108" w:type="dxa"/>
          </w:tblCellMar>
        </w:tblPrEx>
        <w:trPr>
          <w:trHeight w:val="96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6.1.1</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评标委员会的组建</w:t>
            </w:r>
          </w:p>
        </w:tc>
        <w:tc>
          <w:tcPr>
            <w:tcW w:w="64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textAlignment w:val="auto"/>
              <w:rPr>
                <w:rFonts w:ascii="宋体" w:hAnsi="宋体" w:cs="仿宋_GB2312"/>
                <w:color w:val="auto"/>
                <w:kern w:val="0"/>
              </w:rPr>
            </w:pPr>
            <w:r>
              <w:rPr>
                <w:rFonts w:hint="eastAsia" w:ascii="宋体" w:hAnsi="宋体" w:cs="仿宋_GB2312"/>
                <w:color w:val="auto"/>
                <w:kern w:val="0"/>
              </w:rPr>
              <w:t>评标委员会构成：招标人代表</w:t>
            </w:r>
            <w:r>
              <w:rPr>
                <w:rFonts w:hint="eastAsia" w:ascii="宋体" w:hAnsi="宋体" w:cs="仿宋_GB2312"/>
                <w:color w:val="auto"/>
                <w:kern w:val="0"/>
                <w:lang w:val="en-US" w:eastAsia="zh-CN"/>
              </w:rPr>
              <w:t>2</w:t>
            </w:r>
            <w:r>
              <w:rPr>
                <w:rFonts w:hint="eastAsia" w:ascii="宋体" w:hAnsi="宋体" w:cs="仿宋_GB2312"/>
                <w:color w:val="auto"/>
                <w:kern w:val="0"/>
              </w:rPr>
              <w:t xml:space="preserve"> 人，</w:t>
            </w:r>
            <w:r>
              <w:rPr>
                <w:rFonts w:hint="eastAsia" w:ascii="宋体" w:hAnsi="宋体"/>
                <w:color w:val="auto"/>
                <w:kern w:val="0"/>
              </w:rPr>
              <w:t>经济类专家</w:t>
            </w:r>
            <w:r>
              <w:rPr>
                <w:rFonts w:hint="eastAsia" w:ascii="宋体" w:hAnsi="宋体"/>
                <w:color w:val="auto"/>
                <w:kern w:val="0"/>
                <w:lang w:val="en-US" w:eastAsia="zh-CN"/>
              </w:rPr>
              <w:t>3</w:t>
            </w:r>
            <w:r>
              <w:rPr>
                <w:rFonts w:hint="eastAsia" w:ascii="宋体" w:hAnsi="宋体"/>
                <w:color w:val="auto"/>
                <w:kern w:val="0"/>
              </w:rPr>
              <w:t>人，技术类专家</w:t>
            </w:r>
            <w:r>
              <w:rPr>
                <w:rFonts w:hint="eastAsia" w:ascii="宋体" w:hAnsi="宋体"/>
                <w:color w:val="auto"/>
                <w:kern w:val="0"/>
                <w:lang w:val="en-US" w:eastAsia="zh-CN"/>
              </w:rPr>
              <w:t>2</w:t>
            </w:r>
            <w:r>
              <w:rPr>
                <w:rFonts w:hint="eastAsia" w:ascii="宋体" w:hAnsi="宋体"/>
                <w:color w:val="auto"/>
                <w:kern w:val="0"/>
              </w:rPr>
              <w:t>人，</w:t>
            </w:r>
            <w:r>
              <w:rPr>
                <w:rFonts w:hint="eastAsia" w:ascii="宋体" w:hAnsi="宋体" w:cs="仿宋_GB2312"/>
                <w:color w:val="auto"/>
                <w:kern w:val="0"/>
              </w:rPr>
              <w:t>共</w:t>
            </w:r>
            <w:r>
              <w:rPr>
                <w:rFonts w:hint="eastAsia" w:ascii="宋体" w:hAnsi="宋体" w:cs="仿宋_GB2312"/>
                <w:color w:val="auto"/>
                <w:kern w:val="0"/>
                <w:lang w:val="en-US" w:eastAsia="zh-CN"/>
              </w:rPr>
              <w:t>7</w:t>
            </w:r>
            <w:r>
              <w:rPr>
                <w:rFonts w:hint="eastAsia" w:ascii="宋体" w:hAnsi="宋体" w:cs="仿宋_GB2312"/>
                <w:color w:val="auto"/>
                <w:kern w:val="0"/>
              </w:rPr>
              <w:t>人组成；</w:t>
            </w:r>
          </w:p>
          <w:p>
            <w:pPr>
              <w:keepNext w:val="0"/>
              <w:keepLines w:val="0"/>
              <w:pageBreakBefore w:val="0"/>
              <w:widowControl w:val="0"/>
              <w:kinsoku/>
              <w:wordWrap/>
              <w:overflowPunct/>
              <w:topLinePunct w:val="0"/>
              <w:bidi w:val="0"/>
              <w:snapToGrid/>
              <w:spacing w:line="240" w:lineRule="auto"/>
              <w:ind w:left="29" w:hanging="29" w:hangingChars="14"/>
              <w:textAlignment w:val="auto"/>
              <w:rPr>
                <w:rFonts w:ascii="宋体" w:hAnsi="宋体"/>
                <w:color w:val="000000"/>
                <w:u w:val="single"/>
              </w:rPr>
            </w:pPr>
            <w:r>
              <w:rPr>
                <w:rFonts w:hint="eastAsia" w:ascii="宋体" w:hAnsi="宋体" w:cs="仿宋_GB2312"/>
                <w:color w:val="000000"/>
                <w:kern w:val="0"/>
              </w:rPr>
              <w:t>评标专家确定方式：从河南省综合评标专家库中随机抽取。</w:t>
            </w:r>
          </w:p>
        </w:tc>
      </w:tr>
      <w:tr>
        <w:tblPrEx>
          <w:tblLayout w:type="fixed"/>
          <w:tblCellMar>
            <w:top w:w="0" w:type="dxa"/>
            <w:left w:w="108" w:type="dxa"/>
            <w:bottom w:w="0" w:type="dxa"/>
            <w:right w:w="108" w:type="dxa"/>
          </w:tblCellMar>
        </w:tblPrEx>
        <w:trPr>
          <w:trHeight w:val="629"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7.1</w:t>
            </w:r>
          </w:p>
        </w:tc>
        <w:tc>
          <w:tcPr>
            <w:tcW w:w="2138" w:type="dxa"/>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是否授权评标委员会确定中标人</w:t>
            </w:r>
          </w:p>
        </w:tc>
        <w:tc>
          <w:tcPr>
            <w:tcW w:w="6487" w:type="dxa"/>
            <w:tcBorders>
              <w:top w:val="single" w:color="auto" w:sz="4" w:space="0"/>
              <w:left w:val="nil"/>
              <w:bottom w:val="single" w:color="auto" w:sz="4" w:space="0"/>
              <w:right w:val="single" w:color="auto" w:sz="4" w:space="0"/>
            </w:tcBorders>
            <w:vAlign w:val="center"/>
          </w:tcPr>
          <w:p>
            <w:pPr>
              <w:rPr>
                <w:rFonts w:ascii="宋体" w:hAnsi="宋体"/>
                <w:color w:val="000000"/>
              </w:rPr>
            </w:pPr>
            <w:r>
              <w:rPr>
                <w:rFonts w:hint="eastAsia" w:ascii="宋体" w:hAnsi="宋体"/>
                <w:color w:val="000000"/>
              </w:rPr>
              <w:t>否，推荐1-3名中标候选人。</w:t>
            </w:r>
          </w:p>
        </w:tc>
      </w:tr>
      <w:tr>
        <w:tblPrEx>
          <w:tblLayout w:type="fixed"/>
          <w:tblCellMar>
            <w:top w:w="0" w:type="dxa"/>
            <w:left w:w="108" w:type="dxa"/>
            <w:bottom w:w="0" w:type="dxa"/>
            <w:right w:w="108" w:type="dxa"/>
          </w:tblCellMar>
        </w:tblPrEx>
        <w:trPr>
          <w:trHeight w:val="1218"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7.3.1</w:t>
            </w:r>
          </w:p>
        </w:tc>
        <w:tc>
          <w:tcPr>
            <w:tcW w:w="213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履约担保</w:t>
            </w:r>
          </w:p>
        </w:tc>
        <w:tc>
          <w:tcPr>
            <w:tcW w:w="64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40" w:lineRule="exact"/>
              <w:textAlignment w:val="auto"/>
              <w:rPr>
                <w:rFonts w:ascii="宋体" w:hAnsi="宋体"/>
                <w:color w:val="000000"/>
              </w:rPr>
            </w:pPr>
            <w:r>
              <w:rPr>
                <w:rFonts w:hint="eastAsia" w:ascii="宋体" w:hAnsi="宋体"/>
                <w:color w:val="000000"/>
              </w:rPr>
              <w:t>履约担保的形式：现金或银行汇款</w:t>
            </w:r>
          </w:p>
          <w:p>
            <w:pPr>
              <w:keepNext w:val="0"/>
              <w:keepLines w:val="0"/>
              <w:pageBreakBefore w:val="0"/>
              <w:widowControl w:val="0"/>
              <w:kinsoku/>
              <w:wordWrap/>
              <w:overflowPunct/>
              <w:topLinePunct w:val="0"/>
              <w:autoSpaceDE w:val="0"/>
              <w:autoSpaceDN/>
              <w:bidi w:val="0"/>
              <w:adjustRightInd/>
              <w:snapToGrid/>
              <w:spacing w:line="340" w:lineRule="exact"/>
              <w:textAlignment w:val="auto"/>
              <w:rPr>
                <w:rFonts w:ascii="宋体" w:hAnsi="宋体"/>
                <w:color w:val="000000"/>
              </w:rPr>
            </w:pPr>
            <w:r>
              <w:rPr>
                <w:rFonts w:hint="eastAsia" w:ascii="宋体" w:hAnsi="宋体"/>
                <w:color w:val="000000"/>
              </w:rPr>
              <w:t>履约担保的金额：合同金额的5%</w:t>
            </w:r>
          </w:p>
          <w:p>
            <w:pPr>
              <w:keepNext w:val="0"/>
              <w:keepLines w:val="0"/>
              <w:pageBreakBefore w:val="0"/>
              <w:widowControl w:val="0"/>
              <w:kinsoku/>
              <w:wordWrap/>
              <w:overflowPunct/>
              <w:topLinePunct w:val="0"/>
              <w:autoSpaceDE w:val="0"/>
              <w:autoSpaceDN/>
              <w:bidi w:val="0"/>
              <w:adjustRightInd/>
              <w:snapToGrid/>
              <w:spacing w:line="340" w:lineRule="exact"/>
              <w:textAlignment w:val="auto"/>
              <w:rPr>
                <w:rFonts w:ascii="宋体" w:hAnsi="宋体"/>
                <w:color w:val="000000"/>
              </w:rPr>
            </w:pPr>
            <w:r>
              <w:rPr>
                <w:rFonts w:hint="eastAsia" w:ascii="宋体" w:hAnsi="宋体"/>
                <w:color w:val="000000"/>
              </w:rPr>
              <w:t>履约担保提交的的时间：中标通知书签发后10日内</w:t>
            </w:r>
          </w:p>
        </w:tc>
      </w:tr>
      <w:tr>
        <w:tblPrEx>
          <w:tblLayout w:type="fixed"/>
          <w:tblCellMar>
            <w:top w:w="0" w:type="dxa"/>
            <w:left w:w="108" w:type="dxa"/>
            <w:bottom w:w="0" w:type="dxa"/>
            <w:right w:w="108" w:type="dxa"/>
          </w:tblCellMar>
        </w:tblPrEx>
        <w:trPr>
          <w:trHeight w:val="9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8</w:t>
            </w:r>
          </w:p>
        </w:tc>
        <w:tc>
          <w:tcPr>
            <w:tcW w:w="213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000000"/>
              </w:rPr>
            </w:pPr>
            <w:r>
              <w:rPr>
                <w:rFonts w:hint="eastAsia" w:ascii="宋体" w:hAnsi="宋体"/>
                <w:color w:val="000000"/>
              </w:rPr>
              <w:t>重新招标</w:t>
            </w:r>
          </w:p>
        </w:tc>
        <w:tc>
          <w:tcPr>
            <w:tcW w:w="6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40" w:lineRule="exact"/>
              <w:textAlignment w:val="auto"/>
              <w:rPr>
                <w:rFonts w:ascii="宋体" w:hAnsi="宋体"/>
                <w:color w:val="000000"/>
              </w:rPr>
            </w:pPr>
            <w:r>
              <w:rPr>
                <w:rFonts w:hint="eastAsia" w:ascii="宋体" w:hAnsi="宋体"/>
                <w:color w:val="000000"/>
              </w:rPr>
              <w:t>有下列情形之一的，招标人将重新招标：</w:t>
            </w:r>
          </w:p>
          <w:p>
            <w:pPr>
              <w:keepNext w:val="0"/>
              <w:keepLines w:val="0"/>
              <w:pageBreakBefore w:val="0"/>
              <w:widowControl w:val="0"/>
              <w:kinsoku/>
              <w:wordWrap/>
              <w:overflowPunct/>
              <w:topLinePunct w:val="0"/>
              <w:autoSpaceDE w:val="0"/>
              <w:autoSpaceDN/>
              <w:bidi w:val="0"/>
              <w:adjustRightInd/>
              <w:snapToGrid/>
              <w:spacing w:line="340" w:lineRule="exact"/>
              <w:textAlignment w:val="auto"/>
              <w:rPr>
                <w:rFonts w:ascii="宋体" w:hAnsi="宋体"/>
              </w:rPr>
            </w:pPr>
            <w:r>
              <w:rPr>
                <w:rFonts w:hint="eastAsia" w:ascii="宋体" w:hAnsi="宋体"/>
              </w:rPr>
              <w:t>（l）投标截止时间止，投标人少于3个；</w:t>
            </w:r>
          </w:p>
          <w:p>
            <w:pPr>
              <w:keepNext w:val="0"/>
              <w:keepLines w:val="0"/>
              <w:pageBreakBefore w:val="0"/>
              <w:widowControl w:val="0"/>
              <w:kinsoku/>
              <w:wordWrap/>
              <w:overflowPunct/>
              <w:topLinePunct w:val="0"/>
              <w:autoSpaceDE w:val="0"/>
              <w:autoSpaceDN/>
              <w:bidi w:val="0"/>
              <w:adjustRightInd/>
              <w:snapToGrid/>
              <w:spacing w:line="340" w:lineRule="exact"/>
              <w:textAlignment w:val="auto"/>
              <w:rPr>
                <w:rFonts w:ascii="宋体" w:hAnsi="宋体"/>
              </w:rPr>
            </w:pPr>
            <w:r>
              <w:rPr>
                <w:rFonts w:hint="eastAsia" w:ascii="宋体" w:hAnsi="宋体"/>
              </w:rPr>
              <w:t>（2）经评标委员会评审后否决所有投标；</w:t>
            </w:r>
          </w:p>
          <w:p>
            <w:pPr>
              <w:keepNext w:val="0"/>
              <w:keepLines w:val="0"/>
              <w:pageBreakBefore w:val="0"/>
              <w:widowControl w:val="0"/>
              <w:kinsoku/>
              <w:wordWrap/>
              <w:overflowPunct/>
              <w:topLinePunct w:val="0"/>
              <w:autoSpaceDE w:val="0"/>
              <w:autoSpaceDN/>
              <w:bidi w:val="0"/>
              <w:adjustRightInd/>
              <w:snapToGrid/>
              <w:spacing w:line="340" w:lineRule="exact"/>
              <w:textAlignment w:val="auto"/>
              <w:rPr>
                <w:rFonts w:hint="eastAsia" w:ascii="宋体" w:hAnsi="宋体"/>
              </w:rPr>
            </w:pPr>
            <w:r>
              <w:rPr>
                <w:rFonts w:hint="eastAsia" w:ascii="宋体" w:hAnsi="宋体"/>
              </w:rPr>
              <w:t>（3）中标候选人因不可抗力提出不能履行合同或者在规定的期限内未按照招标文件规定提交履约担保。</w:t>
            </w:r>
          </w:p>
        </w:tc>
      </w:tr>
      <w:tr>
        <w:tblPrEx>
          <w:tblLayout w:type="fixed"/>
          <w:tblCellMar>
            <w:top w:w="0" w:type="dxa"/>
            <w:left w:w="108" w:type="dxa"/>
            <w:bottom w:w="0" w:type="dxa"/>
            <w:right w:w="108" w:type="dxa"/>
          </w:tblCellMar>
        </w:tblPrEx>
        <w:trPr>
          <w:trHeight w:val="377"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8625" w:type="dxa"/>
            <w:gridSpan w:val="3"/>
            <w:tcBorders>
              <w:top w:val="single" w:color="auto" w:sz="4" w:space="0"/>
              <w:left w:val="nil"/>
              <w:bottom w:val="single" w:color="auto" w:sz="4" w:space="0"/>
              <w:right w:val="single" w:color="auto" w:sz="4" w:space="0"/>
            </w:tcBorders>
            <w:vAlign w:val="center"/>
          </w:tcPr>
          <w:p>
            <w:r>
              <w:rPr>
                <w:rFonts w:hint="eastAsia"/>
              </w:rPr>
              <w:t>需要补充的其他内容</w:t>
            </w:r>
          </w:p>
        </w:tc>
      </w:tr>
      <w:tr>
        <w:tblPrEx>
          <w:tblLayout w:type="fixed"/>
          <w:tblCellMar>
            <w:top w:w="0" w:type="dxa"/>
            <w:left w:w="108" w:type="dxa"/>
            <w:bottom w:w="0" w:type="dxa"/>
            <w:right w:w="108" w:type="dxa"/>
          </w:tblCellMar>
        </w:tblPrEx>
        <w:trPr>
          <w:trHeight w:val="176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10.1</w:t>
            </w:r>
          </w:p>
        </w:tc>
        <w:tc>
          <w:tcPr>
            <w:tcW w:w="213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招标控制价</w:t>
            </w:r>
          </w:p>
        </w:tc>
        <w:tc>
          <w:tcPr>
            <w:tcW w:w="64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40" w:lineRule="exact"/>
              <w:textAlignment w:val="auto"/>
              <w:rPr>
                <w:rFonts w:hint="eastAsia" w:ascii="宋体" w:hAnsi="宋体"/>
                <w:color w:val="000000"/>
              </w:rPr>
            </w:pPr>
            <w:bookmarkStart w:id="30" w:name="_Toc503873666"/>
            <w:bookmarkStart w:id="31" w:name="OLE_LINK2"/>
            <w:bookmarkStart w:id="32" w:name="_Toc503433949"/>
            <w:r>
              <w:rPr>
                <w:rFonts w:hint="eastAsia" w:ascii="宋体" w:hAnsi="宋体"/>
                <w:color w:val="000000"/>
              </w:rPr>
              <w:t>本项目设有招标控制价</w:t>
            </w:r>
            <w:bookmarkEnd w:id="30"/>
            <w:bookmarkEnd w:id="31"/>
            <w:bookmarkEnd w:id="32"/>
            <w:bookmarkStart w:id="33" w:name="_Toc503873667"/>
            <w:bookmarkStart w:id="34" w:name="_Toc503433950"/>
            <w:r>
              <w:rPr>
                <w:rFonts w:hint="eastAsia" w:ascii="宋体" w:hAnsi="宋体"/>
                <w:color w:val="000000"/>
              </w:rPr>
              <w:t>：</w:t>
            </w:r>
            <w:bookmarkEnd w:id="33"/>
            <w:bookmarkEnd w:id="34"/>
          </w:p>
          <w:p>
            <w:pPr>
              <w:keepNext w:val="0"/>
              <w:keepLines w:val="0"/>
              <w:pageBreakBefore w:val="0"/>
              <w:widowControl w:val="0"/>
              <w:kinsoku/>
              <w:wordWrap/>
              <w:overflowPunct/>
              <w:topLinePunct w:val="0"/>
              <w:autoSpaceDE w:val="0"/>
              <w:autoSpaceDN/>
              <w:bidi w:val="0"/>
              <w:adjustRightInd/>
              <w:snapToGrid/>
              <w:spacing w:line="340" w:lineRule="exact"/>
              <w:textAlignment w:val="auto"/>
              <w:rPr>
                <w:rFonts w:hint="eastAsia" w:ascii="宋体" w:hAnsi="宋体"/>
                <w:b/>
                <w:bCs/>
                <w:color w:val="000000"/>
                <w:lang w:eastAsia="zh-CN"/>
              </w:rPr>
            </w:pPr>
            <w:bookmarkStart w:id="35" w:name="_Toc503433951"/>
            <w:bookmarkStart w:id="36" w:name="_Toc503873668"/>
            <w:r>
              <w:rPr>
                <w:rFonts w:hint="eastAsia" w:ascii="宋体" w:hAnsi="宋体"/>
                <w:color w:val="000000"/>
              </w:rPr>
              <w:t>大写：</w:t>
            </w:r>
            <w:bookmarkEnd w:id="35"/>
            <w:bookmarkEnd w:id="36"/>
            <w:bookmarkStart w:id="37" w:name="_Toc503433952"/>
            <w:bookmarkStart w:id="38" w:name="_Toc503873669"/>
            <w:r>
              <w:rPr>
                <w:rFonts w:hint="eastAsia" w:ascii="宋体" w:hAnsi="宋体"/>
                <w:b/>
                <w:bCs/>
                <w:color w:val="000000"/>
                <w:lang w:eastAsia="zh-CN"/>
              </w:rPr>
              <w:t>壹仟壹佰柒拾陆万柒仟伍佰壹拾肆元陆角贰分</w:t>
            </w:r>
          </w:p>
          <w:p>
            <w:pPr>
              <w:keepNext w:val="0"/>
              <w:keepLines w:val="0"/>
              <w:pageBreakBefore w:val="0"/>
              <w:widowControl w:val="0"/>
              <w:kinsoku/>
              <w:wordWrap/>
              <w:overflowPunct/>
              <w:topLinePunct w:val="0"/>
              <w:autoSpaceDE w:val="0"/>
              <w:autoSpaceDN/>
              <w:bidi w:val="0"/>
              <w:adjustRightInd/>
              <w:snapToGrid/>
              <w:spacing w:line="340" w:lineRule="exact"/>
              <w:textAlignment w:val="auto"/>
              <w:rPr>
                <w:rFonts w:hint="eastAsia" w:ascii="宋体" w:hAnsi="宋体"/>
                <w:b/>
                <w:bCs/>
                <w:color w:val="000000"/>
              </w:rPr>
            </w:pPr>
            <w:r>
              <w:rPr>
                <w:rFonts w:hint="eastAsia" w:ascii="宋体" w:hAnsi="宋体"/>
                <w:b w:val="0"/>
                <w:bCs w:val="0"/>
                <w:color w:val="000000"/>
              </w:rPr>
              <w:t>小写：</w:t>
            </w:r>
            <w:r>
              <w:rPr>
                <w:rFonts w:hint="eastAsia" w:ascii="宋体" w:hAnsi="宋体"/>
                <w:b/>
                <w:bCs/>
                <w:color w:val="000000"/>
              </w:rPr>
              <w:t>￥</w:t>
            </w:r>
            <w:bookmarkEnd w:id="37"/>
            <w:bookmarkEnd w:id="38"/>
            <w:r>
              <w:rPr>
                <w:rFonts w:hint="eastAsia" w:ascii="宋体" w:hAnsi="宋体"/>
                <w:b/>
                <w:bCs/>
                <w:color w:val="000000"/>
                <w:lang w:val="en-US" w:eastAsia="zh-CN"/>
              </w:rPr>
              <w:t>11767514.62</w:t>
            </w:r>
            <w:r>
              <w:rPr>
                <w:rFonts w:hint="eastAsia" w:ascii="宋体" w:hAnsi="宋体"/>
                <w:b/>
                <w:bCs/>
                <w:color w:val="000000"/>
              </w:rPr>
              <w:t>元。</w:t>
            </w:r>
          </w:p>
          <w:p>
            <w:pPr>
              <w:keepNext w:val="0"/>
              <w:keepLines w:val="0"/>
              <w:pageBreakBefore w:val="0"/>
              <w:widowControl w:val="0"/>
              <w:kinsoku/>
              <w:wordWrap/>
              <w:overflowPunct/>
              <w:topLinePunct w:val="0"/>
              <w:autoSpaceDE w:val="0"/>
              <w:autoSpaceDN/>
              <w:bidi w:val="0"/>
              <w:adjustRightInd/>
              <w:snapToGrid/>
              <w:spacing w:line="340" w:lineRule="exact"/>
              <w:textAlignment w:val="auto"/>
              <w:rPr>
                <w:rFonts w:ascii="宋体" w:hAnsi="宋体" w:cs="仿宋_GB2312"/>
                <w:color w:val="000000"/>
                <w:kern w:val="0"/>
              </w:rPr>
            </w:pPr>
            <w:r>
              <w:rPr>
                <w:rFonts w:hint="eastAsia" w:ascii="宋体" w:hAnsi="宋体"/>
                <w:color w:val="000000"/>
              </w:rPr>
              <w:t>凡投标人的投标价格超出“招标控制价”（不含等于“招标控制价”）的</w:t>
            </w:r>
            <w:r>
              <w:rPr>
                <w:rFonts w:hint="eastAsia" w:ascii="宋体" w:hAnsi="宋体"/>
                <w:color w:val="000000"/>
                <w:lang w:eastAsia="zh-CN"/>
              </w:rPr>
              <w:t>，</w:t>
            </w:r>
            <w:r>
              <w:rPr>
                <w:rFonts w:hint="eastAsia" w:ascii="宋体" w:hAnsi="宋体"/>
                <w:color w:val="000000"/>
              </w:rPr>
              <w:t>该投标人的投标文件做无效标处理。</w:t>
            </w:r>
          </w:p>
        </w:tc>
      </w:tr>
      <w:tr>
        <w:tblPrEx>
          <w:tblLayout w:type="fixed"/>
          <w:tblCellMar>
            <w:top w:w="0" w:type="dxa"/>
            <w:left w:w="108" w:type="dxa"/>
            <w:bottom w:w="0" w:type="dxa"/>
            <w:right w:w="108" w:type="dxa"/>
          </w:tblCellMar>
        </w:tblPrEx>
        <w:trPr>
          <w:trHeight w:val="79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10.2</w:t>
            </w:r>
          </w:p>
        </w:tc>
        <w:tc>
          <w:tcPr>
            <w:tcW w:w="2138" w:type="dxa"/>
            <w:gridSpan w:val="2"/>
            <w:tcBorders>
              <w:top w:val="single" w:color="auto" w:sz="4" w:space="0"/>
              <w:left w:val="nil"/>
              <w:bottom w:val="single" w:color="auto" w:sz="4" w:space="0"/>
              <w:right w:val="single" w:color="auto" w:sz="4" w:space="0"/>
            </w:tcBorders>
            <w:vAlign w:val="center"/>
          </w:tcPr>
          <w:p>
            <w:pPr>
              <w:adjustRightInd w:val="0"/>
              <w:spacing w:line="240" w:lineRule="auto"/>
              <w:ind w:left="-107" w:right="-107"/>
              <w:jc w:val="center"/>
              <w:rPr>
                <w:rFonts w:ascii="宋体" w:hAnsi="宋体"/>
              </w:rPr>
            </w:pPr>
            <w:r>
              <w:rPr>
                <w:rFonts w:hint="eastAsia" w:ascii="宋体" w:hAnsi="宋体"/>
              </w:rPr>
              <w:t>评标结果的公示</w:t>
            </w:r>
          </w:p>
          <w:p>
            <w:pPr>
              <w:autoSpaceDE w:val="0"/>
              <w:autoSpaceDN w:val="0"/>
              <w:adjustRightInd w:val="0"/>
              <w:spacing w:line="240" w:lineRule="auto"/>
              <w:jc w:val="center"/>
              <w:rPr>
                <w:rFonts w:ascii="宋体" w:hAnsi="宋体" w:cs="仿宋_GB2312"/>
                <w:color w:val="000000"/>
                <w:kern w:val="0"/>
              </w:rPr>
            </w:pPr>
            <w:r>
              <w:rPr>
                <w:rFonts w:hint="eastAsia" w:ascii="宋体" w:hAnsi="宋体"/>
              </w:rPr>
              <w:t>媒介及时间</w:t>
            </w:r>
          </w:p>
        </w:tc>
        <w:tc>
          <w:tcPr>
            <w:tcW w:w="648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仿宋_GB2312"/>
                <w:color w:val="000000"/>
                <w:kern w:val="0"/>
              </w:rPr>
            </w:pPr>
            <w:r>
              <w:rPr>
                <w:rFonts w:hint="eastAsia" w:ascii="宋体" w:hAnsi="宋体" w:cs="仿宋_GB2312"/>
                <w:color w:val="000000"/>
                <w:kern w:val="0"/>
              </w:rPr>
              <w:t>在中标通知书发出前，招标人将在发布招标公告的相同媒介上公示</w:t>
            </w:r>
            <w:r>
              <w:rPr>
                <w:rFonts w:hint="eastAsia" w:ascii="宋体" w:hAnsi="宋体"/>
              </w:rPr>
              <w:t>评标结果</w:t>
            </w:r>
            <w:r>
              <w:rPr>
                <w:rFonts w:hint="eastAsia" w:ascii="宋体" w:hAnsi="宋体" w:cs="仿宋_GB2312"/>
                <w:color w:val="000000"/>
                <w:kern w:val="0"/>
              </w:rPr>
              <w:t>，公示期</w:t>
            </w:r>
            <w:r>
              <w:rPr>
                <w:rFonts w:hint="eastAsia" w:ascii="宋体" w:hAnsi="宋体" w:cs="仿宋_GB2312"/>
                <w:color w:val="auto"/>
                <w:kern w:val="0"/>
              </w:rPr>
              <w:t>不少于</w:t>
            </w:r>
            <w:r>
              <w:rPr>
                <w:rFonts w:hint="eastAsia" w:ascii="宋体" w:hAnsi="宋体" w:cs="仿宋_GB2312"/>
                <w:color w:val="000000"/>
                <w:kern w:val="0"/>
              </w:rPr>
              <w:t>4日。</w:t>
            </w:r>
          </w:p>
        </w:tc>
      </w:tr>
      <w:tr>
        <w:tblPrEx>
          <w:tblLayout w:type="fixed"/>
          <w:tblCellMar>
            <w:top w:w="0" w:type="dxa"/>
            <w:left w:w="108" w:type="dxa"/>
            <w:bottom w:w="0" w:type="dxa"/>
            <w:right w:w="108" w:type="dxa"/>
          </w:tblCellMar>
        </w:tblPrEx>
        <w:trPr>
          <w:trHeight w:val="445" w:hRule="atLeast"/>
          <w:jc w:val="center"/>
        </w:trPr>
        <w:tc>
          <w:tcPr>
            <w:tcW w:w="951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cs="仿宋_GB2312"/>
                <w:color w:val="000000"/>
                <w:kern w:val="0"/>
              </w:rPr>
            </w:pPr>
            <w:r>
              <w:rPr>
                <w:rFonts w:hint="eastAsia" w:ascii="宋体" w:hAnsi="宋体" w:cs="仿宋_GB2312"/>
                <w:color w:val="000000"/>
                <w:kern w:val="0"/>
              </w:rPr>
              <w:t>10.3其他事项</w:t>
            </w:r>
          </w:p>
        </w:tc>
      </w:tr>
      <w:tr>
        <w:tblPrEx>
          <w:tblLayout w:type="fixed"/>
          <w:tblCellMar>
            <w:top w:w="0" w:type="dxa"/>
            <w:left w:w="108" w:type="dxa"/>
            <w:bottom w:w="0" w:type="dxa"/>
            <w:right w:w="108" w:type="dxa"/>
          </w:tblCellMar>
        </w:tblPrEx>
        <w:trPr>
          <w:trHeight w:val="145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c>
          <w:tcPr>
            <w:tcW w:w="862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pPr>
            <w:r>
              <w:rPr>
                <w:rFonts w:hint="eastAsia" w:ascii="宋体" w:hAnsi="宋体" w:eastAsia="宋体" w:cs="宋体"/>
              </w:rPr>
              <w:t>本项目招标代理费由中标人支付，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tc>
      </w:tr>
      <w:tr>
        <w:tblPrEx>
          <w:tblLayout w:type="fixed"/>
          <w:tblCellMar>
            <w:top w:w="0" w:type="dxa"/>
            <w:left w:w="108" w:type="dxa"/>
            <w:bottom w:w="0" w:type="dxa"/>
            <w:right w:w="108" w:type="dxa"/>
          </w:tblCellMar>
        </w:tblPrEx>
        <w:trPr>
          <w:trHeight w:val="457" w:hRule="atLeast"/>
          <w:jc w:val="center"/>
        </w:trPr>
        <w:tc>
          <w:tcPr>
            <w:tcW w:w="951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rPr>
            </w:pPr>
            <w:r>
              <w:rPr>
                <w:rFonts w:hint="eastAsia" w:ascii="宋体" w:hAnsi="宋体"/>
                <w:color w:val="000000"/>
                <w:kern w:val="0"/>
              </w:rPr>
              <w:t>10.4知识产权</w:t>
            </w:r>
          </w:p>
        </w:tc>
      </w:tr>
      <w:tr>
        <w:tblPrEx>
          <w:tblLayout w:type="fixed"/>
          <w:tblCellMar>
            <w:top w:w="0" w:type="dxa"/>
            <w:left w:w="108" w:type="dxa"/>
            <w:bottom w:w="0" w:type="dxa"/>
            <w:right w:w="108" w:type="dxa"/>
          </w:tblCellMar>
        </w:tblPrEx>
        <w:trPr>
          <w:trHeight w:val="1106"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p>
        </w:tc>
        <w:tc>
          <w:tcPr>
            <w:tcW w:w="862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textAlignment w:val="auto"/>
              <w:rPr>
                <w:rFonts w:ascii="宋体" w:hAnsi="宋体" w:cs="仿宋_GB2312"/>
                <w:color w:val="000000"/>
                <w:kern w:val="0"/>
              </w:rPr>
            </w:pPr>
            <w:r>
              <w:rPr>
                <w:rFonts w:hint="eastAsia" w:ascii="宋体" w:hAnsi="宋体" w:cs="仿宋_GB2312"/>
                <w:color w:val="000000"/>
                <w:kern w:val="0"/>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Layout w:type="fixed"/>
          <w:tblCellMar>
            <w:top w:w="0" w:type="dxa"/>
            <w:left w:w="108" w:type="dxa"/>
            <w:bottom w:w="0" w:type="dxa"/>
            <w:right w:w="108" w:type="dxa"/>
          </w:tblCellMar>
        </w:tblPrEx>
        <w:trPr>
          <w:trHeight w:val="497" w:hRule="atLeast"/>
          <w:jc w:val="center"/>
        </w:trPr>
        <w:tc>
          <w:tcPr>
            <w:tcW w:w="951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cs="仿宋_GB2312"/>
                <w:color w:val="000000"/>
                <w:kern w:val="0"/>
              </w:rPr>
            </w:pPr>
            <w:r>
              <w:rPr>
                <w:rFonts w:hint="eastAsia" w:ascii="宋体" w:hAnsi="宋体"/>
                <w:color w:val="000000"/>
                <w:kern w:val="0"/>
              </w:rPr>
              <w:t>10.5同义词语</w:t>
            </w:r>
          </w:p>
        </w:tc>
      </w:tr>
      <w:tr>
        <w:tblPrEx>
          <w:tblLayout w:type="fixed"/>
          <w:tblCellMar>
            <w:top w:w="0" w:type="dxa"/>
            <w:left w:w="108" w:type="dxa"/>
            <w:bottom w:w="0" w:type="dxa"/>
            <w:right w:w="108" w:type="dxa"/>
          </w:tblCellMar>
        </w:tblPrEx>
        <w:trPr>
          <w:trHeight w:val="105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p>
        </w:tc>
        <w:tc>
          <w:tcPr>
            <w:tcW w:w="862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textAlignment w:val="auto"/>
              <w:rPr>
                <w:rFonts w:ascii="宋体" w:hAnsi="宋体" w:cs="仿宋_GB2312"/>
                <w:color w:val="000000"/>
                <w:kern w:val="0"/>
              </w:rPr>
            </w:pPr>
            <w:r>
              <w:rPr>
                <w:rFonts w:hint="eastAsia" w:ascii="宋体" w:hAnsi="宋体" w:cs="仿宋_GB2312"/>
                <w:color w:val="000000"/>
                <w:kern w:val="0"/>
              </w:rPr>
              <w:t>构成招标文件组成部分的“通用合同条款”、“专用合同条款”、“技术标准和要求”和“工程量清单（如有）”等章节中出现的措辞“发包人”和“承包人”，在招标投标阶段应当分别按“招标人”和“投标人”进行理解。</w:t>
            </w:r>
          </w:p>
        </w:tc>
      </w:tr>
      <w:tr>
        <w:tblPrEx>
          <w:tblLayout w:type="fixed"/>
          <w:tblCellMar>
            <w:top w:w="0" w:type="dxa"/>
            <w:left w:w="108" w:type="dxa"/>
            <w:bottom w:w="0" w:type="dxa"/>
            <w:right w:w="108" w:type="dxa"/>
          </w:tblCellMar>
        </w:tblPrEx>
        <w:trPr>
          <w:trHeight w:val="480" w:hRule="atLeast"/>
          <w:jc w:val="center"/>
        </w:trPr>
        <w:tc>
          <w:tcPr>
            <w:tcW w:w="951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cs="仿宋_GB2312"/>
                <w:color w:val="000000"/>
                <w:kern w:val="0"/>
              </w:rPr>
            </w:pPr>
            <w:r>
              <w:rPr>
                <w:rFonts w:hint="eastAsia" w:ascii="宋体" w:hAnsi="宋体"/>
                <w:color w:val="000000"/>
                <w:kern w:val="0"/>
              </w:rPr>
              <w:t>10.6隶属关系证明</w:t>
            </w:r>
          </w:p>
        </w:tc>
      </w:tr>
      <w:tr>
        <w:tblPrEx>
          <w:tblLayout w:type="fixed"/>
          <w:tblCellMar>
            <w:top w:w="0" w:type="dxa"/>
            <w:left w:w="108" w:type="dxa"/>
            <w:bottom w:w="0" w:type="dxa"/>
            <w:right w:w="108" w:type="dxa"/>
          </w:tblCellMar>
        </w:tblPrEx>
        <w:trPr>
          <w:trHeight w:val="784"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000000"/>
                <w:kern w:val="0"/>
              </w:rPr>
            </w:pPr>
          </w:p>
        </w:tc>
        <w:tc>
          <w:tcPr>
            <w:tcW w:w="862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cs="仿宋_GB2312"/>
                <w:color w:val="000000"/>
                <w:kern w:val="0"/>
              </w:rPr>
            </w:pPr>
            <w:r>
              <w:rPr>
                <w:rFonts w:hint="eastAsia" w:ascii="宋体" w:hAnsi="宋体" w:cs="仿宋_GB2312"/>
                <w:color w:val="000000"/>
                <w:kern w:val="0"/>
              </w:rPr>
              <w:t>是指劳务合同和近一年的养老保险缴纳证明，如投标人成立时间不足一年的，养老保险缴纳证明以成立实际时间计算。</w:t>
            </w:r>
          </w:p>
        </w:tc>
      </w:tr>
      <w:tr>
        <w:tblPrEx>
          <w:tblLayout w:type="fixed"/>
          <w:tblCellMar>
            <w:top w:w="0" w:type="dxa"/>
            <w:left w:w="108" w:type="dxa"/>
            <w:bottom w:w="0" w:type="dxa"/>
            <w:right w:w="108" w:type="dxa"/>
          </w:tblCellMar>
        </w:tblPrEx>
        <w:trPr>
          <w:trHeight w:val="706"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kern w:val="0"/>
              </w:rPr>
            </w:pPr>
            <w:r>
              <w:rPr>
                <w:rFonts w:hint="eastAsia" w:ascii="宋体" w:hAnsi="宋体"/>
                <w:color w:val="auto"/>
                <w:kern w:val="0"/>
              </w:rPr>
              <w:t>10.7</w:t>
            </w:r>
          </w:p>
        </w:tc>
        <w:tc>
          <w:tcPr>
            <w:tcW w:w="153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auto"/>
                <w:kern w:val="0"/>
              </w:rPr>
            </w:pPr>
            <w:r>
              <w:rPr>
                <w:rFonts w:hint="eastAsia" w:ascii="宋体" w:hAnsi="宋体"/>
                <w:color w:val="auto"/>
              </w:rPr>
              <w:t>类似项目业绩</w:t>
            </w:r>
          </w:p>
        </w:tc>
        <w:tc>
          <w:tcPr>
            <w:tcW w:w="7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textAlignment w:val="auto"/>
            </w:pPr>
            <w:r>
              <w:rPr>
                <w:rFonts w:hint="eastAsia" w:ascii="宋体" w:hAnsi="宋体" w:eastAsia="宋体" w:cs="宋体"/>
              </w:rPr>
              <w:t>201</w:t>
            </w:r>
            <w:r>
              <w:rPr>
                <w:rFonts w:hint="eastAsia" w:ascii="宋体" w:hAnsi="宋体" w:eastAsia="宋体" w:cs="宋体"/>
                <w:lang w:val="en-US" w:eastAsia="zh-CN"/>
              </w:rPr>
              <w:t>6</w:t>
            </w:r>
            <w:r>
              <w:rPr>
                <w:rFonts w:hint="eastAsia" w:ascii="宋体" w:hAnsi="宋体" w:eastAsia="宋体" w:cs="宋体"/>
              </w:rPr>
              <w:t>年1月1日以来</w:t>
            </w:r>
            <w:r>
              <w:rPr>
                <w:rFonts w:hint="eastAsia" w:ascii="宋体" w:hAnsi="宋体" w:eastAsia="宋体" w:cs="宋体"/>
                <w:lang w:eastAsia="zh-CN"/>
              </w:rPr>
              <w:t>类似项目（土地综合整治、矿山整治、农业综合开发等与本工程内容类似的工程），以</w:t>
            </w:r>
            <w:r>
              <w:rPr>
                <w:rFonts w:hint="eastAsia" w:ascii="宋体" w:hAnsi="宋体" w:eastAsia="宋体" w:cs="宋体"/>
              </w:rPr>
              <w:t>合同签订日期为准。</w:t>
            </w:r>
          </w:p>
        </w:tc>
      </w:tr>
      <w:tr>
        <w:tblPrEx>
          <w:tblLayout w:type="fixed"/>
          <w:tblCellMar>
            <w:top w:w="0" w:type="dxa"/>
            <w:left w:w="108" w:type="dxa"/>
            <w:bottom w:w="0" w:type="dxa"/>
            <w:right w:w="108" w:type="dxa"/>
          </w:tblCellMar>
        </w:tblPrEx>
        <w:trPr>
          <w:trHeight w:val="301" w:hRule="atLeast"/>
          <w:jc w:val="center"/>
        </w:trPr>
        <w:tc>
          <w:tcPr>
            <w:tcW w:w="951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olor w:val="000000"/>
                <w:kern w:val="0"/>
              </w:rPr>
            </w:pPr>
            <w:r>
              <w:rPr>
                <w:rFonts w:hint="eastAsia" w:ascii="宋体" w:hAnsi="宋体"/>
                <w:color w:val="000000"/>
                <w:kern w:val="0"/>
              </w:rPr>
              <w:t>10.8解释权</w:t>
            </w:r>
          </w:p>
        </w:tc>
      </w:tr>
      <w:tr>
        <w:tblPrEx>
          <w:tblLayout w:type="fixed"/>
          <w:tblCellMar>
            <w:top w:w="0" w:type="dxa"/>
            <w:left w:w="108" w:type="dxa"/>
            <w:bottom w:w="0" w:type="dxa"/>
            <w:right w:w="108" w:type="dxa"/>
          </w:tblCellMar>
        </w:tblPrEx>
        <w:trPr>
          <w:trHeight w:val="1838"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p>
        </w:tc>
        <w:tc>
          <w:tcPr>
            <w:tcW w:w="862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textAlignment w:val="auto"/>
              <w:rPr>
                <w:rFonts w:ascii="宋体" w:hAnsi="宋体"/>
                <w:color w:val="000000"/>
                <w:kern w:val="0"/>
              </w:rPr>
            </w:pPr>
            <w:r>
              <w:rPr>
                <w:rFonts w:hint="eastAsia" w:ascii="宋体" w:hAnsi="宋体" w:cs="仿宋_GB2312"/>
                <w:color w:val="000000"/>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按本款前述规定仍不能形成结论的，由招标人负责解释。</w:t>
            </w:r>
          </w:p>
        </w:tc>
      </w:tr>
      <w:tr>
        <w:tblPrEx>
          <w:tblLayout w:type="fixed"/>
          <w:tblCellMar>
            <w:top w:w="0" w:type="dxa"/>
            <w:left w:w="108" w:type="dxa"/>
            <w:bottom w:w="0" w:type="dxa"/>
            <w:right w:w="108" w:type="dxa"/>
          </w:tblCellMar>
        </w:tblPrEx>
        <w:trPr>
          <w:trHeight w:val="338" w:hRule="atLeast"/>
          <w:jc w:val="center"/>
        </w:trPr>
        <w:tc>
          <w:tcPr>
            <w:tcW w:w="951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cs="仿宋_GB2312"/>
                <w:color w:val="000000"/>
                <w:kern w:val="0"/>
              </w:rPr>
            </w:pPr>
            <w:r>
              <w:rPr>
                <w:rFonts w:hint="eastAsia" w:ascii="宋体" w:hAnsi="宋体"/>
                <w:color w:val="000000"/>
                <w:kern w:val="0"/>
              </w:rPr>
              <w:t>10.9投标文件的拒收</w:t>
            </w:r>
          </w:p>
        </w:tc>
      </w:tr>
      <w:tr>
        <w:tblPrEx>
          <w:tblLayout w:type="fixed"/>
          <w:tblCellMar>
            <w:top w:w="0" w:type="dxa"/>
            <w:left w:w="108" w:type="dxa"/>
            <w:bottom w:w="0" w:type="dxa"/>
            <w:right w:w="108" w:type="dxa"/>
          </w:tblCellMar>
        </w:tblPrEx>
        <w:trPr>
          <w:trHeight w:val="222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val="0"/>
                <w:bCs w:val="0"/>
                <w:color w:val="000000"/>
                <w:kern w:val="0"/>
              </w:rPr>
            </w:pPr>
          </w:p>
        </w:tc>
        <w:tc>
          <w:tcPr>
            <w:tcW w:w="862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宋体" w:hAnsi="宋体"/>
                <w:b w:val="0"/>
                <w:bCs w:val="0"/>
                <w:color w:val="000000"/>
                <w:kern w:val="0"/>
              </w:rPr>
            </w:pPr>
            <w:r>
              <w:rPr>
                <w:rFonts w:hint="eastAsia" w:ascii="宋体" w:hAnsi="宋体"/>
                <w:b w:val="0"/>
                <w:bCs w:val="0"/>
                <w:color w:val="000000"/>
                <w:kern w:val="0"/>
              </w:rPr>
              <w:t>1、逾期送达的或者未送达指定地点的投标文件。</w:t>
            </w:r>
          </w:p>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宋体" w:hAnsi="宋体"/>
                <w:b w:val="0"/>
                <w:bCs w:val="0"/>
                <w:color w:val="000000"/>
                <w:kern w:val="0"/>
              </w:rPr>
            </w:pPr>
            <w:r>
              <w:rPr>
                <w:rFonts w:hint="eastAsia" w:ascii="宋体" w:hAnsi="宋体"/>
                <w:b w:val="0"/>
                <w:bCs w:val="0"/>
                <w:color w:val="000000"/>
                <w:kern w:val="0"/>
              </w:rPr>
              <w:t>2、投标文件未按招标文件要求密封的。</w:t>
            </w:r>
          </w:p>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宋体" w:hAnsi="宋体"/>
                <w:b w:val="0"/>
                <w:bCs w:val="0"/>
                <w:color w:val="000000"/>
                <w:kern w:val="0"/>
              </w:rPr>
            </w:pPr>
            <w:r>
              <w:rPr>
                <w:rFonts w:hint="eastAsia" w:ascii="宋体" w:hAnsi="宋体"/>
                <w:b w:val="0"/>
                <w:bCs w:val="0"/>
                <w:color w:val="000000"/>
                <w:kern w:val="0"/>
              </w:rPr>
              <w:t xml:space="preserve">3、未按招标文件要求缴纳投标保证金的。 </w:t>
            </w:r>
          </w:p>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宋体" w:hAnsi="宋体"/>
                <w:b w:val="0"/>
                <w:bCs w:val="0"/>
                <w:color w:val="000000"/>
                <w:kern w:val="0"/>
              </w:rPr>
            </w:pPr>
            <w:r>
              <w:rPr>
                <w:rFonts w:hint="eastAsia" w:ascii="宋体" w:hAnsi="宋体"/>
                <w:b w:val="0"/>
                <w:bCs w:val="0"/>
                <w:color w:val="000000"/>
                <w:kern w:val="0"/>
              </w:rPr>
              <w:t>4、开标时法定代表人未持法定代表人身份证明原件和身份证原件（或委托代理人未持有效的授权委托书原件和本人身份证原件）到开标现场并签到的。</w:t>
            </w:r>
          </w:p>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宋体" w:hAnsi="宋体"/>
                <w:b w:val="0"/>
                <w:bCs w:val="0"/>
                <w:color w:val="000000"/>
                <w:kern w:val="0"/>
              </w:rPr>
            </w:pPr>
            <w:r>
              <w:rPr>
                <w:rFonts w:ascii="宋体" w:hAnsi="宋体"/>
                <w:b w:val="0"/>
                <w:bCs w:val="0"/>
                <w:color w:val="000000"/>
                <w:kern w:val="0"/>
              </w:rPr>
              <w:t>5</w:t>
            </w:r>
            <w:r>
              <w:rPr>
                <w:rFonts w:hint="eastAsia" w:ascii="宋体" w:hAnsi="宋体"/>
                <w:b w:val="0"/>
                <w:bCs w:val="0"/>
                <w:color w:val="auto"/>
                <w:kern w:val="0"/>
              </w:rPr>
              <w:t>、</w:t>
            </w:r>
            <w:r>
              <w:rPr>
                <w:rFonts w:hint="eastAsia" w:ascii="宋体" w:hAnsi="宋体"/>
                <w:b w:val="0"/>
                <w:bCs w:val="0"/>
                <w:color w:val="000000"/>
                <w:kern w:val="0"/>
              </w:rPr>
              <w:t>开标时项目经理未携带身份证原件到开标现场并签到的。</w:t>
            </w:r>
          </w:p>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宋体" w:hAnsi="宋体"/>
                <w:b w:val="0"/>
                <w:bCs w:val="0"/>
                <w:color w:val="000000"/>
                <w:kern w:val="0"/>
              </w:rPr>
            </w:pPr>
            <w:r>
              <w:rPr>
                <w:rFonts w:hint="eastAsia" w:ascii="宋体" w:hAnsi="宋体"/>
                <w:b w:val="0"/>
                <w:bCs w:val="0"/>
                <w:color w:val="000000"/>
                <w:kern w:val="0"/>
                <w:lang w:val="en-US" w:eastAsia="zh-CN"/>
              </w:rPr>
              <w:t>6</w:t>
            </w:r>
            <w:r>
              <w:rPr>
                <w:rFonts w:hint="eastAsia" w:ascii="宋体" w:hAnsi="宋体"/>
                <w:b w:val="0"/>
                <w:bCs w:val="0"/>
                <w:color w:val="000000"/>
                <w:kern w:val="0"/>
              </w:rPr>
              <w:t>、投标截止时间前未按照规定支付招标文件费用的。</w:t>
            </w:r>
          </w:p>
        </w:tc>
      </w:tr>
      <w:tr>
        <w:tblPrEx>
          <w:tblLayout w:type="fixed"/>
          <w:tblCellMar>
            <w:top w:w="0" w:type="dxa"/>
            <w:left w:w="108" w:type="dxa"/>
            <w:bottom w:w="0" w:type="dxa"/>
            <w:right w:w="108" w:type="dxa"/>
          </w:tblCellMar>
        </w:tblPrEx>
        <w:trPr>
          <w:trHeight w:val="353" w:hRule="atLeast"/>
          <w:jc w:val="center"/>
        </w:trPr>
        <w:tc>
          <w:tcPr>
            <w:tcW w:w="951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bCs/>
                <w:color w:val="000000"/>
                <w:kern w:val="0"/>
              </w:rPr>
            </w:pPr>
            <w:r>
              <w:rPr>
                <w:rFonts w:hint="eastAsia" w:ascii="宋体" w:hAnsi="宋体"/>
                <w:color w:val="000000"/>
              </w:rPr>
              <w:t>11特别提示</w:t>
            </w:r>
          </w:p>
        </w:tc>
      </w:tr>
      <w:tr>
        <w:tblPrEx>
          <w:tblLayout w:type="fixed"/>
          <w:tblCellMar>
            <w:top w:w="0" w:type="dxa"/>
            <w:left w:w="108" w:type="dxa"/>
            <w:bottom w:w="0" w:type="dxa"/>
            <w:right w:w="108" w:type="dxa"/>
          </w:tblCellMar>
        </w:tblPrEx>
        <w:trPr>
          <w:trHeight w:val="1826"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kern w:val="0"/>
              </w:rPr>
            </w:pPr>
          </w:p>
        </w:tc>
        <w:tc>
          <w:tcPr>
            <w:tcW w:w="862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1、潜在投标人如对招标文件有异议，请在规定时间内在《全国公共资源交易平台（河南省·许昌市）》公共资源交易系统中提出，以其他方式递交的异议不予接受。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2、投标人在投标截止时间前应随时关注《全国公共资源交易平台（河南省·许昌市）》公共资源交易系统发出的有关本项目的答疑、修改等相关内容。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3、本项目试行全流程电子化交易，如因交易系统异常情况无法完成，将以人工方式进行。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4、投标文件依据最终的招标文件进行编制。如果招标文件发生变更，投标人应以招标人最终发出的电子招标文件为准，编制投标文件，务请投标人随时关注项目变更信息。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rPr>
            </w:pPr>
            <w:r>
              <w:rPr>
                <w:rFonts w:hint="eastAsia" w:ascii="宋体" w:hAnsi="宋体" w:eastAsia="宋体" w:cs="宋体"/>
              </w:rPr>
              <w:t>5、投标人电子投标文件成功提交后，应打印“投标文件提交回执单”，供开标现场备查。</w:t>
            </w:r>
          </w:p>
        </w:tc>
      </w:tr>
      <w:tr>
        <w:tblPrEx>
          <w:tblLayout w:type="fixed"/>
          <w:tblCellMar>
            <w:top w:w="0" w:type="dxa"/>
            <w:left w:w="108" w:type="dxa"/>
            <w:bottom w:w="0" w:type="dxa"/>
            <w:right w:w="108" w:type="dxa"/>
          </w:tblCellMar>
        </w:tblPrEx>
        <w:trPr>
          <w:trHeight w:val="381" w:hRule="atLeast"/>
          <w:jc w:val="center"/>
        </w:trPr>
        <w:tc>
          <w:tcPr>
            <w:tcW w:w="951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color w:val="000000"/>
                <w:kern w:val="0"/>
                <w:lang w:val="en-US" w:eastAsia="zh-CN"/>
              </w:rPr>
              <w:t>12</w:t>
            </w:r>
            <w:r>
              <w:rPr>
                <w:rFonts w:hint="eastAsia" w:ascii="宋体" w:hAnsi="宋体"/>
                <w:color w:val="auto"/>
              </w:rPr>
              <w:t>付款方式</w:t>
            </w:r>
          </w:p>
        </w:tc>
      </w:tr>
      <w:tr>
        <w:tblPrEx>
          <w:tblLayout w:type="fixed"/>
          <w:tblCellMar>
            <w:top w:w="0" w:type="dxa"/>
            <w:left w:w="108" w:type="dxa"/>
            <w:bottom w:w="0" w:type="dxa"/>
            <w:right w:w="108" w:type="dxa"/>
          </w:tblCellMar>
        </w:tblPrEx>
        <w:trPr>
          <w:trHeight w:val="2175"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kern w:val="0"/>
              </w:rPr>
            </w:pPr>
          </w:p>
        </w:tc>
        <w:tc>
          <w:tcPr>
            <w:tcW w:w="862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40" w:lineRule="exact"/>
              <w:jc w:val="left"/>
              <w:textAlignment w:val="auto"/>
              <w:rPr>
                <w:rFonts w:hint="eastAsia" w:ascii="宋体" w:hAnsi="宋体" w:eastAsia="宋体" w:cs="宋体"/>
              </w:rPr>
            </w:pPr>
            <w:r>
              <w:rPr>
                <w:rFonts w:hint="eastAsia" w:ascii="宋体" w:hAnsi="宋体"/>
                <w:b w:val="0"/>
                <w:bCs/>
                <w:color w:val="auto"/>
              </w:rPr>
              <w:t>该项目先由中标人垫资建设，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tc>
      </w:tr>
    </w:tbl>
    <w:p>
      <w:pPr>
        <w:keepNext w:val="0"/>
        <w:keepLines w:val="0"/>
        <w:pageBreakBefore w:val="0"/>
        <w:kinsoku/>
        <w:wordWrap/>
        <w:overflowPunct/>
        <w:topLinePunct w:val="0"/>
        <w:bidi w:val="0"/>
        <w:snapToGrid/>
        <w:spacing w:line="360" w:lineRule="exact"/>
        <w:textAlignment w:val="auto"/>
        <w:outlineLvl w:val="2"/>
        <w:rPr>
          <w:rFonts w:hint="eastAsia" w:ascii="宋体" w:hAnsi="宋体" w:eastAsia="宋体" w:cs="宋体"/>
          <w:b/>
          <w:bCs/>
          <w:color w:val="auto"/>
        </w:rPr>
      </w:pPr>
      <w:bookmarkStart w:id="39" w:name="_Toc370458150"/>
      <w:bookmarkEnd w:id="39"/>
      <w:bookmarkStart w:id="40" w:name="_Toc184635081"/>
      <w:bookmarkEnd w:id="40"/>
      <w:bookmarkStart w:id="41" w:name="_Toc503873670"/>
      <w:bookmarkStart w:id="42" w:name="_Toc503433953"/>
      <w:bookmarkStart w:id="43" w:name="_Toc370458160"/>
      <w:bookmarkStart w:id="44" w:name="_Toc503433963"/>
      <w:bookmarkStart w:id="45" w:name="_Toc503873683"/>
    </w:p>
    <w:p>
      <w:pPr>
        <w:keepNext w:val="0"/>
        <w:keepLines w:val="0"/>
        <w:pageBreakBefore w:val="0"/>
        <w:kinsoku/>
        <w:wordWrap/>
        <w:overflowPunct/>
        <w:topLinePunct w:val="0"/>
        <w:bidi w:val="0"/>
        <w:snapToGrid/>
        <w:spacing w:line="380" w:lineRule="exact"/>
        <w:textAlignment w:val="auto"/>
        <w:outlineLvl w:val="2"/>
        <w:rPr>
          <w:rFonts w:hint="eastAsia" w:ascii="宋体" w:hAnsi="宋体" w:eastAsia="宋体" w:cs="宋体"/>
          <w:b/>
          <w:bCs/>
          <w:color w:val="auto"/>
        </w:rPr>
      </w:pPr>
    </w:p>
    <w:p>
      <w:pPr>
        <w:keepNext w:val="0"/>
        <w:keepLines w:val="0"/>
        <w:pageBreakBefore w:val="0"/>
        <w:kinsoku/>
        <w:wordWrap/>
        <w:overflowPunct/>
        <w:topLinePunct w:val="0"/>
        <w:bidi w:val="0"/>
        <w:snapToGrid/>
        <w:spacing w:line="380" w:lineRule="exact"/>
        <w:textAlignment w:val="auto"/>
        <w:outlineLvl w:val="2"/>
        <w:rPr>
          <w:rFonts w:hint="eastAsia" w:ascii="宋体" w:hAnsi="宋体" w:eastAsia="宋体" w:cs="宋体"/>
          <w:color w:val="auto"/>
        </w:rPr>
      </w:pPr>
      <w:r>
        <w:rPr>
          <w:rFonts w:hint="eastAsia" w:ascii="宋体" w:hAnsi="宋体" w:eastAsia="宋体" w:cs="宋体"/>
          <w:b/>
          <w:bCs/>
          <w:color w:val="auto"/>
        </w:rPr>
        <w:t>1.总则</w:t>
      </w:r>
      <w:bookmarkEnd w:id="41"/>
      <w:bookmarkEnd w:id="42"/>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46" w:name="_Toc283381929"/>
      <w:bookmarkEnd w:id="46"/>
      <w:r>
        <w:rPr>
          <w:rFonts w:hint="eastAsia" w:ascii="宋体" w:hAnsi="宋体" w:eastAsia="宋体" w:cs="宋体"/>
          <w:b/>
          <w:bCs/>
          <w:color w:val="auto"/>
        </w:rPr>
        <w:t>1.1</w:t>
      </w:r>
      <w:bookmarkStart w:id="47" w:name="_Toc283381932"/>
      <w:bookmarkEnd w:id="47"/>
      <w:r>
        <w:rPr>
          <w:rFonts w:hint="eastAsia" w:ascii="宋体" w:hAnsi="宋体" w:eastAsia="宋体" w:cs="宋体"/>
          <w:b/>
          <w:bCs/>
          <w:color w:val="auto"/>
        </w:rPr>
        <w:t>项目概况</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1.1.1根据《中华人民共和国招标投标法》等有关法律、法规和规章的规定，本招标项目已具备招标条件，现对本项目施工进行招标。</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1.1.2 本招标项目招标人：见投标人须知前附表。</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1.1.3 本招标项目名称：见投标人须知前附表。</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1.1.4 本项目建设地点：见投标人须知前附表。</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48" w:name="_Toc484607308"/>
      <w:bookmarkEnd w:id="48"/>
      <w:bookmarkStart w:id="49" w:name="_Toc467679633"/>
      <w:bookmarkEnd w:id="49"/>
      <w:bookmarkStart w:id="50" w:name="_Toc449530144"/>
      <w:r>
        <w:rPr>
          <w:rFonts w:hint="eastAsia" w:ascii="宋体" w:hAnsi="宋体" w:eastAsia="宋体" w:cs="宋体"/>
          <w:b/>
          <w:bCs/>
          <w:color w:val="auto"/>
        </w:rPr>
        <w:t>1.2 资金来源</w:t>
      </w:r>
      <w:bookmarkEnd w:id="50"/>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1.2.1 本招标项目的资金来源：见投标人须知前附表。</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51" w:name="_Toc467679634"/>
      <w:bookmarkEnd w:id="51"/>
      <w:bookmarkStart w:id="52" w:name="_Toc449530145"/>
      <w:bookmarkEnd w:id="52"/>
      <w:bookmarkStart w:id="53" w:name="_Toc484607309"/>
      <w:r>
        <w:rPr>
          <w:rFonts w:hint="eastAsia" w:ascii="宋体" w:hAnsi="宋体" w:eastAsia="宋体" w:cs="宋体"/>
          <w:b/>
          <w:bCs/>
          <w:color w:val="auto"/>
        </w:rPr>
        <w:t>1.3 招标范围、计划工期和质量要求</w:t>
      </w:r>
      <w:bookmarkEnd w:id="53"/>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1.3.1 本招标项目招标范围：见投标人须知前附表。</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1.3.2 本招标项目的工期要求：见投标人须知前附表。</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1.3.3 本招标项目的质量要求：见投标人须知前附表。</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kern w:val="0"/>
        </w:rPr>
      </w:pPr>
      <w:r>
        <w:rPr>
          <w:rFonts w:hint="eastAsia" w:ascii="宋体" w:hAnsi="宋体" w:eastAsia="宋体" w:cs="宋体"/>
          <w:b/>
          <w:bCs/>
          <w:color w:val="auto"/>
        </w:rPr>
        <w:t>1.4投标人资质条件、能力和信誉</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kern w:val="0"/>
        </w:rPr>
      </w:pPr>
      <w:r>
        <w:rPr>
          <w:rFonts w:hint="eastAsia" w:ascii="宋体" w:hAnsi="宋体" w:eastAsia="宋体" w:cs="宋体"/>
          <w:color w:val="auto"/>
        </w:rPr>
        <w:t>1.</w:t>
      </w:r>
      <w:r>
        <w:rPr>
          <w:rFonts w:hint="eastAsia" w:ascii="宋体" w:hAnsi="宋体" w:eastAsia="宋体" w:cs="宋体"/>
          <w:color w:val="auto"/>
          <w:kern w:val="0"/>
        </w:rPr>
        <w:t xml:space="preserve">4.1  </w:t>
      </w:r>
      <w:r>
        <w:rPr>
          <w:rFonts w:hint="eastAsia" w:ascii="宋体" w:hAnsi="宋体" w:eastAsia="宋体" w:cs="宋体"/>
          <w:color w:val="auto"/>
        </w:rPr>
        <w:t>投标人资质条件、能力和信誉：见投标人须知前附表。</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1.4.2 是否接受联合体投标：见投标人须知前附表。</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1.4.3  投标人不得存在下列情形之一：</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（l）为招标人不具有独立法人资格的附属机构（单位）；</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（2）为本标段前期准备提供设计或咨询服务的，但设计施工总承包的除外；</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（3）为本标段的监理人；</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（4）为本标段的代建人；</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（5）为本标段提供招标代理服务的；</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（6）与本标段的监理人或代建人或招标代理机构同为一个法定代表人的；</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（7）与本标段的监理人或代建人或招标代理机构相互控股或参股的；</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（8）与本标段的监理人或代建人或招标代理机构相互任职或工作的；</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（9）被责令停业的；</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（10）被暂停或取消投标资格的；</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（11）财产被接管或冻结的；</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（12）在最近三年内有骗取中标或严重违约或重大工程质量问题的。</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54" w:name="_Toc283381933"/>
      <w:bookmarkEnd w:id="54"/>
      <w:r>
        <w:rPr>
          <w:rFonts w:hint="eastAsia" w:ascii="宋体" w:hAnsi="宋体" w:eastAsia="宋体" w:cs="宋体"/>
          <w:b/>
          <w:bCs/>
          <w:color w:val="auto"/>
        </w:rPr>
        <w:t>1.5投标费用</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投标人应承担其投标文件编制与递交所涉及的一切费用。在任何情况下招标人和招标代理机构对上述费用均不负担任何责任。</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1.5.1  投标人必须对所投标段招标范围内的全部内容进行投标，只投其中部分内容者则其投标文件无效。</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1.5.2  投标人只允许有一个报价，任何有选择的报价或替代方案将导致投标无效。</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55" w:name="_Toc283381934"/>
      <w:bookmarkEnd w:id="55"/>
      <w:r>
        <w:rPr>
          <w:rFonts w:hint="eastAsia" w:ascii="宋体" w:hAnsi="宋体" w:eastAsia="宋体" w:cs="宋体"/>
          <w:b/>
          <w:bCs/>
          <w:color w:val="auto"/>
        </w:rPr>
        <w:t>1.6保密</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参与招标投标活动的各方应对招标文件和投标文件中的商业和技术等秘密保密，违者应对由此造成的后果承担法律责任。</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56" w:name="_Toc283381936"/>
      <w:bookmarkEnd w:id="56"/>
      <w:r>
        <w:rPr>
          <w:rFonts w:hint="eastAsia" w:ascii="宋体" w:hAnsi="宋体" w:eastAsia="宋体" w:cs="宋体"/>
          <w:b/>
          <w:bCs/>
          <w:color w:val="auto"/>
        </w:rPr>
        <w:t>1.7语言文字</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除专用术语外，与招标投标有关的语言均使用中文。必要时专用术语应附有中文注释。</w:t>
      </w:r>
      <w:bookmarkStart w:id="57" w:name="_Toc17691"/>
      <w:bookmarkEnd w:id="57"/>
      <w:bookmarkStart w:id="58" w:name="_Toc484607314"/>
      <w:bookmarkEnd w:id="58"/>
      <w:bookmarkStart w:id="59" w:name="_Toc13677"/>
      <w:bookmarkEnd w:id="59"/>
      <w:bookmarkStart w:id="60" w:name="_Toc449530150"/>
      <w:bookmarkEnd w:id="60"/>
      <w:bookmarkStart w:id="61" w:name="_Toc26723"/>
      <w:bookmarkEnd w:id="61"/>
      <w:bookmarkStart w:id="62" w:name="_Toc19518"/>
      <w:bookmarkEnd w:id="62"/>
      <w:bookmarkStart w:id="63" w:name="_Toc17491"/>
      <w:bookmarkEnd w:id="63"/>
      <w:bookmarkStart w:id="64" w:name="_Toc15156"/>
      <w:bookmarkEnd w:id="64"/>
      <w:bookmarkStart w:id="65" w:name="_Toc467679639"/>
      <w:bookmarkEnd w:id="65"/>
      <w:bookmarkStart w:id="66" w:name="_Toc6395"/>
      <w:bookmarkEnd w:id="66"/>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r>
        <w:rPr>
          <w:rFonts w:hint="eastAsia" w:ascii="宋体" w:hAnsi="宋体" w:eastAsia="宋体" w:cs="宋体"/>
          <w:b/>
          <w:bCs/>
          <w:color w:val="auto"/>
        </w:rPr>
        <w:t>1.8 计量单位</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所有计量均采用中华人民共和国法定计量单位。</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67" w:name="_Toc484607315"/>
      <w:bookmarkEnd w:id="67"/>
      <w:bookmarkStart w:id="68" w:name="_Toc467679640"/>
      <w:bookmarkEnd w:id="68"/>
      <w:bookmarkStart w:id="69" w:name="_Toc449530151"/>
      <w:r>
        <w:rPr>
          <w:rFonts w:hint="eastAsia" w:ascii="宋体" w:hAnsi="宋体" w:eastAsia="宋体" w:cs="宋体"/>
          <w:b/>
          <w:bCs/>
          <w:color w:val="auto"/>
        </w:rPr>
        <w:t>1.9 踏勘现场</w:t>
      </w:r>
      <w:bookmarkEnd w:id="69"/>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1.9.1 投标人须知前附表规定组织踏勘现场的，招标人按投标人须知前附表规定的时间、地点组织投标人踏勘项目现场。</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1.9.2 投标人踏勘现场发生的费用自理。</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1.9.3 除招标人的原因外，投标人自行负责在踏勘现场中所发生的人员伤亡和财产损失。</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1.9.4 招标人在踏勘现场中介绍的工程场地和相关的周边环境情况，供投标人在编制投标文件时参考，招标人不对投标人据此作出的判断和决策负责。</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r>
        <w:rPr>
          <w:rFonts w:hint="eastAsia" w:ascii="宋体" w:hAnsi="宋体" w:eastAsia="宋体" w:cs="宋体"/>
          <w:b/>
          <w:bCs/>
          <w:color w:val="auto"/>
        </w:rPr>
        <w:t>1.12投标预备会</w:t>
      </w:r>
    </w:p>
    <w:p>
      <w:pPr>
        <w:keepNext w:val="0"/>
        <w:keepLines w:val="0"/>
        <w:pageBreakBefore w:val="0"/>
        <w:kinsoku/>
        <w:wordWrap/>
        <w:overflowPunct/>
        <w:topLinePunct w:val="0"/>
        <w:bidi w:val="0"/>
        <w:snapToGrid/>
        <w:spacing w:line="380" w:lineRule="exact"/>
        <w:ind w:firstLine="404" w:firstLineChars="200"/>
        <w:textAlignment w:val="auto"/>
        <w:rPr>
          <w:rFonts w:hint="eastAsia" w:ascii="宋体" w:hAnsi="宋体" w:eastAsia="宋体" w:cs="宋体"/>
          <w:color w:val="auto"/>
          <w:spacing w:val="-4"/>
        </w:rPr>
      </w:pPr>
      <w:r>
        <w:rPr>
          <w:rFonts w:hint="eastAsia" w:ascii="宋体" w:hAnsi="宋体" w:eastAsia="宋体" w:cs="宋体"/>
          <w:color w:val="auto"/>
          <w:spacing w:val="-4"/>
        </w:rPr>
        <w:t>是否召开投标预备会：见投标人须知前附表。</w:t>
      </w:r>
    </w:p>
    <w:p>
      <w:pPr>
        <w:keepNext w:val="0"/>
        <w:keepLines w:val="0"/>
        <w:pageBreakBefore w:val="0"/>
        <w:kinsoku/>
        <w:wordWrap/>
        <w:overflowPunct/>
        <w:topLinePunct w:val="0"/>
        <w:bidi w:val="0"/>
        <w:snapToGrid/>
        <w:spacing w:line="380" w:lineRule="exact"/>
        <w:textAlignment w:val="auto"/>
        <w:outlineLvl w:val="2"/>
        <w:rPr>
          <w:rFonts w:hint="eastAsia" w:ascii="宋体" w:hAnsi="宋体" w:eastAsia="宋体" w:cs="宋体"/>
          <w:b/>
          <w:bCs/>
          <w:color w:val="auto"/>
        </w:rPr>
      </w:pPr>
      <w:bookmarkStart w:id="70" w:name="_Toc283381940"/>
      <w:bookmarkEnd w:id="70"/>
      <w:bookmarkStart w:id="71" w:name="_Toc503873671"/>
      <w:bookmarkStart w:id="72" w:name="_Toc370458151"/>
      <w:bookmarkStart w:id="73" w:name="_Toc503433954"/>
      <w:r>
        <w:rPr>
          <w:rFonts w:hint="eastAsia" w:ascii="宋体" w:hAnsi="宋体" w:eastAsia="宋体" w:cs="宋体"/>
          <w:b/>
          <w:bCs/>
          <w:color w:val="auto"/>
        </w:rPr>
        <w:t>2.招标文件</w:t>
      </w:r>
      <w:bookmarkEnd w:id="71"/>
      <w:bookmarkEnd w:id="72"/>
      <w:bookmarkEnd w:id="73"/>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74" w:name="_Toc283381941"/>
      <w:bookmarkEnd w:id="74"/>
      <w:r>
        <w:rPr>
          <w:rFonts w:hint="eastAsia" w:ascii="宋体" w:hAnsi="宋体" w:eastAsia="宋体" w:cs="宋体"/>
          <w:b/>
          <w:bCs/>
          <w:color w:val="auto"/>
        </w:rPr>
        <w:t>2.1招标文件的组成</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本招标文件包括：</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（1）招标公告；</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（2）投标人须知；</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（3）评标办法；</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（4）合同条款及格式；</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（5）工程量清单；</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（6）技术标准和要求；</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（7）投标文件格式；</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（8）投标人须知前附表规定的其他材料。</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根据本章第2.2款对招标文件所作的澄清、修改等，构成招标文件的组成部分。当招标文件、招标文件的澄清或修改等在同一内容的表述上不一致时，以最后发出的书面文件为准。</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r>
        <w:rPr>
          <w:rFonts w:hint="eastAsia" w:ascii="宋体" w:hAnsi="宋体" w:eastAsia="宋体" w:cs="宋体"/>
          <w:b/>
          <w:bCs/>
          <w:color w:val="auto"/>
        </w:rPr>
        <w:t>2.2 招标文件的答疑</w:t>
      </w:r>
    </w:p>
    <w:p>
      <w:pPr>
        <w:keepNext w:val="0"/>
        <w:keepLines w:val="0"/>
        <w:pageBreakBefore w:val="0"/>
        <w:kinsoku/>
        <w:wordWrap/>
        <w:overflowPunct/>
        <w:topLinePunct w:val="0"/>
        <w:autoSpaceDE w:val="0"/>
        <w:autoSpaceDN w:val="0"/>
        <w:bidi w:val="0"/>
        <w:adjustRightInd w:val="0"/>
        <w:snapToGrid/>
        <w:spacing w:line="380" w:lineRule="exact"/>
        <w:ind w:firstLine="539" w:firstLineChars="257"/>
        <w:jc w:val="left"/>
        <w:textAlignment w:val="auto"/>
        <w:rPr>
          <w:rFonts w:hint="eastAsia" w:ascii="宋体" w:hAnsi="宋体" w:eastAsia="宋体" w:cs="宋体"/>
          <w:color w:val="auto"/>
        </w:rPr>
      </w:pPr>
      <w:r>
        <w:rPr>
          <w:rFonts w:hint="eastAsia" w:ascii="宋体" w:hAnsi="宋体" w:eastAsia="宋体" w:cs="宋体"/>
          <w:color w:val="auto"/>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keepNext w:val="0"/>
        <w:keepLines w:val="0"/>
        <w:pageBreakBefore w:val="0"/>
        <w:kinsoku/>
        <w:wordWrap/>
        <w:overflowPunct/>
        <w:topLinePunct w:val="0"/>
        <w:autoSpaceDE w:val="0"/>
        <w:autoSpaceDN w:val="0"/>
        <w:bidi w:val="0"/>
        <w:adjustRightInd w:val="0"/>
        <w:snapToGrid/>
        <w:spacing w:line="380" w:lineRule="exact"/>
        <w:ind w:firstLine="539" w:firstLineChars="257"/>
        <w:jc w:val="left"/>
        <w:textAlignment w:val="auto"/>
        <w:rPr>
          <w:rFonts w:hint="eastAsia" w:ascii="宋体" w:hAnsi="宋体" w:eastAsia="宋体" w:cs="宋体"/>
          <w:color w:val="auto"/>
        </w:rPr>
      </w:pPr>
      <w:r>
        <w:rPr>
          <w:rFonts w:hint="eastAsia" w:ascii="宋体" w:hAnsi="宋体" w:eastAsia="宋体" w:cs="宋体"/>
          <w:color w:val="auto"/>
        </w:rPr>
        <w:t>2.2.2招标人在投标人须知前附表规定的时间，将对投标人所提出问题在公共平台进行澄清，该澄清内容为招标文件的组成部分。</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r>
        <w:rPr>
          <w:rFonts w:hint="eastAsia" w:ascii="宋体" w:hAnsi="宋体" w:eastAsia="宋体" w:cs="宋体"/>
          <w:b/>
          <w:bCs/>
          <w:color w:val="auto"/>
        </w:rPr>
        <w:t>2.3招标文件的修正、澄清</w:t>
      </w:r>
    </w:p>
    <w:p>
      <w:pPr>
        <w:keepNext w:val="0"/>
        <w:keepLines w:val="0"/>
        <w:pageBreakBefore w:val="0"/>
        <w:kinsoku/>
        <w:wordWrap/>
        <w:overflowPunct/>
        <w:topLinePunct w:val="0"/>
        <w:autoSpaceDE w:val="0"/>
        <w:autoSpaceDN w:val="0"/>
        <w:bidi w:val="0"/>
        <w:snapToGrid/>
        <w:spacing w:line="380" w:lineRule="exact"/>
        <w:ind w:firstLine="420" w:firstLineChars="200"/>
        <w:jc w:val="left"/>
        <w:textAlignment w:val="auto"/>
        <w:rPr>
          <w:rFonts w:hint="eastAsia" w:ascii="宋体" w:hAnsi="宋体" w:eastAsia="宋体" w:cs="宋体"/>
          <w:color w:val="auto"/>
        </w:rPr>
      </w:pPr>
      <w:bookmarkStart w:id="75" w:name="_Toc283381944"/>
      <w:bookmarkEnd w:id="75"/>
      <w:bookmarkStart w:id="76" w:name="_Toc503433955"/>
      <w:bookmarkStart w:id="77" w:name="_Toc503873672"/>
      <w:bookmarkStart w:id="78" w:name="_Toc370458152"/>
      <w:r>
        <w:rPr>
          <w:rFonts w:hint="eastAsia" w:ascii="宋体" w:hAnsi="宋体" w:eastAsia="宋体" w:cs="宋体"/>
          <w:color w:val="auto"/>
        </w:rPr>
        <w:t>2.3.1 在投标截止时间15天前，招标人可以通过公共资源交易系统电子平台修改招标文件，如果修改招标文件的时间距投标截止时间不足15 天，相应顺延投标截止时间。</w:t>
      </w:r>
    </w:p>
    <w:p>
      <w:pPr>
        <w:keepNext w:val="0"/>
        <w:keepLines w:val="0"/>
        <w:pageBreakBefore w:val="0"/>
        <w:kinsoku/>
        <w:wordWrap/>
        <w:overflowPunct/>
        <w:topLinePunct w:val="0"/>
        <w:autoSpaceDE w:val="0"/>
        <w:autoSpaceDN w:val="0"/>
        <w:bidi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2.3.2 当招标文件、补充通知、答疑纪要，内容相互矛盾时，以最后发出的通知或纪要为准。</w:t>
      </w:r>
    </w:p>
    <w:p>
      <w:pPr>
        <w:keepNext w:val="0"/>
        <w:keepLines w:val="0"/>
        <w:pageBreakBefore w:val="0"/>
        <w:kinsoku/>
        <w:wordWrap/>
        <w:overflowPunct/>
        <w:topLinePunct w:val="0"/>
        <w:bidi w:val="0"/>
        <w:snapToGrid/>
        <w:spacing w:line="380" w:lineRule="exact"/>
        <w:textAlignment w:val="auto"/>
        <w:outlineLvl w:val="2"/>
        <w:rPr>
          <w:rFonts w:hint="eastAsia" w:ascii="宋体" w:hAnsi="宋体" w:eastAsia="宋体" w:cs="宋体"/>
          <w:b/>
          <w:bCs/>
          <w:color w:val="auto"/>
        </w:rPr>
      </w:pPr>
      <w:r>
        <w:rPr>
          <w:rFonts w:hint="eastAsia" w:ascii="宋体" w:hAnsi="宋体" w:eastAsia="宋体" w:cs="宋体"/>
          <w:b/>
          <w:bCs/>
          <w:color w:val="auto"/>
        </w:rPr>
        <w:t>3.投标文件</w:t>
      </w:r>
      <w:bookmarkEnd w:id="76"/>
      <w:bookmarkEnd w:id="77"/>
      <w:bookmarkEnd w:id="78"/>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79" w:name="_Toc283381945"/>
      <w:bookmarkEnd w:id="79"/>
      <w:r>
        <w:rPr>
          <w:rFonts w:hint="eastAsia" w:ascii="宋体" w:hAnsi="宋体" w:eastAsia="宋体" w:cs="宋体"/>
          <w:b/>
          <w:bCs/>
          <w:color w:val="auto"/>
        </w:rPr>
        <w:t>3.1投标文件的组成</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投标文件应包括下列内容：</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（l）投标函及投标函附录；</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（2）法定代表人身份证明；</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（3）授权委托书；</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（4）投标保证金；</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（5）已标价工程量清单；</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（6）施工组织设计；</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（7）项目管理机构；</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（8）资格审查资料；</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（9）投标人应提供的其他材料。</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80" w:name="_Toc283381946"/>
      <w:bookmarkEnd w:id="80"/>
      <w:r>
        <w:rPr>
          <w:rFonts w:hint="eastAsia" w:ascii="宋体" w:hAnsi="宋体" w:eastAsia="宋体" w:cs="宋体"/>
          <w:b/>
          <w:bCs/>
          <w:color w:val="auto"/>
        </w:rPr>
        <w:t>3.2投标报价</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b/>
          <w:bCs/>
          <w:color w:val="auto"/>
        </w:rPr>
      </w:pPr>
      <w:r>
        <w:rPr>
          <w:rFonts w:hint="eastAsia" w:ascii="宋体" w:hAnsi="宋体" w:eastAsia="宋体" w:cs="宋体"/>
          <w:color w:val="auto"/>
        </w:rPr>
        <w:t>3.2.1投标报价采用工程量清单进行报价，投标人应按第五章“工程量清单”的要求填写相应表格。</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3.2.2投标报价应包括招标文件所确定的所投标段招标范围内的全部内容，以及为完成上述内容所必须的临时工程、材料及劳务、机械等所需的全部费用。</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3.2.3投标报价应以工程量清单为准并参考招标人所提供的图纸。</w:t>
      </w:r>
      <w:r>
        <w:rPr>
          <w:rFonts w:hint="eastAsia" w:ascii="宋体" w:hAnsi="宋体" w:eastAsia="宋体" w:cs="宋体"/>
          <w:color w:val="auto"/>
          <w:kern w:val="0"/>
        </w:rPr>
        <w:t>已标价工程量清单须逐页盖投标人单位章及本单位两名造价人员签字并加盖执业专用章（单价分析表除外），且印章在有效期内。委托造价咨询企业编制的还需加盖造价咨询企业单位章及执业印章，并附委托协议。</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3.2.4投标人应充分考虑施工期间政策和价格风险，以及所有根据合同或其它原因应由投标人支付的税金和其它应交纳的费用一并计入总价。</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3.2.5投标人在投标截止时间前修改投标函中的投标总报价，应同时修改第五章“工程量清单”中的相应报价。此修改须符合本章第4.3款的有关要求。</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3.2.6如发现工程量清单中的数量与图纸中数量不一致时，应立即通知招标人核查，除非招标人以书面方式予以更正，否则，应以工程量清单中列出的数量为准。</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3.2.7如报价表中的单价乘以数量不等于总价时，以单价为准修正总价；总价数字表示的数据与文字表示的数据不一致时，以文字表示的数据为准。</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3.2.8 投标报价编制的依据及报价</w:t>
      </w:r>
    </w:p>
    <w:p>
      <w:pPr>
        <w:spacing w:line="360" w:lineRule="auto"/>
        <w:ind w:firstLine="422" w:firstLineChars="200"/>
        <w:rPr>
          <w:rFonts w:ascii="宋体" w:hAnsi="宋体"/>
          <w:b/>
          <w:bCs/>
        </w:rPr>
      </w:pPr>
      <w:r>
        <w:rPr>
          <w:rFonts w:hint="eastAsia" w:ascii="宋体" w:hAnsi="宋体"/>
          <w:b/>
          <w:bCs/>
        </w:rPr>
        <w:t>（1）《河南省国土整理预算定额》；</w:t>
      </w:r>
    </w:p>
    <w:p>
      <w:pPr>
        <w:spacing w:line="360" w:lineRule="auto"/>
        <w:ind w:firstLine="422" w:firstLineChars="200"/>
        <w:rPr>
          <w:rFonts w:ascii="宋体" w:hAnsi="宋体"/>
          <w:b/>
          <w:bCs/>
        </w:rPr>
      </w:pPr>
      <w:r>
        <w:rPr>
          <w:rFonts w:hint="eastAsia" w:ascii="宋体" w:hAnsi="宋体"/>
          <w:b/>
          <w:bCs/>
        </w:rPr>
        <w:t>（2）材料价格依据《许昌</w:t>
      </w:r>
      <w:r>
        <w:rPr>
          <w:rFonts w:hint="eastAsia" w:ascii="宋体" w:hAnsi="宋体"/>
          <w:b/>
          <w:bCs/>
          <w:lang w:val="en-US" w:eastAsia="zh-CN"/>
        </w:rPr>
        <w:t>市</w:t>
      </w:r>
      <w:r>
        <w:rPr>
          <w:rFonts w:hint="eastAsia" w:ascii="宋体" w:hAnsi="宋体"/>
          <w:b/>
          <w:bCs/>
        </w:rPr>
        <w:t>造价信息》及市场询价；</w:t>
      </w:r>
    </w:p>
    <w:p>
      <w:pPr>
        <w:spacing w:line="360" w:lineRule="auto"/>
        <w:ind w:firstLine="422" w:firstLineChars="200"/>
        <w:rPr>
          <w:rFonts w:ascii="宋体" w:hAnsi="宋体"/>
          <w:b/>
          <w:bCs/>
          <w:color w:val="000000" w:themeColor="text1"/>
        </w:rPr>
      </w:pPr>
      <w:r>
        <w:rPr>
          <w:rFonts w:hint="eastAsia" w:ascii="宋体" w:hAnsi="宋体"/>
          <w:b/>
          <w:bCs/>
          <w:color w:val="000000" w:themeColor="text1"/>
        </w:rPr>
        <w:t>（3）税金按</w:t>
      </w:r>
      <w:r>
        <w:rPr>
          <w:rFonts w:hint="eastAsia" w:ascii="宋体" w:hAnsi="宋体"/>
          <w:b/>
          <w:bCs/>
          <w:color w:val="000000" w:themeColor="text1"/>
          <w:lang w:val="en-US" w:eastAsia="zh-CN"/>
        </w:rPr>
        <w:t>10%</w:t>
      </w:r>
      <w:r>
        <w:rPr>
          <w:rFonts w:hint="eastAsia" w:ascii="宋体" w:hAnsi="宋体"/>
          <w:b/>
          <w:bCs/>
          <w:color w:val="000000" w:themeColor="text1"/>
        </w:rPr>
        <w:t>；</w:t>
      </w:r>
    </w:p>
    <w:p>
      <w:pPr>
        <w:keepNext w:val="0"/>
        <w:keepLines w:val="0"/>
        <w:pageBreakBefore w:val="0"/>
        <w:kinsoku/>
        <w:wordWrap/>
        <w:overflowPunct/>
        <w:topLinePunct w:val="0"/>
        <w:bidi w:val="0"/>
        <w:snapToGrid/>
        <w:spacing w:line="380" w:lineRule="exact"/>
        <w:ind w:firstLine="422" w:firstLineChars="200"/>
        <w:textAlignment w:val="auto"/>
        <w:rPr>
          <w:rFonts w:hint="eastAsia" w:ascii="宋体" w:hAnsi="宋体"/>
          <w:b/>
          <w:bCs/>
        </w:rPr>
      </w:pPr>
      <w:r>
        <w:rPr>
          <w:rFonts w:hint="eastAsia" w:ascii="宋体" w:hAnsi="宋体"/>
          <w:b/>
          <w:bCs/>
        </w:rPr>
        <w:t>（</w:t>
      </w:r>
      <w:r>
        <w:rPr>
          <w:rFonts w:hint="eastAsia" w:ascii="宋体" w:hAnsi="宋体"/>
          <w:b/>
          <w:bCs/>
          <w:lang w:val="en-US" w:eastAsia="zh-CN"/>
        </w:rPr>
        <w:t>4</w:t>
      </w:r>
      <w:r>
        <w:rPr>
          <w:rFonts w:hint="eastAsia" w:ascii="宋体" w:hAnsi="宋体"/>
          <w:b/>
          <w:bCs/>
        </w:rPr>
        <w:t>）结合当地建筑工程市场情况自主报价。</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3.2.9 投标人根据已标价的工程量清单的编制依据套用定额，定额没有的子目投标人可以自行补充。</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81" w:name="_Toc283381947"/>
      <w:bookmarkEnd w:id="81"/>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r>
        <w:rPr>
          <w:rFonts w:hint="eastAsia" w:ascii="宋体" w:hAnsi="宋体" w:eastAsia="宋体" w:cs="宋体"/>
          <w:b/>
          <w:bCs/>
          <w:color w:val="auto"/>
        </w:rPr>
        <w:t>3.3投标有效期</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bookmarkStart w:id="82" w:name="_Toc283381948"/>
      <w:bookmarkEnd w:id="82"/>
      <w:r>
        <w:rPr>
          <w:rFonts w:hint="eastAsia" w:ascii="宋体" w:hAnsi="宋体" w:eastAsia="宋体" w:cs="宋体"/>
          <w:color w:val="auto"/>
        </w:rPr>
        <w:t>3.3.1 在投标人须知前附表规定的投标有效期内，投标人不得要求撤销或修改其投标文件。</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r>
        <w:rPr>
          <w:rFonts w:hint="eastAsia" w:ascii="宋体" w:hAnsi="宋体" w:eastAsia="宋体" w:cs="宋体"/>
          <w:b/>
          <w:bCs/>
          <w:color w:val="auto"/>
        </w:rPr>
        <w:t xml:space="preserve">3.4投标保证金 </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bookmarkStart w:id="83" w:name="_Toc283381949"/>
      <w:bookmarkEnd w:id="83"/>
      <w:r>
        <w:rPr>
          <w:rFonts w:hint="eastAsia" w:ascii="宋体" w:hAnsi="宋体" w:eastAsia="宋体" w:cs="宋体"/>
          <w:color w:val="auto"/>
        </w:rPr>
        <w:t>3.4.1 投标保证金的递交</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3.4.1.1 因投标人的原因无法及时退还投标（竞买）保证金、滞留三年以上的投标（竞买）保证金上缴财政。</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3.4.1.2 自文件发布之日起，投标人需进行基本户备案（建设工程项目），已备案的基本户开户银行、账户发生变化的，须重新办理备案手续。备案后方可提交投标（竞买）保证金。</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 xml:space="preserve">基本户备案流程： </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工程建设项目的投标人登录注册网址：</w:t>
      </w:r>
      <w:r>
        <w:rPr>
          <w:rFonts w:hint="eastAsia" w:ascii="宋体" w:hAnsi="宋体" w:eastAsia="宋体" w:cs="宋体"/>
          <w:b/>
          <w:bCs/>
          <w:color w:val="auto"/>
          <w:u w:val="none"/>
        </w:rPr>
        <w:fldChar w:fldCharType="begin"/>
      </w:r>
      <w:r>
        <w:rPr>
          <w:rFonts w:hint="eastAsia" w:ascii="宋体" w:hAnsi="宋体" w:eastAsia="宋体" w:cs="宋体"/>
          <w:b/>
          <w:bCs/>
          <w:color w:val="auto"/>
          <w:u w:val="none"/>
        </w:rPr>
        <w:instrText xml:space="preserve"> HYPERLINK "http://221.14.6.70:8088/ggzy/" </w:instrText>
      </w:r>
      <w:r>
        <w:rPr>
          <w:rFonts w:hint="eastAsia" w:ascii="宋体" w:hAnsi="宋体" w:eastAsia="宋体" w:cs="宋体"/>
          <w:b/>
          <w:bCs/>
          <w:color w:val="auto"/>
          <w:u w:val="none"/>
        </w:rPr>
        <w:fldChar w:fldCharType="separate"/>
      </w:r>
      <w:r>
        <w:rPr>
          <w:rStyle w:val="19"/>
          <w:rFonts w:hint="eastAsia" w:ascii="宋体" w:hAnsi="宋体" w:eastAsia="宋体" w:cs="宋体"/>
          <w:b/>
          <w:bCs/>
        </w:rPr>
        <w:t>http://221.14.6.70:8088/ggzy/</w:t>
      </w:r>
      <w:r>
        <w:rPr>
          <w:rFonts w:hint="eastAsia" w:ascii="宋体" w:hAnsi="宋体" w:eastAsia="宋体" w:cs="宋体"/>
          <w:b/>
          <w:bCs/>
          <w:color w:val="auto"/>
          <w:u w:val="none"/>
        </w:rPr>
        <w:fldChar w:fldCharType="end"/>
      </w:r>
      <w:r>
        <w:rPr>
          <w:rFonts w:hint="eastAsia" w:ascii="宋体" w:hAnsi="宋体" w:eastAsia="宋体" w:cs="宋体"/>
          <w:color w:val="auto"/>
        </w:rPr>
        <w:t>，进行系统用户注册，在注册流程中“银行账户”环节，增加“账户类别-基本账户”，填写投标人基本账户信息，扫描上传基本户开户许可证（两者信息必须相符），保存备案信息，提交并绑定CA后可缴纳、绑定投标保证金。</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特殊情况处理</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kern w:val="11"/>
        </w:rPr>
      </w:pPr>
      <w:r>
        <w:rPr>
          <w:rFonts w:hint="eastAsia" w:ascii="宋体" w:hAnsi="宋体" w:eastAsia="宋体" w:cs="宋体"/>
          <w:color w:val="auto"/>
          <w:kern w:val="1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3.4.2 投标人应按投标人须知前附表规定缴纳投标保证金。</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使用银行转帐形式的，于截止时间前通过投标人基本账户将款项一次足额递交、成功绑定，以收款人到账时间为准，在途资金无效，视为未按时交纳。同时投标人应承担节假日银行系统不能支付的风险。</w:t>
      </w:r>
    </w:p>
    <w:p>
      <w:pPr>
        <w:keepNext w:val="0"/>
        <w:keepLines w:val="0"/>
        <w:pageBreakBefore w:val="0"/>
        <w:kinsoku/>
        <w:wordWrap/>
        <w:overflowPunct/>
        <w:topLinePunct w:val="0"/>
        <w:autoSpaceDE w:val="0"/>
        <w:autoSpaceDN w:val="0"/>
        <w:bidi w:val="0"/>
        <w:adjustRightInd w:val="0"/>
        <w:snapToGrid/>
        <w:spacing w:line="380" w:lineRule="exact"/>
        <w:ind w:firstLine="422" w:firstLineChars="200"/>
        <w:jc w:val="left"/>
        <w:textAlignment w:val="auto"/>
        <w:rPr>
          <w:rFonts w:hint="eastAsia" w:ascii="宋体" w:hAnsi="宋体" w:eastAsia="宋体" w:cs="宋体"/>
          <w:b/>
          <w:bCs/>
          <w:color w:val="auto"/>
          <w:kern w:val="0"/>
        </w:rPr>
      </w:pPr>
      <w:r>
        <w:rPr>
          <w:rFonts w:hint="eastAsia" w:ascii="宋体" w:hAnsi="宋体" w:eastAsia="宋体" w:cs="宋体"/>
          <w:b/>
          <w:bCs/>
          <w:color w:val="auto"/>
          <w:kern w:val="0"/>
        </w:rPr>
        <w:t>联合体投标的，其投标保证金由牵头人递交，并应符合投标人须知前附表的规定。</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3.4.2.2 投标保证金缴纳方式：</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投标人网上报名后，登录</w:t>
      </w:r>
      <w:r>
        <w:rPr>
          <w:rFonts w:hint="eastAsia" w:ascii="宋体" w:hAnsi="宋体" w:eastAsia="宋体" w:cs="宋体"/>
          <w:b/>
          <w:bCs/>
          <w:color w:val="auto"/>
          <w:u w:val="none"/>
        </w:rPr>
        <w:fldChar w:fldCharType="begin"/>
      </w:r>
      <w:r>
        <w:rPr>
          <w:rFonts w:hint="eastAsia" w:ascii="宋体" w:hAnsi="宋体" w:eastAsia="宋体" w:cs="宋体"/>
          <w:b/>
          <w:bCs/>
          <w:color w:val="auto"/>
          <w:u w:val="none"/>
        </w:rPr>
        <w:instrText xml:space="preserve"> HYPERLINK "http://221.14.6.70:8088/ggzy" </w:instrText>
      </w:r>
      <w:r>
        <w:rPr>
          <w:rFonts w:hint="eastAsia" w:ascii="宋体" w:hAnsi="宋体" w:eastAsia="宋体" w:cs="宋体"/>
          <w:b/>
          <w:bCs/>
          <w:color w:val="auto"/>
          <w:u w:val="none"/>
        </w:rPr>
        <w:fldChar w:fldCharType="separate"/>
      </w:r>
      <w:r>
        <w:rPr>
          <w:rStyle w:val="19"/>
          <w:rFonts w:hint="eastAsia" w:ascii="宋体" w:hAnsi="宋体" w:eastAsia="宋体" w:cs="宋体"/>
          <w:b/>
          <w:bCs/>
        </w:rPr>
        <w:t>http://221.14.6.70:8088/ggzy</w:t>
      </w:r>
      <w:r>
        <w:rPr>
          <w:rFonts w:hint="eastAsia" w:ascii="宋体" w:hAnsi="宋体" w:eastAsia="宋体" w:cs="宋体"/>
          <w:b/>
          <w:bCs/>
          <w:color w:val="auto"/>
          <w:u w:val="none"/>
        </w:rPr>
        <w:fldChar w:fldCharType="end"/>
      </w:r>
      <w:r>
        <w:rPr>
          <w:rFonts w:hint="eastAsia" w:ascii="宋体" w:hAnsi="宋体" w:eastAsia="宋体" w:cs="宋体"/>
          <w:color w:val="auto"/>
        </w:rPr>
        <w:t>系统，依次点击“会员向导”→“参与投标”→“费用缴纳说明”→“保证金缴纳说明单”，获取缴费说明单，根据每个标段的缴纳说明单在缴纳截止时间前缴纳；</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成功缴纳后重新登录前述系统，依次点击“会员向导”→“参与投标”→“保证金绑定”→“绑定”进行投标保证金绑定。</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3.4.2.3 每个投标人每个项目每个标段只有唯一缴纳账号，切勿重复缴纳或错误缴纳。</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3.4.2.4 未按上述规定操作引起的无效投标，由投标人自行负责。</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3.4.2.5汇款凭证无须备注项目编号和项目名称。</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3.4.2.6 出现以下情形造成的投标保证金无效，由投标人自行负责。</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(1)投标保证金未从投标人的基本账户转出；</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(2)投标保证金未按照招标文件划分的标段依次转账。</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3.4.2.7 《保证金缴纳绑定操作指南》获取方法：</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登录许昌公共资源交易系统-组件下载-《保证金缴纳绑定操作指南》</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3.4.3 投标人不按本章第3.4.2项要求提交投标保证金的，不接收其投标文件。</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3.4.4 投标保证金的退还：</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（1）中标公示期满没有质疑或投诉的，5个工作日内退还非中标候选人投标保证金及银行同期活期存款利息。</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（2）在书面合同签订5日内向中标人和其他中标候选人退还投标保证金及银行同期活期存款利息；法定期限内未签订书面合同的，按照有关规定退还其投标保证金。及银行同期活期存款利息。</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（3）项目废标或招标人终止招标的，在此后5个工作日内退还投标保证金及银行同期活期存利息。</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（4）投标活动中出现质疑、投诉的，中标候选人、质疑人和被质疑人、投诉人和被投诉人的投标保证金暂停退还。</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（5）相关投标人有违法违规行为的项目，其投标保证金暂不退还，待行政监督部门对相关情况处置后，按照有关规定办理。</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（6）退还投标保证金，除另有规定外，一般以转账方式一次性退还至投标保证金的原提交账户。</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3.4.5投标人有下列情形之一的，不予退还投标保证金：</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 xml:space="preserve">（一）在招标文件要求提交投标文件的截止时间后至投标文件有效期满前撤回投标的； </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 xml:space="preserve">（二）中标通知书发出后，中标人无故放弃中标项目或无正当理由在规定时间内不与招标人签订合同或未按招标文件规定提交履约担保的； </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 xml:space="preserve">（三）将中标项目转让给他人，或者在投标文件中未说明，且未经招标人同意，将中标项目分包给他人的； </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 xml:space="preserve">（四）投标人在招投标活动中弄虚作假、围标串标，骗取中标并经招投标行政监督部门调查核实的； </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（五）拒绝履行合同义务的；</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（六）相关法律、法规规定不予退还的其它情形。</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b/>
          <w:bCs/>
          <w:color w:val="auto"/>
        </w:rPr>
      </w:pPr>
      <w:r>
        <w:rPr>
          <w:rFonts w:hint="eastAsia" w:ascii="宋体" w:hAnsi="宋体" w:eastAsia="宋体" w:cs="宋体"/>
          <w:color w:val="auto"/>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r>
        <w:rPr>
          <w:rFonts w:hint="eastAsia" w:ascii="宋体" w:hAnsi="宋体" w:eastAsia="宋体" w:cs="宋体"/>
          <w:b/>
          <w:bCs/>
          <w:color w:val="auto"/>
        </w:rPr>
        <w:t>3.5资格审查资料</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3.5.1“投标人基本情况表”后附企业法人营业执照副本、税务登记证副本、组织机构代码证副本或带有统一社会信用代码的营业执照副本复印件及其年检合格的证明材料的复印件、资质证书副本的复印件、安全生产许可证副本的复印件、基本账户开户许可证的复印件、委托代理人、项目经理和技术负责人等人员隶属关系证明复印件以及投标人应提供的其他证明文件的复印件（所有复印件均须逐页加盖单位公章）。</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3.5.2  “近年财务状况表”应附经审计机构出具的财务审计报告的复印件，具体年份要求见投标人须知前附表。投标人的成立时间少于投标人须知前附表规定年份的应提供成立以来的财务状况表。</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3.5.3  “近年完成的项目情况表” 应附中标通知书或合同协议件和竣工验收证明，具体年份要求见投标人须知前附表。</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3.5.4  “近年发生的诉讼及仲裁情况”应说明相关情况，并附法院或仲裁机构作出的判决、裁决等有关法律文书复印件，具体年份要求见投标人须知前附表。</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r>
        <w:rPr>
          <w:rFonts w:hint="eastAsia" w:ascii="宋体" w:hAnsi="宋体" w:eastAsia="宋体" w:cs="宋体"/>
          <w:b/>
          <w:bCs/>
          <w:color w:val="auto"/>
        </w:rPr>
        <w:t>3.6 备选投标方案</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是否允许递交备选投标方案：见投标人须知前附表。</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84" w:name="_Toc283381950"/>
      <w:bookmarkEnd w:id="84"/>
      <w:r>
        <w:rPr>
          <w:rFonts w:hint="eastAsia" w:ascii="宋体" w:hAnsi="宋体" w:eastAsia="宋体" w:cs="宋体"/>
          <w:b/>
          <w:bCs/>
          <w:color w:val="auto"/>
        </w:rPr>
        <w:t>3.7投标文件的编写</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3.7.2  投标文件应当对招标文件有关工期、投标有效期、质量要求、技术标准和要求、招标范围等实质性内容作出响应。</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3.7.3  投标文件应用不褪色的材料书写或打印，字迹清晰可辨，并由投标人的法定代表人或其委托代理人按第八章“投标文件格式”亲笔签字并盖投标人单位公章。委托代理人签字的，投标文件应附法定代表人签署的授权委托书。投标文件应尽量避免涂改、行间插字或删除，如果出现上述情况，改动之处应加盖单位公章或由投标人的法定代表人或其委托代理人签字确认。签字或盖章的其它要求见投标人须知前附表。</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rPr>
        <w:t>3.7.4  投标文件</w:t>
      </w:r>
      <w:r>
        <w:rPr>
          <w:rFonts w:hint="eastAsia" w:ascii="宋体" w:hAnsi="宋体" w:eastAsia="宋体" w:cs="宋体"/>
          <w:color w:val="auto"/>
          <w:lang w:eastAsia="zh-CN"/>
        </w:rPr>
        <w:t>份数：见投标人须知前附表。</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bookmarkStart w:id="85" w:name="_Toc283381951"/>
      <w:bookmarkEnd w:id="85"/>
      <w:bookmarkStart w:id="86" w:name="_Toc503873673"/>
      <w:bookmarkStart w:id="87" w:name="_Toc503433956"/>
      <w:bookmarkStart w:id="88" w:name="_Toc370458153"/>
      <w:r>
        <w:rPr>
          <w:rFonts w:hint="eastAsia" w:ascii="宋体" w:hAnsi="宋体" w:eastAsia="宋体" w:cs="宋体"/>
          <w:color w:val="auto"/>
        </w:rPr>
        <w:t xml:space="preserve">3.7.5 </w:t>
      </w:r>
      <w:r>
        <w:rPr>
          <w:rFonts w:hint="eastAsia" w:ascii="宋体" w:hAnsi="宋体" w:eastAsia="宋体" w:cs="宋体"/>
          <w:color w:val="auto"/>
          <w:lang w:eastAsia="zh-CN"/>
        </w:rPr>
        <w:t>装订要求：见投标人须知前附表。</w:t>
      </w:r>
      <w:r>
        <w:rPr>
          <w:rFonts w:hint="eastAsia" w:ascii="宋体" w:hAnsi="宋体" w:eastAsia="宋体" w:cs="宋体"/>
          <w:color w:val="auto"/>
        </w:rPr>
        <w:t>同时生成与电子投标文件内容、电子签章一致的PDF文件。当大小写不一致时，以大写为准。</w:t>
      </w:r>
    </w:p>
    <w:p>
      <w:pPr>
        <w:keepNext w:val="0"/>
        <w:keepLines w:val="0"/>
        <w:pageBreakBefore w:val="0"/>
        <w:kinsoku/>
        <w:wordWrap/>
        <w:overflowPunct/>
        <w:topLinePunct w:val="0"/>
        <w:bidi w:val="0"/>
        <w:snapToGrid/>
        <w:spacing w:line="380" w:lineRule="exact"/>
        <w:textAlignment w:val="auto"/>
        <w:outlineLvl w:val="2"/>
        <w:rPr>
          <w:rFonts w:hint="eastAsia" w:ascii="宋体" w:hAnsi="宋体" w:eastAsia="宋体" w:cs="宋体"/>
          <w:b/>
          <w:bCs/>
          <w:color w:val="auto"/>
        </w:rPr>
      </w:pPr>
      <w:r>
        <w:rPr>
          <w:rFonts w:hint="eastAsia" w:ascii="宋体" w:hAnsi="宋体" w:eastAsia="宋体" w:cs="宋体"/>
          <w:b/>
          <w:bCs/>
          <w:color w:val="auto"/>
        </w:rPr>
        <w:t>4.投标文件的递交</w:t>
      </w:r>
      <w:bookmarkEnd w:id="86"/>
      <w:bookmarkEnd w:id="87"/>
      <w:bookmarkEnd w:id="88"/>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89" w:name="_Toc283381952"/>
      <w:bookmarkEnd w:id="89"/>
      <w:r>
        <w:rPr>
          <w:rFonts w:hint="eastAsia" w:ascii="宋体" w:hAnsi="宋体" w:eastAsia="宋体" w:cs="宋体"/>
          <w:b/>
          <w:bCs/>
          <w:color w:val="auto"/>
        </w:rPr>
        <w:t>4.1投标文件的密封与标识</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4.1.1 纸质投标文件的正本、副本、电子介质应分开包装，加贴封条，并在封套的封口处加盖投标人公章、法人签字，密封不符合要求的不予受理。</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4.1.2 投标文件的封套上应写明的其他内容见投标人须知前附表。</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4.1.3 使用电子介质存储的投标文件应单独密封，封套上写明“工程名称、招标人名称、投标人名称，在  年  月  日  时  分前不得开启”，并加盖单位公章，法定代表人或委托代理人签名，在投标截止时间前随纸质投标文件一并递交。</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4.1.4 未按本章第4.1.1项、第4.1.2项、第4.1.3项要求密封和加写标记的投标文件，招标人不予受理。</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90" w:name="_Toc484607333"/>
      <w:bookmarkEnd w:id="90"/>
      <w:bookmarkStart w:id="91" w:name="_Toc467679658"/>
      <w:bookmarkEnd w:id="91"/>
      <w:bookmarkStart w:id="92" w:name="_Toc449530169"/>
      <w:bookmarkEnd w:id="92"/>
      <w:bookmarkStart w:id="93" w:name="_Toc283381956"/>
      <w:bookmarkEnd w:id="93"/>
      <w:bookmarkStart w:id="94" w:name="_Toc370458154"/>
      <w:r>
        <w:rPr>
          <w:rFonts w:hint="eastAsia" w:ascii="宋体" w:hAnsi="宋体" w:eastAsia="宋体" w:cs="宋体"/>
          <w:b/>
          <w:bCs/>
          <w:color w:val="auto"/>
        </w:rPr>
        <w:t>4.2 投标文件的递交</w:t>
      </w:r>
      <w:bookmarkEnd w:id="94"/>
    </w:p>
    <w:p>
      <w:pPr>
        <w:keepNext w:val="0"/>
        <w:keepLines w:val="0"/>
        <w:pageBreakBefore w:val="0"/>
        <w:kinsoku/>
        <w:wordWrap/>
        <w:overflowPunct/>
        <w:topLinePunct w:val="0"/>
        <w:autoSpaceDE w:val="0"/>
        <w:autoSpaceDN w:val="0"/>
        <w:bidi w:val="0"/>
        <w:snapToGrid/>
        <w:spacing w:line="380" w:lineRule="exact"/>
        <w:ind w:firstLine="420" w:firstLineChars="200"/>
        <w:jc w:val="left"/>
        <w:textAlignment w:val="auto"/>
        <w:rPr>
          <w:rFonts w:hint="eastAsia" w:ascii="宋体" w:hAnsi="宋体" w:eastAsia="宋体" w:cs="宋体"/>
          <w:color w:val="auto"/>
          <w:sz w:val="21"/>
          <w:szCs w:val="21"/>
        </w:rPr>
      </w:pPr>
      <w:bookmarkStart w:id="95" w:name="_Toc467679659"/>
      <w:bookmarkEnd w:id="95"/>
      <w:bookmarkStart w:id="96" w:name="_Toc449530170"/>
      <w:bookmarkEnd w:id="96"/>
      <w:bookmarkStart w:id="97" w:name="_Toc484607334"/>
      <w:r>
        <w:rPr>
          <w:rFonts w:hint="eastAsia" w:ascii="宋体" w:hAnsi="宋体" w:eastAsia="宋体" w:cs="宋体"/>
          <w:color w:val="auto"/>
          <w:sz w:val="21"/>
          <w:szCs w:val="21"/>
        </w:rPr>
        <w:t>4.2.1 投标人应在投标人须知前附表中规定的投标截止时间前成功上传电子投标文件和现场提交纸质投标文件、电子介质存储的投标文件。</w:t>
      </w:r>
    </w:p>
    <w:p>
      <w:pPr>
        <w:keepNext w:val="0"/>
        <w:keepLines w:val="0"/>
        <w:pageBreakBefore w:val="0"/>
        <w:kinsoku/>
        <w:wordWrap/>
        <w:overflowPunct/>
        <w:topLinePunct w:val="0"/>
        <w:autoSpaceDE w:val="0"/>
        <w:autoSpaceDN w:val="0"/>
        <w:bidi w:val="0"/>
        <w:snapToGrid/>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4.2.2 投标人提交纸质投标文件及电子介质存储的投标文件地点：见投标人须知前附表。</w:t>
      </w:r>
    </w:p>
    <w:p>
      <w:pPr>
        <w:keepNext w:val="0"/>
        <w:keepLines w:val="0"/>
        <w:pageBreakBefore w:val="0"/>
        <w:kinsoku/>
        <w:wordWrap/>
        <w:overflowPunct/>
        <w:topLinePunct w:val="0"/>
        <w:autoSpaceDE w:val="0"/>
        <w:autoSpaceDN w:val="0"/>
        <w:bidi w:val="0"/>
        <w:snapToGrid/>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4.2.3 除投标人须知前附表另有规定外，投标人所提交的电子投标文件、纸质投标文件及电子介质存储的投标文件不予退还。</w:t>
      </w:r>
    </w:p>
    <w:p>
      <w:pPr>
        <w:keepNext w:val="0"/>
        <w:keepLines w:val="0"/>
        <w:pageBreakBefore w:val="0"/>
        <w:kinsoku/>
        <w:wordWrap/>
        <w:overflowPunct/>
        <w:topLinePunct w:val="0"/>
        <w:autoSpaceDE w:val="0"/>
        <w:autoSpaceDN w:val="0"/>
        <w:bidi w:val="0"/>
        <w:snapToGrid/>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4.2.4 逾期送达的或者未送达指定地点的纸质投标文件、电子介质存储的投标文件，招标人不予受理。</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r>
        <w:rPr>
          <w:rFonts w:hint="eastAsia" w:ascii="宋体" w:hAnsi="宋体" w:eastAsia="宋体" w:cs="宋体"/>
          <w:b/>
          <w:bCs/>
          <w:color w:val="auto"/>
        </w:rPr>
        <w:t>4.3 投标文件的修改与撤回</w:t>
      </w:r>
      <w:bookmarkEnd w:id="97"/>
    </w:p>
    <w:p>
      <w:pPr>
        <w:keepNext w:val="0"/>
        <w:keepLines w:val="0"/>
        <w:pageBreakBefore w:val="0"/>
        <w:kinsoku/>
        <w:wordWrap/>
        <w:overflowPunct/>
        <w:topLinePunct w:val="0"/>
        <w:autoSpaceDE w:val="0"/>
        <w:autoSpaceDN w:val="0"/>
        <w:bidi w:val="0"/>
        <w:snapToGrid/>
        <w:spacing w:line="380" w:lineRule="exact"/>
        <w:ind w:firstLine="420" w:firstLineChars="200"/>
        <w:jc w:val="left"/>
        <w:textAlignment w:val="auto"/>
        <w:rPr>
          <w:rFonts w:hint="eastAsia" w:ascii="宋体" w:hAnsi="宋体" w:eastAsia="宋体" w:cs="宋体"/>
          <w:color w:val="auto"/>
          <w:sz w:val="21"/>
          <w:szCs w:val="21"/>
        </w:rPr>
      </w:pPr>
      <w:bookmarkStart w:id="98" w:name="_Toc503433957"/>
      <w:bookmarkStart w:id="99" w:name="_Toc503873674"/>
      <w:r>
        <w:rPr>
          <w:rFonts w:hint="eastAsia" w:ascii="宋体" w:hAnsi="宋体" w:eastAsia="宋体" w:cs="宋体"/>
          <w:color w:val="auto"/>
          <w:sz w:val="21"/>
          <w:szCs w:val="21"/>
        </w:rPr>
        <w:t>4.3.1 在本章第2.2.2 项规定的投标截止时间前，投标人可以修改或撤回已提交的投标文件，纸质投标文件的修改或撤回应以书面形式通知招标人。</w:t>
      </w:r>
    </w:p>
    <w:p>
      <w:pPr>
        <w:keepNext w:val="0"/>
        <w:keepLines w:val="0"/>
        <w:pageBreakBefore w:val="0"/>
        <w:kinsoku/>
        <w:wordWrap/>
        <w:overflowPunct/>
        <w:topLinePunct w:val="0"/>
        <w:autoSpaceDE w:val="0"/>
        <w:autoSpaceDN w:val="0"/>
        <w:bidi w:val="0"/>
        <w:snapToGrid/>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4.3.2 投标人修改或撤回已提交纸质投标文件的书面通知应按照投标人须知前附表第3.7.3 项的要求签字或盖章。招标人收到书面通知后，向投标人出具签收凭证。</w:t>
      </w:r>
    </w:p>
    <w:p>
      <w:pPr>
        <w:keepNext w:val="0"/>
        <w:keepLines w:val="0"/>
        <w:pageBreakBefore w:val="0"/>
        <w:kinsoku/>
        <w:wordWrap/>
        <w:overflowPunct/>
        <w:topLinePunct w:val="0"/>
        <w:autoSpaceDE w:val="0"/>
        <w:autoSpaceDN w:val="0"/>
        <w:bidi w:val="0"/>
        <w:snapToGrid/>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4.3.3 修改的内容为投标文件的组成部分。修改的纸质投标文件应按照本章第3条、第4条规定进行编制、密封、标记和提交，并标明“修改”字样。</w:t>
      </w:r>
    </w:p>
    <w:p>
      <w:pPr>
        <w:keepNext w:val="0"/>
        <w:keepLines w:val="0"/>
        <w:pageBreakBefore w:val="0"/>
        <w:kinsoku/>
        <w:wordWrap/>
        <w:overflowPunct/>
        <w:topLinePunct w:val="0"/>
        <w:autoSpaceDE w:val="0"/>
        <w:autoSpaceDN w:val="0"/>
        <w:bidi w:val="0"/>
        <w:snapToGrid/>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4.3.4 投标人应当在投标截止时间前完成电子投标文件的提交，可以补充、修改或撤回。投标截止时间前未完成电子投标文件提交、取得“投标文件提交回执单”的，视为撤回投标文件。</w:t>
      </w:r>
    </w:p>
    <w:p>
      <w:pPr>
        <w:keepNext w:val="0"/>
        <w:keepLines w:val="0"/>
        <w:pageBreakBefore w:val="0"/>
        <w:kinsoku/>
        <w:wordWrap/>
        <w:overflowPunct/>
        <w:topLinePunct w:val="0"/>
        <w:bidi w:val="0"/>
        <w:snapToGrid/>
        <w:spacing w:line="380" w:lineRule="exact"/>
        <w:textAlignment w:val="auto"/>
        <w:outlineLvl w:val="2"/>
        <w:rPr>
          <w:rFonts w:hint="eastAsia" w:ascii="宋体" w:hAnsi="宋体" w:eastAsia="宋体" w:cs="宋体"/>
          <w:b/>
          <w:bCs/>
          <w:color w:val="auto"/>
        </w:rPr>
      </w:pPr>
      <w:r>
        <w:rPr>
          <w:rFonts w:hint="eastAsia" w:ascii="宋体" w:hAnsi="宋体" w:eastAsia="宋体" w:cs="宋体"/>
          <w:b/>
          <w:bCs/>
          <w:color w:val="auto"/>
        </w:rPr>
        <w:t>5.开标</w:t>
      </w:r>
      <w:bookmarkEnd w:id="98"/>
      <w:bookmarkEnd w:id="99"/>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100" w:name="_Toc283381957"/>
      <w:bookmarkEnd w:id="100"/>
      <w:r>
        <w:rPr>
          <w:rFonts w:hint="eastAsia" w:ascii="宋体" w:hAnsi="宋体" w:eastAsia="宋体" w:cs="宋体"/>
          <w:b/>
          <w:bCs/>
          <w:color w:val="auto"/>
        </w:rPr>
        <w:t>5.1开标时间和地点</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招标人在投标人须知前附表规定的投标截止时间（开标时间）和投标人须知前附表规定的地点公开开标，并邀请所有投标人的法定代表人或其委托代理人和项目经理准时参加并签到。</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101" w:name="_Toc283381958"/>
      <w:bookmarkEnd w:id="101"/>
      <w:r>
        <w:rPr>
          <w:rFonts w:hint="eastAsia" w:ascii="宋体" w:hAnsi="宋体" w:eastAsia="宋体" w:cs="宋体"/>
          <w:b/>
          <w:bCs/>
          <w:color w:val="auto"/>
        </w:rPr>
        <w:t>5.2</w:t>
      </w:r>
      <w:r>
        <w:rPr>
          <w:rFonts w:hint="eastAsia" w:ascii="宋体" w:hAnsi="宋体" w:eastAsia="宋体" w:cs="宋体"/>
          <w:b/>
          <w:color w:val="auto"/>
          <w:sz w:val="21"/>
          <w:szCs w:val="21"/>
        </w:rPr>
        <w:t>开标、解密、唱标程序</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rPr>
      </w:pPr>
      <w:bookmarkStart w:id="102" w:name="_Toc184635076"/>
      <w:bookmarkEnd w:id="102"/>
      <w:bookmarkStart w:id="103" w:name="_Toc283381959"/>
      <w:bookmarkEnd w:id="103"/>
      <w:bookmarkStart w:id="104" w:name="_Toc370458155"/>
      <w:bookmarkStart w:id="105" w:name="_Toc503433958"/>
      <w:bookmarkStart w:id="106" w:name="_Toc503873675"/>
      <w:r>
        <w:rPr>
          <w:rFonts w:hint="eastAsia" w:ascii="宋体" w:hAnsi="宋体" w:eastAsia="宋体" w:cs="宋体"/>
          <w:color w:val="auto"/>
          <w:sz w:val="21"/>
          <w:szCs w:val="21"/>
        </w:rPr>
        <w:t>5.2.1主持人按下列程序进行开标：</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（1）宣布投标截止时间，并公布招标人、代理机构、监督部门名称；</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（2）宣布开标纪律；</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（3）公布在投标截止时间前递交投标文件的投标人名称和投标保证金缴纳情况。</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（4）电子投标文件解密</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（5）宣布唱标顺序，按已定顺序唱标，唱标内容为：投标人名称、投标报价、质量目标、工期及其他内容，并记录；</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（6）现场抽取并计算参与招标控制价的权重系数并宣布，同时公布招标控制价；</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（7）投标人代表、招标人代表、监标人、记录人等有关人员在开标记录上签字确认；</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（8）开标结束。</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5.2.2 电子投标文件的解密</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5.2.2.1本项目为全流程电子化交易项目，电子投标文件采用双重加密。在投标截止时间到达后，分标段进行解密。</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(1)投标人解密：投标人使用本单位CA数字证书远程或现场进行解密。需现场使用一体机进行解密的，请在代理机构引导下进行。</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(2)代理机构解密：代理机构按电子投标文件到达交易系统的先后顺序，使用本单位CA数字证书进行再次解密。</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5.2.2.2电子投标文件解密异常情况处理</w:t>
      </w:r>
    </w:p>
    <w:p>
      <w:pPr>
        <w:keepNext w:val="0"/>
        <w:keepLines w:val="0"/>
        <w:pageBreakBefore w:val="0"/>
        <w:kinsoku/>
        <w:wordWrap/>
        <w:overflowPunct/>
        <w:topLinePunct w:val="0"/>
        <w:bidi w:val="0"/>
        <w:snapToGrid/>
        <w:spacing w:line="380" w:lineRule="exact"/>
        <w:ind w:left="7350" w:leftChars="200" w:hanging="6930" w:hangingChars="33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（1）因电子交易系统异常无法解密电子投标文件的，使用纸质投标文件，以人工方式进行。</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keepNext w:val="0"/>
        <w:keepLines w:val="0"/>
        <w:pageBreakBefore w:val="0"/>
        <w:kinsoku/>
        <w:wordWrap/>
        <w:overflowPunct/>
        <w:topLinePunct w:val="0"/>
        <w:bidi w:val="0"/>
        <w:snapToGrid/>
        <w:spacing w:line="380" w:lineRule="exact"/>
        <w:textAlignment w:val="auto"/>
        <w:outlineLvl w:val="2"/>
        <w:rPr>
          <w:rFonts w:hint="eastAsia" w:ascii="宋体" w:hAnsi="宋体" w:eastAsia="宋体" w:cs="宋体"/>
          <w:b/>
          <w:bCs/>
          <w:color w:val="auto"/>
        </w:rPr>
      </w:pPr>
      <w:r>
        <w:rPr>
          <w:rFonts w:hint="eastAsia" w:ascii="宋体" w:hAnsi="宋体" w:eastAsia="宋体" w:cs="宋体"/>
          <w:b/>
          <w:bCs/>
          <w:color w:val="auto"/>
        </w:rPr>
        <w:t>6.评标</w:t>
      </w:r>
      <w:bookmarkEnd w:id="104"/>
      <w:bookmarkEnd w:id="105"/>
      <w:bookmarkEnd w:id="106"/>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107" w:name="_Toc283381960"/>
      <w:bookmarkEnd w:id="107"/>
      <w:r>
        <w:rPr>
          <w:rFonts w:hint="eastAsia" w:ascii="宋体" w:hAnsi="宋体" w:eastAsia="宋体" w:cs="宋体"/>
          <w:b/>
          <w:bCs/>
          <w:color w:val="auto"/>
        </w:rPr>
        <w:t>6.1评标委员会</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6.1.1  评标由招标人依法组建的评标委员会负责。评标委员会由招标人代表，以及有关技术、经济等方面的专家组成。评标委员会成员人数以及技术、经济等方面专家的确定方式见投标人须知前附表。</w:t>
      </w:r>
    </w:p>
    <w:p>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6.1.2  评标委员会成员有下列情形之一的，应当回避：</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（1）招标人或投标人的主要负责人的近亲属；</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（2）项目主管部门或者行政监督部门的人员；</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（3）与投标人有经济利益关系，可能影响对投标公正评审的；</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（4）曾因在招标、评标以及其他与招标投标有关活动中从事违法行为而受过行政处罚或刑事处罚的。</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108" w:name="_Toc283381961"/>
      <w:bookmarkEnd w:id="108"/>
      <w:r>
        <w:rPr>
          <w:rFonts w:hint="eastAsia" w:ascii="宋体" w:hAnsi="宋体" w:eastAsia="宋体" w:cs="宋体"/>
          <w:b/>
          <w:bCs/>
          <w:color w:val="auto"/>
        </w:rPr>
        <w:t>6.2评标原则</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评标活动遵循公平、公正、科学和择优的原则。</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109" w:name="_Toc283381962"/>
      <w:bookmarkEnd w:id="109"/>
      <w:r>
        <w:rPr>
          <w:rFonts w:hint="eastAsia" w:ascii="宋体" w:hAnsi="宋体" w:eastAsia="宋体" w:cs="宋体"/>
          <w:b/>
          <w:bCs/>
          <w:color w:val="auto"/>
        </w:rPr>
        <w:t>6.3评标</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评标委员会按照第三章“评标办法”规定的方法、评审因素、标准和程序对投标文件进行评审。第三章“评标办法”没有规定的方法、评审因素和标准，不作为评标依据。</w:t>
      </w:r>
    </w:p>
    <w:p>
      <w:pPr>
        <w:keepNext w:val="0"/>
        <w:keepLines w:val="0"/>
        <w:pageBreakBefore w:val="0"/>
        <w:kinsoku/>
        <w:wordWrap/>
        <w:overflowPunct/>
        <w:topLinePunct w:val="0"/>
        <w:bidi w:val="0"/>
        <w:snapToGrid/>
        <w:spacing w:line="380" w:lineRule="exact"/>
        <w:textAlignment w:val="auto"/>
        <w:outlineLvl w:val="2"/>
        <w:rPr>
          <w:rFonts w:hint="eastAsia" w:ascii="宋体" w:hAnsi="宋体" w:eastAsia="宋体" w:cs="宋体"/>
          <w:b/>
          <w:bCs/>
          <w:color w:val="auto"/>
        </w:rPr>
      </w:pPr>
      <w:bookmarkStart w:id="110" w:name="_Toc184635077"/>
      <w:bookmarkEnd w:id="110"/>
      <w:bookmarkStart w:id="111" w:name="_Toc283381963"/>
      <w:bookmarkEnd w:id="111"/>
      <w:bookmarkStart w:id="112" w:name="_Toc503873676"/>
      <w:bookmarkStart w:id="113" w:name="_Toc503433959"/>
      <w:bookmarkStart w:id="114" w:name="_Toc370458156"/>
      <w:r>
        <w:rPr>
          <w:rFonts w:hint="eastAsia" w:ascii="宋体" w:hAnsi="宋体" w:eastAsia="宋体" w:cs="宋体"/>
          <w:b/>
          <w:bCs/>
          <w:color w:val="auto"/>
        </w:rPr>
        <w:t>7.合同授予</w:t>
      </w:r>
      <w:bookmarkEnd w:id="112"/>
      <w:bookmarkEnd w:id="113"/>
      <w:bookmarkEnd w:id="114"/>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115" w:name="_Toc283381964"/>
      <w:bookmarkEnd w:id="115"/>
      <w:r>
        <w:rPr>
          <w:rFonts w:hint="eastAsia" w:ascii="宋体" w:hAnsi="宋体" w:eastAsia="宋体" w:cs="宋体"/>
          <w:b/>
          <w:bCs/>
          <w:color w:val="auto"/>
        </w:rPr>
        <w:t>7.1定标方式</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bookmarkStart w:id="116" w:name="_Toc283381965"/>
      <w:bookmarkEnd w:id="116"/>
      <w:r>
        <w:rPr>
          <w:rFonts w:hint="eastAsia" w:ascii="宋体" w:hAnsi="宋体" w:eastAsia="宋体" w:cs="宋体"/>
          <w:color w:val="auto"/>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r>
        <w:rPr>
          <w:rFonts w:hint="eastAsia" w:ascii="宋体" w:hAnsi="宋体" w:eastAsia="宋体" w:cs="宋体"/>
          <w:b/>
          <w:bCs/>
          <w:color w:val="auto"/>
        </w:rPr>
        <w:t>7.2中标通知</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在投标有效期内，招标人以书面形式向中标人发出中标通知书，同时将中标结果通知未中标的投标人。</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117" w:name="_Toc283381966"/>
      <w:bookmarkEnd w:id="117"/>
      <w:r>
        <w:rPr>
          <w:rFonts w:hint="eastAsia" w:ascii="宋体" w:hAnsi="宋体" w:eastAsia="宋体" w:cs="宋体"/>
          <w:b/>
          <w:bCs/>
          <w:color w:val="auto"/>
        </w:rPr>
        <w:t>7.3履约担保</w:t>
      </w:r>
    </w:p>
    <w:p>
      <w:pPr>
        <w:keepNext w:val="0"/>
        <w:keepLines w:val="0"/>
        <w:pageBreakBefore w:val="0"/>
        <w:kinsoku/>
        <w:wordWrap/>
        <w:overflowPunct/>
        <w:topLinePunct w:val="0"/>
        <w:bidi w:val="0"/>
        <w:snapToGrid/>
        <w:spacing w:line="380" w:lineRule="exact"/>
        <w:ind w:firstLine="404" w:firstLineChars="200"/>
        <w:textAlignment w:val="auto"/>
        <w:rPr>
          <w:rFonts w:hint="eastAsia" w:ascii="宋体" w:hAnsi="宋体" w:eastAsia="宋体" w:cs="宋体"/>
          <w:color w:val="auto"/>
          <w:spacing w:val="-4"/>
        </w:rPr>
      </w:pPr>
      <w:r>
        <w:rPr>
          <w:rFonts w:hint="eastAsia" w:ascii="宋体" w:hAnsi="宋体" w:eastAsia="宋体" w:cs="宋体"/>
          <w:color w:val="auto"/>
          <w:spacing w:val="-4"/>
        </w:rPr>
        <w:t>7.3.1  中标人应按投标人须知前附表规定的金额、时间、担保形式向招标人提交履约担保。</w:t>
      </w:r>
    </w:p>
    <w:p>
      <w:pPr>
        <w:keepNext w:val="0"/>
        <w:keepLines w:val="0"/>
        <w:pageBreakBefore w:val="0"/>
        <w:kinsoku/>
        <w:wordWrap/>
        <w:overflowPunct/>
        <w:topLinePunct w:val="0"/>
        <w:bidi w:val="0"/>
        <w:snapToGrid/>
        <w:spacing w:line="380" w:lineRule="exact"/>
        <w:ind w:firstLine="404" w:firstLineChars="200"/>
        <w:textAlignment w:val="auto"/>
        <w:rPr>
          <w:rFonts w:hint="eastAsia" w:ascii="宋体" w:hAnsi="宋体" w:eastAsia="宋体" w:cs="宋体"/>
          <w:color w:val="auto"/>
          <w:spacing w:val="-4"/>
        </w:rPr>
      </w:pPr>
      <w:r>
        <w:rPr>
          <w:rFonts w:hint="eastAsia" w:ascii="宋体" w:hAnsi="宋体" w:eastAsia="宋体" w:cs="宋体"/>
          <w:color w:val="auto"/>
          <w:spacing w:val="-4"/>
        </w:rPr>
        <w:t>7.3.2  中标人不能按本章第7.3.1项要求提交履约担保的，视为放弃中标，其投标保证金不予退还，给招标人造成的损失超过投标保证金数额的，中标人还应当对超过部分予以赔偿。</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118" w:name="_Toc283381967"/>
      <w:bookmarkEnd w:id="118"/>
      <w:r>
        <w:rPr>
          <w:rFonts w:hint="eastAsia" w:ascii="宋体" w:hAnsi="宋体" w:eastAsia="宋体" w:cs="宋体"/>
          <w:b/>
          <w:bCs/>
          <w:color w:val="auto"/>
        </w:rPr>
        <w:t>7.4签订合同</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7.4.2  发出中标通知书后，招标人无正当理由拒签合同的，招标人向中标人退还投标保证金；给中标人造成损失的，还应当赔偿损失。</w:t>
      </w:r>
    </w:p>
    <w:p>
      <w:pPr>
        <w:keepNext w:val="0"/>
        <w:keepLines w:val="0"/>
        <w:pageBreakBefore w:val="0"/>
        <w:kinsoku/>
        <w:wordWrap/>
        <w:overflowPunct/>
        <w:topLinePunct w:val="0"/>
        <w:bidi w:val="0"/>
        <w:snapToGrid/>
        <w:spacing w:line="380" w:lineRule="exact"/>
        <w:textAlignment w:val="auto"/>
        <w:outlineLvl w:val="2"/>
        <w:rPr>
          <w:rFonts w:hint="eastAsia" w:ascii="宋体" w:hAnsi="宋体" w:eastAsia="宋体" w:cs="宋体"/>
          <w:b/>
          <w:bCs/>
          <w:color w:val="auto"/>
        </w:rPr>
      </w:pPr>
      <w:bookmarkStart w:id="119" w:name="_Toc283381968"/>
      <w:bookmarkEnd w:id="119"/>
      <w:bookmarkStart w:id="120" w:name="_Toc184635078"/>
      <w:bookmarkEnd w:id="120"/>
      <w:bookmarkStart w:id="121" w:name="_Toc503433960"/>
      <w:bookmarkStart w:id="122" w:name="_Toc370458157"/>
      <w:bookmarkStart w:id="123" w:name="_Toc503873677"/>
      <w:r>
        <w:rPr>
          <w:rFonts w:hint="eastAsia" w:ascii="宋体" w:hAnsi="宋体" w:eastAsia="宋体" w:cs="宋体"/>
          <w:b/>
          <w:bCs/>
          <w:color w:val="auto"/>
        </w:rPr>
        <w:t>8.重新招标</w:t>
      </w:r>
      <w:bookmarkEnd w:id="121"/>
      <w:bookmarkEnd w:id="122"/>
      <w:bookmarkEnd w:id="123"/>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b/>
          <w:bCs/>
          <w:color w:val="auto"/>
        </w:rPr>
      </w:pPr>
      <w:bookmarkStart w:id="124" w:name="_Toc283381969"/>
      <w:bookmarkEnd w:id="124"/>
      <w:r>
        <w:rPr>
          <w:rFonts w:hint="eastAsia" w:ascii="宋体" w:hAnsi="宋体" w:eastAsia="宋体" w:cs="宋体"/>
          <w:b/>
          <w:bCs/>
          <w:color w:val="auto"/>
        </w:rPr>
        <w:t>8.1重新招标</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有下列情形之一的，招标人将重新招标：</w:t>
      </w:r>
    </w:p>
    <w:p>
      <w:pPr>
        <w:keepNext w:val="0"/>
        <w:keepLines w:val="0"/>
        <w:pageBreakBefore w:val="0"/>
        <w:kinsoku/>
        <w:wordWrap/>
        <w:overflowPunct/>
        <w:topLinePunct w:val="0"/>
        <w:bidi w:val="0"/>
        <w:snapToGrid/>
        <w:spacing w:line="380" w:lineRule="exact"/>
        <w:ind w:firstLine="420" w:firstLineChars="200"/>
        <w:textAlignment w:val="auto"/>
        <w:outlineLvl w:val="2"/>
        <w:rPr>
          <w:rFonts w:hint="eastAsia" w:ascii="宋体" w:hAnsi="宋体" w:eastAsia="宋体" w:cs="宋体"/>
          <w:color w:val="auto"/>
        </w:rPr>
      </w:pPr>
      <w:bookmarkStart w:id="125" w:name="_Toc283381970"/>
      <w:bookmarkEnd w:id="125"/>
      <w:bookmarkStart w:id="126" w:name="_Toc503873678"/>
      <w:bookmarkStart w:id="127" w:name="_Toc503433961"/>
      <w:bookmarkStart w:id="128" w:name="_Toc370458158"/>
      <w:r>
        <w:rPr>
          <w:rFonts w:hint="eastAsia" w:ascii="宋体" w:hAnsi="宋体" w:eastAsia="宋体" w:cs="宋体"/>
          <w:color w:val="auto"/>
        </w:rPr>
        <w:t>（l）投标截止时间止，投标人少于3个；</w:t>
      </w:r>
      <w:bookmarkEnd w:id="126"/>
    </w:p>
    <w:p>
      <w:pPr>
        <w:keepNext w:val="0"/>
        <w:keepLines w:val="0"/>
        <w:pageBreakBefore w:val="0"/>
        <w:kinsoku/>
        <w:wordWrap/>
        <w:overflowPunct/>
        <w:topLinePunct w:val="0"/>
        <w:bidi w:val="0"/>
        <w:snapToGrid/>
        <w:spacing w:line="380" w:lineRule="exact"/>
        <w:ind w:firstLine="420" w:firstLineChars="200"/>
        <w:textAlignment w:val="auto"/>
        <w:outlineLvl w:val="2"/>
        <w:rPr>
          <w:rFonts w:hint="eastAsia" w:ascii="宋体" w:hAnsi="宋体" w:eastAsia="宋体" w:cs="宋体"/>
          <w:color w:val="auto"/>
        </w:rPr>
      </w:pPr>
      <w:bookmarkStart w:id="129" w:name="_Toc503873679"/>
      <w:r>
        <w:rPr>
          <w:rFonts w:hint="eastAsia" w:ascii="宋体" w:hAnsi="宋体" w:eastAsia="宋体" w:cs="宋体"/>
          <w:color w:val="auto"/>
        </w:rPr>
        <w:t>（2）经评标委员会评审后否决所有投标；</w:t>
      </w:r>
      <w:bookmarkEnd w:id="129"/>
    </w:p>
    <w:p>
      <w:pPr>
        <w:keepNext w:val="0"/>
        <w:keepLines w:val="0"/>
        <w:pageBreakBefore w:val="0"/>
        <w:kinsoku/>
        <w:wordWrap/>
        <w:overflowPunct/>
        <w:topLinePunct w:val="0"/>
        <w:bidi w:val="0"/>
        <w:snapToGrid/>
        <w:spacing w:line="380" w:lineRule="exact"/>
        <w:ind w:firstLine="420" w:firstLineChars="200"/>
        <w:textAlignment w:val="auto"/>
        <w:outlineLvl w:val="2"/>
        <w:rPr>
          <w:rFonts w:hint="eastAsia" w:ascii="宋体" w:hAnsi="宋体" w:eastAsia="宋体" w:cs="宋体"/>
          <w:color w:val="auto"/>
        </w:rPr>
      </w:pPr>
      <w:bookmarkStart w:id="130" w:name="_Toc503873680"/>
      <w:r>
        <w:rPr>
          <w:rFonts w:hint="eastAsia" w:ascii="宋体" w:hAnsi="宋体" w:eastAsia="宋体" w:cs="宋体"/>
          <w:color w:val="auto"/>
        </w:rPr>
        <w:t>（3）中标候选人因不可抗力提出不能履行合同或者在规定的期限内未按照招标文件规定提交履约保证金的。</w:t>
      </w:r>
      <w:bookmarkEnd w:id="130"/>
    </w:p>
    <w:p>
      <w:pPr>
        <w:keepNext w:val="0"/>
        <w:keepLines w:val="0"/>
        <w:pageBreakBefore w:val="0"/>
        <w:kinsoku/>
        <w:wordWrap/>
        <w:overflowPunct/>
        <w:topLinePunct w:val="0"/>
        <w:bidi w:val="0"/>
        <w:snapToGrid/>
        <w:spacing w:line="380" w:lineRule="exact"/>
        <w:textAlignment w:val="auto"/>
        <w:outlineLvl w:val="2"/>
        <w:rPr>
          <w:rFonts w:hint="eastAsia" w:ascii="宋体" w:hAnsi="宋体" w:eastAsia="宋体" w:cs="宋体"/>
          <w:b/>
          <w:bCs/>
          <w:color w:val="auto"/>
        </w:rPr>
      </w:pPr>
      <w:bookmarkStart w:id="131" w:name="_Toc503873681"/>
      <w:r>
        <w:rPr>
          <w:rFonts w:hint="eastAsia" w:ascii="宋体" w:hAnsi="宋体" w:eastAsia="宋体" w:cs="宋体"/>
          <w:b/>
          <w:bCs/>
          <w:color w:val="auto"/>
        </w:rPr>
        <w:t>9.纪律和监督</w:t>
      </w:r>
      <w:bookmarkEnd w:id="127"/>
      <w:bookmarkEnd w:id="128"/>
      <w:bookmarkEnd w:id="131"/>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9.1  对招标人的纪律要求</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招标人不得泄漏招标投标活动中应当保密的情况和资料，不得与投标人串通损害国家利益、社会公共利益或者他人合法权益。</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9.2  对投标人的纪律要求</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9.3  对评标委员会成员的纪律要求</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9.4  对与评标活动有关的工作人员的纪律要求</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9.5  投诉</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投标人和其他利害关系人认为本次招标活动违反法律、法规和规章规定的，有权向有关行政监督部门投诉。</w:t>
      </w:r>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投诉应当遵守《工程建设项目招标投标活动投诉处理办法》（国家发展改革委员会等七部委11号令）规定。</w:t>
      </w:r>
    </w:p>
    <w:p>
      <w:pPr>
        <w:keepNext w:val="0"/>
        <w:keepLines w:val="0"/>
        <w:pageBreakBefore w:val="0"/>
        <w:kinsoku/>
        <w:wordWrap/>
        <w:overflowPunct/>
        <w:topLinePunct w:val="0"/>
        <w:bidi w:val="0"/>
        <w:snapToGrid/>
        <w:spacing w:line="380" w:lineRule="exact"/>
        <w:textAlignment w:val="auto"/>
        <w:outlineLvl w:val="2"/>
        <w:rPr>
          <w:rFonts w:hint="eastAsia" w:ascii="宋体" w:hAnsi="宋体" w:eastAsia="宋体" w:cs="宋体"/>
          <w:b/>
          <w:bCs/>
          <w:color w:val="auto"/>
        </w:rPr>
      </w:pPr>
      <w:bookmarkStart w:id="132" w:name="_Toc283381972"/>
      <w:bookmarkEnd w:id="132"/>
      <w:bookmarkStart w:id="133" w:name="_Toc503873682"/>
      <w:bookmarkStart w:id="134" w:name="_Toc503433962"/>
      <w:bookmarkStart w:id="135" w:name="_Toc370458159"/>
      <w:r>
        <w:rPr>
          <w:rFonts w:hint="eastAsia" w:ascii="宋体" w:hAnsi="宋体" w:eastAsia="宋体" w:cs="宋体"/>
          <w:b/>
          <w:bCs/>
          <w:color w:val="auto"/>
        </w:rPr>
        <w:t>10.需要补充的其他内容</w:t>
      </w:r>
      <w:bookmarkEnd w:id="133"/>
      <w:bookmarkEnd w:id="134"/>
      <w:bookmarkEnd w:id="135"/>
    </w:p>
    <w:p>
      <w:pPr>
        <w:keepNext w:val="0"/>
        <w:keepLines w:val="0"/>
        <w:pageBreakBefore w:val="0"/>
        <w:kinsoku/>
        <w:wordWrap/>
        <w:overflowPunct/>
        <w:topLinePunct w:val="0"/>
        <w:bidi w:val="0"/>
        <w:snapToGrid/>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需要补充的其他内容：见投标人须知前附表。</w:t>
      </w:r>
    </w:p>
    <w:p>
      <w:pPr>
        <w:spacing w:line="360" w:lineRule="auto"/>
        <w:outlineLvl w:val="2"/>
        <w:rPr>
          <w:rFonts w:hint="eastAsia" w:ascii="宋体" w:hAnsi="宋体" w:eastAsia="宋体" w:cs="宋体"/>
          <w:b/>
          <w:bCs/>
          <w:color w:val="000000"/>
          <w:sz w:val="21"/>
          <w:szCs w:val="21"/>
        </w:rPr>
      </w:pPr>
    </w:p>
    <w:p>
      <w:pPr>
        <w:spacing w:line="360" w:lineRule="auto"/>
        <w:outlineLvl w:val="2"/>
        <w:rPr>
          <w:rFonts w:hint="eastAsia" w:ascii="宋体" w:hAnsi="宋体" w:eastAsia="宋体" w:cs="宋体"/>
          <w:b/>
          <w:bCs/>
          <w:color w:val="000000"/>
          <w:sz w:val="21"/>
          <w:szCs w:val="21"/>
        </w:rPr>
      </w:pPr>
    </w:p>
    <w:p>
      <w:pPr>
        <w:spacing w:line="360" w:lineRule="auto"/>
        <w:outlineLvl w:val="2"/>
        <w:rPr>
          <w:rFonts w:hint="eastAsia" w:ascii="宋体" w:hAnsi="宋体" w:eastAsia="宋体" w:cs="宋体"/>
          <w:b/>
          <w:bCs/>
          <w:color w:val="000000"/>
          <w:sz w:val="21"/>
          <w:szCs w:val="21"/>
        </w:rPr>
      </w:pPr>
    </w:p>
    <w:p>
      <w:pPr>
        <w:spacing w:line="360" w:lineRule="auto"/>
        <w:outlineLvl w:val="2"/>
        <w:rPr>
          <w:rFonts w:hint="eastAsia" w:ascii="宋体" w:hAnsi="宋体" w:eastAsia="宋体" w:cs="宋体"/>
          <w:b/>
          <w:bCs/>
          <w:color w:val="000000"/>
          <w:sz w:val="21"/>
          <w:szCs w:val="21"/>
        </w:rPr>
      </w:pPr>
    </w:p>
    <w:p>
      <w:pPr>
        <w:spacing w:line="360" w:lineRule="auto"/>
        <w:outlineLvl w:val="2"/>
        <w:rPr>
          <w:rFonts w:hint="eastAsia" w:ascii="宋体" w:hAnsi="宋体" w:eastAsia="宋体" w:cs="宋体"/>
          <w:b/>
          <w:bCs/>
          <w:color w:val="000000"/>
          <w:sz w:val="21"/>
          <w:szCs w:val="21"/>
        </w:rPr>
      </w:pPr>
    </w:p>
    <w:p>
      <w:pPr>
        <w:spacing w:line="360" w:lineRule="auto"/>
        <w:outlineLvl w:val="2"/>
        <w:rPr>
          <w:rFonts w:hint="eastAsia" w:ascii="宋体" w:hAnsi="宋体" w:eastAsia="宋体" w:cs="宋体"/>
          <w:b/>
          <w:bCs/>
          <w:color w:val="000000"/>
          <w:sz w:val="21"/>
          <w:szCs w:val="21"/>
        </w:rPr>
      </w:pPr>
    </w:p>
    <w:p>
      <w:pPr>
        <w:spacing w:line="360" w:lineRule="auto"/>
        <w:outlineLvl w:val="2"/>
        <w:rPr>
          <w:rFonts w:hint="eastAsia" w:ascii="宋体" w:hAnsi="宋体" w:eastAsia="宋体" w:cs="宋体"/>
          <w:b/>
          <w:bCs/>
          <w:color w:val="000000"/>
          <w:sz w:val="21"/>
          <w:szCs w:val="21"/>
        </w:rPr>
      </w:pPr>
    </w:p>
    <w:p>
      <w:pPr>
        <w:spacing w:line="360" w:lineRule="auto"/>
        <w:outlineLvl w:val="2"/>
        <w:rPr>
          <w:rFonts w:hint="eastAsia" w:ascii="宋体" w:hAnsi="宋体" w:eastAsia="宋体" w:cs="宋体"/>
          <w:b/>
          <w:bCs/>
          <w:color w:val="000000"/>
          <w:sz w:val="21"/>
          <w:szCs w:val="21"/>
        </w:rPr>
      </w:pPr>
    </w:p>
    <w:p>
      <w:pPr>
        <w:spacing w:line="360" w:lineRule="auto"/>
        <w:outlineLvl w:val="2"/>
        <w:rPr>
          <w:rFonts w:hint="eastAsia" w:ascii="宋体" w:hAnsi="宋体" w:eastAsia="宋体" w:cs="宋体"/>
          <w:b/>
          <w:bCs/>
          <w:color w:val="000000"/>
          <w:sz w:val="21"/>
          <w:szCs w:val="21"/>
        </w:rPr>
      </w:pPr>
    </w:p>
    <w:p>
      <w:pPr>
        <w:spacing w:line="360" w:lineRule="auto"/>
        <w:outlineLvl w:val="2"/>
        <w:rPr>
          <w:rFonts w:hint="eastAsia" w:ascii="宋体" w:hAnsi="宋体" w:eastAsia="宋体" w:cs="宋体"/>
          <w:b/>
          <w:bCs/>
          <w:color w:val="000000"/>
          <w:sz w:val="21"/>
          <w:szCs w:val="21"/>
        </w:rPr>
      </w:pPr>
    </w:p>
    <w:p>
      <w:pPr>
        <w:spacing w:line="360" w:lineRule="auto"/>
        <w:outlineLvl w:val="2"/>
        <w:rPr>
          <w:rFonts w:hint="eastAsia" w:ascii="宋体" w:hAnsi="宋体" w:eastAsia="宋体" w:cs="宋体"/>
          <w:b/>
          <w:bCs/>
          <w:color w:val="000000"/>
          <w:sz w:val="21"/>
          <w:szCs w:val="21"/>
        </w:rPr>
      </w:pPr>
    </w:p>
    <w:p>
      <w:pPr>
        <w:spacing w:line="360" w:lineRule="auto"/>
        <w:outlineLvl w:val="2"/>
        <w:rPr>
          <w:rFonts w:hint="eastAsia" w:ascii="宋体" w:hAnsi="宋体" w:eastAsia="宋体" w:cs="宋体"/>
          <w:b/>
          <w:bCs/>
          <w:color w:val="000000"/>
          <w:sz w:val="21"/>
          <w:szCs w:val="21"/>
        </w:rPr>
      </w:pPr>
    </w:p>
    <w:p>
      <w:pPr>
        <w:spacing w:line="360" w:lineRule="auto"/>
        <w:outlineLvl w:val="2"/>
        <w:rPr>
          <w:rFonts w:hint="eastAsia" w:ascii="宋体" w:hAnsi="宋体" w:eastAsia="宋体" w:cs="宋体"/>
          <w:b/>
          <w:bCs/>
          <w:color w:val="000000"/>
          <w:sz w:val="21"/>
          <w:szCs w:val="21"/>
        </w:rPr>
      </w:pPr>
    </w:p>
    <w:p>
      <w:pPr>
        <w:spacing w:line="360" w:lineRule="auto"/>
        <w:outlineLvl w:val="2"/>
        <w:rPr>
          <w:rFonts w:hint="eastAsia" w:ascii="宋体" w:hAnsi="宋体" w:eastAsia="宋体" w:cs="宋体"/>
          <w:b/>
          <w:bCs/>
          <w:color w:val="000000"/>
          <w:sz w:val="21"/>
          <w:szCs w:val="21"/>
        </w:rPr>
      </w:pPr>
    </w:p>
    <w:p>
      <w:pPr>
        <w:spacing w:line="360" w:lineRule="auto"/>
        <w:outlineLvl w:val="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附件一：</w:t>
      </w:r>
      <w:bookmarkEnd w:id="43"/>
      <w:r>
        <w:rPr>
          <w:rFonts w:hint="eastAsia" w:ascii="宋体" w:hAnsi="宋体" w:eastAsia="宋体" w:cs="宋体"/>
          <w:b/>
          <w:bCs/>
          <w:color w:val="000000"/>
          <w:sz w:val="21"/>
          <w:szCs w:val="21"/>
        </w:rPr>
        <w:t>开标记录表</w:t>
      </w:r>
      <w:bookmarkEnd w:id="44"/>
      <w:bookmarkEnd w:id="45"/>
    </w:p>
    <w:p>
      <w:pPr>
        <w:spacing w:line="240" w:lineRule="exact"/>
        <w:rPr>
          <w:rFonts w:hint="eastAsia" w:ascii="宋体" w:hAnsi="宋体" w:eastAsia="宋体" w:cs="宋体"/>
          <w:color w:val="000000"/>
          <w:sz w:val="21"/>
          <w:szCs w:val="21"/>
        </w:rPr>
      </w:pPr>
    </w:p>
    <w:p>
      <w:pPr>
        <w:spacing w:line="360" w:lineRule="auto"/>
        <w:ind w:firstLine="422" w:firstLineChars="20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（项目名称</w:t>
      </w:r>
      <w:r>
        <w:rPr>
          <w:rFonts w:hint="eastAsia" w:ascii="宋体" w:hAnsi="宋体" w:cs="宋体"/>
          <w:b/>
          <w:bCs/>
          <w:color w:val="000000"/>
          <w:sz w:val="21"/>
          <w:szCs w:val="21"/>
          <w:lang w:eastAsia="zh-CN"/>
        </w:rPr>
        <w:t>、标段</w:t>
      </w:r>
      <w:r>
        <w:rPr>
          <w:rFonts w:hint="eastAsia" w:ascii="宋体" w:hAnsi="宋体" w:eastAsia="宋体" w:cs="宋体"/>
          <w:b/>
          <w:bCs/>
          <w:color w:val="000000"/>
          <w:sz w:val="21"/>
          <w:szCs w:val="21"/>
        </w:rPr>
        <w:t>）开标记录表</w:t>
      </w:r>
    </w:p>
    <w:p>
      <w:pPr>
        <w:spacing w:line="240" w:lineRule="exact"/>
        <w:rPr>
          <w:rFonts w:hint="eastAsia" w:ascii="宋体" w:hAnsi="宋体" w:eastAsia="宋体" w:cs="宋体"/>
          <w:color w:val="000000"/>
          <w:sz w:val="21"/>
          <w:szCs w:val="21"/>
        </w:rPr>
      </w:pP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开标时间：年</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日</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时</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分</w:t>
      </w:r>
    </w:p>
    <w:tbl>
      <w:tblPr>
        <w:tblStyle w:val="15"/>
        <w:tblW w:w="9694" w:type="dxa"/>
        <w:jc w:val="center"/>
        <w:tblInd w:w="0" w:type="dxa"/>
        <w:tblLayout w:type="fixed"/>
        <w:tblCellMar>
          <w:top w:w="0" w:type="dxa"/>
          <w:left w:w="28" w:type="dxa"/>
          <w:bottom w:w="0" w:type="dxa"/>
          <w:right w:w="28" w:type="dxa"/>
        </w:tblCellMar>
      </w:tblPr>
      <w:tblGrid>
        <w:gridCol w:w="644"/>
        <w:gridCol w:w="983"/>
        <w:gridCol w:w="971"/>
        <w:gridCol w:w="1305"/>
        <w:gridCol w:w="1619"/>
        <w:gridCol w:w="952"/>
        <w:gridCol w:w="952"/>
        <w:gridCol w:w="812"/>
        <w:gridCol w:w="648"/>
        <w:gridCol w:w="808"/>
      </w:tblGrid>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98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投标人</w:t>
            </w:r>
          </w:p>
        </w:tc>
        <w:tc>
          <w:tcPr>
            <w:tcW w:w="97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密封</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情况</w:t>
            </w: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投标保证金缴纳情况</w:t>
            </w:r>
          </w:p>
        </w:tc>
        <w:tc>
          <w:tcPr>
            <w:tcW w:w="161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投标报价（元）</w:t>
            </w:r>
          </w:p>
        </w:tc>
        <w:tc>
          <w:tcPr>
            <w:tcW w:w="952" w:type="dxa"/>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经理</w:t>
            </w:r>
          </w:p>
        </w:tc>
        <w:tc>
          <w:tcPr>
            <w:tcW w:w="9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目标</w:t>
            </w:r>
          </w:p>
        </w:tc>
        <w:tc>
          <w:tcPr>
            <w:tcW w:w="81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工期</w:t>
            </w:r>
          </w:p>
        </w:tc>
        <w:tc>
          <w:tcPr>
            <w:tcW w:w="64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签名</w:t>
            </w:r>
          </w:p>
        </w:tc>
        <w:tc>
          <w:tcPr>
            <w:tcW w:w="80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83"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71"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305"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619"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1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64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0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83"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71"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305"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619"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1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64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0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83"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71"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305"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619"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1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64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0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83"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71"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305"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619"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1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64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0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83"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71"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305"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619"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1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64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0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83"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71"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305"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619"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1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64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0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83"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71"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305"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619"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1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64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0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83"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71"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305"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619"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1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64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0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83"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71"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305"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619"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1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64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0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83"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71"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305"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619"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1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64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0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83"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71"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305"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619"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1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64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0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83"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71"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305"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619"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1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64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0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83"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71"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305"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1619"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95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12"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64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c>
          <w:tcPr>
            <w:tcW w:w="808" w:type="dxa"/>
            <w:tcBorders>
              <w:top w:val="single" w:color="auto" w:sz="4" w:space="0"/>
              <w:left w:val="nil"/>
              <w:bottom w:val="single" w:color="auto" w:sz="4" w:space="0"/>
              <w:right w:val="single" w:color="auto" w:sz="4" w:space="0"/>
            </w:tcBorders>
          </w:tcPr>
          <w:p>
            <w:pPr>
              <w:spacing w:line="360" w:lineRule="auto"/>
              <w:rPr>
                <w:rFonts w:hint="eastAsia" w:ascii="宋体" w:hAnsi="宋体" w:eastAsia="宋体" w:cs="宋体"/>
                <w:color w:val="000000"/>
                <w:sz w:val="21"/>
                <w:szCs w:val="21"/>
              </w:rPr>
            </w:pPr>
          </w:p>
        </w:tc>
      </w:tr>
    </w:tbl>
    <w:p>
      <w:pPr>
        <w:widowControl/>
        <w:spacing w:line="360" w:lineRule="auto"/>
        <w:jc w:val="left"/>
        <w:rPr>
          <w:rFonts w:hint="eastAsia" w:ascii="宋体" w:hAnsi="宋体" w:eastAsia="宋体" w:cs="宋体"/>
          <w:color w:val="000000"/>
          <w:sz w:val="21"/>
          <w:szCs w:val="21"/>
        </w:rPr>
      </w:pPr>
    </w:p>
    <w:p>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招标人：监标人：</w:t>
      </w:r>
      <w:bookmarkStart w:id="136" w:name="_Toc370458161"/>
      <w:bookmarkEnd w:id="136"/>
      <w:bookmarkStart w:id="137" w:name="_Toc184635082"/>
      <w:bookmarkEnd w:id="137"/>
      <w:bookmarkStart w:id="138" w:name="_Toc503433964"/>
    </w:p>
    <w:p>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注：开标现场根据实际情况据实调整</w:t>
      </w:r>
    </w:p>
    <w:p>
      <w:pPr>
        <w:widowControl/>
        <w:spacing w:line="360" w:lineRule="auto"/>
        <w:jc w:val="left"/>
        <w:rPr>
          <w:rFonts w:hint="eastAsia" w:ascii="宋体" w:hAnsi="宋体" w:eastAsia="宋体" w:cs="宋体"/>
          <w:b/>
          <w:bCs/>
          <w:color w:val="000000"/>
          <w:sz w:val="21"/>
          <w:szCs w:val="21"/>
        </w:rPr>
      </w:pPr>
    </w:p>
    <w:p>
      <w:pPr>
        <w:pStyle w:val="2"/>
        <w:ind w:firstLine="210"/>
        <w:rPr>
          <w:rFonts w:hint="eastAsia" w:ascii="宋体" w:hAnsi="宋体" w:eastAsia="宋体" w:cs="宋体"/>
          <w:sz w:val="21"/>
          <w:szCs w:val="21"/>
        </w:rPr>
      </w:pPr>
    </w:p>
    <w:p>
      <w:pPr>
        <w:widowControl/>
        <w:jc w:val="left"/>
        <w:rPr>
          <w:rFonts w:hint="eastAsia" w:ascii="宋体" w:hAnsi="宋体" w:eastAsia="宋体" w:cs="宋体"/>
          <w:b/>
          <w:bCs/>
          <w:color w:val="000000"/>
          <w:sz w:val="21"/>
          <w:szCs w:val="21"/>
        </w:rPr>
      </w:pPr>
    </w:p>
    <w:p>
      <w:pPr>
        <w:widowControl/>
        <w:jc w:val="left"/>
        <w:rPr>
          <w:rFonts w:hint="eastAsia" w:ascii="宋体" w:hAnsi="宋体" w:eastAsia="宋体" w:cs="宋体"/>
          <w:b/>
          <w:bCs/>
          <w:color w:val="000000"/>
          <w:sz w:val="21"/>
          <w:szCs w:val="21"/>
        </w:rPr>
      </w:pPr>
    </w:p>
    <w:p>
      <w:pPr>
        <w:widowControl/>
        <w:jc w:val="left"/>
        <w:rPr>
          <w:rFonts w:hint="eastAsia" w:ascii="宋体" w:hAnsi="宋体" w:eastAsia="宋体" w:cs="宋体"/>
          <w:b/>
          <w:bCs/>
          <w:color w:val="000000"/>
          <w:sz w:val="21"/>
          <w:szCs w:val="21"/>
        </w:rPr>
      </w:pPr>
    </w:p>
    <w:p>
      <w:pPr>
        <w:widowControl/>
        <w:jc w:val="left"/>
        <w:rPr>
          <w:rFonts w:hint="eastAsia" w:ascii="宋体" w:hAnsi="宋体" w:eastAsia="宋体" w:cs="宋体"/>
          <w:b/>
          <w:bCs/>
          <w:color w:val="000000"/>
          <w:sz w:val="21"/>
          <w:szCs w:val="21"/>
        </w:rPr>
      </w:pPr>
    </w:p>
    <w:p>
      <w:pPr>
        <w:widowControl/>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附件二：问题澄清通知</w:t>
      </w:r>
      <w:bookmarkEnd w:id="138"/>
    </w:p>
    <w:p>
      <w:pPr>
        <w:spacing w:line="240" w:lineRule="exact"/>
        <w:rPr>
          <w:rFonts w:hint="eastAsia" w:ascii="宋体" w:hAnsi="宋体" w:eastAsia="宋体" w:cs="宋体"/>
          <w:color w:val="000000"/>
          <w:sz w:val="21"/>
          <w:szCs w:val="21"/>
        </w:rPr>
      </w:pPr>
    </w:p>
    <w:p>
      <w:pPr>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问题澄清通知</w:t>
      </w:r>
    </w:p>
    <w:p>
      <w:pPr>
        <w:ind w:firstLine="5880" w:firstLineChars="2800"/>
        <w:rPr>
          <w:rFonts w:hint="eastAsia" w:ascii="宋体" w:hAnsi="宋体" w:eastAsia="宋体" w:cs="宋体"/>
          <w:sz w:val="21"/>
          <w:szCs w:val="21"/>
        </w:rPr>
      </w:pPr>
      <w:r>
        <w:rPr>
          <w:rFonts w:hint="eastAsia" w:ascii="宋体" w:hAnsi="宋体" w:eastAsia="宋体" w:cs="宋体"/>
          <w:color w:val="000000"/>
          <w:sz w:val="21"/>
          <w:szCs w:val="21"/>
        </w:rPr>
        <w:t>编号：</w:t>
      </w:r>
    </w:p>
    <w:p>
      <w:pPr>
        <w:spacing w:line="360" w:lineRule="auto"/>
        <w:ind w:firstLine="6430" w:firstLineChars="3050"/>
        <w:rPr>
          <w:rFonts w:hint="eastAsia" w:ascii="宋体" w:hAnsi="宋体" w:eastAsia="宋体" w:cs="宋体"/>
          <w:b/>
          <w:bCs/>
          <w:color w:val="000000"/>
          <w:sz w:val="21"/>
          <w:szCs w:val="21"/>
          <w:u w:val="single"/>
        </w:rPr>
      </w:pP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color w:val="000000"/>
          <w:sz w:val="21"/>
          <w:szCs w:val="21"/>
        </w:rPr>
        <w:t xml:space="preserve">（投标人名称）: </w:t>
      </w:r>
    </w:p>
    <w:p>
      <w:pPr>
        <w:spacing w:line="360" w:lineRule="auto"/>
        <w:ind w:firstLine="422" w:firstLineChars="200"/>
        <w:rPr>
          <w:rFonts w:hint="eastAsia" w:ascii="宋体" w:hAnsi="宋体" w:eastAsia="宋体" w:cs="宋体"/>
          <w:sz w:val="21"/>
          <w:szCs w:val="21"/>
        </w:rPr>
      </w:pPr>
      <w:r>
        <w:rPr>
          <w:rFonts w:hint="eastAsia" w:ascii="宋体" w:hAnsi="宋体" w:eastAsia="宋体" w:cs="宋体"/>
          <w:b/>
          <w:bCs/>
          <w:color w:val="000000"/>
          <w:sz w:val="21"/>
          <w:szCs w:val="21"/>
          <w:u w:val="single"/>
        </w:rPr>
        <w:t>（项目名称</w:t>
      </w:r>
      <w:r>
        <w:rPr>
          <w:rFonts w:hint="eastAsia" w:ascii="宋体" w:hAnsi="宋体" w:cs="宋体"/>
          <w:b/>
          <w:bCs/>
          <w:color w:val="000000"/>
          <w:sz w:val="21"/>
          <w:szCs w:val="21"/>
          <w:u w:val="single"/>
          <w:lang w:eastAsia="zh-CN"/>
        </w:rPr>
        <w:t>、标段</w:t>
      </w:r>
      <w:r>
        <w:rPr>
          <w:rFonts w:hint="eastAsia" w:ascii="宋体" w:hAnsi="宋体" w:eastAsia="宋体" w:cs="宋体"/>
          <w:b/>
          <w:bCs/>
          <w:color w:val="000000"/>
          <w:sz w:val="21"/>
          <w:szCs w:val="21"/>
          <w:u w:val="single"/>
        </w:rPr>
        <w:t>）</w:t>
      </w:r>
      <w:r>
        <w:rPr>
          <w:rFonts w:hint="eastAsia" w:ascii="宋体" w:hAnsi="宋体" w:eastAsia="宋体" w:cs="宋体"/>
          <w:color w:val="000000"/>
          <w:sz w:val="21"/>
          <w:szCs w:val="21"/>
        </w:rPr>
        <w:t>招标的评标委员会，对你方的投标文件进行了仔细的审查，现需你方对下列问题以书面形式予以澄清：</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p>
    <w:p>
      <w:pPr>
        <w:spacing w:line="360" w:lineRule="auto"/>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请将上述问题的澄清于年月日时前递交至（详细地址）或传真至（传真号码）。采用传真方式的，应在年月日时前将原件递交至（详细地址）。</w:t>
      </w:r>
    </w:p>
    <w:p>
      <w:pPr>
        <w:spacing w:line="360" w:lineRule="auto"/>
        <w:ind w:firstLine="2310" w:firstLineChars="1100"/>
        <w:jc w:val="right"/>
        <w:rPr>
          <w:rFonts w:hint="eastAsia" w:ascii="宋体" w:hAnsi="宋体" w:eastAsia="宋体" w:cs="宋体"/>
          <w:color w:val="000000"/>
          <w:sz w:val="21"/>
          <w:szCs w:val="21"/>
        </w:rPr>
      </w:pPr>
    </w:p>
    <w:p>
      <w:pPr>
        <w:spacing w:line="360" w:lineRule="auto"/>
        <w:ind w:firstLine="2310" w:firstLineChars="1100"/>
        <w:jc w:val="right"/>
        <w:rPr>
          <w:rFonts w:hint="eastAsia" w:ascii="宋体" w:hAnsi="宋体" w:eastAsia="宋体" w:cs="宋体"/>
          <w:color w:val="000000"/>
          <w:sz w:val="21"/>
          <w:szCs w:val="21"/>
        </w:rPr>
      </w:pPr>
      <w:r>
        <w:rPr>
          <w:rFonts w:hint="eastAsia" w:ascii="宋体" w:hAnsi="宋体" w:eastAsia="宋体" w:cs="宋体"/>
          <w:color w:val="000000"/>
          <w:sz w:val="21"/>
          <w:szCs w:val="21"/>
        </w:rPr>
        <w:t>评标工作组负责人：（签字）</w:t>
      </w:r>
    </w:p>
    <w:p>
      <w:pPr>
        <w:spacing w:line="360" w:lineRule="auto"/>
        <w:rPr>
          <w:rFonts w:hint="eastAsia" w:ascii="宋体" w:hAnsi="宋体" w:eastAsia="宋体" w:cs="宋体"/>
          <w:color w:val="000000"/>
          <w:sz w:val="21"/>
          <w:szCs w:val="21"/>
        </w:rPr>
      </w:pPr>
    </w:p>
    <w:p>
      <w:pPr>
        <w:spacing w:line="360" w:lineRule="auto"/>
        <w:ind w:right="500"/>
        <w:jc w:val="right"/>
        <w:rPr>
          <w:rFonts w:hint="eastAsia" w:ascii="宋体" w:hAnsi="宋体" w:eastAsia="宋体" w:cs="宋体"/>
          <w:color w:val="000000"/>
          <w:sz w:val="21"/>
          <w:szCs w:val="21"/>
        </w:rPr>
      </w:pPr>
      <w:r>
        <w:rPr>
          <w:rFonts w:hint="eastAsia" w:ascii="宋体" w:hAnsi="宋体" w:eastAsia="宋体" w:cs="宋体"/>
          <w:color w:val="000000"/>
          <w:sz w:val="21"/>
          <w:szCs w:val="21"/>
        </w:rPr>
        <w:t>年   月   日</w:t>
      </w:r>
    </w:p>
    <w:p>
      <w:pPr>
        <w:spacing w:line="360" w:lineRule="auto"/>
        <w:outlineLvl w:val="2"/>
        <w:rPr>
          <w:rFonts w:hint="eastAsia" w:ascii="宋体" w:hAnsi="宋体" w:eastAsia="宋体" w:cs="宋体"/>
          <w:b/>
          <w:bCs/>
          <w:color w:val="000000"/>
          <w:sz w:val="21"/>
          <w:szCs w:val="21"/>
        </w:rPr>
      </w:pPr>
      <w:r>
        <w:rPr>
          <w:rFonts w:hint="eastAsia" w:ascii="宋体" w:hAnsi="宋体" w:eastAsia="宋体" w:cs="宋体"/>
          <w:b/>
          <w:bCs/>
          <w:color w:val="000000"/>
          <w:sz w:val="21"/>
          <w:szCs w:val="21"/>
        </w:rPr>
        <w:br w:type="page"/>
      </w:r>
      <w:bookmarkStart w:id="139" w:name="_Toc370458162"/>
      <w:bookmarkEnd w:id="139"/>
      <w:bookmarkStart w:id="140" w:name="_Toc503433965"/>
      <w:bookmarkStart w:id="141" w:name="_Toc503873684"/>
    </w:p>
    <w:p>
      <w:pPr>
        <w:spacing w:line="360" w:lineRule="auto"/>
        <w:outlineLvl w:val="2"/>
        <w:rPr>
          <w:rFonts w:hint="eastAsia" w:ascii="宋体" w:hAnsi="宋体" w:eastAsia="宋体" w:cs="宋体"/>
          <w:b/>
          <w:bCs/>
          <w:color w:val="000000"/>
          <w:sz w:val="21"/>
          <w:szCs w:val="21"/>
        </w:rPr>
      </w:pPr>
    </w:p>
    <w:p>
      <w:pPr>
        <w:spacing w:line="360" w:lineRule="auto"/>
        <w:outlineLvl w:val="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附件三：问题的澄清</w:t>
      </w:r>
      <w:bookmarkEnd w:id="140"/>
      <w:bookmarkEnd w:id="141"/>
    </w:p>
    <w:p>
      <w:pPr>
        <w:spacing w:line="240" w:lineRule="exact"/>
        <w:rPr>
          <w:rFonts w:hint="eastAsia" w:ascii="宋体" w:hAnsi="宋体" w:eastAsia="宋体" w:cs="宋体"/>
          <w:b/>
          <w:bCs/>
          <w:color w:val="000000"/>
          <w:sz w:val="21"/>
          <w:szCs w:val="21"/>
        </w:rPr>
      </w:pPr>
    </w:p>
    <w:p>
      <w:pPr>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问题的澄清、说明或补正</w:t>
      </w:r>
    </w:p>
    <w:p>
      <w:pPr>
        <w:ind w:firstLine="6724" w:firstLineChars="3202"/>
        <w:rPr>
          <w:rFonts w:hint="eastAsia" w:ascii="宋体" w:hAnsi="宋体" w:eastAsia="宋体" w:cs="宋体"/>
          <w:sz w:val="21"/>
          <w:szCs w:val="21"/>
        </w:rPr>
      </w:pPr>
      <w:r>
        <w:rPr>
          <w:rFonts w:hint="eastAsia" w:ascii="宋体" w:hAnsi="宋体" w:eastAsia="宋体" w:cs="宋体"/>
          <w:color w:val="000000"/>
          <w:sz w:val="21"/>
          <w:szCs w:val="21"/>
        </w:rPr>
        <w:t>编号：</w:t>
      </w:r>
    </w:p>
    <w:p>
      <w:pPr>
        <w:spacing w:line="360" w:lineRule="auto"/>
        <w:ind w:firstLine="6682" w:firstLineChars="3182"/>
        <w:rPr>
          <w:rFonts w:hint="eastAsia" w:ascii="宋体" w:hAnsi="宋体" w:eastAsia="宋体" w:cs="宋体"/>
          <w:color w:val="000000"/>
          <w:sz w:val="21"/>
          <w:szCs w:val="21"/>
          <w:u w:val="single"/>
        </w:rPr>
      </w:pPr>
    </w:p>
    <w:p>
      <w:pPr>
        <w:spacing w:line="360" w:lineRule="auto"/>
        <w:jc w:val="both"/>
        <w:rPr>
          <w:rFonts w:hint="eastAsia" w:ascii="宋体" w:hAnsi="宋体" w:eastAsia="宋体" w:cs="宋体"/>
          <w:color w:val="000000"/>
          <w:sz w:val="21"/>
          <w:szCs w:val="21"/>
        </w:rPr>
      </w:pPr>
      <w:r>
        <w:rPr>
          <w:rFonts w:hint="eastAsia" w:ascii="宋体" w:hAnsi="宋体" w:eastAsia="宋体" w:cs="宋体"/>
          <w:b/>
          <w:bCs/>
          <w:color w:val="000000"/>
          <w:sz w:val="21"/>
          <w:szCs w:val="21"/>
          <w:u w:val="single"/>
        </w:rPr>
        <w:t>（项目名称</w:t>
      </w:r>
      <w:r>
        <w:rPr>
          <w:rFonts w:hint="eastAsia" w:ascii="宋体" w:hAnsi="宋体" w:cs="宋体"/>
          <w:b/>
          <w:bCs/>
          <w:color w:val="000000"/>
          <w:sz w:val="21"/>
          <w:szCs w:val="21"/>
          <w:u w:val="single"/>
          <w:lang w:eastAsia="zh-CN"/>
        </w:rPr>
        <w:t>、标段</w:t>
      </w:r>
      <w:r>
        <w:rPr>
          <w:rFonts w:hint="eastAsia" w:ascii="宋体" w:hAnsi="宋体" w:eastAsia="宋体" w:cs="宋体"/>
          <w:b/>
          <w:bCs/>
          <w:color w:val="000000"/>
          <w:sz w:val="21"/>
          <w:szCs w:val="21"/>
          <w:u w:val="single"/>
        </w:rPr>
        <w:t>）</w:t>
      </w:r>
      <w:r>
        <w:rPr>
          <w:rFonts w:hint="eastAsia" w:ascii="宋体" w:hAnsi="宋体" w:cs="宋体"/>
          <w:b/>
          <w:bCs/>
          <w:color w:val="000000"/>
          <w:sz w:val="21"/>
          <w:szCs w:val="21"/>
          <w:u w:val="single"/>
          <w:lang w:val="en-US" w:eastAsia="zh-CN"/>
        </w:rPr>
        <w:t xml:space="preserve">  </w:t>
      </w:r>
      <w:r>
        <w:rPr>
          <w:rFonts w:hint="eastAsia" w:ascii="宋体" w:hAnsi="宋体" w:eastAsia="宋体" w:cs="宋体"/>
          <w:color w:val="000000"/>
          <w:sz w:val="21"/>
          <w:szCs w:val="21"/>
        </w:rPr>
        <w:t>招标评标委员会：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问题澄清通知（编号：）已收悉，现澄清、说明或者补正如下：</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p>
    <w:p>
      <w:pPr>
        <w:spacing w:line="360" w:lineRule="auto"/>
        <w:ind w:firstLine="420" w:firstLineChars="200"/>
        <w:rPr>
          <w:rFonts w:hint="eastAsia" w:ascii="宋体" w:hAnsi="宋体" w:eastAsia="宋体" w:cs="宋体"/>
          <w:color w:val="000000"/>
          <w:sz w:val="21"/>
          <w:szCs w:val="21"/>
        </w:rPr>
      </w:pPr>
    </w:p>
    <w:p>
      <w:pPr>
        <w:spacing w:line="360" w:lineRule="auto"/>
        <w:ind w:firstLine="420" w:firstLineChars="200"/>
        <w:rPr>
          <w:rFonts w:hint="eastAsia" w:ascii="宋体" w:hAnsi="宋体" w:eastAsia="宋体" w:cs="宋体"/>
          <w:color w:val="000000"/>
          <w:sz w:val="21"/>
          <w:szCs w:val="21"/>
        </w:rPr>
      </w:pPr>
    </w:p>
    <w:p>
      <w:pPr>
        <w:spacing w:line="360" w:lineRule="auto"/>
        <w:ind w:firstLine="420" w:firstLineChars="200"/>
        <w:rPr>
          <w:rFonts w:hint="eastAsia" w:ascii="宋体" w:hAnsi="宋体" w:eastAsia="宋体" w:cs="宋体"/>
          <w:color w:val="000000"/>
          <w:sz w:val="21"/>
          <w:szCs w:val="21"/>
        </w:rPr>
      </w:pPr>
    </w:p>
    <w:p>
      <w:pPr>
        <w:spacing w:line="360" w:lineRule="auto"/>
        <w:jc w:val="right"/>
        <w:rPr>
          <w:rFonts w:hint="eastAsia" w:ascii="宋体" w:hAnsi="宋体" w:eastAsia="宋体" w:cs="宋体"/>
          <w:sz w:val="21"/>
          <w:szCs w:val="21"/>
        </w:rPr>
      </w:pPr>
      <w:r>
        <w:rPr>
          <w:rFonts w:hint="eastAsia" w:ascii="宋体" w:hAnsi="宋体" w:eastAsia="宋体" w:cs="宋体"/>
          <w:color w:val="000000"/>
          <w:sz w:val="21"/>
          <w:szCs w:val="21"/>
        </w:rPr>
        <w:t>投 标 人：（加盖单位公章）</w:t>
      </w:r>
    </w:p>
    <w:p>
      <w:pPr>
        <w:spacing w:line="360" w:lineRule="auto"/>
        <w:ind w:firstLine="1890" w:firstLineChars="900"/>
        <w:rPr>
          <w:rFonts w:hint="eastAsia" w:ascii="宋体" w:hAnsi="宋体" w:eastAsia="宋体" w:cs="宋体"/>
          <w:color w:val="000000"/>
          <w:sz w:val="21"/>
          <w:szCs w:val="21"/>
        </w:rPr>
      </w:pPr>
    </w:p>
    <w:p>
      <w:pPr>
        <w:spacing w:line="360" w:lineRule="auto"/>
        <w:jc w:val="right"/>
        <w:rPr>
          <w:rFonts w:hint="eastAsia" w:ascii="宋体" w:hAnsi="宋体" w:eastAsia="宋体" w:cs="宋体"/>
          <w:sz w:val="21"/>
          <w:szCs w:val="21"/>
        </w:rPr>
      </w:pPr>
      <w:r>
        <w:rPr>
          <w:rFonts w:hint="eastAsia" w:ascii="宋体" w:hAnsi="宋体" w:eastAsia="宋体" w:cs="宋体"/>
          <w:color w:val="000000"/>
          <w:sz w:val="21"/>
          <w:szCs w:val="21"/>
        </w:rPr>
        <w:t>法定代表人或其委托代理人：（签字）</w:t>
      </w:r>
    </w:p>
    <w:p>
      <w:pPr>
        <w:spacing w:line="360" w:lineRule="auto"/>
        <w:jc w:val="right"/>
        <w:rPr>
          <w:rFonts w:hint="eastAsia" w:ascii="宋体" w:hAnsi="宋体" w:eastAsia="宋体" w:cs="宋体"/>
          <w:color w:val="000000"/>
          <w:sz w:val="21"/>
          <w:szCs w:val="21"/>
          <w:u w:val="single"/>
        </w:rPr>
      </w:pPr>
    </w:p>
    <w:p>
      <w:pPr>
        <w:wordWrap w:val="0"/>
        <w:spacing w:line="360" w:lineRule="auto"/>
        <w:jc w:val="right"/>
        <w:rPr>
          <w:rFonts w:hint="eastAsia" w:ascii="宋体" w:hAnsi="宋体" w:eastAsia="宋体" w:cs="宋体"/>
          <w:sz w:val="21"/>
          <w:szCs w:val="21"/>
        </w:rPr>
      </w:pPr>
      <w:r>
        <w:rPr>
          <w:rFonts w:hint="eastAsia" w:ascii="宋体" w:hAnsi="宋体" w:eastAsia="宋体" w:cs="宋体"/>
          <w:color w:val="000000"/>
          <w:sz w:val="21"/>
          <w:szCs w:val="21"/>
        </w:rPr>
        <w:t xml:space="preserve">年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月</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日 </w:t>
      </w:r>
    </w:p>
    <w:p>
      <w:pPr>
        <w:widowControl/>
        <w:jc w:val="left"/>
        <w:rPr>
          <w:rFonts w:hint="eastAsia" w:ascii="宋体" w:hAnsi="宋体" w:eastAsia="宋体" w:cs="宋体"/>
          <w:b/>
          <w:bCs/>
          <w:color w:val="000000"/>
          <w:kern w:val="0"/>
          <w:sz w:val="21"/>
          <w:szCs w:val="21"/>
        </w:rPr>
      </w:pPr>
      <w:bookmarkStart w:id="142" w:name="_Toc484607361"/>
      <w:bookmarkEnd w:id="142"/>
      <w:bookmarkStart w:id="143" w:name="_Toc449530197"/>
      <w:bookmarkEnd w:id="143"/>
      <w:bookmarkStart w:id="144" w:name="_Toc23344"/>
      <w:bookmarkEnd w:id="144"/>
      <w:bookmarkStart w:id="145" w:name="_Toc26974"/>
      <w:bookmarkEnd w:id="145"/>
      <w:bookmarkStart w:id="146" w:name="_Toc11305"/>
      <w:bookmarkEnd w:id="146"/>
      <w:bookmarkStart w:id="147" w:name="_Toc9070"/>
      <w:bookmarkEnd w:id="147"/>
      <w:bookmarkStart w:id="148" w:name="_Toc24545"/>
      <w:bookmarkEnd w:id="148"/>
      <w:bookmarkStart w:id="149" w:name="_Toc467679686"/>
      <w:bookmarkEnd w:id="149"/>
      <w:bookmarkStart w:id="150" w:name="_Toc31009"/>
      <w:bookmarkEnd w:id="150"/>
      <w:bookmarkStart w:id="151" w:name="_Toc503433966"/>
      <w:bookmarkStart w:id="152" w:name="_Toc29596"/>
      <w:r>
        <w:rPr>
          <w:rFonts w:hint="eastAsia" w:ascii="宋体" w:hAnsi="宋体" w:eastAsia="宋体" w:cs="宋体"/>
          <w:b/>
          <w:bCs/>
          <w:sz w:val="21"/>
          <w:szCs w:val="21"/>
        </w:rPr>
        <w:br w:type="page"/>
      </w:r>
    </w:p>
    <w:p>
      <w:pPr>
        <w:spacing w:line="360" w:lineRule="auto"/>
        <w:outlineLvl w:val="2"/>
        <w:rPr>
          <w:rFonts w:hint="eastAsia" w:ascii="宋体" w:hAnsi="宋体" w:eastAsia="宋体" w:cs="宋体"/>
          <w:b/>
          <w:bCs/>
          <w:sz w:val="21"/>
          <w:szCs w:val="21"/>
        </w:rPr>
      </w:pPr>
      <w:bookmarkStart w:id="153" w:name="_Toc503873685"/>
    </w:p>
    <w:p>
      <w:pPr>
        <w:spacing w:line="360" w:lineRule="auto"/>
        <w:outlineLvl w:val="2"/>
        <w:rPr>
          <w:rFonts w:hint="eastAsia" w:ascii="宋体" w:hAnsi="宋体" w:eastAsia="宋体" w:cs="宋体"/>
          <w:b/>
          <w:bCs/>
          <w:color w:val="000000"/>
          <w:sz w:val="21"/>
          <w:szCs w:val="21"/>
        </w:rPr>
      </w:pPr>
      <w:r>
        <w:rPr>
          <w:rFonts w:hint="eastAsia" w:ascii="宋体" w:hAnsi="宋体" w:eastAsia="宋体" w:cs="宋体"/>
          <w:b/>
          <w:bCs/>
          <w:sz w:val="21"/>
          <w:szCs w:val="21"/>
        </w:rPr>
        <w:t>附表四：</w:t>
      </w:r>
      <w:bookmarkEnd w:id="151"/>
      <w:bookmarkEnd w:id="152"/>
      <w:bookmarkEnd w:id="153"/>
      <w:bookmarkStart w:id="154" w:name="_Toc503873687"/>
      <w:bookmarkStart w:id="155" w:name="_Toc503433968"/>
      <w:r>
        <w:rPr>
          <w:rFonts w:hint="eastAsia" w:ascii="宋体" w:hAnsi="宋体" w:eastAsia="宋体" w:cs="宋体"/>
          <w:b/>
          <w:bCs/>
          <w:color w:val="000000"/>
          <w:sz w:val="21"/>
          <w:szCs w:val="21"/>
        </w:rPr>
        <w:t>确认通知</w:t>
      </w:r>
      <w:bookmarkEnd w:id="154"/>
      <w:bookmarkEnd w:id="155"/>
    </w:p>
    <w:p>
      <w:pPr>
        <w:spacing w:line="240" w:lineRule="exact"/>
        <w:rPr>
          <w:rFonts w:hint="eastAsia" w:ascii="宋体" w:hAnsi="宋体" w:eastAsia="宋体" w:cs="宋体"/>
          <w:b/>
          <w:bCs/>
          <w:color w:val="000000"/>
          <w:sz w:val="21"/>
          <w:szCs w:val="21"/>
        </w:rPr>
      </w:pPr>
    </w:p>
    <w:p>
      <w:pPr>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确认通知</w:t>
      </w:r>
    </w:p>
    <w:p>
      <w:pPr>
        <w:spacing w:line="240" w:lineRule="exact"/>
        <w:rPr>
          <w:rFonts w:hint="eastAsia" w:ascii="宋体" w:hAnsi="宋体" w:eastAsia="宋体" w:cs="宋体"/>
          <w:b/>
          <w:bCs/>
          <w:color w:val="000000"/>
          <w:sz w:val="21"/>
          <w:szCs w:val="21"/>
        </w:rPr>
      </w:pP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（招标人名称）: </w:t>
      </w:r>
    </w:p>
    <w:p>
      <w:pPr>
        <w:spacing w:line="360" w:lineRule="auto"/>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我方已接到你方</w:t>
      </w:r>
      <w:r>
        <w:rPr>
          <w:rFonts w:hint="eastAsia" w:ascii="宋体" w:hAnsi="宋体" w:eastAsia="宋体" w:cs="宋体"/>
          <w:color w:val="000000"/>
          <w:kern w:val="0"/>
          <w:sz w:val="21"/>
          <w:szCs w:val="21"/>
          <w:u w:val="single"/>
        </w:rPr>
        <w:t>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日发出的</w:t>
      </w:r>
      <w:r>
        <w:rPr>
          <w:rFonts w:hint="eastAsia" w:ascii="宋体" w:hAnsi="宋体" w:eastAsia="宋体" w:cs="宋体"/>
          <w:b/>
          <w:bCs/>
          <w:color w:val="000000"/>
          <w:sz w:val="21"/>
          <w:szCs w:val="21"/>
          <w:u w:val="single"/>
        </w:rPr>
        <w:t>（项目名称</w:t>
      </w:r>
      <w:r>
        <w:rPr>
          <w:rFonts w:hint="eastAsia" w:ascii="宋体" w:hAnsi="宋体" w:cs="宋体"/>
          <w:b/>
          <w:bCs/>
          <w:color w:val="000000"/>
          <w:sz w:val="21"/>
          <w:szCs w:val="21"/>
          <w:u w:val="single"/>
          <w:lang w:eastAsia="zh-CN"/>
        </w:rPr>
        <w:t>、标段</w:t>
      </w:r>
      <w:r>
        <w:rPr>
          <w:rFonts w:hint="eastAsia" w:ascii="宋体" w:hAnsi="宋体" w:eastAsia="宋体" w:cs="宋体"/>
          <w:b/>
          <w:bCs/>
          <w:color w:val="000000"/>
          <w:sz w:val="21"/>
          <w:szCs w:val="21"/>
          <w:u w:val="single"/>
        </w:rPr>
        <w:t>）</w:t>
      </w:r>
      <w:r>
        <w:rPr>
          <w:rFonts w:hint="eastAsia" w:ascii="宋体" w:hAnsi="宋体" w:eastAsia="宋体" w:cs="宋体"/>
          <w:color w:val="000000"/>
          <w:sz w:val="21"/>
          <w:szCs w:val="21"/>
        </w:rPr>
        <w:t>招标关于的通知，我方已于年月日收到。</w:t>
      </w:r>
    </w:p>
    <w:p>
      <w:pPr>
        <w:spacing w:line="360" w:lineRule="auto"/>
        <w:ind w:firstLine="420" w:firstLineChars="200"/>
        <w:rPr>
          <w:rFonts w:hint="eastAsia" w:ascii="宋体" w:hAnsi="宋体" w:eastAsia="宋体" w:cs="宋体"/>
          <w:color w:val="000000"/>
          <w:sz w:val="21"/>
          <w:szCs w:val="21"/>
        </w:rPr>
      </w:pP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特此确认。</w:t>
      </w:r>
    </w:p>
    <w:p>
      <w:pPr>
        <w:spacing w:line="360" w:lineRule="auto"/>
        <w:ind w:firstLine="420" w:firstLineChars="200"/>
        <w:rPr>
          <w:rFonts w:hint="eastAsia" w:ascii="宋体" w:hAnsi="宋体" w:eastAsia="宋体" w:cs="宋体"/>
          <w:color w:val="000000"/>
          <w:sz w:val="21"/>
          <w:szCs w:val="21"/>
        </w:rPr>
      </w:pPr>
    </w:p>
    <w:p>
      <w:pPr>
        <w:spacing w:line="360" w:lineRule="auto"/>
        <w:ind w:firstLine="420" w:firstLineChars="200"/>
        <w:rPr>
          <w:rFonts w:hint="eastAsia" w:ascii="宋体" w:hAnsi="宋体" w:eastAsia="宋体" w:cs="宋体"/>
          <w:color w:val="000000"/>
          <w:sz w:val="21"/>
          <w:szCs w:val="21"/>
        </w:rPr>
      </w:pPr>
    </w:p>
    <w:p>
      <w:pPr>
        <w:spacing w:line="360" w:lineRule="auto"/>
        <w:ind w:firstLine="420" w:firstLineChars="200"/>
        <w:rPr>
          <w:rFonts w:hint="eastAsia" w:ascii="宋体" w:hAnsi="宋体" w:eastAsia="宋体" w:cs="宋体"/>
          <w:color w:val="000000"/>
          <w:sz w:val="21"/>
          <w:szCs w:val="21"/>
        </w:rPr>
      </w:pPr>
    </w:p>
    <w:p>
      <w:pPr>
        <w:spacing w:line="360" w:lineRule="auto"/>
        <w:ind w:firstLine="420" w:firstLineChars="200"/>
        <w:rPr>
          <w:rFonts w:hint="eastAsia" w:ascii="宋体" w:hAnsi="宋体" w:eastAsia="宋体" w:cs="宋体"/>
          <w:color w:val="000000"/>
          <w:sz w:val="21"/>
          <w:szCs w:val="21"/>
        </w:rPr>
      </w:pPr>
    </w:p>
    <w:p>
      <w:pPr>
        <w:spacing w:line="360" w:lineRule="auto"/>
        <w:ind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投标人：（加盖单位公章）</w:t>
      </w:r>
    </w:p>
    <w:p>
      <w:pPr>
        <w:pStyle w:val="2"/>
        <w:ind w:firstLine="210"/>
        <w:rPr>
          <w:rFonts w:hint="eastAsia" w:ascii="宋体" w:hAnsi="宋体" w:eastAsia="宋体" w:cs="宋体"/>
          <w:sz w:val="21"/>
          <w:szCs w:val="21"/>
        </w:rPr>
      </w:pPr>
    </w:p>
    <w:p>
      <w:pPr>
        <w:wordWrap w:val="0"/>
        <w:spacing w:line="360" w:lineRule="auto"/>
        <w:ind w:firstLine="420" w:firstLineChars="200"/>
        <w:jc w:val="right"/>
        <w:rPr>
          <w:rFonts w:hint="eastAsia" w:ascii="宋体" w:hAnsi="宋体" w:eastAsia="宋体" w:cs="宋体"/>
          <w:color w:val="000000"/>
          <w:sz w:val="21"/>
          <w:szCs w:val="21"/>
        </w:rPr>
      </w:pP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日 </w:t>
      </w:r>
    </w:p>
    <w:p>
      <w:pPr>
        <w:spacing w:line="360" w:lineRule="auto"/>
        <w:ind w:firstLine="7035" w:firstLineChars="3350"/>
        <w:rPr>
          <w:rFonts w:hint="eastAsia" w:ascii="宋体" w:hAnsi="宋体" w:eastAsia="宋体" w:cs="宋体"/>
          <w:color w:val="000000"/>
          <w:sz w:val="21"/>
          <w:szCs w:val="21"/>
        </w:rPr>
      </w:pPr>
    </w:p>
    <w:p>
      <w:pPr>
        <w:spacing w:line="360" w:lineRule="auto"/>
        <w:ind w:firstLine="420" w:firstLineChars="200"/>
        <w:rPr>
          <w:sz w:val="32"/>
          <w:szCs w:val="32"/>
        </w:rPr>
      </w:pPr>
      <w:r>
        <w:rPr>
          <w:rFonts w:hint="eastAsia" w:ascii="宋体" w:hAnsi="宋体" w:eastAsia="宋体" w:cs="宋体"/>
          <w:color w:val="000000"/>
          <w:sz w:val="21"/>
          <w:szCs w:val="21"/>
        </w:rPr>
        <w:br w:type="page"/>
      </w:r>
      <w:bookmarkStart w:id="156" w:name="_Toc31200"/>
      <w:bookmarkEnd w:id="156"/>
      <w:bookmarkStart w:id="157" w:name="_Toc370458165"/>
      <w:bookmarkEnd w:id="157"/>
      <w:bookmarkStart w:id="158" w:name="_Toc31891"/>
      <w:bookmarkEnd w:id="158"/>
      <w:bookmarkStart w:id="159" w:name="_Toc5442"/>
      <w:bookmarkEnd w:id="159"/>
      <w:bookmarkStart w:id="160" w:name="_Toc283381974"/>
      <w:bookmarkEnd w:id="160"/>
      <w:bookmarkStart w:id="161" w:name="_Toc21044"/>
      <w:bookmarkEnd w:id="161"/>
      <w:bookmarkStart w:id="162" w:name="_Toc26877"/>
      <w:bookmarkStart w:id="163" w:name="_Toc503873689"/>
    </w:p>
    <w:p>
      <w:pPr>
        <w:spacing w:line="360" w:lineRule="auto"/>
        <w:jc w:val="center"/>
        <w:outlineLvl w:val="0"/>
      </w:pPr>
      <w:r>
        <w:rPr>
          <w:rStyle w:val="30"/>
          <w:rFonts w:hint="default"/>
          <w:b/>
          <w:bCs/>
          <w:kern w:val="0"/>
          <w:sz w:val="32"/>
          <w:szCs w:val="32"/>
        </w:rPr>
        <w:t>第三章  评标办法（合理低价中标法）</w:t>
      </w:r>
      <w:bookmarkEnd w:id="162"/>
      <w:bookmarkEnd w:id="163"/>
      <w:bookmarkStart w:id="164" w:name="_Toc370458166"/>
      <w:bookmarkEnd w:id="164"/>
      <w:bookmarkStart w:id="165" w:name="_Toc503873690"/>
      <w:bookmarkStart w:id="166" w:name="_Toc503433971"/>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2"/>
        <w:rPr>
          <w:rFonts w:ascii="宋体" w:hAnsi="宋体"/>
          <w:b/>
          <w:bCs/>
          <w:color w:val="000000"/>
        </w:rPr>
      </w:pPr>
      <w:r>
        <w:rPr>
          <w:rFonts w:hint="eastAsia" w:ascii="宋体" w:hAnsi="宋体"/>
          <w:b/>
          <w:bCs/>
          <w:color w:val="000000"/>
        </w:rPr>
        <w:t>1.评标依据</w:t>
      </w:r>
      <w:bookmarkEnd w:id="165"/>
      <w:bookmarkEnd w:id="166"/>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olor w:val="000000"/>
        </w:rPr>
      </w:pPr>
      <w:r>
        <w:rPr>
          <w:rFonts w:hint="eastAsia" w:ascii="宋体" w:hAnsi="宋体"/>
          <w:color w:val="000000"/>
        </w:rPr>
        <w:t>1.1《中华人民共和国招标投标法》、《河南省实施&lt;中华人民共和国招标投标法&gt;办法》、《河南省评标专家和评标专家库管理办法》（省政府99号令）、《河南省人民政府关于进一步规范招标投标活动的意见》（豫政〔2009〕48号）等有关法律、法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2"/>
        <w:rPr>
          <w:rFonts w:ascii="宋体" w:hAnsi="宋体"/>
          <w:color w:val="000000"/>
        </w:rPr>
      </w:pPr>
      <w:bookmarkStart w:id="167" w:name="_Toc370458167"/>
      <w:bookmarkEnd w:id="167"/>
      <w:bookmarkStart w:id="168" w:name="_Toc503873691"/>
      <w:bookmarkStart w:id="169" w:name="_Toc503433972"/>
      <w:r>
        <w:rPr>
          <w:rFonts w:hint="eastAsia" w:ascii="宋体" w:hAnsi="宋体"/>
          <w:color w:val="000000"/>
        </w:rPr>
        <w:t>1.2本项目的招标控制价。</w:t>
      </w:r>
      <w:bookmarkEnd w:id="168"/>
      <w:bookmarkEnd w:id="169"/>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2"/>
        <w:rPr>
          <w:rFonts w:ascii="宋体" w:hAnsi="宋体"/>
          <w:color w:val="000000"/>
        </w:rPr>
      </w:pPr>
      <w:bookmarkStart w:id="170" w:name="_Toc503433973"/>
      <w:bookmarkStart w:id="171" w:name="_Toc503873692"/>
      <w:r>
        <w:rPr>
          <w:rFonts w:hint="eastAsia" w:ascii="宋体" w:hAnsi="宋体"/>
          <w:color w:val="000000"/>
        </w:rPr>
        <w:t>1.3招标文件、答疑(补充)文件。</w:t>
      </w:r>
      <w:bookmarkEnd w:id="170"/>
      <w:bookmarkEnd w:id="171"/>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2"/>
        <w:rPr>
          <w:rFonts w:ascii="宋体" w:hAnsi="宋体"/>
          <w:color w:val="000000"/>
        </w:rPr>
      </w:pPr>
      <w:bookmarkStart w:id="172" w:name="_Toc503873693"/>
      <w:bookmarkStart w:id="173" w:name="_Toc503433974"/>
      <w:r>
        <w:rPr>
          <w:rFonts w:hint="eastAsia" w:ascii="宋体" w:hAnsi="宋体"/>
          <w:color w:val="000000"/>
        </w:rPr>
        <w:t>1.4投标文件及评标委员会要求的澄清文件。</w:t>
      </w:r>
      <w:bookmarkEnd w:id="172"/>
      <w:bookmarkEnd w:id="173"/>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2"/>
        <w:rPr>
          <w:rFonts w:ascii="宋体" w:hAnsi="宋体"/>
          <w:b/>
          <w:bCs/>
          <w:color w:val="000000"/>
        </w:rPr>
      </w:pPr>
      <w:bookmarkStart w:id="174" w:name="_Toc503433975"/>
      <w:bookmarkStart w:id="175" w:name="_Toc503873694"/>
      <w:r>
        <w:rPr>
          <w:rFonts w:hint="eastAsia" w:ascii="宋体" w:hAnsi="宋体"/>
          <w:b/>
          <w:bCs/>
          <w:color w:val="000000"/>
        </w:rPr>
        <w:t>2.评标原则</w:t>
      </w:r>
      <w:bookmarkEnd w:id="174"/>
      <w:bookmarkEnd w:id="175"/>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olor w:val="000000"/>
        </w:rPr>
      </w:pPr>
      <w:r>
        <w:rPr>
          <w:rFonts w:hint="eastAsia" w:ascii="宋体" w:hAnsi="宋体"/>
          <w:color w:val="000000"/>
        </w:rPr>
        <w:t>评标工作按照公平、公正、科学、择优、严格保密的原则进行。</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2"/>
        <w:rPr>
          <w:rFonts w:ascii="宋体" w:hAnsi="宋体"/>
          <w:b/>
          <w:bCs/>
          <w:color w:val="000000"/>
        </w:rPr>
      </w:pPr>
      <w:bookmarkStart w:id="176" w:name="_Toc370458168"/>
      <w:bookmarkEnd w:id="176"/>
      <w:bookmarkStart w:id="177" w:name="_Toc503873695"/>
      <w:bookmarkStart w:id="178" w:name="_Toc503433976"/>
      <w:r>
        <w:rPr>
          <w:rFonts w:hint="eastAsia" w:ascii="宋体" w:hAnsi="宋体"/>
          <w:b/>
          <w:bCs/>
          <w:color w:val="000000"/>
        </w:rPr>
        <w:t>3.评标委员会</w:t>
      </w:r>
      <w:bookmarkEnd w:id="177"/>
      <w:bookmarkEnd w:id="178"/>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ascii="宋体" w:hAnsi="宋体"/>
        </w:rPr>
      </w:pPr>
      <w:r>
        <w:rPr>
          <w:rFonts w:hint="eastAsia" w:ascii="宋体" w:hAnsi="宋体"/>
        </w:rPr>
        <w:t>评标工作由依法组建的评标委员会负责。评标委员会由招标人代表和有关技术、经济等方面的专家组成。评标委员会成员人数以及技术、经济等方面专家的确定方式见投标人须知前附表。</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2"/>
        <w:rPr>
          <w:rFonts w:ascii="宋体" w:hAnsi="宋体"/>
          <w:b/>
          <w:bCs/>
          <w:color w:val="000000"/>
        </w:rPr>
      </w:pPr>
      <w:bookmarkStart w:id="179" w:name="_Toc370458169"/>
      <w:bookmarkEnd w:id="179"/>
      <w:bookmarkStart w:id="180" w:name="_Toc503433977"/>
      <w:bookmarkStart w:id="181" w:name="_Toc503873696"/>
      <w:r>
        <w:rPr>
          <w:rFonts w:hint="eastAsia" w:ascii="宋体" w:hAnsi="宋体"/>
          <w:b/>
          <w:bCs/>
          <w:color w:val="000000"/>
        </w:rPr>
        <w:t>4.评标纪律</w:t>
      </w:r>
      <w:bookmarkEnd w:id="180"/>
      <w:bookmarkEnd w:id="181"/>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olor w:val="000000"/>
        </w:rPr>
      </w:pPr>
      <w:r>
        <w:rPr>
          <w:rFonts w:hint="eastAsia" w:ascii="宋体" w:hAnsi="宋体"/>
          <w:color w:val="000000"/>
        </w:rPr>
        <w:t>4.1评标委员会成员、评标现场监督人员(由招标人邀请有关部门人员参加)和招标代理机构工作人员不得对外透露投标文件的评审和比较、中标候选人的推荐情况以及与评标有关的其它情况。</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olor w:val="000000"/>
        </w:rPr>
      </w:pPr>
      <w:r>
        <w:rPr>
          <w:rFonts w:hint="eastAsia" w:ascii="宋体" w:hAnsi="宋体"/>
          <w:color w:val="000000"/>
        </w:rPr>
        <w:t>4.2如果投标人试图对评标委员会的评标施加影响，则将导致其投标文件无效。</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2"/>
        <w:rPr>
          <w:rFonts w:ascii="宋体" w:hAnsi="宋体"/>
          <w:b/>
          <w:bCs/>
          <w:color w:val="000000"/>
        </w:rPr>
      </w:pPr>
      <w:bookmarkStart w:id="182" w:name="_Toc370458170"/>
      <w:bookmarkEnd w:id="182"/>
      <w:bookmarkStart w:id="183" w:name="_Toc503433978"/>
      <w:bookmarkStart w:id="184" w:name="_Toc503873697"/>
      <w:r>
        <w:rPr>
          <w:rFonts w:hint="eastAsia" w:ascii="宋体" w:hAnsi="宋体"/>
          <w:b/>
          <w:bCs/>
          <w:color w:val="000000"/>
        </w:rPr>
        <w:t>5.评标</w:t>
      </w:r>
      <w:bookmarkEnd w:id="183"/>
      <w:bookmarkEnd w:id="184"/>
    </w:p>
    <w:p>
      <w:pPr>
        <w:spacing w:line="360" w:lineRule="auto"/>
        <w:jc w:val="center"/>
        <w:rPr>
          <w:rFonts w:ascii="宋体" w:hAnsi="宋体"/>
          <w:b/>
          <w:bCs/>
        </w:rPr>
      </w:pPr>
      <w:r>
        <w:rPr>
          <w:rFonts w:hint="eastAsia" w:ascii="宋体" w:hAnsi="宋体"/>
          <w:b/>
          <w:bCs/>
        </w:rPr>
        <w:t>评标办法前附表</w:t>
      </w:r>
    </w:p>
    <w:tbl>
      <w:tblPr>
        <w:tblStyle w:val="15"/>
        <w:tblW w:w="9529" w:type="dxa"/>
        <w:tblInd w:w="108" w:type="dxa"/>
        <w:tblLayout w:type="fixed"/>
        <w:tblCellMar>
          <w:top w:w="0" w:type="dxa"/>
          <w:left w:w="108" w:type="dxa"/>
          <w:bottom w:w="0" w:type="dxa"/>
          <w:right w:w="108" w:type="dxa"/>
        </w:tblCellMar>
      </w:tblPr>
      <w:tblGrid>
        <w:gridCol w:w="1144"/>
        <w:gridCol w:w="116"/>
        <w:gridCol w:w="1478"/>
        <w:gridCol w:w="341"/>
        <w:gridCol w:w="6443"/>
        <w:gridCol w:w="7"/>
      </w:tblGrid>
      <w:tr>
        <w:tblPrEx>
          <w:tblLayout w:type="fixed"/>
          <w:tblCellMar>
            <w:top w:w="0" w:type="dxa"/>
            <w:left w:w="108" w:type="dxa"/>
            <w:bottom w:w="0" w:type="dxa"/>
            <w:right w:w="108" w:type="dxa"/>
          </w:tblCellMar>
        </w:tblPrEx>
        <w:trPr>
          <w:gridAfter w:val="1"/>
          <w:wAfter w:w="7" w:type="dxa"/>
          <w:trHeight w:val="383" w:hRule="atLeast"/>
        </w:trPr>
        <w:tc>
          <w:tcPr>
            <w:tcW w:w="126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评审步骤</w:t>
            </w:r>
          </w:p>
        </w:tc>
        <w:tc>
          <w:tcPr>
            <w:tcW w:w="1819"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评审因素</w:t>
            </w:r>
          </w:p>
        </w:tc>
        <w:tc>
          <w:tcPr>
            <w:tcW w:w="6443" w:type="dxa"/>
            <w:tcBorders>
              <w:top w:val="single" w:color="auto" w:sz="4" w:space="0"/>
              <w:left w:val="nil"/>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评审标准</w:t>
            </w:r>
          </w:p>
        </w:tc>
      </w:tr>
      <w:tr>
        <w:tblPrEx>
          <w:tblLayout w:type="fixed"/>
          <w:tblCellMar>
            <w:top w:w="0" w:type="dxa"/>
            <w:left w:w="108" w:type="dxa"/>
            <w:bottom w:w="0" w:type="dxa"/>
            <w:right w:w="108" w:type="dxa"/>
          </w:tblCellMar>
        </w:tblPrEx>
        <w:trPr>
          <w:gridAfter w:val="1"/>
          <w:wAfter w:w="7" w:type="dxa"/>
          <w:trHeight w:val="413" w:hRule="atLeast"/>
        </w:trPr>
        <w:tc>
          <w:tcPr>
            <w:tcW w:w="9522" w:type="dxa"/>
            <w:gridSpan w:val="5"/>
            <w:tcBorders>
              <w:top w:val="single" w:color="auto" w:sz="4" w:space="0"/>
              <w:left w:val="single" w:color="auto" w:sz="4" w:space="0"/>
              <w:bottom w:val="single" w:color="auto" w:sz="4" w:space="0"/>
              <w:right w:val="single" w:color="auto" w:sz="4" w:space="0"/>
            </w:tcBorders>
          </w:tcPr>
          <w:p>
            <w:pPr>
              <w:spacing w:line="360" w:lineRule="auto"/>
              <w:ind w:firstLine="3685" w:firstLineChars="1748"/>
              <w:rPr>
                <w:rFonts w:ascii="宋体" w:hAnsi="宋体"/>
                <w:b/>
                <w:bCs/>
              </w:rPr>
            </w:pPr>
            <w:r>
              <w:rPr>
                <w:rFonts w:hint="eastAsia" w:ascii="宋体" w:hAnsi="宋体"/>
                <w:b/>
                <w:bCs/>
              </w:rPr>
              <w:t>初步评审</w:t>
            </w:r>
          </w:p>
        </w:tc>
      </w:tr>
      <w:tr>
        <w:tblPrEx>
          <w:tblLayout w:type="fixed"/>
          <w:tblCellMar>
            <w:top w:w="0" w:type="dxa"/>
            <w:left w:w="108" w:type="dxa"/>
            <w:bottom w:w="0" w:type="dxa"/>
            <w:right w:w="108" w:type="dxa"/>
          </w:tblCellMar>
        </w:tblPrEx>
        <w:trPr>
          <w:gridAfter w:val="1"/>
          <w:wAfter w:w="7" w:type="dxa"/>
          <w:trHeight w:val="870" w:hRule="atLeast"/>
        </w:trPr>
        <w:tc>
          <w:tcPr>
            <w:tcW w:w="1144"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形式评审</w:t>
            </w:r>
          </w:p>
        </w:tc>
        <w:tc>
          <w:tcPr>
            <w:tcW w:w="1935" w:type="dxa"/>
            <w:gridSpan w:val="3"/>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rPr>
            </w:pPr>
            <w:r>
              <w:rPr>
                <w:rFonts w:hint="eastAsia" w:ascii="宋体" w:hAnsi="宋体"/>
              </w:rPr>
              <w:t>投标人名称</w:t>
            </w:r>
          </w:p>
        </w:tc>
        <w:tc>
          <w:tcPr>
            <w:tcW w:w="64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textAlignment w:val="auto"/>
              <w:rPr>
                <w:rFonts w:ascii="宋体" w:hAnsi="宋体"/>
              </w:rPr>
            </w:pPr>
            <w:r>
              <w:rPr>
                <w:rFonts w:hint="eastAsia" w:ascii="宋体" w:hAnsi="宋体"/>
                <w:color w:val="auto"/>
              </w:rPr>
              <w:t>与营业执照、税务登记证、组织机构代码证（或统一社会信用代码的营业执照）、资质证书、安全生产许可证一致。</w:t>
            </w:r>
            <w:r>
              <w:rPr>
                <w:rFonts w:hint="eastAsia" w:ascii="宋体" w:hAnsi="宋体"/>
              </w:rPr>
              <w:t>。</w:t>
            </w:r>
          </w:p>
        </w:tc>
      </w:tr>
      <w:tr>
        <w:tblPrEx>
          <w:tblLayout w:type="fixed"/>
          <w:tblCellMar>
            <w:top w:w="0" w:type="dxa"/>
            <w:left w:w="108" w:type="dxa"/>
            <w:bottom w:w="0" w:type="dxa"/>
            <w:right w:w="108" w:type="dxa"/>
          </w:tblCellMar>
        </w:tblPrEx>
        <w:trPr>
          <w:gridAfter w:val="1"/>
          <w:wAfter w:w="7" w:type="dxa"/>
          <w:trHeight w:val="519"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rPr>
            </w:pPr>
            <w:r>
              <w:rPr>
                <w:rFonts w:hint="eastAsia" w:ascii="宋体" w:hAnsi="宋体"/>
              </w:rPr>
              <w:t>签字盖章</w:t>
            </w:r>
          </w:p>
        </w:tc>
        <w:tc>
          <w:tcPr>
            <w:tcW w:w="64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textAlignment w:val="auto"/>
              <w:rPr>
                <w:rFonts w:ascii="宋体" w:hAnsi="宋体"/>
              </w:rPr>
            </w:pPr>
            <w:r>
              <w:rPr>
                <w:rFonts w:hint="eastAsia" w:ascii="宋体" w:hAnsi="宋体"/>
                <w:kern w:val="0"/>
              </w:rPr>
              <w:t>在招标文件规定的签字盖章处签字盖章。</w:t>
            </w:r>
          </w:p>
        </w:tc>
      </w:tr>
      <w:tr>
        <w:tblPrEx>
          <w:tblLayout w:type="fixed"/>
          <w:tblCellMar>
            <w:top w:w="0" w:type="dxa"/>
            <w:left w:w="108" w:type="dxa"/>
            <w:bottom w:w="0" w:type="dxa"/>
            <w:right w:w="108" w:type="dxa"/>
          </w:tblCellMar>
        </w:tblPrEx>
        <w:trPr>
          <w:gridAfter w:val="1"/>
          <w:wAfter w:w="7" w:type="dxa"/>
          <w:trHeight w:val="560"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p>
        </w:tc>
        <w:tc>
          <w:tcPr>
            <w:tcW w:w="1935" w:type="dxa"/>
            <w:gridSpan w:val="3"/>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rPr>
            </w:pPr>
            <w:r>
              <w:rPr>
                <w:rFonts w:hint="eastAsia" w:ascii="宋体" w:hAnsi="宋体"/>
              </w:rPr>
              <w:t>投标文件格式</w:t>
            </w:r>
          </w:p>
        </w:tc>
        <w:tc>
          <w:tcPr>
            <w:tcW w:w="64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textAlignment w:val="auto"/>
              <w:rPr>
                <w:rFonts w:ascii="宋体" w:hAnsi="宋体"/>
              </w:rPr>
            </w:pPr>
            <w:r>
              <w:rPr>
                <w:rFonts w:hint="eastAsia" w:ascii="宋体" w:hAnsi="宋体"/>
                <w:kern w:val="0"/>
              </w:rPr>
              <w:t>符合第八章“投标文件格式”的要求</w:t>
            </w:r>
            <w:r>
              <w:rPr>
                <w:rFonts w:hint="eastAsia" w:ascii="宋体" w:hAnsi="宋体"/>
              </w:rPr>
              <w:t>。</w:t>
            </w:r>
          </w:p>
        </w:tc>
      </w:tr>
      <w:tr>
        <w:tblPrEx>
          <w:tblLayout w:type="fixed"/>
          <w:tblCellMar>
            <w:top w:w="0" w:type="dxa"/>
            <w:left w:w="108" w:type="dxa"/>
            <w:bottom w:w="0" w:type="dxa"/>
            <w:right w:w="108" w:type="dxa"/>
          </w:tblCellMar>
        </w:tblPrEx>
        <w:trPr>
          <w:gridAfter w:val="1"/>
          <w:wAfter w:w="7" w:type="dxa"/>
          <w:cantSplit/>
          <w:trHeight w:val="398" w:hRule="atLeast"/>
        </w:trPr>
        <w:tc>
          <w:tcPr>
            <w:tcW w:w="114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资格评审</w:t>
            </w:r>
          </w:p>
        </w:tc>
        <w:tc>
          <w:tcPr>
            <w:tcW w:w="1935" w:type="dxa"/>
            <w:gridSpan w:val="3"/>
            <w:tcBorders>
              <w:top w:val="single" w:color="auto" w:sz="4" w:space="0"/>
              <w:left w:val="nil"/>
              <w:bottom w:val="single" w:color="auto" w:sz="4" w:space="0"/>
              <w:right w:val="single" w:color="auto" w:sz="4" w:space="0"/>
            </w:tcBorders>
            <w:vAlign w:val="center"/>
          </w:tcPr>
          <w:p>
            <w:pPr>
              <w:pStyle w:val="28"/>
              <w:spacing w:line="240" w:lineRule="auto"/>
              <w:jc w:val="center"/>
              <w:rPr>
                <w:rFonts w:hint="eastAsia" w:cs="Times New Roman"/>
                <w:sz w:val="21"/>
                <w:szCs w:val="21"/>
                <w:lang w:eastAsia="zh-CN"/>
              </w:rPr>
            </w:pPr>
            <w:r>
              <w:rPr>
                <w:rFonts w:hint="eastAsia" w:cs="Times New Roman"/>
                <w:sz w:val="21"/>
                <w:szCs w:val="21"/>
              </w:rPr>
              <w:t>营业执照</w:t>
            </w:r>
          </w:p>
          <w:p>
            <w:pPr>
              <w:pStyle w:val="28"/>
              <w:spacing w:line="240" w:lineRule="auto"/>
              <w:jc w:val="center"/>
              <w:rPr>
                <w:rFonts w:hint="eastAsia" w:cs="Times New Roman"/>
                <w:sz w:val="21"/>
                <w:szCs w:val="21"/>
                <w:lang w:eastAsia="zh-CN"/>
              </w:rPr>
            </w:pPr>
            <w:r>
              <w:rPr>
                <w:rFonts w:hint="eastAsia" w:cs="Times New Roman"/>
                <w:sz w:val="21"/>
                <w:szCs w:val="21"/>
              </w:rPr>
              <w:t>税务登记证</w:t>
            </w:r>
          </w:p>
          <w:p>
            <w:pPr>
              <w:pStyle w:val="28"/>
              <w:spacing w:line="240" w:lineRule="auto"/>
              <w:jc w:val="center"/>
              <w:rPr>
                <w:rFonts w:cs="Times New Roman"/>
                <w:sz w:val="21"/>
                <w:szCs w:val="21"/>
              </w:rPr>
            </w:pPr>
            <w:r>
              <w:rPr>
                <w:rFonts w:hint="eastAsia" w:cs="Times New Roman"/>
                <w:sz w:val="21"/>
                <w:szCs w:val="21"/>
              </w:rPr>
              <w:t>组织机构代码证</w:t>
            </w:r>
          </w:p>
        </w:tc>
        <w:tc>
          <w:tcPr>
            <w:tcW w:w="64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exact"/>
              <w:textAlignment w:val="auto"/>
              <w:rPr>
                <w:rFonts w:ascii="宋体" w:hAnsi="宋体"/>
              </w:rPr>
            </w:pPr>
            <w:r>
              <w:rPr>
                <w:rFonts w:hint="eastAsia" w:ascii="宋体" w:hAnsi="宋体"/>
              </w:rPr>
              <w:t>具备有效的营业执照、税务登记证、组织机构代码证或统一社会信用代码的营业执照。</w:t>
            </w:r>
          </w:p>
        </w:tc>
      </w:tr>
      <w:tr>
        <w:tblPrEx>
          <w:tblLayout w:type="fixed"/>
          <w:tblCellMar>
            <w:top w:w="0" w:type="dxa"/>
            <w:left w:w="108" w:type="dxa"/>
            <w:bottom w:w="0" w:type="dxa"/>
            <w:right w:w="108" w:type="dxa"/>
          </w:tblCellMar>
        </w:tblPrEx>
        <w:trPr>
          <w:gridAfter w:val="1"/>
          <w:wAfter w:w="7" w:type="dxa"/>
          <w:cantSplit/>
          <w:trHeight w:val="810"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935" w:type="dxa"/>
            <w:gridSpan w:val="3"/>
            <w:tcBorders>
              <w:top w:val="single" w:color="auto" w:sz="4" w:space="0"/>
              <w:left w:val="nil"/>
              <w:bottom w:val="single" w:color="auto" w:sz="4" w:space="0"/>
              <w:right w:val="single" w:color="auto" w:sz="4" w:space="0"/>
            </w:tcBorders>
            <w:vAlign w:val="center"/>
          </w:tcPr>
          <w:p>
            <w:pPr>
              <w:pStyle w:val="28"/>
              <w:spacing w:line="240" w:lineRule="auto"/>
              <w:jc w:val="center"/>
              <w:rPr>
                <w:rFonts w:cs="Times New Roman"/>
                <w:sz w:val="21"/>
                <w:szCs w:val="21"/>
              </w:rPr>
            </w:pPr>
            <w:r>
              <w:rPr>
                <w:rFonts w:hint="eastAsia" w:cs="Times New Roman"/>
                <w:sz w:val="21"/>
                <w:szCs w:val="21"/>
              </w:rPr>
              <w:t>安全生产许可证</w:t>
            </w:r>
          </w:p>
        </w:tc>
        <w:tc>
          <w:tcPr>
            <w:tcW w:w="6443" w:type="dxa"/>
            <w:tcBorders>
              <w:top w:val="single" w:color="auto" w:sz="4" w:space="0"/>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bidi w:val="0"/>
              <w:snapToGrid/>
              <w:spacing w:line="360" w:lineRule="exact"/>
              <w:jc w:val="both"/>
              <w:textAlignment w:val="auto"/>
              <w:rPr>
                <w:rFonts w:cs="Times New Roman"/>
                <w:kern w:val="2"/>
                <w:sz w:val="21"/>
                <w:szCs w:val="21"/>
              </w:rPr>
            </w:pPr>
            <w:r>
              <w:rPr>
                <w:rFonts w:hint="eastAsia" w:cs="Times New Roman"/>
                <w:kern w:val="2"/>
                <w:sz w:val="21"/>
                <w:szCs w:val="21"/>
              </w:rPr>
              <w:t>投标人具备有效的安全生产许可证；拟任项目经理和专职安全员应具备有效的安全生产考核合格证。</w:t>
            </w:r>
          </w:p>
        </w:tc>
      </w:tr>
      <w:tr>
        <w:tblPrEx>
          <w:tblLayout w:type="fixed"/>
          <w:tblCellMar>
            <w:top w:w="0" w:type="dxa"/>
            <w:left w:w="108" w:type="dxa"/>
            <w:bottom w:w="0" w:type="dxa"/>
            <w:right w:w="108" w:type="dxa"/>
          </w:tblCellMar>
        </w:tblPrEx>
        <w:trPr>
          <w:gridAfter w:val="1"/>
          <w:wAfter w:w="7" w:type="dxa"/>
          <w:cantSplit/>
          <w:trHeight w:val="408"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935" w:type="dxa"/>
            <w:gridSpan w:val="3"/>
            <w:tcBorders>
              <w:top w:val="single" w:color="auto" w:sz="4" w:space="0"/>
              <w:left w:val="nil"/>
              <w:bottom w:val="single" w:color="auto" w:sz="4" w:space="0"/>
              <w:right w:val="single" w:color="auto" w:sz="4" w:space="0"/>
            </w:tcBorders>
            <w:vAlign w:val="center"/>
          </w:tcPr>
          <w:p>
            <w:pPr>
              <w:pStyle w:val="28"/>
              <w:spacing w:line="240" w:lineRule="auto"/>
              <w:jc w:val="center"/>
              <w:rPr>
                <w:rFonts w:cs="Times New Roman"/>
                <w:sz w:val="21"/>
                <w:szCs w:val="21"/>
              </w:rPr>
            </w:pPr>
            <w:r>
              <w:rPr>
                <w:rFonts w:hint="eastAsia" w:cs="Times New Roman"/>
                <w:sz w:val="21"/>
                <w:szCs w:val="21"/>
              </w:rPr>
              <w:t>资质等级</w:t>
            </w:r>
          </w:p>
        </w:tc>
        <w:tc>
          <w:tcPr>
            <w:tcW w:w="6443"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符合招标文件规定。</w:t>
            </w:r>
          </w:p>
        </w:tc>
      </w:tr>
      <w:tr>
        <w:tblPrEx>
          <w:tblLayout w:type="fixed"/>
          <w:tblCellMar>
            <w:top w:w="0" w:type="dxa"/>
            <w:left w:w="108" w:type="dxa"/>
            <w:bottom w:w="0" w:type="dxa"/>
            <w:right w:w="108" w:type="dxa"/>
          </w:tblCellMar>
        </w:tblPrEx>
        <w:trPr>
          <w:gridAfter w:val="1"/>
          <w:wAfter w:w="7" w:type="dxa"/>
          <w:cantSplit/>
          <w:trHeight w:val="744"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935" w:type="dxa"/>
            <w:gridSpan w:val="3"/>
            <w:tcBorders>
              <w:top w:val="single" w:color="auto" w:sz="4" w:space="0"/>
              <w:left w:val="single" w:color="auto" w:sz="4" w:space="0"/>
              <w:bottom w:val="single" w:color="auto" w:sz="4" w:space="0"/>
              <w:right w:val="single" w:color="auto" w:sz="4" w:space="0"/>
            </w:tcBorders>
            <w:vAlign w:val="center"/>
          </w:tcPr>
          <w:p>
            <w:pPr>
              <w:pStyle w:val="28"/>
              <w:spacing w:line="360" w:lineRule="auto"/>
              <w:jc w:val="center"/>
              <w:rPr>
                <w:rFonts w:cs="Times New Roman"/>
                <w:sz w:val="21"/>
                <w:szCs w:val="21"/>
              </w:rPr>
            </w:pPr>
            <w:r>
              <w:rPr>
                <w:rFonts w:hint="eastAsia" w:cs="Times New Roman"/>
                <w:kern w:val="2"/>
                <w:sz w:val="21"/>
                <w:szCs w:val="21"/>
              </w:rPr>
              <w:t>项目经理资格</w:t>
            </w:r>
          </w:p>
        </w:tc>
        <w:tc>
          <w:tcPr>
            <w:tcW w:w="6443" w:type="dxa"/>
            <w:tcBorders>
              <w:top w:val="single" w:color="auto" w:sz="4" w:space="0"/>
              <w:left w:val="nil"/>
              <w:bottom w:val="single" w:color="auto" w:sz="4" w:space="0"/>
              <w:right w:val="single" w:color="auto" w:sz="4" w:space="0"/>
            </w:tcBorders>
            <w:vAlign w:val="center"/>
          </w:tcPr>
          <w:p>
            <w:pPr>
              <w:spacing w:line="240" w:lineRule="auto"/>
              <w:rPr>
                <w:rFonts w:ascii="宋体" w:hAnsi="宋体"/>
              </w:rPr>
            </w:pPr>
            <w:r>
              <w:rPr>
                <w:rFonts w:hint="eastAsia" w:ascii="宋体" w:hAnsi="宋体"/>
                <w:color w:val="auto"/>
              </w:rPr>
              <w:t>市政公用工程专业二级及以上注册建造师资格，并具有有效的安全生产考核合格证（</w:t>
            </w:r>
            <w:r>
              <w:rPr>
                <w:rFonts w:ascii="宋体" w:hAnsi="宋体"/>
                <w:color w:val="auto"/>
              </w:rPr>
              <w:t>B</w:t>
            </w:r>
            <w:r>
              <w:rPr>
                <w:rFonts w:hint="eastAsia" w:ascii="宋体" w:hAnsi="宋体"/>
                <w:color w:val="auto"/>
              </w:rPr>
              <w:t>类），未担任其他在建项目的项目经理。</w:t>
            </w:r>
          </w:p>
        </w:tc>
      </w:tr>
      <w:tr>
        <w:tblPrEx>
          <w:tblLayout w:type="fixed"/>
          <w:tblCellMar>
            <w:top w:w="0" w:type="dxa"/>
            <w:left w:w="108" w:type="dxa"/>
            <w:bottom w:w="0" w:type="dxa"/>
            <w:right w:w="108" w:type="dxa"/>
          </w:tblCellMar>
        </w:tblPrEx>
        <w:trPr>
          <w:gridAfter w:val="1"/>
          <w:wAfter w:w="7" w:type="dxa"/>
          <w:trHeight w:val="479"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935" w:type="dxa"/>
            <w:gridSpan w:val="3"/>
            <w:tcBorders>
              <w:top w:val="single" w:color="auto" w:sz="4" w:space="0"/>
              <w:left w:val="nil"/>
              <w:bottom w:val="single" w:color="auto" w:sz="4" w:space="0"/>
              <w:right w:val="single" w:color="auto" w:sz="4" w:space="0"/>
            </w:tcBorders>
            <w:vAlign w:val="center"/>
          </w:tcPr>
          <w:p>
            <w:pPr>
              <w:pStyle w:val="28"/>
              <w:spacing w:line="360" w:lineRule="auto"/>
              <w:jc w:val="center"/>
              <w:rPr>
                <w:rFonts w:cs="Times New Roman"/>
                <w:kern w:val="2"/>
                <w:sz w:val="21"/>
                <w:szCs w:val="21"/>
              </w:rPr>
            </w:pPr>
            <w:r>
              <w:rPr>
                <w:rFonts w:hint="eastAsia" w:cs="Times New Roman"/>
                <w:kern w:val="2"/>
                <w:sz w:val="21"/>
                <w:szCs w:val="21"/>
              </w:rPr>
              <w:t>技术负责人资格</w:t>
            </w:r>
          </w:p>
        </w:tc>
        <w:tc>
          <w:tcPr>
            <w:tcW w:w="6443" w:type="dxa"/>
            <w:tcBorders>
              <w:top w:val="single" w:color="auto" w:sz="4" w:space="0"/>
              <w:left w:val="nil"/>
              <w:bottom w:val="single" w:color="auto" w:sz="4" w:space="0"/>
              <w:right w:val="single" w:color="auto" w:sz="4" w:space="0"/>
            </w:tcBorders>
            <w:vAlign w:val="center"/>
          </w:tcPr>
          <w:p>
            <w:pPr>
              <w:pStyle w:val="28"/>
              <w:spacing w:line="360" w:lineRule="auto"/>
              <w:jc w:val="both"/>
              <w:rPr>
                <w:rFonts w:cs="Times New Roman"/>
                <w:kern w:val="2"/>
                <w:sz w:val="21"/>
                <w:szCs w:val="21"/>
              </w:rPr>
            </w:pPr>
            <w:r>
              <w:rPr>
                <w:rFonts w:hint="eastAsia" w:cs="Times New Roman"/>
                <w:sz w:val="21"/>
                <w:szCs w:val="21"/>
              </w:rPr>
              <w:t>中级（含中级）以上职称。</w:t>
            </w:r>
          </w:p>
        </w:tc>
      </w:tr>
      <w:tr>
        <w:tblPrEx>
          <w:tblLayout w:type="fixed"/>
          <w:tblCellMar>
            <w:top w:w="0" w:type="dxa"/>
            <w:left w:w="108" w:type="dxa"/>
            <w:bottom w:w="0" w:type="dxa"/>
            <w:right w:w="108" w:type="dxa"/>
          </w:tblCellMar>
        </w:tblPrEx>
        <w:trPr>
          <w:gridAfter w:val="1"/>
          <w:wAfter w:w="7" w:type="dxa"/>
          <w:trHeight w:val="1206" w:hRule="atLeast"/>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935" w:type="dxa"/>
            <w:gridSpan w:val="3"/>
            <w:tcBorders>
              <w:top w:val="single" w:color="auto" w:sz="4" w:space="0"/>
              <w:left w:val="nil"/>
              <w:bottom w:val="single" w:color="auto" w:sz="4" w:space="0"/>
              <w:right w:val="single" w:color="auto" w:sz="4" w:space="0"/>
            </w:tcBorders>
            <w:vAlign w:val="center"/>
          </w:tcPr>
          <w:p>
            <w:pPr>
              <w:pStyle w:val="28"/>
              <w:spacing w:line="240" w:lineRule="auto"/>
              <w:jc w:val="center"/>
              <w:rPr>
                <w:rFonts w:cs="Times New Roman"/>
                <w:kern w:val="2"/>
                <w:sz w:val="21"/>
                <w:szCs w:val="21"/>
              </w:rPr>
            </w:pPr>
            <w:r>
              <w:rPr>
                <w:rFonts w:hint="eastAsia" w:cs="Times New Roman"/>
                <w:kern w:val="2"/>
                <w:sz w:val="21"/>
                <w:szCs w:val="21"/>
              </w:rPr>
              <w:t>委托代理人、拟派项目经理、技术负责人资格隶属关系证明</w:t>
            </w:r>
          </w:p>
        </w:tc>
        <w:tc>
          <w:tcPr>
            <w:tcW w:w="6443" w:type="dxa"/>
            <w:tcBorders>
              <w:top w:val="single" w:color="auto" w:sz="4" w:space="0"/>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cs="Times New Roman"/>
                <w:kern w:val="2"/>
                <w:sz w:val="21"/>
                <w:szCs w:val="21"/>
              </w:rPr>
            </w:pPr>
            <w:r>
              <w:rPr>
                <w:rFonts w:hint="eastAsia" w:cs="Times New Roman"/>
                <w:color w:val="auto"/>
                <w:kern w:val="2"/>
                <w:sz w:val="21"/>
                <w:szCs w:val="21"/>
              </w:rPr>
              <w:t>社保部门开具的在本单位缴纳的最近一年的社会保险明细，与本单位签订的劳动合同（若如投标人成立时间不足一年的，养老保险缴纳证明及劳动合同以成立实际时间计算）；</w:t>
            </w:r>
          </w:p>
        </w:tc>
      </w:tr>
      <w:tr>
        <w:tblPrEx>
          <w:tblLayout w:type="fixed"/>
          <w:tblCellMar>
            <w:top w:w="0" w:type="dxa"/>
            <w:left w:w="108" w:type="dxa"/>
            <w:bottom w:w="0" w:type="dxa"/>
            <w:right w:w="108" w:type="dxa"/>
          </w:tblCellMar>
        </w:tblPrEx>
        <w:trPr>
          <w:gridAfter w:val="1"/>
          <w:wAfter w:w="7" w:type="dxa"/>
          <w:trHeight w:val="408"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935" w:type="dxa"/>
            <w:gridSpan w:val="3"/>
            <w:tcBorders>
              <w:top w:val="single" w:color="auto" w:sz="4" w:space="0"/>
              <w:left w:val="nil"/>
              <w:bottom w:val="single" w:color="auto" w:sz="4" w:space="0"/>
              <w:right w:val="single" w:color="auto" w:sz="4" w:space="0"/>
            </w:tcBorders>
            <w:vAlign w:val="center"/>
          </w:tcPr>
          <w:p>
            <w:pPr>
              <w:pStyle w:val="28"/>
              <w:spacing w:line="360" w:lineRule="auto"/>
              <w:jc w:val="center"/>
              <w:rPr>
                <w:rFonts w:cs="Times New Roman"/>
                <w:kern w:val="2"/>
                <w:sz w:val="21"/>
                <w:szCs w:val="21"/>
              </w:rPr>
            </w:pPr>
            <w:r>
              <w:rPr>
                <w:rFonts w:hint="eastAsia" w:cs="Times New Roman"/>
                <w:kern w:val="2"/>
                <w:sz w:val="21"/>
                <w:szCs w:val="21"/>
              </w:rPr>
              <w:t>其它</w:t>
            </w:r>
          </w:p>
        </w:tc>
        <w:tc>
          <w:tcPr>
            <w:tcW w:w="6443" w:type="dxa"/>
            <w:tcBorders>
              <w:top w:val="single" w:color="auto" w:sz="4" w:space="0"/>
              <w:left w:val="nil"/>
              <w:bottom w:val="single" w:color="auto" w:sz="4" w:space="0"/>
              <w:right w:val="single" w:color="auto" w:sz="4" w:space="0"/>
            </w:tcBorders>
            <w:vAlign w:val="center"/>
          </w:tcPr>
          <w:p>
            <w:pPr>
              <w:pStyle w:val="28"/>
              <w:jc w:val="both"/>
              <w:rPr>
                <w:rFonts w:cs="Times New Roman"/>
                <w:kern w:val="2"/>
                <w:sz w:val="21"/>
                <w:szCs w:val="21"/>
              </w:rPr>
            </w:pPr>
            <w:r>
              <w:rPr>
                <w:rFonts w:hint="eastAsia" w:cs="Times New Roman"/>
                <w:sz w:val="21"/>
                <w:szCs w:val="21"/>
              </w:rPr>
              <w:t>投标人不存在第二章“投标人须知”第1.4.3项规定的任何一种情形。</w:t>
            </w:r>
          </w:p>
        </w:tc>
      </w:tr>
      <w:tr>
        <w:tblPrEx>
          <w:tblLayout w:type="fixed"/>
          <w:tblCellMar>
            <w:top w:w="0" w:type="dxa"/>
            <w:left w:w="108" w:type="dxa"/>
            <w:bottom w:w="0" w:type="dxa"/>
            <w:right w:w="108" w:type="dxa"/>
          </w:tblCellMar>
        </w:tblPrEx>
        <w:trPr>
          <w:gridAfter w:val="1"/>
          <w:wAfter w:w="7" w:type="dxa"/>
          <w:trHeight w:val="423" w:hRule="atLeast"/>
        </w:trPr>
        <w:tc>
          <w:tcPr>
            <w:tcW w:w="1144"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rPr>
            </w:pPr>
            <w:r>
              <w:rPr>
                <w:rFonts w:hint="eastAsia" w:ascii="宋体" w:hAnsi="宋体"/>
                <w:kern w:val="0"/>
              </w:rPr>
              <w:t>响应性</w:t>
            </w:r>
          </w:p>
          <w:p>
            <w:pPr>
              <w:spacing w:line="360" w:lineRule="auto"/>
              <w:jc w:val="center"/>
              <w:rPr>
                <w:rFonts w:ascii="宋体" w:hAnsi="宋体"/>
                <w:kern w:val="0"/>
              </w:rPr>
            </w:pPr>
            <w:r>
              <w:rPr>
                <w:rFonts w:hint="eastAsia" w:ascii="宋体" w:hAnsi="宋体"/>
                <w:kern w:val="0"/>
              </w:rPr>
              <w:t>评审</w:t>
            </w:r>
          </w:p>
        </w:tc>
        <w:tc>
          <w:tcPr>
            <w:tcW w:w="1935" w:type="dxa"/>
            <w:gridSpan w:val="3"/>
            <w:tcBorders>
              <w:top w:val="single" w:color="auto" w:sz="4" w:space="0"/>
              <w:left w:val="nil"/>
              <w:bottom w:val="single" w:color="auto" w:sz="4" w:space="0"/>
              <w:right w:val="single" w:color="auto" w:sz="4" w:space="0"/>
            </w:tcBorders>
            <w:vAlign w:val="center"/>
          </w:tcPr>
          <w:p>
            <w:pPr>
              <w:jc w:val="center"/>
            </w:pPr>
            <w:r>
              <w:rPr>
                <w:rFonts w:hint="eastAsia"/>
              </w:rPr>
              <w:t>投标内容</w:t>
            </w:r>
          </w:p>
        </w:tc>
        <w:tc>
          <w:tcPr>
            <w:tcW w:w="6443" w:type="dxa"/>
            <w:tcBorders>
              <w:top w:val="single" w:color="auto" w:sz="4" w:space="0"/>
              <w:left w:val="nil"/>
              <w:bottom w:val="single" w:color="auto" w:sz="4" w:space="0"/>
              <w:right w:val="single" w:color="auto" w:sz="4" w:space="0"/>
            </w:tcBorders>
            <w:vAlign w:val="center"/>
          </w:tcPr>
          <w:p>
            <w:pPr>
              <w:jc w:val="left"/>
            </w:pPr>
            <w:r>
              <w:rPr>
                <w:rFonts w:hint="eastAsia"/>
              </w:rPr>
              <w:t>符合招标文件规定。</w:t>
            </w:r>
          </w:p>
        </w:tc>
      </w:tr>
      <w:tr>
        <w:tblPrEx>
          <w:tblLayout w:type="fixed"/>
          <w:tblCellMar>
            <w:top w:w="0" w:type="dxa"/>
            <w:left w:w="108" w:type="dxa"/>
            <w:bottom w:w="0" w:type="dxa"/>
            <w:right w:w="108" w:type="dxa"/>
          </w:tblCellMar>
        </w:tblPrEx>
        <w:trPr>
          <w:gridAfter w:val="1"/>
          <w:wAfter w:w="7" w:type="dxa"/>
          <w:trHeight w:val="423"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1935" w:type="dxa"/>
            <w:gridSpan w:val="3"/>
            <w:tcBorders>
              <w:top w:val="single" w:color="auto" w:sz="4" w:space="0"/>
              <w:left w:val="nil"/>
              <w:bottom w:val="single" w:color="auto" w:sz="4" w:space="0"/>
              <w:right w:val="single" w:color="auto" w:sz="4" w:space="0"/>
            </w:tcBorders>
            <w:vAlign w:val="center"/>
          </w:tcPr>
          <w:p>
            <w:pPr>
              <w:jc w:val="center"/>
            </w:pPr>
            <w:r>
              <w:rPr>
                <w:rFonts w:hint="eastAsia"/>
              </w:rPr>
              <w:t>投标质量</w:t>
            </w:r>
          </w:p>
        </w:tc>
        <w:tc>
          <w:tcPr>
            <w:tcW w:w="6443" w:type="dxa"/>
            <w:tcBorders>
              <w:top w:val="single" w:color="auto" w:sz="4" w:space="0"/>
              <w:left w:val="nil"/>
              <w:bottom w:val="single" w:color="auto" w:sz="4" w:space="0"/>
              <w:right w:val="single" w:color="auto" w:sz="4" w:space="0"/>
            </w:tcBorders>
            <w:vAlign w:val="center"/>
          </w:tcPr>
          <w:p>
            <w:pPr>
              <w:jc w:val="left"/>
            </w:pPr>
            <w:r>
              <w:rPr>
                <w:rFonts w:hint="eastAsia"/>
              </w:rPr>
              <w:t>符合招标文件规定。</w:t>
            </w:r>
          </w:p>
        </w:tc>
      </w:tr>
      <w:tr>
        <w:tblPrEx>
          <w:tblLayout w:type="fixed"/>
          <w:tblCellMar>
            <w:top w:w="0" w:type="dxa"/>
            <w:left w:w="108" w:type="dxa"/>
            <w:bottom w:w="0" w:type="dxa"/>
            <w:right w:w="108" w:type="dxa"/>
          </w:tblCellMar>
        </w:tblPrEx>
        <w:trPr>
          <w:gridAfter w:val="1"/>
          <w:wAfter w:w="7" w:type="dxa"/>
          <w:trHeight w:val="438"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1935" w:type="dxa"/>
            <w:gridSpan w:val="3"/>
            <w:tcBorders>
              <w:top w:val="single" w:color="auto" w:sz="4" w:space="0"/>
              <w:left w:val="nil"/>
              <w:bottom w:val="single" w:color="auto" w:sz="4" w:space="0"/>
              <w:right w:val="single" w:color="auto" w:sz="4" w:space="0"/>
            </w:tcBorders>
            <w:vAlign w:val="center"/>
          </w:tcPr>
          <w:p>
            <w:pPr>
              <w:jc w:val="center"/>
            </w:pPr>
            <w:r>
              <w:rPr>
                <w:rFonts w:hint="eastAsia"/>
              </w:rPr>
              <w:t>投标工期</w:t>
            </w:r>
          </w:p>
        </w:tc>
        <w:tc>
          <w:tcPr>
            <w:tcW w:w="6443" w:type="dxa"/>
            <w:tcBorders>
              <w:top w:val="single" w:color="auto" w:sz="4" w:space="0"/>
              <w:left w:val="nil"/>
              <w:bottom w:val="single" w:color="auto" w:sz="4" w:space="0"/>
              <w:right w:val="single" w:color="auto" w:sz="4" w:space="0"/>
            </w:tcBorders>
            <w:vAlign w:val="center"/>
          </w:tcPr>
          <w:p>
            <w:pPr>
              <w:jc w:val="left"/>
            </w:pPr>
            <w:r>
              <w:rPr>
                <w:rFonts w:hint="eastAsia"/>
              </w:rPr>
              <w:t>符合招标文件规定。</w:t>
            </w:r>
          </w:p>
        </w:tc>
      </w:tr>
      <w:tr>
        <w:tblPrEx>
          <w:tblLayout w:type="fixed"/>
          <w:tblCellMar>
            <w:top w:w="0" w:type="dxa"/>
            <w:left w:w="108" w:type="dxa"/>
            <w:bottom w:w="0" w:type="dxa"/>
            <w:right w:w="108" w:type="dxa"/>
          </w:tblCellMar>
        </w:tblPrEx>
        <w:trPr>
          <w:gridAfter w:val="1"/>
          <w:wAfter w:w="7" w:type="dxa"/>
          <w:trHeight w:val="438"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1935" w:type="dxa"/>
            <w:gridSpan w:val="3"/>
            <w:tcBorders>
              <w:top w:val="single" w:color="auto" w:sz="4" w:space="0"/>
              <w:left w:val="nil"/>
              <w:bottom w:val="single" w:color="auto" w:sz="4" w:space="0"/>
              <w:right w:val="single" w:color="auto" w:sz="4" w:space="0"/>
            </w:tcBorders>
            <w:vAlign w:val="center"/>
          </w:tcPr>
          <w:p>
            <w:pPr>
              <w:jc w:val="center"/>
            </w:pPr>
            <w:r>
              <w:rPr>
                <w:rFonts w:hint="eastAsia"/>
              </w:rPr>
              <w:t>投标有效期</w:t>
            </w:r>
          </w:p>
        </w:tc>
        <w:tc>
          <w:tcPr>
            <w:tcW w:w="6443" w:type="dxa"/>
            <w:tcBorders>
              <w:top w:val="single" w:color="auto" w:sz="4" w:space="0"/>
              <w:left w:val="nil"/>
              <w:bottom w:val="single" w:color="auto" w:sz="4" w:space="0"/>
              <w:right w:val="single" w:color="auto" w:sz="4" w:space="0"/>
            </w:tcBorders>
            <w:vAlign w:val="center"/>
          </w:tcPr>
          <w:p>
            <w:pPr>
              <w:jc w:val="left"/>
            </w:pPr>
            <w:r>
              <w:rPr>
                <w:rFonts w:hint="eastAsia"/>
              </w:rPr>
              <w:t>符合招标文件规定。</w:t>
            </w:r>
          </w:p>
        </w:tc>
      </w:tr>
      <w:tr>
        <w:tblPrEx>
          <w:tblLayout w:type="fixed"/>
          <w:tblCellMar>
            <w:top w:w="0" w:type="dxa"/>
            <w:left w:w="108" w:type="dxa"/>
            <w:bottom w:w="0" w:type="dxa"/>
            <w:right w:w="108" w:type="dxa"/>
          </w:tblCellMar>
        </w:tblPrEx>
        <w:trPr>
          <w:gridAfter w:val="1"/>
          <w:wAfter w:w="7" w:type="dxa"/>
          <w:trHeight w:val="423"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1935" w:type="dxa"/>
            <w:gridSpan w:val="3"/>
            <w:tcBorders>
              <w:top w:val="single" w:color="auto" w:sz="4" w:space="0"/>
              <w:left w:val="nil"/>
              <w:bottom w:val="single" w:color="auto" w:sz="4" w:space="0"/>
              <w:right w:val="single" w:color="auto" w:sz="4" w:space="0"/>
            </w:tcBorders>
            <w:vAlign w:val="center"/>
          </w:tcPr>
          <w:p>
            <w:pPr>
              <w:jc w:val="center"/>
            </w:pPr>
            <w:r>
              <w:rPr>
                <w:rFonts w:hint="eastAsia"/>
              </w:rPr>
              <w:t>投标保证金</w:t>
            </w:r>
          </w:p>
        </w:tc>
        <w:tc>
          <w:tcPr>
            <w:tcW w:w="6443" w:type="dxa"/>
            <w:tcBorders>
              <w:top w:val="single" w:color="auto" w:sz="4" w:space="0"/>
              <w:left w:val="nil"/>
              <w:bottom w:val="single" w:color="auto" w:sz="4" w:space="0"/>
              <w:right w:val="single" w:color="auto" w:sz="4" w:space="0"/>
            </w:tcBorders>
            <w:vAlign w:val="center"/>
          </w:tcPr>
          <w:p>
            <w:pPr>
              <w:jc w:val="left"/>
            </w:pPr>
            <w:r>
              <w:rPr>
                <w:rFonts w:hint="eastAsia"/>
              </w:rPr>
              <w:t>符合招标文件规定。</w:t>
            </w:r>
          </w:p>
        </w:tc>
      </w:tr>
      <w:tr>
        <w:tblPrEx>
          <w:tblLayout w:type="fixed"/>
          <w:tblCellMar>
            <w:top w:w="0" w:type="dxa"/>
            <w:left w:w="108" w:type="dxa"/>
            <w:bottom w:w="0" w:type="dxa"/>
            <w:right w:w="108" w:type="dxa"/>
          </w:tblCellMar>
        </w:tblPrEx>
        <w:trPr>
          <w:gridAfter w:val="1"/>
          <w:wAfter w:w="7" w:type="dxa"/>
          <w:trHeight w:val="393"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1935" w:type="dxa"/>
            <w:gridSpan w:val="3"/>
            <w:tcBorders>
              <w:top w:val="single" w:color="auto" w:sz="4" w:space="0"/>
              <w:left w:val="nil"/>
              <w:bottom w:val="single" w:color="auto" w:sz="4" w:space="0"/>
              <w:right w:val="single" w:color="auto" w:sz="4" w:space="0"/>
            </w:tcBorders>
            <w:vAlign w:val="center"/>
          </w:tcPr>
          <w:p>
            <w:pPr>
              <w:jc w:val="center"/>
            </w:pPr>
            <w:r>
              <w:rPr>
                <w:rFonts w:hint="eastAsia"/>
              </w:rPr>
              <w:t>权利义务</w:t>
            </w:r>
          </w:p>
        </w:tc>
        <w:tc>
          <w:tcPr>
            <w:tcW w:w="6443" w:type="dxa"/>
            <w:tcBorders>
              <w:top w:val="single" w:color="auto" w:sz="4" w:space="0"/>
              <w:left w:val="nil"/>
              <w:bottom w:val="single" w:color="auto" w:sz="4" w:space="0"/>
              <w:right w:val="single" w:color="auto" w:sz="4" w:space="0"/>
            </w:tcBorders>
            <w:vAlign w:val="center"/>
          </w:tcPr>
          <w:p>
            <w:pPr>
              <w:jc w:val="left"/>
            </w:pPr>
            <w:r>
              <w:rPr>
                <w:rFonts w:hint="eastAsia"/>
              </w:rPr>
              <w:t>符合招标文件规定。</w:t>
            </w:r>
          </w:p>
        </w:tc>
      </w:tr>
      <w:tr>
        <w:tblPrEx>
          <w:tblLayout w:type="fixed"/>
          <w:tblCellMar>
            <w:top w:w="0" w:type="dxa"/>
            <w:left w:w="108" w:type="dxa"/>
            <w:bottom w:w="0" w:type="dxa"/>
            <w:right w:w="108" w:type="dxa"/>
          </w:tblCellMar>
        </w:tblPrEx>
        <w:trPr>
          <w:gridAfter w:val="1"/>
          <w:wAfter w:w="7" w:type="dxa"/>
          <w:trHeight w:val="468"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1935" w:type="dxa"/>
            <w:gridSpan w:val="3"/>
            <w:tcBorders>
              <w:top w:val="single" w:color="auto" w:sz="4" w:space="0"/>
              <w:left w:val="nil"/>
              <w:bottom w:val="single" w:color="auto" w:sz="4" w:space="0"/>
              <w:right w:val="single" w:color="auto" w:sz="4" w:space="0"/>
            </w:tcBorders>
            <w:vAlign w:val="center"/>
          </w:tcPr>
          <w:p>
            <w:r>
              <w:rPr>
                <w:rFonts w:hint="eastAsia"/>
              </w:rPr>
              <w:t>已标价工程量清单</w:t>
            </w:r>
          </w:p>
        </w:tc>
        <w:tc>
          <w:tcPr>
            <w:tcW w:w="6443" w:type="dxa"/>
            <w:tcBorders>
              <w:top w:val="single" w:color="auto" w:sz="4" w:space="0"/>
              <w:left w:val="nil"/>
              <w:bottom w:val="single" w:color="auto" w:sz="4" w:space="0"/>
              <w:right w:val="single" w:color="auto" w:sz="4" w:space="0"/>
            </w:tcBorders>
            <w:vAlign w:val="center"/>
          </w:tcPr>
          <w:p>
            <w:r>
              <w:rPr>
                <w:rFonts w:hint="eastAsia"/>
              </w:rPr>
              <w:t>符合第五章工程量清单内容的要求，签字盖章齐全。</w:t>
            </w:r>
          </w:p>
        </w:tc>
      </w:tr>
      <w:tr>
        <w:tblPrEx>
          <w:tblLayout w:type="fixed"/>
          <w:tblCellMar>
            <w:top w:w="0" w:type="dxa"/>
            <w:left w:w="108" w:type="dxa"/>
            <w:bottom w:w="0" w:type="dxa"/>
            <w:right w:w="108" w:type="dxa"/>
          </w:tblCellMar>
        </w:tblPrEx>
        <w:trPr>
          <w:gridAfter w:val="1"/>
          <w:wAfter w:w="7" w:type="dxa"/>
          <w:trHeight w:val="378"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1935" w:type="dxa"/>
            <w:gridSpan w:val="3"/>
            <w:tcBorders>
              <w:top w:val="single" w:color="auto" w:sz="4" w:space="0"/>
              <w:left w:val="nil"/>
              <w:bottom w:val="single" w:color="auto" w:sz="4" w:space="0"/>
              <w:right w:val="single" w:color="auto" w:sz="4" w:space="0"/>
            </w:tcBorders>
            <w:vAlign w:val="center"/>
          </w:tcPr>
          <w:p>
            <w:pPr>
              <w:jc w:val="center"/>
            </w:pPr>
            <w:r>
              <w:rPr>
                <w:rFonts w:hint="eastAsia"/>
              </w:rPr>
              <w:t>投标报价</w:t>
            </w:r>
          </w:p>
        </w:tc>
        <w:tc>
          <w:tcPr>
            <w:tcW w:w="6443" w:type="dxa"/>
            <w:tcBorders>
              <w:top w:val="single" w:color="auto" w:sz="4" w:space="0"/>
              <w:left w:val="nil"/>
              <w:bottom w:val="single" w:color="auto" w:sz="4" w:space="0"/>
              <w:right w:val="single" w:color="auto" w:sz="4" w:space="0"/>
            </w:tcBorders>
            <w:vAlign w:val="center"/>
          </w:tcPr>
          <w:p>
            <w:pPr>
              <w:jc w:val="left"/>
            </w:pPr>
            <w:r>
              <w:rPr>
                <w:rFonts w:hint="eastAsia"/>
              </w:rPr>
              <w:t>投标报价唯一，且不得超出招标控制价。</w:t>
            </w:r>
          </w:p>
        </w:tc>
      </w:tr>
      <w:tr>
        <w:tblPrEx>
          <w:tblLayout w:type="fixed"/>
          <w:tblCellMar>
            <w:top w:w="0" w:type="dxa"/>
            <w:left w:w="108" w:type="dxa"/>
            <w:bottom w:w="0" w:type="dxa"/>
            <w:right w:w="108" w:type="dxa"/>
          </w:tblCellMar>
        </w:tblPrEx>
        <w:trPr>
          <w:gridAfter w:val="1"/>
          <w:wAfter w:w="7" w:type="dxa"/>
          <w:trHeight w:val="2657" w:hRule="exac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1935" w:type="dxa"/>
            <w:gridSpan w:val="3"/>
            <w:tcBorders>
              <w:top w:val="single" w:color="auto" w:sz="4" w:space="0"/>
              <w:left w:val="nil"/>
              <w:bottom w:val="single" w:color="auto" w:sz="4" w:space="0"/>
              <w:right w:val="single" w:color="auto" w:sz="4" w:space="0"/>
            </w:tcBorders>
            <w:vAlign w:val="center"/>
          </w:tcPr>
          <w:p>
            <w:pPr>
              <w:snapToGrid w:val="0"/>
              <w:spacing w:line="360" w:lineRule="auto"/>
              <w:jc w:val="center"/>
              <w:rPr>
                <w:rFonts w:hint="eastAsia" w:ascii="宋体"/>
                <w:kern w:val="0"/>
              </w:rPr>
            </w:pPr>
            <w:r>
              <w:rPr>
                <w:rFonts w:hint="eastAsia" w:ascii="宋体"/>
                <w:kern w:val="0"/>
              </w:rPr>
              <w:t>投标文件</w:t>
            </w:r>
          </w:p>
          <w:p>
            <w:pPr>
              <w:snapToGrid w:val="0"/>
              <w:spacing w:line="360" w:lineRule="auto"/>
              <w:jc w:val="center"/>
              <w:rPr>
                <w:rFonts w:ascii="宋体" w:hAnsi="宋体"/>
                <w:kern w:val="0"/>
              </w:rPr>
            </w:pPr>
            <w:r>
              <w:rPr>
                <w:rFonts w:hint="eastAsia" w:ascii="宋体"/>
                <w:kern w:val="0"/>
              </w:rPr>
              <w:t>制作机器码</w:t>
            </w:r>
          </w:p>
        </w:tc>
        <w:tc>
          <w:tcPr>
            <w:tcW w:w="6443" w:type="dxa"/>
            <w:tcBorders>
              <w:top w:val="single" w:color="auto" w:sz="4" w:space="0"/>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cs="Times New Roman"/>
                <w:color w:val="auto"/>
                <w:sz w:val="21"/>
                <w:szCs w:val="21"/>
              </w:rPr>
            </w:pPr>
            <w:r>
              <w:rPr>
                <w:rFonts w:hint="eastAsia" w:cs="Times New Roman"/>
                <w:color w:val="auto"/>
                <w:sz w:val="21"/>
                <w:szCs w:val="21"/>
                <w:lang w:val="en-US" w:eastAsia="zh-CN"/>
              </w:rPr>
              <w:t>根据《河南省发展和改革委员会关于对&lt;关于认定投标人投标文件制作机器码一致视为串通投标行为的请求&gt;相关问题的批复》（豫发改公管（2019）198号）及相关法律法规精神，2019年6月10日起，不同投标人电子投标文件制作硬件特征码（网卡MAC地址、CPU序号、硬盘序列号等）</w:t>
            </w:r>
            <w:r>
              <w:rPr>
                <w:rFonts w:hint="eastAsia" w:cs="Times New Roman"/>
                <w:b/>
                <w:bCs/>
                <w:color w:val="FF0000"/>
                <w:sz w:val="21"/>
                <w:szCs w:val="21"/>
                <w:lang w:val="en-US" w:eastAsia="zh-CN"/>
              </w:rPr>
              <w:t>均相同</w:t>
            </w:r>
            <w:r>
              <w:rPr>
                <w:rFonts w:hint="eastAsia" w:cs="Times New Roman"/>
                <w:b/>
                <w:bCs/>
                <w:color w:val="FF0000"/>
                <w:sz w:val="21"/>
                <w:szCs w:val="21"/>
              </w:rPr>
              <w:t>时</w:t>
            </w:r>
            <w:r>
              <w:rPr>
                <w:rFonts w:hint="eastAsia" w:cs="Times New Roman"/>
                <w:color w:val="auto"/>
                <w:sz w:val="21"/>
                <w:szCs w:val="21"/>
                <w:lang w:val="en-US" w:eastAsia="zh-CN"/>
              </w:rPr>
              <w:t>，视为“不同投标人的投标文件由同一单位或者个人编制”或“不同投标人委托同一单位或者个人办理投标事宜”，其投标无效。</w:t>
            </w:r>
          </w:p>
        </w:tc>
      </w:tr>
      <w:tr>
        <w:tblPrEx>
          <w:tblLayout w:type="fixed"/>
          <w:tblCellMar>
            <w:top w:w="0" w:type="dxa"/>
            <w:left w:w="108" w:type="dxa"/>
            <w:bottom w:w="0" w:type="dxa"/>
            <w:right w:w="108" w:type="dxa"/>
          </w:tblCellMar>
        </w:tblPrEx>
        <w:trPr>
          <w:gridAfter w:val="1"/>
          <w:wAfter w:w="7" w:type="dxa"/>
          <w:trHeight w:val="789"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1935" w:type="dxa"/>
            <w:gridSpan w:val="3"/>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kern w:val="0"/>
              </w:rPr>
            </w:pPr>
            <w:r>
              <w:rPr>
                <w:rFonts w:hint="eastAsia" w:ascii="宋体" w:hAnsi="宋体"/>
              </w:rPr>
              <w:t>其它</w:t>
            </w:r>
          </w:p>
        </w:tc>
        <w:tc>
          <w:tcPr>
            <w:tcW w:w="6443" w:type="dxa"/>
            <w:tcBorders>
              <w:top w:val="single" w:color="auto" w:sz="4" w:space="0"/>
              <w:left w:val="nil"/>
              <w:bottom w:val="single" w:color="auto" w:sz="4" w:space="0"/>
              <w:right w:val="single" w:color="auto" w:sz="4" w:space="0"/>
            </w:tcBorders>
            <w:vAlign w:val="center"/>
          </w:tcPr>
          <w:p>
            <w:pPr>
              <w:pStyle w:val="28"/>
              <w:jc w:val="both"/>
              <w:rPr>
                <w:rFonts w:cs="Times New Roman"/>
                <w:color w:val="0000FF"/>
                <w:sz w:val="21"/>
                <w:szCs w:val="21"/>
              </w:rPr>
            </w:pPr>
            <w:r>
              <w:rPr>
                <w:rFonts w:hint="eastAsia" w:cs="Times New Roman"/>
                <w:sz w:val="21"/>
                <w:szCs w:val="21"/>
              </w:rPr>
              <w:t>不存在违反有关法律、法规、规章、规范性文件和招标文件规定的其它任何情形。</w:t>
            </w:r>
          </w:p>
        </w:tc>
      </w:tr>
      <w:tr>
        <w:tblPrEx>
          <w:tblLayout w:type="fixed"/>
          <w:tblCellMar>
            <w:top w:w="0" w:type="dxa"/>
            <w:left w:w="108" w:type="dxa"/>
            <w:bottom w:w="0" w:type="dxa"/>
            <w:right w:w="108" w:type="dxa"/>
          </w:tblCellMar>
        </w:tblPrEx>
        <w:trPr>
          <w:trHeight w:val="368" w:hRule="atLeast"/>
        </w:trPr>
        <w:tc>
          <w:tcPr>
            <w:tcW w:w="9529"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b/>
                <w:bCs/>
              </w:rPr>
            </w:pPr>
            <w:r>
              <w:rPr>
                <w:rFonts w:hint="eastAsia" w:ascii="宋体" w:hAnsi="宋体"/>
                <w:b/>
                <w:bCs/>
              </w:rPr>
              <w:t>合理性评审</w:t>
            </w:r>
          </w:p>
        </w:tc>
      </w:tr>
      <w:tr>
        <w:tblPrEx>
          <w:tblLayout w:type="fixed"/>
          <w:tblCellMar>
            <w:top w:w="0" w:type="dxa"/>
            <w:left w:w="108" w:type="dxa"/>
            <w:bottom w:w="0" w:type="dxa"/>
            <w:right w:w="108" w:type="dxa"/>
          </w:tblCellMar>
        </w:tblPrEx>
        <w:trPr>
          <w:trHeight w:val="1560" w:hRule="atLeast"/>
        </w:trPr>
        <w:tc>
          <w:tcPr>
            <w:tcW w:w="1144"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技术标评审</w:t>
            </w:r>
          </w:p>
          <w:p>
            <w:pPr>
              <w:spacing w:line="360" w:lineRule="auto"/>
              <w:jc w:val="center"/>
              <w:rPr>
                <w:rFonts w:ascii="宋体" w:hAnsi="宋体"/>
              </w:rPr>
            </w:pPr>
            <w:r>
              <w:rPr>
                <w:rFonts w:hint="eastAsia" w:ascii="宋体" w:hAnsi="宋体"/>
              </w:rPr>
              <w:t>（60分）</w:t>
            </w:r>
          </w:p>
        </w:tc>
        <w:tc>
          <w:tcPr>
            <w:tcW w:w="159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hint="eastAsia" w:ascii="宋体" w:hAnsi="宋体"/>
              </w:rPr>
            </w:pPr>
            <w:r>
              <w:rPr>
                <w:rFonts w:hint="eastAsia" w:ascii="宋体" w:hAnsi="宋体"/>
              </w:rPr>
              <w:t>施工方案</w:t>
            </w:r>
          </w:p>
          <w:p>
            <w:pPr>
              <w:spacing w:line="360" w:lineRule="auto"/>
              <w:jc w:val="center"/>
              <w:rPr>
                <w:rFonts w:ascii="宋体" w:hAnsi="宋体"/>
              </w:rPr>
            </w:pPr>
            <w:r>
              <w:rPr>
                <w:rFonts w:hint="eastAsia" w:ascii="宋体" w:hAnsi="宋体"/>
              </w:rPr>
              <w:t>与技术措施</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10分）</w:t>
            </w:r>
          </w:p>
        </w:tc>
        <w:tc>
          <w:tcPr>
            <w:tcW w:w="679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评委根据该项内容是否详细、是否切实可行、是否科学进行打分。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详细、可行、科学的得8-10分；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基本详细、可行、科学的得6-8分；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有缺陷的得5-6分。缺项不得分。</w:t>
            </w:r>
          </w:p>
        </w:tc>
      </w:tr>
      <w:tr>
        <w:tblPrEx>
          <w:tblLayout w:type="fixed"/>
          <w:tblCellMar>
            <w:top w:w="0" w:type="dxa"/>
            <w:left w:w="108" w:type="dxa"/>
            <w:bottom w:w="0" w:type="dxa"/>
            <w:right w:w="108" w:type="dxa"/>
          </w:tblCellMar>
        </w:tblPrEx>
        <w:trPr>
          <w:trHeight w:val="1545"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59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hint="eastAsia" w:ascii="宋体" w:hAnsi="宋体"/>
              </w:rPr>
            </w:pPr>
            <w:r>
              <w:rPr>
                <w:rFonts w:hint="eastAsia" w:ascii="宋体" w:hAnsi="宋体"/>
              </w:rPr>
              <w:t>质量管理体系</w:t>
            </w:r>
          </w:p>
          <w:p>
            <w:pPr>
              <w:spacing w:line="360" w:lineRule="auto"/>
              <w:jc w:val="center"/>
              <w:rPr>
                <w:rFonts w:ascii="宋体" w:hAnsi="宋体"/>
              </w:rPr>
            </w:pPr>
            <w:r>
              <w:rPr>
                <w:rFonts w:hint="eastAsia" w:ascii="宋体" w:hAnsi="宋体"/>
              </w:rPr>
              <w:t>与措施</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8分）</w:t>
            </w:r>
          </w:p>
        </w:tc>
        <w:tc>
          <w:tcPr>
            <w:tcW w:w="679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评委根据该项内容是否详细、是否切实可行、是否科学进行打分。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详细、可行、科学的得7-8分；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基本详细、可行、科学的得5-7分；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有缺陷的得4-5分。缺项不得分。</w:t>
            </w:r>
          </w:p>
        </w:tc>
      </w:tr>
      <w:tr>
        <w:tblPrEx>
          <w:tblLayout w:type="fixed"/>
          <w:tblCellMar>
            <w:top w:w="0" w:type="dxa"/>
            <w:left w:w="108" w:type="dxa"/>
            <w:bottom w:w="0" w:type="dxa"/>
            <w:right w:w="108" w:type="dxa"/>
          </w:tblCellMar>
        </w:tblPrEx>
        <w:trPr>
          <w:trHeight w:val="1714"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59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工程进度计划与措施及网络图</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5分）</w:t>
            </w:r>
          </w:p>
        </w:tc>
        <w:tc>
          <w:tcPr>
            <w:tcW w:w="679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评委根据该项内容是否详细、是否切实可行、是否科学进行打分。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详细、可行、科学的得4-5分；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基本详细、可行、科学的得3-4分；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有缺陷的得2-3分。缺项不得分。</w:t>
            </w:r>
          </w:p>
        </w:tc>
      </w:tr>
      <w:tr>
        <w:tblPrEx>
          <w:tblLayout w:type="fixed"/>
          <w:tblCellMar>
            <w:top w:w="0" w:type="dxa"/>
            <w:left w:w="108" w:type="dxa"/>
            <w:bottom w:w="0" w:type="dxa"/>
            <w:right w:w="108" w:type="dxa"/>
          </w:tblCellMar>
        </w:tblPrEx>
        <w:trPr>
          <w:trHeight w:val="1662"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59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rPr>
            </w:pPr>
            <w:r>
              <w:rPr>
                <w:rFonts w:hint="eastAsia" w:ascii="宋体" w:hAnsi="宋体"/>
              </w:rPr>
              <w:t>安全管理、文明、环境保护体系与措施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10分）</w:t>
            </w:r>
          </w:p>
        </w:tc>
        <w:tc>
          <w:tcPr>
            <w:tcW w:w="679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评委根据该项内容是否详细、是否切实可行、是否科学进行打分。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详细、可行、科学的得8-10分；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基本详细、可行、科学的得6-8分；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有缺陷的得5-6分。缺项不得分。</w:t>
            </w:r>
          </w:p>
        </w:tc>
      </w:tr>
      <w:tr>
        <w:tblPrEx>
          <w:tblLayout w:type="fixed"/>
          <w:tblCellMar>
            <w:top w:w="0" w:type="dxa"/>
            <w:left w:w="108" w:type="dxa"/>
            <w:bottom w:w="0" w:type="dxa"/>
            <w:right w:w="108" w:type="dxa"/>
          </w:tblCellMar>
        </w:tblPrEx>
        <w:trPr>
          <w:trHeight w:val="1557"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59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rPr>
            </w:pPr>
            <w:r>
              <w:rPr>
                <w:rFonts w:hint="eastAsia" w:ascii="宋体" w:hAnsi="宋体"/>
              </w:rPr>
              <w:t>成本控制措施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5分）</w:t>
            </w:r>
          </w:p>
        </w:tc>
        <w:tc>
          <w:tcPr>
            <w:tcW w:w="679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评委根据该项内容是否详细、是否切实可行、是否科学进行打分。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详细、可行、科学的得4-5分；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基本详细、可行、科学的得3-4分；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有缺陷的得2-3分。缺项不得分。</w:t>
            </w:r>
          </w:p>
        </w:tc>
      </w:tr>
      <w:tr>
        <w:tblPrEx>
          <w:tblLayout w:type="fixed"/>
          <w:tblCellMar>
            <w:top w:w="0" w:type="dxa"/>
            <w:left w:w="108" w:type="dxa"/>
            <w:bottom w:w="0" w:type="dxa"/>
            <w:right w:w="108" w:type="dxa"/>
          </w:tblCellMar>
        </w:tblPrEx>
        <w:trPr>
          <w:trHeight w:val="1512"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59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rPr>
            </w:pPr>
            <w:r>
              <w:rPr>
                <w:rFonts w:hint="eastAsia" w:ascii="宋体" w:hAnsi="宋体"/>
              </w:rPr>
              <w:t>组织机构及人力资源配备计划</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7分）</w:t>
            </w:r>
          </w:p>
        </w:tc>
        <w:tc>
          <w:tcPr>
            <w:tcW w:w="679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评委根据该项内容是否详细、是否切实可行、是否科学进行打分。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详细、可行、科学的得6-7分；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基本详细、可行、科学的得5-6分；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有缺陷的得4-5分。缺项不得分。</w:t>
            </w:r>
          </w:p>
        </w:tc>
      </w:tr>
      <w:tr>
        <w:tblPrEx>
          <w:tblLayout w:type="fixed"/>
          <w:tblCellMar>
            <w:top w:w="0" w:type="dxa"/>
            <w:left w:w="108" w:type="dxa"/>
            <w:bottom w:w="0" w:type="dxa"/>
            <w:right w:w="108" w:type="dxa"/>
          </w:tblCellMar>
        </w:tblPrEx>
        <w:trPr>
          <w:trHeight w:val="1737"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59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240" w:lineRule="auto"/>
              <w:jc w:val="center"/>
              <w:rPr>
                <w:rFonts w:hint="eastAsia" w:ascii="宋体" w:hAnsi="宋体"/>
              </w:rPr>
            </w:pPr>
            <w:r>
              <w:rPr>
                <w:rFonts w:hint="eastAsia" w:ascii="宋体" w:hAnsi="宋体"/>
              </w:rPr>
              <w:t>施工设备及试验、检测仪器</w:t>
            </w:r>
          </w:p>
          <w:p>
            <w:pPr>
              <w:spacing w:line="240" w:lineRule="auto"/>
              <w:jc w:val="center"/>
              <w:rPr>
                <w:rFonts w:ascii="宋体" w:hAnsi="宋体"/>
              </w:rPr>
            </w:pPr>
            <w:r>
              <w:rPr>
                <w:rFonts w:hint="eastAsia" w:ascii="宋体" w:hAnsi="宋体"/>
              </w:rPr>
              <w:t>配备</w:t>
            </w:r>
          </w:p>
          <w:p>
            <w:pPr>
              <w:spacing w:line="24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5分）</w:t>
            </w:r>
          </w:p>
        </w:tc>
        <w:tc>
          <w:tcPr>
            <w:tcW w:w="679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评委根据该项内容是否详细、是否切实可行、是否科学进行打分。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详细、可行、科学的得4-5分；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基本详细、可行、科学的得3-4分；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有缺陷的得2-3分。缺项不得分。</w:t>
            </w:r>
          </w:p>
        </w:tc>
      </w:tr>
      <w:tr>
        <w:tblPrEx>
          <w:tblLayout w:type="fixed"/>
          <w:tblCellMar>
            <w:top w:w="0" w:type="dxa"/>
            <w:left w:w="108" w:type="dxa"/>
            <w:bottom w:w="0" w:type="dxa"/>
            <w:right w:w="108" w:type="dxa"/>
          </w:tblCellMar>
        </w:tblPrEx>
        <w:trPr>
          <w:trHeight w:val="1608"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59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施工环境协调及其他措施</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5分）</w:t>
            </w:r>
          </w:p>
        </w:tc>
        <w:tc>
          <w:tcPr>
            <w:tcW w:w="679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评委根据该项内容是否详细、是否切实可行、是否科学进行打分。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详细、可行、科学的得4-5分；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基本详细、可行、科学的得3-4分；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有缺陷的得2-3分。缺项不得分。</w:t>
            </w:r>
          </w:p>
        </w:tc>
      </w:tr>
      <w:tr>
        <w:tblPrEx>
          <w:tblLayout w:type="fixed"/>
          <w:tblCellMar>
            <w:top w:w="0" w:type="dxa"/>
            <w:left w:w="108" w:type="dxa"/>
            <w:bottom w:w="0" w:type="dxa"/>
            <w:right w:w="108" w:type="dxa"/>
          </w:tblCellMar>
        </w:tblPrEx>
        <w:trPr>
          <w:trHeight w:val="1632" w:hRule="atLeast"/>
        </w:trPr>
        <w:tc>
          <w:tcPr>
            <w:tcW w:w="114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59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施工总平面图</w:t>
            </w:r>
          </w:p>
          <w:p>
            <w:pPr>
              <w:spacing w:line="360" w:lineRule="auto"/>
              <w:jc w:val="center"/>
              <w:rPr>
                <w:rFonts w:ascii="宋体" w:hAnsi="宋体"/>
              </w:rPr>
            </w:pPr>
            <w:r>
              <w:rPr>
                <w:rFonts w:hint="eastAsia" w:ascii="宋体" w:hAnsi="宋体"/>
              </w:rPr>
              <w:t>（</w:t>
            </w:r>
            <w:r>
              <w:rPr>
                <w:rFonts w:hint="eastAsia" w:ascii="宋体" w:hAnsi="宋体"/>
                <w:lang w:val="en-US" w:eastAsia="zh-CN"/>
              </w:rPr>
              <w:t>0-</w:t>
            </w:r>
            <w:r>
              <w:rPr>
                <w:rFonts w:hint="eastAsia" w:ascii="宋体" w:hAnsi="宋体"/>
              </w:rPr>
              <w:t>5分）</w:t>
            </w:r>
          </w:p>
        </w:tc>
        <w:tc>
          <w:tcPr>
            <w:tcW w:w="679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评委根据该项内容是否详细、是否切实可行、是否科学进行打分。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详细、可行、科学的得4-5分；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基本详细、可行、科学的得3-4分；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有缺陷的得2-3分。缺项不得分。</w:t>
            </w:r>
          </w:p>
        </w:tc>
      </w:tr>
      <w:tr>
        <w:tblPrEx>
          <w:tblLayout w:type="fixed"/>
          <w:tblCellMar>
            <w:top w:w="0" w:type="dxa"/>
            <w:left w:w="108" w:type="dxa"/>
            <w:bottom w:w="0" w:type="dxa"/>
            <w:right w:w="108" w:type="dxa"/>
          </w:tblCellMar>
        </w:tblPrEx>
        <w:trPr>
          <w:trHeight w:val="1255" w:hRule="atLeast"/>
        </w:trPr>
        <w:tc>
          <w:tcPr>
            <w:tcW w:w="1144"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商务标评审</w:t>
            </w:r>
          </w:p>
          <w:p>
            <w:pPr>
              <w:spacing w:line="360" w:lineRule="auto"/>
              <w:jc w:val="center"/>
              <w:rPr>
                <w:rFonts w:ascii="宋体" w:hAnsi="宋体"/>
              </w:rPr>
            </w:pPr>
            <w:r>
              <w:rPr>
                <w:rFonts w:hint="eastAsia" w:ascii="宋体" w:hAnsi="宋体"/>
              </w:rPr>
              <w:t>（40分）</w:t>
            </w:r>
          </w:p>
        </w:tc>
        <w:tc>
          <w:tcPr>
            <w:tcW w:w="1594"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240" w:lineRule="auto"/>
              <w:jc w:val="center"/>
              <w:rPr>
                <w:rFonts w:hint="eastAsia" w:ascii="宋体" w:hAnsi="宋体"/>
              </w:rPr>
            </w:pPr>
            <w:r>
              <w:rPr>
                <w:rFonts w:hint="eastAsia" w:ascii="宋体" w:hAnsi="宋体"/>
              </w:rPr>
              <w:t>投标人业绩</w:t>
            </w:r>
          </w:p>
          <w:p>
            <w:pPr>
              <w:spacing w:line="240" w:lineRule="auto"/>
              <w:jc w:val="center"/>
              <w:rPr>
                <w:rFonts w:ascii="宋体" w:hAnsi="宋体"/>
              </w:rPr>
            </w:pPr>
            <w:r>
              <w:rPr>
                <w:rFonts w:hint="eastAsia" w:ascii="宋体" w:hAnsi="宋体" w:eastAsia="宋体" w:cs="宋体"/>
              </w:rPr>
              <w:t>（6</w:t>
            </w:r>
            <w:r>
              <w:rPr>
                <w:rFonts w:hint="eastAsia" w:ascii="宋体" w:hAnsi="宋体"/>
              </w:rPr>
              <w:t>分）</w:t>
            </w:r>
          </w:p>
        </w:tc>
        <w:tc>
          <w:tcPr>
            <w:tcW w:w="679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ascii="宋体" w:hAnsi="宋体"/>
                <w:color w:val="auto"/>
              </w:rPr>
              <w:t>201</w:t>
            </w:r>
            <w:r>
              <w:rPr>
                <w:rFonts w:hint="eastAsia" w:ascii="宋体" w:hAnsi="宋体"/>
                <w:color w:val="auto"/>
              </w:rPr>
              <w:t>6年</w:t>
            </w:r>
            <w:r>
              <w:rPr>
                <w:rFonts w:ascii="宋体" w:hAnsi="宋体"/>
                <w:color w:val="auto"/>
              </w:rPr>
              <w:t>1</w:t>
            </w:r>
            <w:r>
              <w:rPr>
                <w:rFonts w:hint="eastAsia" w:ascii="宋体" w:hAnsi="宋体"/>
                <w:color w:val="auto"/>
              </w:rPr>
              <w:t>月</w:t>
            </w:r>
            <w:r>
              <w:rPr>
                <w:rFonts w:ascii="宋体" w:hAnsi="宋体"/>
                <w:color w:val="auto"/>
              </w:rPr>
              <w:t>1</w:t>
            </w:r>
            <w:r>
              <w:rPr>
                <w:rFonts w:hint="eastAsia" w:ascii="宋体" w:hAnsi="宋体"/>
                <w:color w:val="auto"/>
              </w:rPr>
              <w:t>日以来承担过类似项目（土地开发整理工程、土地综合整治项目、土地复垦等与本工程内容类似的工程，每个项目得</w:t>
            </w:r>
            <w:r>
              <w:rPr>
                <w:rFonts w:ascii="宋体" w:hAnsi="宋体"/>
                <w:color w:val="auto"/>
              </w:rPr>
              <w:t>3</w:t>
            </w:r>
            <w:r>
              <w:rPr>
                <w:rFonts w:hint="eastAsia" w:ascii="宋体" w:hAnsi="宋体"/>
                <w:color w:val="auto"/>
              </w:rPr>
              <w:t>分，最多得</w:t>
            </w:r>
            <w:r>
              <w:rPr>
                <w:rFonts w:ascii="宋体" w:hAnsi="宋体"/>
                <w:color w:val="auto"/>
              </w:rPr>
              <w:t>6</w:t>
            </w:r>
            <w:r>
              <w:rPr>
                <w:rFonts w:hint="eastAsia" w:ascii="宋体" w:hAnsi="宋体"/>
                <w:color w:val="auto"/>
              </w:rPr>
              <w:t>分。以中标通知书或合同协议件和竣工验收证明为准。</w:t>
            </w:r>
          </w:p>
        </w:tc>
      </w:tr>
      <w:tr>
        <w:tblPrEx>
          <w:tblLayout w:type="fixed"/>
          <w:tblCellMar>
            <w:top w:w="0" w:type="dxa"/>
            <w:left w:w="108" w:type="dxa"/>
            <w:bottom w:w="0" w:type="dxa"/>
            <w:right w:w="108" w:type="dxa"/>
          </w:tblCellMar>
        </w:tblPrEx>
        <w:trPr>
          <w:trHeight w:val="1940" w:hRule="atLeast"/>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594"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项目经理业绩</w:t>
            </w:r>
          </w:p>
          <w:p>
            <w:pPr>
              <w:spacing w:line="360" w:lineRule="auto"/>
              <w:jc w:val="center"/>
              <w:rPr>
                <w:rFonts w:ascii="宋体" w:hAnsi="宋体"/>
              </w:rPr>
            </w:pPr>
            <w:r>
              <w:rPr>
                <w:rFonts w:hint="eastAsia" w:ascii="宋体" w:hAnsi="宋体"/>
              </w:rPr>
              <w:t>（4分）</w:t>
            </w:r>
          </w:p>
        </w:tc>
        <w:tc>
          <w:tcPr>
            <w:tcW w:w="679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rPr>
            </w:pPr>
            <w:r>
              <w:rPr>
                <w:rFonts w:hint="eastAsia" w:ascii="宋体" w:hAnsi="宋体"/>
                <w:color w:val="auto"/>
              </w:rPr>
              <w:t>2016年1月1日以来，拟任项目经理以项目经理身份承建过类似项目（土地开发整理工程、土地综合整治项目、</w:t>
            </w:r>
            <w:r>
              <w:rPr>
                <w:rFonts w:hint="eastAsia" w:ascii="宋体" w:hAnsi="宋体"/>
                <w:color w:val="auto"/>
                <w:lang w:val="en-US" w:eastAsia="zh-CN"/>
              </w:rPr>
              <w:t>农业综合开发</w:t>
            </w:r>
            <w:r>
              <w:rPr>
                <w:rFonts w:hint="eastAsia" w:ascii="宋体" w:hAnsi="宋体"/>
                <w:color w:val="auto"/>
              </w:rPr>
              <w:t>等与本工程内容类似的工程），承担一个项目得2分，最高得4分。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color w:val="auto"/>
              </w:rPr>
              <w:t>注：以中标通知书或合同协议件和竣工验收材料为准，不能体现是拟派项目经理业绩且无业主单位有效证明的不计分。</w:t>
            </w:r>
          </w:p>
        </w:tc>
      </w:tr>
      <w:tr>
        <w:tblPrEx>
          <w:tblLayout w:type="fixed"/>
          <w:tblCellMar>
            <w:top w:w="0" w:type="dxa"/>
            <w:left w:w="108" w:type="dxa"/>
            <w:bottom w:w="0" w:type="dxa"/>
            <w:right w:w="108" w:type="dxa"/>
          </w:tblCellMar>
        </w:tblPrEx>
        <w:trPr>
          <w:trHeight w:val="816" w:hRule="atLeast"/>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594"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auto"/>
              <w:jc w:val="center"/>
              <w:rPr>
                <w:rFonts w:ascii="宋体" w:hAnsi="宋体"/>
              </w:rPr>
            </w:pPr>
            <w:r>
              <w:rPr>
                <w:rFonts w:hint="eastAsia" w:ascii="宋体" w:hAnsi="宋体"/>
              </w:rPr>
              <w:t>项目技术负责人</w:t>
            </w:r>
          </w:p>
          <w:p>
            <w:pPr>
              <w:spacing w:line="240" w:lineRule="auto"/>
              <w:jc w:val="center"/>
              <w:rPr>
                <w:rFonts w:ascii="宋体" w:hAnsi="宋体"/>
              </w:rPr>
            </w:pPr>
            <w:r>
              <w:rPr>
                <w:rFonts w:hint="eastAsia" w:ascii="宋体" w:hAnsi="宋体"/>
              </w:rPr>
              <w:t>（4分）</w:t>
            </w:r>
          </w:p>
        </w:tc>
        <w:tc>
          <w:tcPr>
            <w:tcW w:w="679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color w:val="auto"/>
              </w:rPr>
              <w:t>具备中级工程师职称得</w:t>
            </w:r>
            <w:r>
              <w:rPr>
                <w:rFonts w:ascii="宋体" w:hAnsi="宋体"/>
                <w:color w:val="auto"/>
              </w:rPr>
              <w:t>3</w:t>
            </w:r>
            <w:r>
              <w:rPr>
                <w:rFonts w:hint="eastAsia" w:ascii="宋体" w:hAnsi="宋体"/>
                <w:color w:val="auto"/>
              </w:rPr>
              <w:t>分，具备高级工程师职称得</w:t>
            </w:r>
            <w:r>
              <w:rPr>
                <w:rFonts w:ascii="宋体" w:hAnsi="宋体"/>
                <w:color w:val="auto"/>
              </w:rPr>
              <w:t>4</w:t>
            </w:r>
            <w:r>
              <w:rPr>
                <w:rFonts w:hint="eastAsia" w:ascii="宋体" w:hAnsi="宋体"/>
                <w:color w:val="auto"/>
              </w:rPr>
              <w:t>分。</w:t>
            </w:r>
          </w:p>
        </w:tc>
      </w:tr>
      <w:tr>
        <w:tblPrEx>
          <w:tblLayout w:type="fixed"/>
          <w:tblCellMar>
            <w:top w:w="0" w:type="dxa"/>
            <w:left w:w="108" w:type="dxa"/>
            <w:bottom w:w="0" w:type="dxa"/>
            <w:right w:w="108" w:type="dxa"/>
          </w:tblCellMar>
        </w:tblPrEx>
        <w:trPr>
          <w:trHeight w:val="956" w:hRule="atLeast"/>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594"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auto"/>
              <w:jc w:val="center"/>
              <w:rPr>
                <w:rFonts w:ascii="宋体" w:hAnsi="宋体"/>
              </w:rPr>
            </w:pPr>
            <w:r>
              <w:rPr>
                <w:rFonts w:hint="eastAsia" w:ascii="宋体" w:hAnsi="宋体"/>
              </w:rPr>
              <w:t>其他主要人员</w:t>
            </w:r>
          </w:p>
          <w:p>
            <w:pPr>
              <w:spacing w:line="240" w:lineRule="auto"/>
              <w:jc w:val="center"/>
              <w:rPr>
                <w:rFonts w:ascii="宋体" w:hAnsi="宋体"/>
              </w:rPr>
            </w:pPr>
            <w:r>
              <w:rPr>
                <w:rFonts w:hint="eastAsia" w:ascii="宋体" w:hAnsi="宋体"/>
              </w:rPr>
              <w:t>（12分）</w:t>
            </w:r>
          </w:p>
        </w:tc>
        <w:tc>
          <w:tcPr>
            <w:tcW w:w="679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施工员、造价员、资料员、材料员、安全员、质检员等人员，具有相应岗位证书者每个得2分。</w:t>
            </w:r>
          </w:p>
        </w:tc>
      </w:tr>
      <w:tr>
        <w:tblPrEx>
          <w:tblLayout w:type="fixed"/>
          <w:tblCellMar>
            <w:top w:w="0" w:type="dxa"/>
            <w:left w:w="108" w:type="dxa"/>
            <w:bottom w:w="0" w:type="dxa"/>
            <w:right w:w="108" w:type="dxa"/>
          </w:tblCellMar>
        </w:tblPrEx>
        <w:trPr>
          <w:trHeight w:val="1550" w:hRule="atLeast"/>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594"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40" w:lineRule="exact"/>
              <w:jc w:val="center"/>
              <w:rPr>
                <w:rFonts w:ascii="宋体" w:hAnsi="宋体"/>
              </w:rPr>
            </w:pPr>
            <w:r>
              <w:rPr>
                <w:rFonts w:hint="eastAsia" w:ascii="宋体" w:hAnsi="宋体"/>
              </w:rPr>
              <w:t>服务承诺</w:t>
            </w:r>
          </w:p>
          <w:p>
            <w:pPr>
              <w:jc w:val="center"/>
            </w:pPr>
            <w:r>
              <w:rPr>
                <w:rFonts w:hint="eastAsia" w:ascii="宋体" w:hAnsi="宋体"/>
              </w:rPr>
              <w:t>（6分）</w:t>
            </w:r>
          </w:p>
        </w:tc>
        <w:tc>
          <w:tcPr>
            <w:tcW w:w="679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ascii="宋体" w:hAnsi="宋体"/>
              </w:rPr>
              <w:t>（1）安全质量保证的承诺和不拖欠农民工工资承诺。（0-2分）</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ascii="宋体" w:hAnsi="宋体"/>
              </w:rPr>
              <w:t xml:space="preserve">（2）投标人保修期内、保修期外的服务承诺。    </w:t>
            </w:r>
            <w:r>
              <w:rPr>
                <w:rFonts w:hint="eastAsia" w:ascii="宋体" w:hAnsi="宋体"/>
                <w:lang w:val="en-US" w:eastAsia="zh-CN"/>
              </w:rPr>
              <w:t xml:space="preserve"> </w:t>
            </w:r>
            <w:r>
              <w:rPr>
                <w:rFonts w:hint="eastAsia" w:ascii="宋体" w:hAnsi="宋体"/>
              </w:rPr>
              <w:t xml:space="preserve"> （0-2分）</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ascii="宋体" w:hAnsi="宋体"/>
              </w:rPr>
              <w:t>（3）协调周边关系，资金、技术、机械设备投入等方面的服务承诺。                                          （0-2分）</w:t>
            </w:r>
          </w:p>
        </w:tc>
      </w:tr>
      <w:tr>
        <w:tblPrEx>
          <w:tblLayout w:type="fixed"/>
          <w:tblCellMar>
            <w:top w:w="0" w:type="dxa"/>
            <w:left w:w="108" w:type="dxa"/>
            <w:bottom w:w="0" w:type="dxa"/>
            <w:right w:w="108" w:type="dxa"/>
          </w:tblCellMar>
        </w:tblPrEx>
        <w:trPr>
          <w:trHeight w:val="880" w:hRule="atLeast"/>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1594"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240" w:lineRule="auto"/>
              <w:jc w:val="center"/>
              <w:rPr>
                <w:rFonts w:ascii="宋体" w:hAnsi="宋体"/>
              </w:rPr>
            </w:pPr>
            <w:r>
              <w:rPr>
                <w:rFonts w:hint="eastAsia" w:ascii="宋体" w:hAnsi="宋体"/>
              </w:rPr>
              <w:t>主要单价分析合理性（</w:t>
            </w:r>
            <w:r>
              <w:rPr>
                <w:rFonts w:hint="eastAsia"/>
              </w:rPr>
              <w:t>8</w:t>
            </w:r>
            <w:r>
              <w:rPr>
                <w:rFonts w:hint="eastAsia" w:ascii="宋体" w:hAnsi="宋体"/>
              </w:rPr>
              <w:t>分）</w:t>
            </w:r>
          </w:p>
        </w:tc>
        <w:tc>
          <w:tcPr>
            <w:tcW w:w="679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根据主要单价分析是否合理，由</w:t>
            </w:r>
            <w:r>
              <w:rPr>
                <w:rFonts w:hint="eastAsia" w:ascii="宋体" w:hAnsi="宋体" w:eastAsia="宋体" w:cs="宋体"/>
              </w:rPr>
              <w:t>评委在0-8分</w:t>
            </w:r>
            <w:r>
              <w:rPr>
                <w:rFonts w:hint="eastAsia" w:ascii="宋体" w:hAnsi="宋体"/>
              </w:rPr>
              <w:t>范围内酌情打分。</w:t>
            </w:r>
          </w:p>
        </w:tc>
      </w:tr>
    </w:tbl>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宋体"/>
          <w:b/>
          <w:bCs/>
          <w:color w:val="auto"/>
        </w:rPr>
      </w:pPr>
      <w:bookmarkStart w:id="185" w:name="_Toc370458172"/>
      <w:bookmarkEnd w:id="185"/>
      <w:bookmarkStart w:id="186" w:name="_Toc370458176"/>
      <w:bookmarkEnd w:id="186"/>
      <w:bookmarkStart w:id="187" w:name="_Toc3719"/>
      <w:bookmarkEnd w:id="187"/>
      <w:bookmarkStart w:id="188" w:name="_Toc17730"/>
      <w:bookmarkEnd w:id="188"/>
      <w:bookmarkStart w:id="189" w:name="_Toc283381982"/>
      <w:bookmarkEnd w:id="189"/>
      <w:bookmarkStart w:id="190" w:name="_Toc4095"/>
      <w:bookmarkEnd w:id="190"/>
      <w:bookmarkStart w:id="191" w:name="_Toc22570"/>
      <w:bookmarkEnd w:id="191"/>
      <w:bookmarkStart w:id="192" w:name="_Toc26871"/>
      <w:bookmarkStart w:id="193" w:name="_Toc503873699"/>
      <w:r>
        <w:rPr>
          <w:rFonts w:hint="eastAsia" w:ascii="宋体" w:hAnsi="宋体"/>
          <w:b/>
          <w:bCs/>
          <w:color w:val="auto"/>
        </w:rPr>
        <w:t>注：</w:t>
      </w:r>
      <w:r>
        <w:rPr>
          <w:rFonts w:ascii="宋体" w:hAnsi="宋体"/>
          <w:b/>
          <w:bCs/>
          <w:color w:val="auto"/>
        </w:rPr>
        <w:t>1.</w:t>
      </w:r>
      <w:r>
        <w:rPr>
          <w:rFonts w:hint="eastAsia" w:ascii="宋体" w:hAnsi="宋体"/>
          <w:b/>
          <w:bCs/>
          <w:color w:val="auto"/>
        </w:rPr>
        <w:t>资格评审涉及的证明文件和商务标评审涉及的证书、业绩、荣誉等证明文件均需</w:t>
      </w:r>
      <w:r>
        <w:rPr>
          <w:rFonts w:hint="eastAsia" w:ascii="宋体" w:hAnsi="宋体"/>
          <w:b/>
          <w:bCs/>
          <w:color w:val="auto"/>
          <w:lang w:eastAsia="zh-CN"/>
        </w:rPr>
        <w:t>附原件扫描件或复印件，投标企业对其真实性、准确性负责</w:t>
      </w:r>
      <w:r>
        <w:rPr>
          <w:rFonts w:hint="eastAsia" w:ascii="宋体" w:hAnsi="宋体"/>
          <w:b/>
          <w:bCs/>
          <w:color w:val="auto"/>
        </w:rPr>
        <w:t>。</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宋体"/>
          <w:b/>
          <w:bCs/>
          <w:color w:val="auto"/>
        </w:rPr>
      </w:pPr>
      <w:r>
        <w:rPr>
          <w:rFonts w:ascii="宋体" w:hAnsi="宋体"/>
          <w:b/>
          <w:bCs/>
          <w:color w:val="auto"/>
        </w:rPr>
        <w:t>2.</w:t>
      </w:r>
      <w:r>
        <w:rPr>
          <w:rFonts w:hint="eastAsia" w:ascii="宋体" w:hAnsi="宋体"/>
          <w:b/>
          <w:bCs/>
          <w:color w:val="auto"/>
        </w:rPr>
        <w:t>技术标内容不符合本招标项目的实际情况，存在套用其他项目投标文件的痕迹或文字表述的该项内容不得分。</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3"/>
        <w:rPr>
          <w:rFonts w:ascii="宋体"/>
          <w:b/>
          <w:bCs/>
          <w:color w:val="auto"/>
        </w:rPr>
      </w:pPr>
      <w:r>
        <w:rPr>
          <w:rFonts w:ascii="宋体" w:hAnsi="宋体"/>
          <w:b/>
          <w:bCs/>
          <w:color w:val="auto"/>
        </w:rPr>
        <w:t>5.1</w:t>
      </w:r>
      <w:r>
        <w:rPr>
          <w:rFonts w:hint="eastAsia" w:ascii="宋体" w:hAnsi="宋体"/>
          <w:b/>
          <w:bCs/>
          <w:color w:val="auto"/>
        </w:rPr>
        <w:t>评审标准</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宋体"/>
          <w:color w:val="auto"/>
        </w:rPr>
      </w:pPr>
      <w:r>
        <w:rPr>
          <w:rFonts w:ascii="宋体" w:hAnsi="宋体"/>
          <w:b/>
          <w:bCs/>
          <w:color w:val="auto"/>
        </w:rPr>
        <w:t>5.1.1</w:t>
      </w:r>
      <w:r>
        <w:rPr>
          <w:rFonts w:hint="eastAsia" w:ascii="宋体" w:hAnsi="宋体"/>
          <w:b/>
          <w:bCs/>
          <w:color w:val="auto"/>
        </w:rPr>
        <w:t>初步评审标准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hint="eastAsia" w:ascii="宋体" w:hAnsi="宋体"/>
          <w:color w:val="auto"/>
        </w:rPr>
        <w:t>（</w:t>
      </w:r>
      <w:r>
        <w:rPr>
          <w:rFonts w:ascii="宋体" w:hAnsi="宋体"/>
          <w:color w:val="auto"/>
        </w:rPr>
        <w:t>1</w:t>
      </w:r>
      <w:r>
        <w:rPr>
          <w:rFonts w:hint="eastAsia" w:ascii="宋体" w:hAnsi="宋体"/>
          <w:color w:val="auto"/>
        </w:rPr>
        <w:t>）形式评审标准：见评标办法前附表。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）资格评审标准：见评标办法前附表。</w:t>
      </w:r>
    </w:p>
    <w:p>
      <w:pPr>
        <w:keepNext w:val="0"/>
        <w:keepLines w:val="0"/>
        <w:pageBreakBefore w:val="0"/>
        <w:widowControl w:val="0"/>
        <w:kinsoku/>
        <w:wordWrap/>
        <w:overflowPunct/>
        <w:topLinePunct w:val="0"/>
        <w:autoSpaceDE/>
        <w:autoSpaceDN/>
        <w:bidi w:val="0"/>
        <w:adjustRightInd/>
        <w:snapToGrid/>
        <w:spacing w:line="380" w:lineRule="exact"/>
        <w:ind w:firstLine="525" w:firstLineChars="250"/>
        <w:textAlignment w:val="auto"/>
        <w:rPr>
          <w:rFonts w:ascii="宋体"/>
          <w:color w:val="auto"/>
        </w:rPr>
      </w:pPr>
      <w:r>
        <w:rPr>
          <w:rFonts w:ascii="宋体" w:hAnsi="宋体"/>
          <w:color w:val="auto"/>
        </w:rPr>
        <w:t xml:space="preserve">(3) </w:t>
      </w:r>
      <w:r>
        <w:rPr>
          <w:rFonts w:hint="eastAsia" w:ascii="宋体" w:hAnsi="宋体"/>
          <w:color w:val="auto"/>
        </w:rPr>
        <w:t>响应性评审标准：见评标办法前附表。</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宋体"/>
          <w:b/>
          <w:bCs/>
          <w:color w:val="auto"/>
        </w:rPr>
      </w:pPr>
      <w:r>
        <w:rPr>
          <w:rFonts w:ascii="宋体" w:hAnsi="宋体"/>
          <w:b/>
          <w:bCs/>
          <w:color w:val="auto"/>
        </w:rPr>
        <w:t>5.1.2</w:t>
      </w:r>
      <w:r>
        <w:rPr>
          <w:rFonts w:hint="eastAsia" w:ascii="宋体" w:hAnsi="宋体"/>
          <w:b/>
          <w:bCs/>
          <w:color w:val="auto"/>
        </w:rPr>
        <w:t>合理性评审标准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hint="eastAsia" w:ascii="宋体" w:hAnsi="宋体"/>
          <w:color w:val="auto"/>
        </w:rPr>
        <w:t>（</w:t>
      </w:r>
      <w:r>
        <w:rPr>
          <w:rFonts w:ascii="宋体" w:hAnsi="宋体"/>
          <w:color w:val="auto"/>
        </w:rPr>
        <w:t>1</w:t>
      </w:r>
      <w:r>
        <w:rPr>
          <w:rFonts w:hint="eastAsia" w:ascii="宋体" w:hAnsi="宋体"/>
          <w:color w:val="auto"/>
        </w:rPr>
        <w:t>）分值构成：见评标办法前附表。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）评分标准：见评标办法前附表。</w:t>
      </w:r>
      <w:bookmarkStart w:id="194" w:name="_Toc503433979"/>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3"/>
        <w:rPr>
          <w:rFonts w:ascii="宋体"/>
          <w:b/>
          <w:bCs/>
          <w:color w:val="auto"/>
        </w:rPr>
      </w:pPr>
      <w:r>
        <w:rPr>
          <w:rFonts w:ascii="宋体" w:hAnsi="宋体"/>
          <w:b/>
          <w:bCs/>
          <w:color w:val="auto"/>
        </w:rPr>
        <w:t xml:space="preserve">5.2 </w:t>
      </w:r>
      <w:r>
        <w:rPr>
          <w:rFonts w:hint="eastAsia" w:ascii="宋体" w:hAnsi="宋体"/>
          <w:b/>
          <w:bCs/>
          <w:color w:val="auto"/>
        </w:rPr>
        <w:t>评标程序</w:t>
      </w:r>
      <w:bookmarkEnd w:id="194"/>
      <w:bookmarkStart w:id="195" w:name="_Toc7046"/>
      <w:bookmarkEnd w:id="195"/>
      <w:bookmarkStart w:id="196" w:name="_Toc467679696"/>
      <w:bookmarkEnd w:id="196"/>
      <w:bookmarkStart w:id="197" w:name="_Toc484607371"/>
      <w:bookmarkEnd w:id="197"/>
      <w:bookmarkStart w:id="198" w:name="_Toc10496"/>
      <w:bookmarkEnd w:id="198"/>
      <w:bookmarkStart w:id="199" w:name="_Toc3321"/>
      <w:bookmarkEnd w:id="199"/>
      <w:bookmarkStart w:id="200" w:name="_Toc7351"/>
      <w:bookmarkEnd w:id="200"/>
      <w:bookmarkStart w:id="201" w:name="_Toc14584"/>
      <w:bookmarkEnd w:id="201"/>
      <w:bookmarkStart w:id="202" w:name="_Toc23716"/>
      <w:bookmarkEnd w:id="202"/>
      <w:bookmarkStart w:id="203" w:name="_Toc449530207"/>
      <w:bookmarkEnd w:id="203"/>
      <w:bookmarkStart w:id="204" w:name="_Toc8524"/>
      <w:bookmarkStart w:id="205" w:name="_Toc503433980"/>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宋体"/>
          <w:b/>
          <w:bCs/>
          <w:color w:val="auto"/>
        </w:rPr>
      </w:pPr>
      <w:r>
        <w:rPr>
          <w:rFonts w:ascii="宋体" w:hAnsi="宋体"/>
          <w:b/>
          <w:bCs/>
          <w:color w:val="auto"/>
        </w:rPr>
        <w:t>5.2</w:t>
      </w:r>
      <w:bookmarkEnd w:id="204"/>
      <w:r>
        <w:rPr>
          <w:rFonts w:ascii="宋体" w:hAnsi="宋体"/>
          <w:b/>
          <w:bCs/>
          <w:color w:val="auto"/>
        </w:rPr>
        <w:t xml:space="preserve">.1 </w:t>
      </w:r>
      <w:r>
        <w:rPr>
          <w:rFonts w:hint="eastAsia" w:ascii="宋体" w:hAnsi="宋体"/>
          <w:b/>
          <w:bCs/>
          <w:color w:val="auto"/>
        </w:rPr>
        <w:t>初步评审</w:t>
      </w:r>
      <w:bookmarkEnd w:id="205"/>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ascii="宋体" w:hAnsi="宋体"/>
          <w:color w:val="auto"/>
        </w:rPr>
        <w:t>5.2.1.1</w:t>
      </w:r>
      <w:r>
        <w:rPr>
          <w:rFonts w:hint="eastAsia" w:ascii="宋体" w:hAnsi="宋体"/>
          <w:color w:val="auto"/>
        </w:rPr>
        <w:t>评标委员会依据本章第</w:t>
      </w:r>
      <w:r>
        <w:rPr>
          <w:rFonts w:ascii="宋体" w:hAnsi="宋体"/>
          <w:color w:val="auto"/>
        </w:rPr>
        <w:t>5.1.1</w:t>
      </w:r>
      <w:r>
        <w:rPr>
          <w:rFonts w:hint="eastAsia" w:ascii="宋体" w:hAnsi="宋体"/>
          <w:color w:val="auto"/>
        </w:rPr>
        <w:t>项规定的标准对各投标文件进行初步评审。有一项不符合评审标准的属于重大偏差，作无效标处理。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ascii="宋体" w:hAnsi="宋体"/>
          <w:color w:val="auto"/>
        </w:rPr>
        <w:t xml:space="preserve">5.2.1.2 </w:t>
      </w:r>
      <w:r>
        <w:rPr>
          <w:rFonts w:hint="eastAsia" w:ascii="宋体" w:hAnsi="宋体"/>
          <w:color w:val="auto"/>
        </w:rPr>
        <w:t>细微偏差不影响投标文件的有效性：</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hint="eastAsia" w:ascii="宋体" w:hAnsi="宋体"/>
          <w:color w:val="auto"/>
        </w:rPr>
        <w:t>细微偏差是指投标文件在实质上响应招标文件要求，但个别地方存在漏项或者提供了不完整的技术信息和数据等情况，并且补正这些遗漏或者不完整不会对其他投标人造成不公平的结果。如投标文件中大写金额和小写金额不一致的，以大写金额为准；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宋体"/>
          <w:b/>
          <w:bCs/>
          <w:color w:val="auto"/>
        </w:rPr>
      </w:pPr>
      <w:r>
        <w:rPr>
          <w:rFonts w:ascii="宋体" w:hAnsi="宋体"/>
          <w:b/>
          <w:bCs/>
          <w:color w:val="auto"/>
        </w:rPr>
        <w:t>5.2.2</w:t>
      </w:r>
      <w:r>
        <w:rPr>
          <w:rFonts w:hint="eastAsia" w:ascii="宋体" w:hAnsi="宋体"/>
          <w:b/>
          <w:bCs/>
          <w:color w:val="auto"/>
        </w:rPr>
        <w:t>合理性评审</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hint="eastAsia" w:ascii="宋体" w:hAnsi="宋体"/>
          <w:color w:val="auto"/>
        </w:rPr>
        <w:t>（</w:t>
      </w:r>
      <w:r>
        <w:rPr>
          <w:rFonts w:ascii="宋体" w:hAnsi="宋体"/>
          <w:color w:val="auto"/>
        </w:rPr>
        <w:t>1</w:t>
      </w:r>
      <w:r>
        <w:rPr>
          <w:rFonts w:hint="eastAsia" w:ascii="宋体" w:hAnsi="宋体"/>
          <w:color w:val="auto"/>
        </w:rPr>
        <w:t>）评标委员会按本章第</w:t>
      </w:r>
      <w:r>
        <w:rPr>
          <w:rFonts w:ascii="宋体" w:hAnsi="宋体"/>
          <w:color w:val="auto"/>
        </w:rPr>
        <w:t>5.1.2</w:t>
      </w:r>
      <w:r>
        <w:rPr>
          <w:rFonts w:hint="eastAsia" w:ascii="宋体" w:hAnsi="宋体"/>
          <w:color w:val="auto"/>
        </w:rPr>
        <w:t>项规定的标准对各投标文件进行打分。</w:t>
      </w:r>
    </w:p>
    <w:p>
      <w:pPr>
        <w:keepNext w:val="0"/>
        <w:keepLines w:val="0"/>
        <w:pageBreakBefore w:val="0"/>
        <w:widowControl w:val="0"/>
        <w:kinsoku/>
        <w:wordWrap/>
        <w:overflowPunct/>
        <w:topLinePunct w:val="0"/>
        <w:autoSpaceDE/>
        <w:autoSpaceDN/>
        <w:bidi w:val="0"/>
        <w:adjustRightInd/>
        <w:snapToGrid/>
        <w:spacing w:line="380" w:lineRule="exact"/>
        <w:ind w:firstLine="411" w:firstLineChars="196"/>
        <w:textAlignment w:val="auto"/>
        <w:rPr>
          <w:rFonts w:ascii="宋体"/>
          <w:color w:val="auto"/>
        </w:rPr>
      </w:pPr>
      <w:r>
        <w:rPr>
          <w:rFonts w:hint="eastAsia" w:ascii="宋体" w:hAnsi="宋体"/>
          <w:color w:val="auto"/>
        </w:rPr>
        <w:t>（</w:t>
      </w:r>
      <w:r>
        <w:rPr>
          <w:rFonts w:ascii="宋体" w:hAnsi="宋体"/>
          <w:color w:val="auto"/>
        </w:rPr>
        <w:t>2</w:t>
      </w:r>
      <w:r>
        <w:rPr>
          <w:rFonts w:hint="eastAsia" w:ascii="宋体" w:hAnsi="宋体"/>
          <w:color w:val="auto"/>
        </w:rPr>
        <w:t>）计分过程按四舍五入取至小数点后三位，最终得分取至小数点后两位。</w:t>
      </w:r>
    </w:p>
    <w:p>
      <w:pPr>
        <w:keepNext w:val="0"/>
        <w:keepLines w:val="0"/>
        <w:pageBreakBefore w:val="0"/>
        <w:widowControl w:val="0"/>
        <w:kinsoku/>
        <w:wordWrap/>
        <w:overflowPunct/>
        <w:topLinePunct w:val="0"/>
        <w:autoSpaceDE/>
        <w:autoSpaceDN/>
        <w:bidi w:val="0"/>
        <w:adjustRightInd/>
        <w:snapToGrid/>
        <w:spacing w:line="380" w:lineRule="exact"/>
        <w:ind w:firstLine="411" w:firstLineChars="196"/>
        <w:textAlignment w:val="auto"/>
        <w:rPr>
          <w:rFonts w:ascii="宋体"/>
          <w:color w:val="auto"/>
        </w:rPr>
      </w:pPr>
      <w:r>
        <w:rPr>
          <w:rFonts w:hint="eastAsia" w:ascii="宋体" w:hAnsi="宋体"/>
          <w:color w:val="auto"/>
        </w:rPr>
        <w:t>（</w:t>
      </w:r>
      <w:r>
        <w:rPr>
          <w:rFonts w:ascii="宋体" w:hAnsi="宋体"/>
          <w:color w:val="auto"/>
        </w:rPr>
        <w:t>3</w:t>
      </w:r>
      <w:r>
        <w:rPr>
          <w:rFonts w:hint="eastAsia" w:ascii="宋体" w:hAnsi="宋体"/>
          <w:color w:val="auto"/>
        </w:rPr>
        <w:t>）评标委员会成员有意见分歧的，以少数服从多数得出结论。</w:t>
      </w:r>
    </w:p>
    <w:p>
      <w:pPr>
        <w:keepNext w:val="0"/>
        <w:keepLines w:val="0"/>
        <w:pageBreakBefore w:val="0"/>
        <w:widowControl w:val="0"/>
        <w:kinsoku/>
        <w:wordWrap/>
        <w:overflowPunct/>
        <w:topLinePunct w:val="0"/>
        <w:autoSpaceDE/>
        <w:autoSpaceDN/>
        <w:bidi w:val="0"/>
        <w:adjustRightInd/>
        <w:snapToGrid/>
        <w:spacing w:line="380" w:lineRule="exact"/>
        <w:ind w:firstLine="411" w:firstLineChars="196"/>
        <w:textAlignment w:val="auto"/>
        <w:rPr>
          <w:rFonts w:ascii="宋体"/>
          <w:color w:val="auto"/>
        </w:rPr>
      </w:pPr>
      <w:r>
        <w:rPr>
          <w:rFonts w:hint="eastAsia" w:ascii="宋体" w:hAnsi="宋体"/>
          <w:color w:val="auto"/>
        </w:rPr>
        <w:t>评标委员会根据招标文件、投标文件，按照评分办法统一认定投标人的客观分值，加上评委个人主观分值，得出每个评委对各个投标人的商务标、技术标评标分数。所有评委对同一投标人商务标、技术标打分的算术平均值，即为该投标人的商务标、技术标最终得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hint="eastAsia" w:ascii="宋体" w:hAnsi="宋体"/>
          <w:color w:val="auto"/>
        </w:rPr>
        <w:t>投标人的技术标和商务标最终得分之和≥</w:t>
      </w:r>
      <w:r>
        <w:rPr>
          <w:rFonts w:ascii="宋体" w:hAnsi="宋体"/>
          <w:color w:val="auto"/>
        </w:rPr>
        <w:t>70</w:t>
      </w:r>
      <w:r>
        <w:rPr>
          <w:rFonts w:hint="eastAsia" w:ascii="宋体" w:hAnsi="宋体"/>
          <w:color w:val="auto"/>
        </w:rPr>
        <w:t>分</w:t>
      </w:r>
      <w:r>
        <w:rPr>
          <w:rFonts w:ascii="宋体" w:hAnsi="宋体"/>
          <w:color w:val="auto"/>
        </w:rPr>
        <w:t xml:space="preserve"> (</w:t>
      </w:r>
      <w:r>
        <w:rPr>
          <w:rFonts w:hint="eastAsia" w:ascii="宋体" w:hAnsi="宋体"/>
          <w:color w:val="auto"/>
        </w:rPr>
        <w:t>其中技术标最终得分≥</w:t>
      </w:r>
      <w:r>
        <w:rPr>
          <w:rFonts w:ascii="宋体" w:hAnsi="宋体"/>
          <w:color w:val="auto"/>
        </w:rPr>
        <w:t>40</w:t>
      </w:r>
      <w:r>
        <w:rPr>
          <w:rFonts w:hint="eastAsia" w:ascii="宋体" w:hAnsi="宋体"/>
          <w:color w:val="auto"/>
        </w:rPr>
        <w:t>分、商务标最终得分≥</w:t>
      </w:r>
      <w:r>
        <w:rPr>
          <w:rFonts w:ascii="宋体" w:hAnsi="宋体"/>
          <w:color w:val="auto"/>
        </w:rPr>
        <w:t>20</w:t>
      </w:r>
      <w:r>
        <w:rPr>
          <w:rFonts w:hint="eastAsia" w:ascii="宋体" w:hAnsi="宋体"/>
          <w:color w:val="auto"/>
        </w:rPr>
        <w:t>分</w:t>
      </w:r>
      <w:r>
        <w:rPr>
          <w:rFonts w:ascii="宋体" w:hAnsi="宋体"/>
          <w:color w:val="auto"/>
        </w:rPr>
        <w:t xml:space="preserve">) </w:t>
      </w:r>
      <w:r>
        <w:rPr>
          <w:rFonts w:hint="eastAsia" w:ascii="宋体" w:hAnsi="宋体"/>
          <w:color w:val="auto"/>
        </w:rPr>
        <w:t>时，评标委员会做出“可行”认定，通过合理性评审，否则，评标委员会做出“不可行”认定，不再进入下一步评审；</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hint="eastAsia" w:ascii="宋体" w:hAnsi="宋体"/>
          <w:color w:val="auto"/>
        </w:rPr>
        <w:t>通过初步评审、合理性评审的投标文件进入合理低价中标法评审。</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3"/>
        <w:rPr>
          <w:rFonts w:ascii="宋体"/>
          <w:b/>
          <w:bCs/>
          <w:color w:val="auto"/>
        </w:rPr>
      </w:pPr>
      <w:bookmarkStart w:id="206" w:name="_Toc370458174"/>
      <w:bookmarkEnd w:id="206"/>
      <w:r>
        <w:rPr>
          <w:rFonts w:ascii="宋体" w:hAnsi="宋体"/>
          <w:b/>
          <w:bCs/>
          <w:color w:val="auto"/>
        </w:rPr>
        <w:t>5.3</w:t>
      </w:r>
      <w:r>
        <w:rPr>
          <w:rFonts w:hint="eastAsia" w:ascii="宋体" w:hAnsi="宋体"/>
          <w:b/>
          <w:bCs/>
          <w:color w:val="auto"/>
        </w:rPr>
        <w:t>合理低价中标法</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hint="eastAsia" w:ascii="宋体" w:hAnsi="宋体"/>
          <w:color w:val="auto"/>
        </w:rPr>
        <w:t>合理低价中标法是在招标人可接受的合理投标价范围内，选择通过初步评审、合理性评审的有限低价的投标人为中标人。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2"/>
        <w:rPr>
          <w:rFonts w:ascii="宋体"/>
          <w:color w:val="auto"/>
        </w:rPr>
      </w:pPr>
      <w:bookmarkStart w:id="207" w:name="_Toc503873698"/>
      <w:bookmarkStart w:id="208" w:name="_Toc503433981"/>
      <w:r>
        <w:rPr>
          <w:rFonts w:hint="eastAsia" w:ascii="宋体" w:hAnsi="宋体"/>
          <w:color w:val="auto"/>
        </w:rPr>
        <w:t>若通过初步评审、合理性评审的投标人只有</w:t>
      </w:r>
      <w:r>
        <w:rPr>
          <w:rFonts w:ascii="宋体" w:hAnsi="宋体"/>
          <w:color w:val="auto"/>
        </w:rPr>
        <w:t>1</w:t>
      </w:r>
      <w:r>
        <w:rPr>
          <w:rFonts w:hint="eastAsia" w:ascii="宋体" w:hAnsi="宋体"/>
          <w:color w:val="auto"/>
        </w:rPr>
        <w:t>家时，则可以直接推荐为中标候选人；若通过资格审查、初步评审、合理性评审的投标人（以下称“有效投标人”）在</w:t>
      </w:r>
      <w:r>
        <w:rPr>
          <w:rFonts w:ascii="宋体" w:hAnsi="宋体"/>
          <w:color w:val="auto"/>
        </w:rPr>
        <w:t>2</w:t>
      </w:r>
      <w:r>
        <w:rPr>
          <w:rFonts w:hint="eastAsia" w:ascii="宋体" w:hAnsi="宋体"/>
          <w:color w:val="auto"/>
        </w:rPr>
        <w:t>家以上时（含</w:t>
      </w:r>
      <w:r>
        <w:rPr>
          <w:rFonts w:ascii="宋体" w:hAnsi="宋体"/>
          <w:color w:val="auto"/>
        </w:rPr>
        <w:t>2</w:t>
      </w:r>
      <w:r>
        <w:rPr>
          <w:rFonts w:hint="eastAsia" w:ascii="宋体" w:hAnsi="宋体"/>
          <w:color w:val="auto"/>
        </w:rPr>
        <w:t>家），按照以下步骤和标准进行评审，并向招标人推荐</w:t>
      </w:r>
      <w:r>
        <w:rPr>
          <w:rFonts w:ascii="宋体" w:hAnsi="宋体"/>
          <w:color w:val="auto"/>
        </w:rPr>
        <w:t>1</w:t>
      </w:r>
      <w:r>
        <w:rPr>
          <w:rFonts w:hint="eastAsia" w:ascii="宋体" w:hAnsi="宋体"/>
          <w:color w:val="auto"/>
        </w:rPr>
        <w:t>至</w:t>
      </w:r>
      <w:r>
        <w:rPr>
          <w:rFonts w:ascii="宋体" w:hAnsi="宋体"/>
          <w:color w:val="auto"/>
        </w:rPr>
        <w:t>3</w:t>
      </w:r>
      <w:r>
        <w:rPr>
          <w:rFonts w:hint="eastAsia" w:ascii="宋体" w:hAnsi="宋体"/>
          <w:color w:val="auto"/>
        </w:rPr>
        <w:t>名中标候选人。</w:t>
      </w:r>
      <w:bookmarkEnd w:id="207"/>
      <w:bookmarkEnd w:id="208"/>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ascii="宋体" w:hAnsi="宋体"/>
          <w:color w:val="auto"/>
        </w:rPr>
        <w:t>5.3.1</w:t>
      </w:r>
      <w:r>
        <w:rPr>
          <w:rFonts w:hint="eastAsia" w:ascii="宋体" w:hAnsi="宋体"/>
          <w:color w:val="auto"/>
        </w:rPr>
        <w:t>招标控制价作为约束投标报价的上限。</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ascii="宋体" w:hAnsi="宋体"/>
          <w:color w:val="auto"/>
        </w:rPr>
        <w:t xml:space="preserve">5.3.2 </w:t>
      </w:r>
      <w:r>
        <w:rPr>
          <w:rFonts w:hint="eastAsia" w:ascii="宋体" w:hAnsi="宋体"/>
          <w:color w:val="auto"/>
        </w:rPr>
        <w:t>评标基准价计算方法：</w:t>
      </w:r>
      <w:r>
        <w:rPr>
          <w:rFonts w:ascii="宋体" w:hAnsi="宋体"/>
          <w:color w:val="auto"/>
        </w:rPr>
        <w:t>C=</w:t>
      </w:r>
      <w:r>
        <w:rPr>
          <w:rFonts w:hint="eastAsia" w:ascii="宋体" w:hAnsi="宋体"/>
          <w:color w:val="auto"/>
        </w:rPr>
        <w:t>（</w:t>
      </w:r>
      <w:r>
        <w:rPr>
          <w:rFonts w:ascii="宋体" w:hAnsi="宋体"/>
          <w:color w:val="auto"/>
        </w:rPr>
        <w:t>A</w:t>
      </w:r>
      <w:r>
        <w:rPr>
          <w:rFonts w:hint="eastAsia" w:ascii="宋体" w:hAnsi="宋体"/>
          <w:color w:val="auto"/>
        </w:rPr>
        <w:t>×γ</w:t>
      </w:r>
      <w:r>
        <w:rPr>
          <w:rFonts w:ascii="宋体" w:hAnsi="宋体"/>
          <w:color w:val="auto"/>
        </w:rPr>
        <w:t>+B</w:t>
      </w:r>
      <w:r>
        <w:rPr>
          <w:rFonts w:hint="eastAsia" w:ascii="宋体" w:hAnsi="宋体"/>
          <w:color w:val="auto"/>
        </w:rPr>
        <w:t>×δ）</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ascii="宋体" w:hAnsi="宋体"/>
          <w:color w:val="auto"/>
        </w:rPr>
        <w:t xml:space="preserve">A= </w:t>
      </w:r>
      <w:r>
        <w:rPr>
          <w:rFonts w:hint="eastAsia" w:ascii="宋体" w:hAnsi="宋体"/>
          <w:color w:val="auto"/>
        </w:rPr>
        <w:t>招标控制价×（</w:t>
      </w:r>
      <w:r>
        <w:rPr>
          <w:rFonts w:ascii="宋体" w:hAnsi="宋体"/>
          <w:color w:val="auto"/>
        </w:rPr>
        <w:t>1-</w:t>
      </w:r>
      <w:r>
        <w:rPr>
          <w:rFonts w:hint="eastAsia" w:ascii="宋体" w:hAnsi="宋体"/>
          <w:color w:val="auto"/>
        </w:rPr>
        <w:t>α）（</w:t>
      </w:r>
      <w:r>
        <w:rPr>
          <w:rFonts w:ascii="宋体" w:hAnsi="宋体"/>
          <w:color w:val="auto"/>
        </w:rPr>
        <w:t>1-</w:t>
      </w:r>
      <w:r>
        <w:rPr>
          <w:rFonts w:hint="eastAsia" w:ascii="宋体" w:hAnsi="宋体"/>
          <w:color w:val="auto"/>
        </w:rPr>
        <w:t>β）</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hint="eastAsia" w:ascii="宋体" w:hAnsi="宋体"/>
          <w:color w:val="auto"/>
        </w:rPr>
        <w:t>α、β为招标控制价调整系数，α、β产生办法：</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hint="eastAsia" w:ascii="宋体" w:hAnsi="宋体"/>
          <w:color w:val="auto"/>
        </w:rPr>
        <w:t>第一阶段，抽取计算α值。确定方法为：开标现场在主持人的主持和监督人的监督下，由</w:t>
      </w:r>
      <w:r>
        <w:rPr>
          <w:rFonts w:ascii="宋体" w:hAnsi="宋体"/>
          <w:color w:val="auto"/>
        </w:rPr>
        <w:t>3</w:t>
      </w:r>
      <w:r>
        <w:rPr>
          <w:rFonts w:hint="eastAsia" w:ascii="宋体" w:hAnsi="宋体"/>
          <w:color w:val="auto"/>
        </w:rPr>
        <w:t>名投标人代表从</w:t>
      </w:r>
      <w:r>
        <w:rPr>
          <w:rFonts w:ascii="宋体" w:hAnsi="宋体"/>
          <w:color w:val="auto"/>
        </w:rPr>
        <w:t>2.0%</w:t>
      </w:r>
      <w:r>
        <w:rPr>
          <w:rFonts w:hint="eastAsia" w:ascii="宋体" w:hAnsi="宋体"/>
          <w:color w:val="auto"/>
        </w:rPr>
        <w:t>、</w:t>
      </w:r>
      <w:r>
        <w:rPr>
          <w:rFonts w:ascii="宋体" w:hAnsi="宋体"/>
          <w:color w:val="auto"/>
        </w:rPr>
        <w:t>2.25%</w:t>
      </w:r>
      <w:r>
        <w:rPr>
          <w:rFonts w:hint="eastAsia" w:ascii="宋体" w:hAnsi="宋体"/>
          <w:color w:val="auto"/>
        </w:rPr>
        <w:t>、</w:t>
      </w:r>
      <w:r>
        <w:rPr>
          <w:rFonts w:ascii="宋体" w:hAnsi="宋体"/>
          <w:color w:val="auto"/>
        </w:rPr>
        <w:t>2.5%</w:t>
      </w:r>
      <w:r>
        <w:rPr>
          <w:rFonts w:hint="eastAsia" w:ascii="宋体" w:hAnsi="宋体"/>
          <w:color w:val="auto"/>
        </w:rPr>
        <w:t>、</w:t>
      </w:r>
      <w:r>
        <w:rPr>
          <w:rFonts w:ascii="宋体" w:hAnsi="宋体"/>
          <w:color w:val="auto"/>
        </w:rPr>
        <w:t>2.75%</w:t>
      </w:r>
      <w:r>
        <w:rPr>
          <w:rFonts w:hint="eastAsia" w:ascii="宋体" w:hAnsi="宋体"/>
          <w:color w:val="auto"/>
        </w:rPr>
        <w:t>、</w:t>
      </w:r>
      <w:r>
        <w:rPr>
          <w:rFonts w:ascii="宋体" w:hAnsi="宋体"/>
          <w:color w:val="auto"/>
        </w:rPr>
        <w:t>3.0%</w:t>
      </w:r>
      <w:r>
        <w:rPr>
          <w:rFonts w:hint="eastAsia" w:ascii="宋体" w:hAnsi="宋体"/>
          <w:color w:val="auto"/>
        </w:rPr>
        <w:t>、</w:t>
      </w:r>
      <w:r>
        <w:rPr>
          <w:rFonts w:ascii="宋体" w:hAnsi="宋体"/>
          <w:color w:val="auto"/>
        </w:rPr>
        <w:t>3.25%</w:t>
      </w:r>
      <w:r>
        <w:rPr>
          <w:rFonts w:hint="eastAsia" w:ascii="宋体" w:hAnsi="宋体"/>
          <w:color w:val="auto"/>
        </w:rPr>
        <w:t>、</w:t>
      </w:r>
      <w:r>
        <w:rPr>
          <w:rFonts w:ascii="宋体" w:hAnsi="宋体"/>
          <w:color w:val="auto"/>
        </w:rPr>
        <w:t>3.5%</w:t>
      </w:r>
      <w:r>
        <w:rPr>
          <w:rFonts w:hint="eastAsia" w:ascii="宋体" w:hAnsi="宋体"/>
          <w:color w:val="auto"/>
        </w:rPr>
        <w:t>、</w:t>
      </w:r>
      <w:r>
        <w:rPr>
          <w:rFonts w:ascii="宋体" w:hAnsi="宋体"/>
          <w:color w:val="auto"/>
        </w:rPr>
        <w:t>3.75%</w:t>
      </w:r>
      <w:r>
        <w:rPr>
          <w:rFonts w:hint="eastAsia" w:ascii="宋体" w:hAnsi="宋体"/>
          <w:color w:val="auto"/>
        </w:rPr>
        <w:t>、</w:t>
      </w:r>
      <w:r>
        <w:rPr>
          <w:rFonts w:ascii="宋体" w:hAnsi="宋体"/>
          <w:color w:val="auto"/>
        </w:rPr>
        <w:t>4.0%</w:t>
      </w:r>
      <w:r>
        <w:rPr>
          <w:rFonts w:hint="eastAsia" w:ascii="宋体" w:hAnsi="宋体"/>
          <w:color w:val="auto"/>
        </w:rPr>
        <w:t>这</w:t>
      </w:r>
      <w:r>
        <w:rPr>
          <w:rFonts w:ascii="宋体" w:hAnsi="宋体"/>
          <w:color w:val="auto"/>
        </w:rPr>
        <w:t>9</w:t>
      </w:r>
      <w:r>
        <w:rPr>
          <w:rFonts w:hint="eastAsia" w:ascii="宋体" w:hAnsi="宋体"/>
          <w:color w:val="auto"/>
        </w:rPr>
        <w:t>个数值中随机抽取</w:t>
      </w:r>
      <w:r>
        <w:rPr>
          <w:rFonts w:ascii="宋体" w:hAnsi="宋体"/>
          <w:color w:val="auto"/>
        </w:rPr>
        <w:t>3</w:t>
      </w:r>
      <w:r>
        <w:rPr>
          <w:rFonts w:hint="eastAsia" w:ascii="宋体" w:hAnsi="宋体"/>
          <w:color w:val="auto"/>
        </w:rPr>
        <w:t>个数值的算术平均值。</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hint="eastAsia" w:ascii="宋体" w:hAnsi="宋体"/>
          <w:color w:val="auto"/>
        </w:rPr>
        <w:t>第二阶段，抽取计算β值。开标现场在主持人的主持和监督人监督下，由</w:t>
      </w:r>
      <w:r>
        <w:rPr>
          <w:rFonts w:ascii="宋体" w:hAnsi="宋体"/>
          <w:color w:val="auto"/>
        </w:rPr>
        <w:t>3</w:t>
      </w:r>
      <w:r>
        <w:rPr>
          <w:rFonts w:hint="eastAsia" w:ascii="宋体" w:hAnsi="宋体"/>
          <w:color w:val="auto"/>
        </w:rPr>
        <w:t>名投标人代表从</w:t>
      </w:r>
      <w:r>
        <w:rPr>
          <w:rFonts w:ascii="宋体" w:hAnsi="宋体"/>
          <w:color w:val="auto"/>
        </w:rPr>
        <w:t>3.0%</w:t>
      </w:r>
      <w:r>
        <w:rPr>
          <w:rFonts w:hint="eastAsia" w:ascii="宋体" w:hAnsi="宋体"/>
          <w:color w:val="auto"/>
        </w:rPr>
        <w:t>、</w:t>
      </w:r>
      <w:r>
        <w:rPr>
          <w:rFonts w:ascii="宋体" w:hAnsi="宋体"/>
          <w:color w:val="auto"/>
        </w:rPr>
        <w:t>3.25%</w:t>
      </w:r>
      <w:r>
        <w:rPr>
          <w:rFonts w:hint="eastAsia" w:ascii="宋体" w:hAnsi="宋体"/>
          <w:color w:val="auto"/>
        </w:rPr>
        <w:t>、</w:t>
      </w:r>
      <w:r>
        <w:rPr>
          <w:rFonts w:ascii="宋体" w:hAnsi="宋体"/>
          <w:color w:val="auto"/>
        </w:rPr>
        <w:t>3.5%</w:t>
      </w:r>
      <w:r>
        <w:rPr>
          <w:rFonts w:hint="eastAsia" w:ascii="宋体" w:hAnsi="宋体"/>
          <w:color w:val="auto"/>
        </w:rPr>
        <w:t>、</w:t>
      </w:r>
      <w:r>
        <w:rPr>
          <w:rFonts w:ascii="宋体" w:hAnsi="宋体"/>
          <w:color w:val="auto"/>
        </w:rPr>
        <w:t>3.75%</w:t>
      </w:r>
      <w:r>
        <w:rPr>
          <w:rFonts w:hint="eastAsia" w:ascii="宋体" w:hAnsi="宋体"/>
          <w:color w:val="auto"/>
        </w:rPr>
        <w:t>、</w:t>
      </w:r>
      <w:r>
        <w:rPr>
          <w:rFonts w:ascii="宋体" w:hAnsi="宋体"/>
          <w:color w:val="auto"/>
        </w:rPr>
        <w:t>4.0%</w:t>
      </w:r>
      <w:r>
        <w:rPr>
          <w:rFonts w:hint="eastAsia" w:ascii="宋体" w:hAnsi="宋体"/>
          <w:color w:val="auto"/>
        </w:rPr>
        <w:t>、</w:t>
      </w:r>
      <w:r>
        <w:rPr>
          <w:rFonts w:ascii="宋体" w:hAnsi="宋体"/>
          <w:color w:val="auto"/>
        </w:rPr>
        <w:t>4.25%</w:t>
      </w:r>
      <w:r>
        <w:rPr>
          <w:rFonts w:hint="eastAsia" w:ascii="宋体" w:hAnsi="宋体"/>
          <w:color w:val="auto"/>
        </w:rPr>
        <w:t>、</w:t>
      </w:r>
      <w:r>
        <w:rPr>
          <w:rFonts w:ascii="宋体" w:hAnsi="宋体"/>
          <w:color w:val="auto"/>
        </w:rPr>
        <w:t>4.5%</w:t>
      </w:r>
      <w:r>
        <w:rPr>
          <w:rFonts w:hint="eastAsia" w:ascii="宋体" w:hAnsi="宋体"/>
          <w:color w:val="auto"/>
        </w:rPr>
        <w:t>、</w:t>
      </w:r>
      <w:r>
        <w:rPr>
          <w:rFonts w:ascii="宋体" w:hAnsi="宋体"/>
          <w:color w:val="auto"/>
        </w:rPr>
        <w:t>4.75%</w:t>
      </w:r>
      <w:r>
        <w:rPr>
          <w:rFonts w:hint="eastAsia" w:ascii="宋体" w:hAnsi="宋体"/>
          <w:color w:val="auto"/>
        </w:rPr>
        <w:t>、</w:t>
      </w:r>
      <w:r>
        <w:rPr>
          <w:rFonts w:ascii="宋体" w:hAnsi="宋体"/>
          <w:color w:val="auto"/>
        </w:rPr>
        <w:t>5.0%</w:t>
      </w:r>
      <w:r>
        <w:rPr>
          <w:rFonts w:hint="eastAsia" w:ascii="宋体" w:hAnsi="宋体"/>
          <w:color w:val="auto"/>
        </w:rPr>
        <w:t>、</w:t>
      </w:r>
      <w:r>
        <w:rPr>
          <w:rFonts w:ascii="宋体" w:hAnsi="宋体"/>
          <w:color w:val="auto"/>
        </w:rPr>
        <w:t>5.25%</w:t>
      </w:r>
      <w:r>
        <w:rPr>
          <w:rFonts w:hint="eastAsia" w:ascii="宋体" w:hAnsi="宋体"/>
          <w:color w:val="auto"/>
        </w:rPr>
        <w:t>、</w:t>
      </w:r>
      <w:r>
        <w:rPr>
          <w:rFonts w:ascii="宋体" w:hAnsi="宋体"/>
          <w:color w:val="auto"/>
        </w:rPr>
        <w:t>5.5%</w:t>
      </w:r>
      <w:r>
        <w:rPr>
          <w:rFonts w:hint="eastAsia" w:ascii="宋体" w:hAnsi="宋体"/>
          <w:color w:val="auto"/>
        </w:rPr>
        <w:t>、</w:t>
      </w:r>
      <w:r>
        <w:rPr>
          <w:rFonts w:ascii="宋体" w:hAnsi="宋体"/>
          <w:color w:val="auto"/>
        </w:rPr>
        <w:t>5.75%</w:t>
      </w:r>
      <w:r>
        <w:rPr>
          <w:rFonts w:hint="eastAsia" w:ascii="宋体" w:hAnsi="宋体"/>
          <w:color w:val="auto"/>
        </w:rPr>
        <w:t>、</w:t>
      </w:r>
      <w:r>
        <w:rPr>
          <w:rFonts w:ascii="宋体" w:hAnsi="宋体"/>
          <w:color w:val="auto"/>
        </w:rPr>
        <w:t>6.0%</w:t>
      </w:r>
      <w:r>
        <w:rPr>
          <w:rFonts w:hint="eastAsia" w:ascii="宋体" w:hAnsi="宋体"/>
          <w:color w:val="auto"/>
        </w:rPr>
        <w:t>这</w:t>
      </w:r>
      <w:r>
        <w:rPr>
          <w:rFonts w:ascii="宋体" w:hAnsi="宋体"/>
          <w:color w:val="auto"/>
        </w:rPr>
        <w:t>13</w:t>
      </w:r>
      <w:r>
        <w:rPr>
          <w:rFonts w:hint="eastAsia" w:ascii="宋体" w:hAnsi="宋体"/>
          <w:color w:val="auto"/>
        </w:rPr>
        <w:t>个数值中随机抽取</w:t>
      </w:r>
      <w:r>
        <w:rPr>
          <w:rFonts w:ascii="宋体" w:hAnsi="宋体"/>
          <w:color w:val="auto"/>
        </w:rPr>
        <w:t>3</w:t>
      </w:r>
      <w:r>
        <w:rPr>
          <w:rFonts w:hint="eastAsia" w:ascii="宋体" w:hAnsi="宋体"/>
          <w:color w:val="auto"/>
        </w:rPr>
        <w:t>个数值的算术平均值。</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ascii="宋体" w:hAnsi="宋体"/>
          <w:color w:val="auto"/>
        </w:rPr>
        <w:t>B=</w:t>
      </w:r>
      <w:r>
        <w:rPr>
          <w:rFonts w:hint="eastAsia" w:ascii="宋体" w:hAnsi="宋体"/>
          <w:color w:val="auto"/>
        </w:rPr>
        <w:t>在招标控制价</w:t>
      </w:r>
      <w:r>
        <w:rPr>
          <w:rFonts w:ascii="宋体" w:hAnsi="宋体"/>
          <w:color w:val="auto"/>
        </w:rPr>
        <w:t>100%</w:t>
      </w:r>
      <w:r>
        <w:rPr>
          <w:rFonts w:hint="eastAsia" w:ascii="宋体" w:hAnsi="宋体"/>
          <w:color w:val="auto"/>
        </w:rPr>
        <w:t>～</w:t>
      </w:r>
      <w:r>
        <w:rPr>
          <w:rFonts w:ascii="宋体" w:hAnsi="宋体"/>
          <w:color w:val="auto"/>
        </w:rPr>
        <w:t>93%</w:t>
      </w:r>
      <w:r>
        <w:rPr>
          <w:rFonts w:hint="eastAsia" w:ascii="宋体" w:hAnsi="宋体"/>
          <w:color w:val="auto"/>
        </w:rPr>
        <w:t>（含</w:t>
      </w:r>
      <w:r>
        <w:rPr>
          <w:rFonts w:ascii="宋体" w:hAnsi="宋体"/>
          <w:color w:val="auto"/>
        </w:rPr>
        <w:t>100%</w:t>
      </w:r>
      <w:r>
        <w:rPr>
          <w:rFonts w:hint="eastAsia" w:ascii="宋体" w:hAnsi="宋体"/>
          <w:color w:val="auto"/>
        </w:rPr>
        <w:t>、</w:t>
      </w:r>
      <w:r>
        <w:rPr>
          <w:rFonts w:ascii="宋体" w:hAnsi="宋体"/>
          <w:color w:val="auto"/>
        </w:rPr>
        <w:t>93%</w:t>
      </w:r>
      <w:r>
        <w:rPr>
          <w:rFonts w:hint="eastAsia" w:ascii="宋体" w:hAnsi="宋体"/>
          <w:color w:val="auto"/>
        </w:rPr>
        <w:t>）范围内的有效投标人报价的算术平均值。</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hint="eastAsia" w:ascii="宋体" w:hAnsi="宋体"/>
          <w:color w:val="auto"/>
        </w:rPr>
        <w:t>γ</w:t>
      </w:r>
      <w:r>
        <w:rPr>
          <w:rFonts w:ascii="宋体"/>
          <w:color w:val="auto"/>
        </w:rPr>
        <w:t>-</w:t>
      </w:r>
      <w:r>
        <w:rPr>
          <w:rFonts w:hint="eastAsia" w:ascii="宋体" w:hAnsi="宋体"/>
          <w:color w:val="auto"/>
        </w:rPr>
        <w:t>为</w:t>
      </w:r>
      <w:r>
        <w:rPr>
          <w:rFonts w:ascii="宋体" w:hAnsi="宋体"/>
          <w:color w:val="auto"/>
        </w:rPr>
        <w:t>A</w:t>
      </w:r>
      <w:r>
        <w:rPr>
          <w:rFonts w:hint="eastAsia" w:ascii="宋体" w:hAnsi="宋体"/>
          <w:color w:val="auto"/>
        </w:rPr>
        <w:t>值的权重系数，γ的取值范围为</w:t>
      </w:r>
      <w:r>
        <w:rPr>
          <w:rFonts w:ascii="宋体" w:hAnsi="宋体"/>
          <w:color w:val="auto"/>
        </w:rPr>
        <w:t>0.4</w:t>
      </w:r>
      <w:r>
        <w:rPr>
          <w:rFonts w:hint="eastAsia" w:ascii="宋体" w:hAnsi="宋体"/>
          <w:color w:val="auto"/>
        </w:rPr>
        <w:t>、</w:t>
      </w:r>
      <w:r>
        <w:rPr>
          <w:rFonts w:ascii="宋体" w:hAnsi="宋体"/>
          <w:color w:val="auto"/>
        </w:rPr>
        <w:t>0.5</w:t>
      </w:r>
      <w:r>
        <w:rPr>
          <w:rFonts w:hint="eastAsia" w:ascii="宋体" w:hAnsi="宋体"/>
          <w:color w:val="auto"/>
        </w:rPr>
        <w:t>、</w:t>
      </w:r>
      <w:r>
        <w:rPr>
          <w:rFonts w:ascii="宋体" w:hAnsi="宋体"/>
          <w:color w:val="auto"/>
        </w:rPr>
        <w:t>0.6</w:t>
      </w:r>
      <w:r>
        <w:rPr>
          <w:rFonts w:hint="eastAsia" w:ascii="宋体" w:hAnsi="宋体"/>
          <w:color w:val="auto"/>
        </w:rPr>
        <w:t>共</w:t>
      </w:r>
      <w:r>
        <w:rPr>
          <w:rFonts w:ascii="宋体" w:hAnsi="宋体"/>
          <w:color w:val="auto"/>
        </w:rPr>
        <w:t>3</w:t>
      </w:r>
      <w:r>
        <w:rPr>
          <w:rFonts w:hint="eastAsia" w:ascii="宋体" w:hAnsi="宋体"/>
          <w:color w:val="auto"/>
        </w:rPr>
        <w:t>个数，当有效投标人在</w:t>
      </w:r>
      <w:r>
        <w:rPr>
          <w:rFonts w:ascii="宋体" w:hAnsi="宋体"/>
          <w:color w:val="auto"/>
        </w:rPr>
        <w:t>5</w:t>
      </w:r>
      <w:r>
        <w:rPr>
          <w:rFonts w:hint="eastAsia" w:ascii="宋体" w:hAnsi="宋体"/>
          <w:color w:val="auto"/>
        </w:rPr>
        <w:t>家以下（含</w:t>
      </w:r>
      <w:r>
        <w:rPr>
          <w:rFonts w:ascii="宋体" w:hAnsi="宋体"/>
          <w:color w:val="auto"/>
        </w:rPr>
        <w:t>5</w:t>
      </w:r>
      <w:r>
        <w:rPr>
          <w:rFonts w:hint="eastAsia" w:ascii="宋体" w:hAnsi="宋体"/>
          <w:color w:val="auto"/>
        </w:rPr>
        <w:t>家）时，取γ</w:t>
      </w:r>
      <w:r>
        <w:rPr>
          <w:rFonts w:ascii="宋体" w:hAnsi="宋体"/>
          <w:color w:val="auto"/>
        </w:rPr>
        <w:t>=0.6</w:t>
      </w:r>
      <w:r>
        <w:rPr>
          <w:rFonts w:hint="eastAsia" w:ascii="宋体" w:hAnsi="宋体"/>
          <w:color w:val="auto"/>
        </w:rPr>
        <w:t>；当有效投标人在</w:t>
      </w:r>
      <w:r>
        <w:rPr>
          <w:rFonts w:ascii="宋体" w:hAnsi="宋体"/>
          <w:color w:val="auto"/>
        </w:rPr>
        <w:t>6—9</w:t>
      </w:r>
      <w:r>
        <w:rPr>
          <w:rFonts w:hint="eastAsia" w:ascii="宋体" w:hAnsi="宋体"/>
          <w:color w:val="auto"/>
        </w:rPr>
        <w:t>家时，取γ</w:t>
      </w:r>
      <w:r>
        <w:rPr>
          <w:rFonts w:ascii="宋体" w:hAnsi="宋体"/>
          <w:color w:val="auto"/>
        </w:rPr>
        <w:t>=0.5</w:t>
      </w:r>
      <w:r>
        <w:rPr>
          <w:rFonts w:hint="eastAsia" w:ascii="宋体" w:hAnsi="宋体"/>
          <w:color w:val="auto"/>
        </w:rPr>
        <w:t>；当有效投标人在</w:t>
      </w:r>
      <w:r>
        <w:rPr>
          <w:rFonts w:ascii="宋体" w:hAnsi="宋体"/>
          <w:color w:val="auto"/>
        </w:rPr>
        <w:t>10</w:t>
      </w:r>
      <w:r>
        <w:rPr>
          <w:rFonts w:hint="eastAsia" w:ascii="宋体" w:hAnsi="宋体"/>
          <w:color w:val="auto"/>
        </w:rPr>
        <w:t>家以上（含</w:t>
      </w:r>
      <w:r>
        <w:rPr>
          <w:rFonts w:ascii="宋体" w:hAnsi="宋体"/>
          <w:color w:val="auto"/>
        </w:rPr>
        <w:t>10</w:t>
      </w:r>
      <w:r>
        <w:rPr>
          <w:rFonts w:hint="eastAsia" w:ascii="宋体" w:hAnsi="宋体"/>
          <w:color w:val="auto"/>
        </w:rPr>
        <w:t>家）时，取γ</w:t>
      </w:r>
      <w:r>
        <w:rPr>
          <w:rFonts w:ascii="宋体" w:hAnsi="宋体"/>
          <w:color w:val="auto"/>
        </w:rPr>
        <w:t>=0.4</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hint="eastAsia" w:ascii="宋体" w:hAnsi="宋体"/>
          <w:color w:val="auto"/>
        </w:rPr>
        <w:t>δ</w:t>
      </w:r>
      <w:r>
        <w:rPr>
          <w:rFonts w:ascii="宋体"/>
          <w:color w:val="auto"/>
        </w:rPr>
        <w:t>-</w:t>
      </w:r>
      <w:r>
        <w:rPr>
          <w:rFonts w:hint="eastAsia" w:ascii="宋体" w:hAnsi="宋体"/>
          <w:color w:val="auto"/>
        </w:rPr>
        <w:t>为</w:t>
      </w:r>
      <w:r>
        <w:rPr>
          <w:rFonts w:ascii="宋体" w:hAnsi="宋体"/>
          <w:color w:val="auto"/>
        </w:rPr>
        <w:t>B</w:t>
      </w:r>
      <w:r>
        <w:rPr>
          <w:rFonts w:hint="eastAsia" w:ascii="宋体" w:hAnsi="宋体"/>
          <w:color w:val="auto"/>
        </w:rPr>
        <w:t>值的权重系数，δ</w:t>
      </w:r>
      <w:r>
        <w:rPr>
          <w:rFonts w:ascii="宋体" w:hAnsi="宋体"/>
          <w:color w:val="auto"/>
        </w:rPr>
        <w:t>=1-</w:t>
      </w:r>
      <w:r>
        <w:rPr>
          <w:rFonts w:hint="eastAsia" w:ascii="宋体" w:hAnsi="宋体"/>
          <w:color w:val="auto"/>
        </w:rPr>
        <w:t>γ。</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hint="eastAsia" w:ascii="宋体" w:hAnsi="宋体"/>
          <w:color w:val="auto"/>
        </w:rPr>
        <w:t>若有效投标人的投标报价均不在招标控制价的</w:t>
      </w:r>
      <w:r>
        <w:rPr>
          <w:rFonts w:ascii="宋体" w:hAnsi="宋体"/>
          <w:color w:val="auto"/>
        </w:rPr>
        <w:t>100%—93%</w:t>
      </w:r>
      <w:r>
        <w:rPr>
          <w:rFonts w:hint="eastAsia" w:ascii="宋体" w:hAnsi="宋体"/>
          <w:color w:val="auto"/>
        </w:rPr>
        <w:t>范围内，则</w:t>
      </w:r>
      <w:r>
        <w:rPr>
          <w:rFonts w:ascii="宋体" w:hAnsi="宋体"/>
          <w:color w:val="auto"/>
        </w:rPr>
        <w:t>C=A</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ascii="宋体" w:hAnsi="宋体"/>
          <w:color w:val="auto"/>
        </w:rPr>
        <w:t xml:space="preserve">5.3.3 </w:t>
      </w:r>
      <w:r>
        <w:rPr>
          <w:rFonts w:hint="eastAsia" w:ascii="宋体" w:hAnsi="宋体"/>
          <w:color w:val="auto"/>
        </w:rPr>
        <w:t>以投标人报价与</w:t>
      </w:r>
      <w:r>
        <w:rPr>
          <w:rFonts w:ascii="宋体" w:hAnsi="宋体"/>
          <w:color w:val="auto"/>
        </w:rPr>
        <w:t>C</w:t>
      </w:r>
      <w:r>
        <w:rPr>
          <w:rFonts w:hint="eastAsia" w:ascii="宋体" w:hAnsi="宋体"/>
          <w:color w:val="auto"/>
        </w:rPr>
        <w:t>值差的绝对值为基准排序，等于或最接近</w:t>
      </w:r>
      <w:r>
        <w:rPr>
          <w:rFonts w:ascii="宋体" w:hAnsi="宋体"/>
          <w:color w:val="auto"/>
        </w:rPr>
        <w:t>C</w:t>
      </w:r>
      <w:r>
        <w:rPr>
          <w:rFonts w:hint="eastAsia" w:ascii="宋体" w:hAnsi="宋体"/>
          <w:color w:val="auto"/>
        </w:rPr>
        <w:t>值的为第一中标候选人，即按投标人报价与</w:t>
      </w:r>
      <w:r>
        <w:rPr>
          <w:rFonts w:ascii="宋体" w:hAnsi="宋体"/>
          <w:color w:val="auto"/>
        </w:rPr>
        <w:t>C</w:t>
      </w:r>
      <w:r>
        <w:rPr>
          <w:rFonts w:hint="eastAsia" w:ascii="宋体" w:hAnsi="宋体"/>
          <w:color w:val="auto"/>
        </w:rPr>
        <w:t>值差的绝对值从小到大的顺序推荐中标候选人（</w:t>
      </w:r>
      <w:r>
        <w:rPr>
          <w:rFonts w:ascii="宋体" w:hAnsi="宋体"/>
          <w:color w:val="auto"/>
        </w:rPr>
        <w:t>1</w:t>
      </w:r>
      <w:r>
        <w:rPr>
          <w:rFonts w:hint="eastAsia" w:ascii="宋体" w:hAnsi="宋体"/>
          <w:color w:val="auto"/>
        </w:rPr>
        <w:t>至</w:t>
      </w:r>
      <w:r>
        <w:rPr>
          <w:rFonts w:ascii="宋体" w:hAnsi="宋体"/>
          <w:color w:val="auto"/>
        </w:rPr>
        <w:t>3</w:t>
      </w:r>
      <w:r>
        <w:rPr>
          <w:rFonts w:hint="eastAsia" w:ascii="宋体" w:hAnsi="宋体"/>
          <w:color w:val="auto"/>
        </w:rPr>
        <w:t>名）。因有效投标明显缺乏竞争的，评标委员会可以否决全部投标。</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ascii="宋体" w:hAnsi="宋体"/>
          <w:color w:val="auto"/>
        </w:rPr>
        <w:t xml:space="preserve">5.3.4 </w:t>
      </w:r>
      <w:r>
        <w:rPr>
          <w:rFonts w:hint="eastAsia" w:ascii="宋体" w:hAnsi="宋体"/>
          <w:color w:val="auto"/>
        </w:rPr>
        <w:t>若投标报价与</w:t>
      </w:r>
      <w:r>
        <w:rPr>
          <w:rFonts w:ascii="宋体" w:hAnsi="宋体"/>
          <w:color w:val="auto"/>
        </w:rPr>
        <w:t>C</w:t>
      </w:r>
      <w:r>
        <w:rPr>
          <w:rFonts w:hint="eastAsia" w:ascii="宋体" w:hAnsi="宋体"/>
          <w:color w:val="auto"/>
        </w:rPr>
        <w:t>值差的绝对值相等时，则投标报价低的优先。</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ascii="宋体" w:hAnsi="宋体"/>
          <w:color w:val="auto"/>
        </w:rPr>
        <w:t xml:space="preserve">5.3.5 </w:t>
      </w:r>
      <w:r>
        <w:rPr>
          <w:rFonts w:hint="eastAsia" w:ascii="宋体" w:hAnsi="宋体"/>
          <w:color w:val="auto"/>
        </w:rPr>
        <w:t>若投标人报价一致，则根据商务标和技术标评审得分之和确定排名顺序；若商务标和技术标评审得分之和仍相同，则以项目经理业绩得分确定排名顺序。</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宋体"/>
          <w:b/>
          <w:bCs/>
          <w:color w:val="auto"/>
        </w:rPr>
      </w:pPr>
      <w:r>
        <w:rPr>
          <w:rFonts w:ascii="宋体" w:hAnsi="宋体"/>
          <w:b/>
          <w:bCs/>
          <w:color w:val="auto"/>
        </w:rPr>
        <w:t>6</w:t>
      </w:r>
      <w:r>
        <w:rPr>
          <w:rFonts w:hint="eastAsia" w:ascii="宋体" w:hAnsi="宋体"/>
          <w:b/>
          <w:bCs/>
          <w:color w:val="auto"/>
        </w:rPr>
        <w:t>、投标文件的澄清和补正</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ascii="宋体" w:hAnsi="宋体"/>
          <w:color w:val="auto"/>
        </w:rPr>
        <w:t xml:space="preserve">6.1 </w:t>
      </w:r>
      <w:r>
        <w:rPr>
          <w:rFonts w:hint="eastAsia" w:ascii="宋体" w:hAnsi="宋体"/>
          <w:color w:val="auto"/>
        </w:rPr>
        <w:t>在评标过程中，评标委员会可以书面形式要求投标人对所提交投标文件中不明确的内容进行书面澄清或说明，或者对细微偏差进行补正。不按评标委员会要求澄清、说明或补正的其投标作无效标处理。评标委员会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ascii="宋体" w:hAnsi="宋体"/>
          <w:color w:val="auto"/>
        </w:rPr>
        <w:t xml:space="preserve">6.2 </w:t>
      </w:r>
      <w:r>
        <w:rPr>
          <w:rFonts w:hint="eastAsia" w:ascii="宋体" w:hAnsi="宋体"/>
          <w:color w:val="auto"/>
        </w:rPr>
        <w:t>澄清、说明和补正不得改变投标文件的实质性内容（算术性错误修正的除外）。投标人的书面澄清、说明和补正属于投标文件的组成部分。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ascii="宋体" w:hAnsi="宋体"/>
          <w:color w:val="auto"/>
        </w:rPr>
        <w:t xml:space="preserve">6.3 </w:t>
      </w:r>
      <w:r>
        <w:rPr>
          <w:rFonts w:hint="eastAsia" w:ascii="宋体" w:hAnsi="宋体"/>
          <w:color w:val="auto"/>
        </w:rPr>
        <w:t>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color w:val="auto"/>
        </w:rPr>
      </w:pPr>
      <w:r>
        <w:rPr>
          <w:rFonts w:ascii="宋体" w:hAnsi="宋体"/>
          <w:color w:val="auto"/>
        </w:rPr>
        <w:t>6.4</w:t>
      </w:r>
      <w:r>
        <w:rPr>
          <w:rFonts w:hint="eastAsia" w:ascii="宋体" w:hAnsi="宋体"/>
          <w:color w:val="auto"/>
        </w:rPr>
        <w:t>投标人的投标报价明显低于其他投标报价，使得其投标报价可能低于其成本的，评委会应要求该投标人做出书面说明并提供相关证明材料，投标人不能合理说明或者不能提供相关证明材料的，由评标委员会认定该投标人以低于成本报价竞标，其投标应作无效标处理。</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rPr>
      </w:pPr>
      <w:r>
        <w:rPr>
          <w:rFonts w:hint="eastAsia" w:ascii="宋体" w:hAnsi="宋体" w:eastAsia="宋体" w:cs="宋体"/>
          <w:b/>
          <w:bCs/>
        </w:rPr>
        <w:t>7、特殊情况的处置程序</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rPr>
      </w:pPr>
      <w:r>
        <w:rPr>
          <w:rFonts w:hint="eastAsia" w:ascii="宋体" w:hAnsi="宋体" w:eastAsia="宋体" w:cs="宋体"/>
          <w:b/>
          <w:bCs/>
        </w:rPr>
        <w:t>7.1关于评标活动暂停</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7.1.1评标委员会应当执行连续评标的原则，按评标办法中规定的程序、内容、方法、标准完成全部评标工作。只有发生不可抗力导致评标工作无法继续时，评标活动方可暂停。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7.1.2发生评标暂停情况时，评标委员会应当封存全部投标文件和评标记录，待不可抗力的影响结束且具备继续评标的条件时，由原评标委员会继续评标。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rPr>
      </w:pPr>
      <w:r>
        <w:rPr>
          <w:rFonts w:hint="eastAsia" w:ascii="宋体" w:hAnsi="宋体" w:eastAsia="宋体" w:cs="宋体"/>
          <w:b/>
          <w:bCs/>
        </w:rPr>
        <w:t>7.2关于评标中途更换评委</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7.2.1除非发生下列情况之一，评标委员会成员不得在评标中途更换：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(1) 因不可抗拒的客观原因，不能到场或需在评标中途退出评标活动。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(2) 根据法律法规规定，某个或某几个评标委员会成员需要回避。</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7.2.2退出评标的评标委员会成员，其已完成的评标行为无效。由招标人根据本招标文件规定的评标委员会成员产生方式另行确定替代者进行评标。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rPr>
      </w:pPr>
      <w:r>
        <w:rPr>
          <w:rFonts w:hint="eastAsia" w:ascii="宋体" w:hAnsi="宋体" w:eastAsia="宋体" w:cs="宋体"/>
          <w:b/>
          <w:bCs/>
        </w:rPr>
        <w:t>7.3记名投票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rPr>
      </w:pPr>
      <w:r>
        <w:rPr>
          <w:rFonts w:hint="eastAsia" w:ascii="宋体" w:hAnsi="宋体" w:eastAsia="宋体" w:cs="宋体"/>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rPr>
      </w:pPr>
    </w:p>
    <w:p>
      <w:pPr>
        <w:pStyle w:val="4"/>
        <w:jc w:val="center"/>
        <w:rPr>
          <w:rFonts w:hint="eastAsia"/>
          <w:b/>
          <w:bCs/>
          <w:sz w:val="32"/>
          <w:szCs w:val="32"/>
        </w:rPr>
      </w:pPr>
    </w:p>
    <w:p>
      <w:pPr>
        <w:pStyle w:val="4"/>
        <w:jc w:val="center"/>
        <w:rPr>
          <w:rFonts w:hint="eastAsia"/>
          <w:b/>
          <w:bCs/>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jc w:val="center"/>
        <w:rPr>
          <w:b/>
          <w:bCs/>
          <w:sz w:val="32"/>
          <w:szCs w:val="32"/>
        </w:rPr>
      </w:pPr>
      <w:r>
        <w:rPr>
          <w:rFonts w:hint="eastAsia"/>
          <w:b/>
          <w:bCs/>
          <w:sz w:val="32"/>
          <w:szCs w:val="32"/>
        </w:rPr>
        <w:t>第四章  合同条款</w:t>
      </w:r>
      <w:bookmarkEnd w:id="192"/>
      <w:r>
        <w:rPr>
          <w:rFonts w:hint="eastAsia"/>
          <w:b/>
          <w:bCs/>
          <w:sz w:val="32"/>
          <w:szCs w:val="32"/>
        </w:rPr>
        <w:t>及格式</w:t>
      </w:r>
      <w:bookmarkEnd w:id="193"/>
    </w:p>
    <w:p>
      <w:pPr>
        <w:pStyle w:val="6"/>
        <w:spacing w:line="300" w:lineRule="exact"/>
        <w:jc w:val="center"/>
        <w:rPr>
          <w:rFonts w:ascii="新宋体" w:hAnsi="新宋体" w:eastAsia="新宋体"/>
          <w:b/>
          <w:bCs/>
          <w:color w:val="auto"/>
        </w:rPr>
      </w:pPr>
      <w:bookmarkStart w:id="209" w:name="_Toc370458177"/>
      <w:bookmarkEnd w:id="209"/>
      <w:bookmarkStart w:id="210" w:name="_Toc296503025"/>
      <w:r>
        <w:rPr>
          <w:rFonts w:hint="eastAsia" w:ascii="新宋体" w:hAnsi="新宋体" w:eastAsia="新宋体"/>
          <w:b/>
          <w:bCs/>
          <w:color w:val="auto"/>
        </w:rPr>
        <w:t>第一部分</w:t>
      </w:r>
      <w:r>
        <w:rPr>
          <w:rFonts w:ascii="新宋体" w:hAnsi="新宋体" w:eastAsia="新宋体"/>
          <w:b/>
          <w:bCs/>
          <w:color w:val="auto"/>
        </w:rPr>
        <w:t xml:space="preserve"> </w:t>
      </w:r>
      <w:r>
        <w:rPr>
          <w:rFonts w:hint="eastAsia" w:ascii="新宋体" w:hAnsi="新宋体" w:eastAsia="新宋体"/>
          <w:b/>
          <w:bCs/>
          <w:color w:val="auto"/>
        </w:rPr>
        <w:t>合同协议书</w:t>
      </w:r>
      <w:bookmarkEnd w:id="210"/>
    </w:p>
    <w:p>
      <w:pPr>
        <w:spacing w:line="312" w:lineRule="auto"/>
        <w:rPr>
          <w:rFonts w:hint="eastAsia" w:ascii="新宋体" w:hAnsi="新宋体" w:eastAsia="新宋体"/>
          <w:b/>
          <w:bCs/>
          <w:color w:val="auto"/>
        </w:rPr>
      </w:pPr>
    </w:p>
    <w:p>
      <w:pPr>
        <w:spacing w:line="312" w:lineRule="auto"/>
        <w:rPr>
          <w:rFonts w:ascii="新宋体" w:hAnsi="新宋体" w:eastAsia="新宋体"/>
          <w:b/>
          <w:bCs/>
          <w:color w:val="auto"/>
          <w:u w:val="single"/>
        </w:rPr>
      </w:pPr>
      <w:r>
        <w:rPr>
          <w:rFonts w:hint="eastAsia" w:ascii="新宋体" w:hAnsi="新宋体" w:eastAsia="新宋体"/>
          <w:b/>
          <w:bCs/>
          <w:color w:val="auto"/>
        </w:rPr>
        <w:t>发包人（全称）：</w:t>
      </w:r>
      <w:r>
        <w:rPr>
          <w:rFonts w:hint="eastAsia" w:ascii="新宋体" w:hAnsi="新宋体" w:eastAsia="新宋体" w:cs="新宋体"/>
          <w:b/>
          <w:bCs/>
          <w:color w:val="auto"/>
          <w:u w:val="single"/>
        </w:rPr>
        <w:t></w:t>
      </w:r>
      <w:r>
        <w:rPr>
          <w:rFonts w:ascii="新宋体" w:hAnsi="新宋体" w:eastAsia="新宋体"/>
          <w:b/>
          <w:bCs/>
          <w:color w:val="auto"/>
          <w:u w:val="single"/>
        </w:rPr>
        <w:t xml:space="preserve">               </w:t>
      </w:r>
      <w:r>
        <w:rPr>
          <w:rFonts w:hint="eastAsia" w:ascii="新宋体" w:hAnsi="新宋体" w:eastAsia="新宋体" w:cs="新宋体"/>
          <w:b/>
          <w:bCs/>
          <w:color w:val="auto"/>
          <w:u w:val="single"/>
        </w:rPr>
        <w:t></w:t>
      </w:r>
      <w:r>
        <w:rPr>
          <w:rFonts w:ascii="新宋体" w:hAnsi="新宋体" w:eastAsia="新宋体"/>
          <w:b/>
          <w:bCs/>
          <w:color w:val="auto"/>
          <w:u w:val="single"/>
        </w:rPr>
        <w:t xml:space="preserve">      </w:t>
      </w:r>
      <w:r>
        <w:rPr>
          <w:rFonts w:hint="eastAsia" w:ascii="新宋体" w:hAnsi="新宋体" w:eastAsia="新宋体" w:cs="新宋体"/>
          <w:b/>
          <w:bCs/>
          <w:color w:val="auto"/>
          <w:u w:val="single"/>
        </w:rPr>
        <w:t></w:t>
      </w:r>
      <w:r>
        <w:rPr>
          <w:rFonts w:ascii="新宋体" w:hAnsi="新宋体" w:eastAsia="新宋体"/>
          <w:b/>
          <w:bCs/>
          <w:color w:val="auto"/>
          <w:u w:val="single"/>
        </w:rPr>
        <w:t xml:space="preserve"> </w:t>
      </w:r>
      <w:r>
        <w:rPr>
          <w:rFonts w:hint="eastAsia" w:ascii="新宋体" w:hAnsi="新宋体" w:eastAsia="新宋体" w:cs="新宋体"/>
          <w:b/>
          <w:bCs/>
          <w:color w:val="auto"/>
          <w:u w:val="single"/>
        </w:rPr>
        <w:t></w:t>
      </w:r>
      <w:r>
        <w:rPr>
          <w:rFonts w:ascii="新宋体" w:hAnsi="新宋体" w:eastAsia="新宋体"/>
          <w:b/>
          <w:bCs/>
          <w:color w:val="auto"/>
          <w:u w:val="single"/>
        </w:rPr>
        <w:t xml:space="preserve"> </w:t>
      </w:r>
      <w:r>
        <w:rPr>
          <w:rFonts w:hint="eastAsia" w:ascii="新宋体" w:hAnsi="新宋体" w:eastAsia="新宋体" w:cs="新宋体"/>
          <w:b/>
          <w:bCs/>
          <w:color w:val="auto"/>
          <w:u w:val="single"/>
        </w:rPr>
        <w:t></w:t>
      </w:r>
    </w:p>
    <w:p>
      <w:pPr>
        <w:spacing w:line="312" w:lineRule="auto"/>
        <w:rPr>
          <w:rFonts w:ascii="新宋体" w:hAnsi="新宋体" w:eastAsia="新宋体"/>
          <w:b/>
          <w:bCs/>
          <w:color w:val="auto"/>
          <w:u w:val="single"/>
        </w:rPr>
      </w:pPr>
      <w:r>
        <w:rPr>
          <w:rFonts w:hint="eastAsia" w:ascii="新宋体" w:hAnsi="新宋体" w:eastAsia="新宋体"/>
          <w:b/>
          <w:bCs/>
          <w:color w:val="auto"/>
        </w:rPr>
        <w:t>承包人（全称）：</w:t>
      </w:r>
      <w:r>
        <w:rPr>
          <w:rFonts w:hint="eastAsia" w:ascii="新宋体" w:hAnsi="新宋体" w:eastAsia="新宋体" w:cs="新宋体"/>
          <w:b/>
          <w:bCs/>
          <w:color w:val="auto"/>
          <w:u w:val="single"/>
        </w:rPr>
        <w:t></w:t>
      </w:r>
      <w:r>
        <w:rPr>
          <w:rFonts w:ascii="新宋体" w:hAnsi="新宋体" w:eastAsia="新宋体"/>
          <w:b/>
          <w:bCs/>
          <w:color w:val="auto"/>
          <w:u w:val="single"/>
        </w:rPr>
        <w:t xml:space="preserve">              </w:t>
      </w:r>
      <w:r>
        <w:rPr>
          <w:rFonts w:hint="eastAsia" w:ascii="新宋体" w:hAnsi="新宋体" w:eastAsia="新宋体" w:cs="新宋体"/>
          <w:b/>
          <w:bCs/>
          <w:color w:val="auto"/>
          <w:u w:val="single"/>
        </w:rPr>
        <w:t></w:t>
      </w:r>
      <w:r>
        <w:rPr>
          <w:rFonts w:ascii="新宋体" w:hAnsi="新宋体" w:eastAsia="新宋体"/>
          <w:b/>
          <w:bCs/>
          <w:color w:val="auto"/>
          <w:u w:val="single"/>
        </w:rPr>
        <w:t xml:space="preserve">      </w:t>
      </w:r>
      <w:r>
        <w:rPr>
          <w:rFonts w:hint="eastAsia" w:ascii="新宋体" w:hAnsi="新宋体" w:eastAsia="新宋体" w:cs="新宋体"/>
          <w:b/>
          <w:bCs/>
          <w:color w:val="auto"/>
          <w:u w:val="single"/>
        </w:rPr>
        <w:t></w:t>
      </w:r>
      <w:r>
        <w:rPr>
          <w:rFonts w:ascii="新宋体" w:hAnsi="新宋体" w:eastAsia="新宋体"/>
          <w:b/>
          <w:bCs/>
          <w:color w:val="auto"/>
          <w:u w:val="single"/>
        </w:rPr>
        <w:t xml:space="preserve">  </w:t>
      </w:r>
      <w:r>
        <w:rPr>
          <w:rFonts w:hint="eastAsia" w:ascii="新宋体" w:hAnsi="新宋体" w:eastAsia="新宋体" w:cs="新宋体"/>
          <w:b/>
          <w:bCs/>
          <w:color w:val="auto"/>
          <w:u w:val="single"/>
        </w:rPr>
        <w:t></w:t>
      </w:r>
    </w:p>
    <w:p>
      <w:pPr>
        <w:spacing w:line="312" w:lineRule="auto"/>
        <w:ind w:firstLine="420" w:firstLineChars="200"/>
        <w:rPr>
          <w:rFonts w:ascii="新宋体" w:hAnsi="新宋体" w:eastAsia="新宋体"/>
          <w:color w:val="auto"/>
        </w:rPr>
      </w:pPr>
      <w:r>
        <w:rPr>
          <w:rFonts w:hint="eastAsia" w:ascii="新宋体" w:hAnsi="新宋体" w:eastAsia="新宋体"/>
          <w:color w:val="auto"/>
        </w:rPr>
        <w:t>根据《中华人民共和国合同法》、《中华人民共和国建筑法》及有关法律规定，遵循平等、自愿、公平和诚实信用的原则，双方就</w:t>
      </w:r>
      <w:r>
        <w:rPr>
          <w:rFonts w:ascii="新宋体" w:hAnsi="新宋体" w:eastAsia="新宋体"/>
          <w:color w:val="auto"/>
          <w:u w:val="single"/>
        </w:rPr>
        <w:t xml:space="preserve">           </w:t>
      </w:r>
      <w:r>
        <w:rPr>
          <w:rFonts w:hint="eastAsia" w:ascii="新宋体" w:hAnsi="新宋体" w:eastAsia="新宋体"/>
          <w:color w:val="auto"/>
        </w:rPr>
        <w:t>工程施工及有关事项协商一致，共同达成如下协议：</w:t>
      </w:r>
    </w:p>
    <w:p>
      <w:pPr>
        <w:pStyle w:val="7"/>
        <w:spacing w:line="312" w:lineRule="auto"/>
        <w:rPr>
          <w:rFonts w:ascii="新宋体" w:hAnsi="新宋体" w:eastAsia="新宋体" w:cs="Cambria"/>
          <w:color w:val="auto"/>
          <w:sz w:val="21"/>
          <w:szCs w:val="21"/>
        </w:rPr>
      </w:pPr>
      <w:r>
        <w:rPr>
          <w:rFonts w:ascii="新宋体" w:hAnsi="新宋体" w:eastAsia="新宋体" w:cs="Cambria"/>
          <w:color w:val="auto"/>
          <w:sz w:val="21"/>
          <w:szCs w:val="21"/>
        </w:rPr>
        <w:t xml:space="preserve">   </w:t>
      </w:r>
      <w:r>
        <w:rPr>
          <w:rFonts w:ascii="新宋体" w:hAnsi="新宋体" w:eastAsia="新宋体" w:cs="Cambria"/>
          <w:b w:val="0"/>
          <w:bCs w:val="0"/>
          <w:color w:val="auto"/>
          <w:sz w:val="21"/>
          <w:szCs w:val="21"/>
        </w:rPr>
        <w:t xml:space="preserve"> </w:t>
      </w:r>
      <w:bookmarkStart w:id="211" w:name="_Toc351203481"/>
      <w:r>
        <w:rPr>
          <w:rFonts w:hint="eastAsia" w:ascii="新宋体" w:hAnsi="新宋体" w:eastAsia="新宋体" w:cs="Cambria"/>
          <w:b w:val="0"/>
          <w:bCs w:val="0"/>
          <w:color w:val="auto"/>
          <w:sz w:val="21"/>
          <w:szCs w:val="21"/>
        </w:rPr>
        <w:t>一、工程概况</w:t>
      </w:r>
      <w:bookmarkEnd w:id="211"/>
    </w:p>
    <w:p>
      <w:pPr>
        <w:spacing w:line="312" w:lineRule="auto"/>
        <w:ind w:firstLine="411" w:firstLineChars="196"/>
        <w:rPr>
          <w:rFonts w:ascii="新宋体" w:hAnsi="新宋体" w:eastAsia="新宋体" w:cs="宋体"/>
          <w:color w:val="auto"/>
          <w:u w:val="single"/>
        </w:rPr>
      </w:pPr>
      <w:r>
        <w:rPr>
          <w:rFonts w:ascii="新宋体" w:hAnsi="新宋体" w:eastAsia="新宋体"/>
          <w:color w:val="auto"/>
        </w:rPr>
        <w:t>1.</w:t>
      </w:r>
      <w:r>
        <w:rPr>
          <w:rFonts w:hint="eastAsia" w:ascii="新宋体" w:hAnsi="新宋体" w:eastAsia="新宋体"/>
          <w:color w:val="auto"/>
        </w:rPr>
        <w:t>工程名称：</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olor w:val="auto"/>
        </w:rPr>
        <w:t>。</w:t>
      </w:r>
    </w:p>
    <w:p>
      <w:pPr>
        <w:spacing w:line="312" w:lineRule="auto"/>
        <w:ind w:firstLine="411" w:firstLineChars="196"/>
        <w:rPr>
          <w:rFonts w:ascii="新宋体" w:hAnsi="新宋体" w:eastAsia="新宋体"/>
          <w:color w:val="auto"/>
        </w:rPr>
      </w:pPr>
      <w:r>
        <w:rPr>
          <w:rFonts w:ascii="新宋体" w:hAnsi="新宋体" w:eastAsia="新宋体"/>
          <w:color w:val="auto"/>
        </w:rPr>
        <w:t>2.</w:t>
      </w:r>
      <w:r>
        <w:rPr>
          <w:rFonts w:hint="eastAsia" w:ascii="新宋体" w:hAnsi="新宋体" w:eastAsia="新宋体"/>
          <w:color w:val="auto"/>
        </w:rPr>
        <w:t>工程地点：</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olor w:val="auto"/>
        </w:rPr>
        <w:t>。</w:t>
      </w:r>
    </w:p>
    <w:p>
      <w:pPr>
        <w:spacing w:line="312" w:lineRule="auto"/>
        <w:ind w:firstLine="411" w:firstLineChars="196"/>
        <w:rPr>
          <w:rFonts w:ascii="新宋体" w:hAnsi="新宋体" w:eastAsia="新宋体"/>
          <w:color w:val="auto"/>
        </w:rPr>
      </w:pPr>
      <w:r>
        <w:rPr>
          <w:rFonts w:ascii="新宋体" w:hAnsi="新宋体" w:eastAsia="新宋体"/>
          <w:color w:val="auto"/>
        </w:rPr>
        <w:t>3.</w:t>
      </w:r>
      <w:r>
        <w:rPr>
          <w:rFonts w:hint="eastAsia" w:ascii="新宋体" w:hAnsi="新宋体" w:eastAsia="新宋体"/>
          <w:color w:val="auto"/>
        </w:rPr>
        <w:t>工程立项批准文号：</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olor w:val="auto"/>
        </w:rPr>
        <w:t>。</w:t>
      </w:r>
    </w:p>
    <w:p>
      <w:pPr>
        <w:spacing w:line="312" w:lineRule="auto"/>
        <w:ind w:firstLine="411" w:firstLineChars="196"/>
        <w:rPr>
          <w:rFonts w:ascii="新宋体" w:hAnsi="新宋体" w:eastAsia="新宋体"/>
          <w:color w:val="auto"/>
        </w:rPr>
      </w:pPr>
      <w:r>
        <w:rPr>
          <w:rFonts w:ascii="新宋体" w:hAnsi="新宋体" w:eastAsia="新宋体"/>
          <w:color w:val="auto"/>
        </w:rPr>
        <w:t>4.</w:t>
      </w:r>
      <w:r>
        <w:rPr>
          <w:rFonts w:hint="eastAsia" w:ascii="新宋体" w:hAnsi="新宋体" w:eastAsia="新宋体"/>
          <w:color w:val="auto"/>
        </w:rPr>
        <w:t>资金来源：</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olor w:val="auto"/>
        </w:rPr>
        <w:t>。</w:t>
      </w:r>
    </w:p>
    <w:p>
      <w:pPr>
        <w:spacing w:line="312" w:lineRule="auto"/>
        <w:ind w:firstLine="411" w:firstLineChars="196"/>
        <w:rPr>
          <w:rFonts w:ascii="新宋体" w:hAnsi="新宋体" w:eastAsia="新宋体"/>
          <w:color w:val="auto"/>
        </w:rPr>
      </w:pPr>
      <w:r>
        <w:rPr>
          <w:rFonts w:ascii="新宋体" w:hAnsi="新宋体" w:eastAsia="新宋体"/>
          <w:color w:val="auto"/>
        </w:rPr>
        <w:t>5.</w:t>
      </w:r>
      <w:r>
        <w:rPr>
          <w:rFonts w:hint="eastAsia" w:ascii="新宋体" w:hAnsi="新宋体" w:eastAsia="新宋体"/>
          <w:color w:val="auto"/>
        </w:rPr>
        <w:t>工程内容：</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olor w:val="auto"/>
        </w:rPr>
        <w:t>。</w:t>
      </w:r>
    </w:p>
    <w:p>
      <w:pPr>
        <w:spacing w:line="312" w:lineRule="auto"/>
        <w:ind w:firstLine="411" w:firstLineChars="196"/>
        <w:rPr>
          <w:rFonts w:ascii="新宋体" w:hAnsi="新宋体" w:eastAsia="新宋体"/>
          <w:color w:val="auto"/>
        </w:rPr>
      </w:pPr>
      <w:r>
        <w:rPr>
          <w:rFonts w:hint="eastAsia" w:ascii="新宋体" w:hAnsi="新宋体" w:eastAsia="新宋体"/>
          <w:color w:val="auto"/>
        </w:rPr>
        <w:t>群体工程应附《承包人承揽工程项目一览表》（附件</w:t>
      </w:r>
      <w:r>
        <w:rPr>
          <w:rFonts w:ascii="新宋体" w:hAnsi="新宋体" w:eastAsia="新宋体"/>
          <w:color w:val="auto"/>
        </w:rPr>
        <w:t>1</w:t>
      </w:r>
      <w:r>
        <w:rPr>
          <w:rFonts w:hint="eastAsia" w:ascii="新宋体" w:hAnsi="新宋体" w:eastAsia="新宋体"/>
          <w:color w:val="auto"/>
        </w:rPr>
        <w:t>）。</w:t>
      </w:r>
    </w:p>
    <w:p>
      <w:pPr>
        <w:spacing w:line="312" w:lineRule="auto"/>
        <w:ind w:firstLine="411" w:firstLineChars="196"/>
        <w:rPr>
          <w:rFonts w:ascii="新宋体" w:hAnsi="新宋体" w:eastAsia="新宋体"/>
          <w:color w:val="auto"/>
        </w:rPr>
      </w:pPr>
      <w:r>
        <w:rPr>
          <w:rFonts w:ascii="新宋体" w:hAnsi="新宋体" w:eastAsia="新宋体"/>
          <w:color w:val="auto"/>
        </w:rPr>
        <w:t>6.</w:t>
      </w:r>
      <w:r>
        <w:rPr>
          <w:rFonts w:hint="eastAsia" w:ascii="新宋体" w:hAnsi="新宋体" w:eastAsia="新宋体"/>
          <w:color w:val="auto"/>
        </w:rPr>
        <w:t>工程承包范围：</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hint="eastAsia" w:ascii="新宋体" w:hAnsi="新宋体" w:eastAsia="新宋体"/>
          <w:color w:val="auto"/>
        </w:rPr>
        <w:t>。</w:t>
      </w:r>
    </w:p>
    <w:p>
      <w:pPr>
        <w:pStyle w:val="7"/>
        <w:spacing w:line="312" w:lineRule="auto"/>
        <w:rPr>
          <w:rFonts w:ascii="新宋体" w:hAnsi="新宋体" w:eastAsia="新宋体" w:cs="Cambria"/>
          <w:b w:val="0"/>
          <w:bCs w:val="0"/>
          <w:color w:val="auto"/>
          <w:sz w:val="21"/>
          <w:szCs w:val="21"/>
        </w:rPr>
      </w:pPr>
      <w:r>
        <w:rPr>
          <w:rFonts w:ascii="新宋体" w:hAnsi="新宋体" w:eastAsia="新宋体" w:cs="Cambria"/>
          <w:b w:val="0"/>
          <w:bCs w:val="0"/>
          <w:color w:val="auto"/>
          <w:sz w:val="21"/>
          <w:szCs w:val="21"/>
        </w:rPr>
        <w:t xml:space="preserve">   </w:t>
      </w:r>
      <w:bookmarkStart w:id="212" w:name="_Toc351203482"/>
      <w:r>
        <w:rPr>
          <w:rFonts w:hint="eastAsia" w:ascii="新宋体" w:hAnsi="新宋体" w:eastAsia="新宋体" w:cs="Cambria"/>
          <w:b w:val="0"/>
          <w:bCs w:val="0"/>
          <w:color w:val="auto"/>
          <w:sz w:val="21"/>
          <w:szCs w:val="21"/>
        </w:rPr>
        <w:t>二、合同工期</w:t>
      </w:r>
      <w:bookmarkEnd w:id="212"/>
    </w:p>
    <w:p>
      <w:pPr>
        <w:spacing w:line="312" w:lineRule="auto"/>
        <w:ind w:firstLine="459"/>
        <w:rPr>
          <w:rFonts w:ascii="新宋体" w:hAnsi="新宋体" w:eastAsia="新宋体" w:cs="宋体"/>
          <w:color w:val="auto"/>
        </w:rPr>
      </w:pPr>
      <w:r>
        <w:rPr>
          <w:rFonts w:hint="eastAsia" w:ascii="新宋体" w:hAnsi="新宋体" w:eastAsia="新宋体"/>
          <w:color w:val="auto"/>
        </w:rPr>
        <w:t>计划开工日期：</w:t>
      </w:r>
      <w:r>
        <w:rPr>
          <w:rFonts w:hint="eastAsia" w:ascii="新宋体" w:hAnsi="新宋体" w:eastAsia="新宋体" w:cs="新宋体"/>
          <w:color w:val="auto"/>
          <w:u w:val="single"/>
        </w:rPr>
        <w:t></w:t>
      </w:r>
      <w:r>
        <w:rPr>
          <w:rFonts w:hint="eastAsia" w:ascii="新宋体" w:hAnsi="新宋体" w:eastAsia="新宋体"/>
          <w:color w:val="auto"/>
        </w:rPr>
        <w:t>年</w:t>
      </w:r>
      <w:r>
        <w:rPr>
          <w:rFonts w:hint="eastAsia" w:ascii="新宋体" w:hAnsi="新宋体" w:eastAsia="新宋体" w:cs="新宋体"/>
          <w:color w:val="auto"/>
          <w:u w:val="single"/>
        </w:rPr>
        <w:t></w:t>
      </w:r>
      <w:r>
        <w:rPr>
          <w:rFonts w:hint="eastAsia" w:ascii="新宋体" w:hAnsi="新宋体" w:eastAsia="新宋体"/>
          <w:color w:val="auto"/>
        </w:rPr>
        <w:t>月</w:t>
      </w:r>
      <w:r>
        <w:rPr>
          <w:rFonts w:hint="eastAsia" w:ascii="新宋体" w:hAnsi="新宋体" w:eastAsia="新宋体" w:cs="新宋体"/>
          <w:color w:val="auto"/>
          <w:u w:val="single"/>
        </w:rPr>
        <w:t></w:t>
      </w:r>
      <w:r>
        <w:rPr>
          <w:rFonts w:hint="eastAsia" w:ascii="新宋体" w:hAnsi="新宋体" w:eastAsia="新宋体"/>
          <w:color w:val="auto"/>
        </w:rPr>
        <w:t>日。</w:t>
      </w:r>
    </w:p>
    <w:p>
      <w:pPr>
        <w:spacing w:line="312" w:lineRule="auto"/>
        <w:ind w:firstLine="459"/>
        <w:rPr>
          <w:rFonts w:ascii="新宋体" w:hAnsi="新宋体" w:eastAsia="新宋体"/>
          <w:color w:val="auto"/>
        </w:rPr>
      </w:pPr>
      <w:r>
        <w:rPr>
          <w:rFonts w:hint="eastAsia" w:ascii="新宋体" w:hAnsi="新宋体" w:eastAsia="新宋体"/>
          <w:color w:val="auto"/>
        </w:rPr>
        <w:t>计划竣工日期：</w:t>
      </w:r>
      <w:r>
        <w:rPr>
          <w:rFonts w:hint="eastAsia" w:ascii="新宋体" w:hAnsi="新宋体" w:eastAsia="新宋体" w:cs="新宋体"/>
          <w:color w:val="auto"/>
          <w:u w:val="single"/>
        </w:rPr>
        <w:t></w:t>
      </w:r>
      <w:r>
        <w:rPr>
          <w:rFonts w:hint="eastAsia" w:ascii="新宋体" w:hAnsi="新宋体" w:eastAsia="新宋体"/>
          <w:color w:val="auto"/>
        </w:rPr>
        <w:t>年</w:t>
      </w:r>
      <w:r>
        <w:rPr>
          <w:rFonts w:hint="eastAsia" w:ascii="新宋体" w:hAnsi="新宋体" w:eastAsia="新宋体" w:cs="新宋体"/>
          <w:color w:val="auto"/>
          <w:u w:val="single"/>
        </w:rPr>
        <w:t></w:t>
      </w:r>
      <w:r>
        <w:rPr>
          <w:rFonts w:hint="eastAsia" w:ascii="新宋体" w:hAnsi="新宋体" w:eastAsia="新宋体"/>
          <w:color w:val="auto"/>
        </w:rPr>
        <w:t>月</w:t>
      </w:r>
      <w:r>
        <w:rPr>
          <w:rFonts w:hint="eastAsia" w:ascii="新宋体" w:hAnsi="新宋体" w:eastAsia="新宋体" w:cs="新宋体"/>
          <w:color w:val="auto"/>
          <w:u w:val="single"/>
        </w:rPr>
        <w:t></w:t>
      </w:r>
      <w:r>
        <w:rPr>
          <w:rFonts w:hint="eastAsia" w:ascii="新宋体" w:hAnsi="新宋体" w:eastAsia="新宋体"/>
          <w:color w:val="auto"/>
        </w:rPr>
        <w:t>日。</w:t>
      </w:r>
    </w:p>
    <w:p>
      <w:pPr>
        <w:spacing w:line="312" w:lineRule="auto"/>
        <w:ind w:firstLine="459"/>
        <w:rPr>
          <w:rFonts w:ascii="新宋体" w:hAnsi="新宋体" w:eastAsia="新宋体"/>
          <w:color w:val="auto"/>
        </w:rPr>
      </w:pPr>
      <w:r>
        <w:rPr>
          <w:rFonts w:hint="eastAsia" w:ascii="新宋体" w:hAnsi="新宋体" w:eastAsia="新宋体"/>
          <w:color w:val="auto"/>
        </w:rPr>
        <w:t>工期总日历天数：</w:t>
      </w:r>
      <w:r>
        <w:rPr>
          <w:rFonts w:hint="eastAsia" w:ascii="新宋体" w:hAnsi="新宋体" w:eastAsia="新宋体" w:cs="新宋体"/>
          <w:color w:val="auto"/>
          <w:u w:val="single"/>
        </w:rPr>
        <w:t></w:t>
      </w:r>
      <w:r>
        <w:rPr>
          <w:rFonts w:hint="eastAsia" w:ascii="新宋体" w:hAnsi="新宋体" w:eastAsia="新宋体"/>
          <w:color w:val="auto"/>
        </w:rPr>
        <w:t>天。工期总日历天数与根据前述计划开竣工日期计算的工期天数不一致的，以工期总日历天数为准。</w:t>
      </w:r>
    </w:p>
    <w:p>
      <w:pPr>
        <w:pStyle w:val="7"/>
        <w:spacing w:line="312" w:lineRule="auto"/>
        <w:rPr>
          <w:rFonts w:ascii="新宋体" w:hAnsi="新宋体" w:eastAsia="新宋体" w:cs="Cambria"/>
          <w:color w:val="auto"/>
          <w:sz w:val="21"/>
          <w:szCs w:val="21"/>
        </w:rPr>
      </w:pPr>
      <w:r>
        <w:rPr>
          <w:rFonts w:ascii="新宋体" w:hAnsi="新宋体" w:eastAsia="新宋体" w:cs="Cambria"/>
          <w:color w:val="auto"/>
          <w:sz w:val="21"/>
          <w:szCs w:val="21"/>
        </w:rPr>
        <w:t xml:space="preserve">    </w:t>
      </w:r>
      <w:bookmarkStart w:id="213" w:name="_Toc351203483"/>
      <w:bookmarkEnd w:id="213"/>
      <w:r>
        <w:rPr>
          <w:rFonts w:hint="eastAsia" w:ascii="新宋体" w:hAnsi="新宋体" w:eastAsia="新宋体" w:cs="Cambria"/>
          <w:b w:val="0"/>
          <w:bCs w:val="0"/>
          <w:color w:val="auto"/>
          <w:sz w:val="21"/>
          <w:szCs w:val="21"/>
        </w:rPr>
        <w:t>三、质量标准</w:t>
      </w:r>
    </w:p>
    <w:p>
      <w:pPr>
        <w:spacing w:line="312" w:lineRule="auto"/>
        <w:ind w:firstLine="459"/>
        <w:rPr>
          <w:rFonts w:ascii="新宋体" w:hAnsi="新宋体" w:eastAsia="新宋体" w:cs="宋体"/>
          <w:color w:val="auto"/>
        </w:rPr>
      </w:pPr>
      <w:r>
        <w:rPr>
          <w:rFonts w:hint="eastAsia" w:ascii="新宋体" w:hAnsi="新宋体" w:eastAsia="新宋体"/>
          <w:color w:val="auto"/>
        </w:rPr>
        <w:t>工程质量符合</w:t>
      </w:r>
      <w:r>
        <w:rPr>
          <w:rFonts w:hint="eastAsia" w:ascii="新宋体" w:hAnsi="新宋体" w:eastAsia="新宋体" w:cs="新宋体"/>
          <w:color w:val="auto"/>
          <w:u w:val="single"/>
        </w:rPr>
        <w:t></w:t>
      </w:r>
      <w:r>
        <w:rPr>
          <w:rFonts w:hint="eastAsia" w:ascii="新宋体" w:hAnsi="新宋体" w:eastAsia="新宋体"/>
          <w:color w:val="auto"/>
        </w:rPr>
        <w:t>标准。</w:t>
      </w:r>
    </w:p>
    <w:p>
      <w:pPr>
        <w:pStyle w:val="7"/>
        <w:spacing w:line="312" w:lineRule="auto"/>
        <w:rPr>
          <w:rFonts w:ascii="新宋体" w:hAnsi="新宋体" w:eastAsia="新宋体" w:cs="Cambria"/>
          <w:color w:val="auto"/>
          <w:sz w:val="21"/>
          <w:szCs w:val="21"/>
        </w:rPr>
      </w:pPr>
      <w:r>
        <w:rPr>
          <w:rFonts w:ascii="新宋体" w:hAnsi="新宋体" w:eastAsia="新宋体" w:cs="Cambria"/>
          <w:color w:val="auto"/>
          <w:sz w:val="21"/>
          <w:szCs w:val="21"/>
        </w:rPr>
        <w:t xml:space="preserve">   </w:t>
      </w:r>
      <w:r>
        <w:rPr>
          <w:rFonts w:ascii="新宋体" w:hAnsi="新宋体" w:eastAsia="新宋体" w:cs="Cambria"/>
          <w:b w:val="0"/>
          <w:bCs w:val="0"/>
          <w:color w:val="auto"/>
          <w:sz w:val="21"/>
          <w:szCs w:val="21"/>
        </w:rPr>
        <w:t xml:space="preserve"> </w:t>
      </w:r>
      <w:bookmarkStart w:id="214" w:name="_Toc351203484"/>
      <w:r>
        <w:rPr>
          <w:rFonts w:hint="eastAsia" w:ascii="新宋体" w:hAnsi="新宋体" w:eastAsia="新宋体" w:cs="Cambria"/>
          <w:b w:val="0"/>
          <w:bCs w:val="0"/>
          <w:color w:val="auto"/>
          <w:sz w:val="21"/>
          <w:szCs w:val="21"/>
        </w:rPr>
        <w:t>四、签约合同价与合同价格形式</w:t>
      </w:r>
      <w:bookmarkEnd w:id="214"/>
      <w:r>
        <w:rPr>
          <w:rFonts w:ascii="新宋体" w:hAnsi="新宋体" w:eastAsia="新宋体" w:cs="Cambria"/>
          <w:b w:val="0"/>
          <w:bCs w:val="0"/>
          <w:color w:val="auto"/>
          <w:sz w:val="21"/>
          <w:szCs w:val="21"/>
        </w:rPr>
        <w:tab/>
      </w:r>
    </w:p>
    <w:p>
      <w:pPr>
        <w:spacing w:line="312" w:lineRule="auto"/>
        <w:ind w:firstLine="420" w:firstLineChars="200"/>
        <w:rPr>
          <w:rFonts w:ascii="新宋体" w:hAnsi="新宋体" w:eastAsia="新宋体" w:cs="宋体"/>
          <w:color w:val="auto"/>
        </w:rPr>
      </w:pPr>
      <w:r>
        <w:rPr>
          <w:rFonts w:ascii="新宋体" w:hAnsi="新宋体" w:eastAsia="新宋体"/>
          <w:color w:val="auto"/>
        </w:rPr>
        <w:t>1.</w:t>
      </w:r>
      <w:r>
        <w:rPr>
          <w:rFonts w:hint="eastAsia" w:ascii="新宋体" w:hAnsi="新宋体" w:eastAsia="新宋体"/>
          <w:color w:val="auto"/>
        </w:rPr>
        <w:t>签约合同价为：</w:t>
      </w:r>
    </w:p>
    <w:p>
      <w:pPr>
        <w:spacing w:line="312" w:lineRule="auto"/>
        <w:ind w:firstLine="525" w:firstLineChars="250"/>
        <w:rPr>
          <w:rFonts w:ascii="新宋体" w:hAnsi="新宋体" w:eastAsia="新宋体"/>
          <w:color w:val="auto"/>
        </w:rPr>
      </w:pPr>
      <w:r>
        <w:rPr>
          <w:rFonts w:hint="eastAsia" w:ascii="新宋体" w:hAnsi="新宋体" w:eastAsia="新宋体"/>
          <w:color w:val="auto"/>
        </w:rPr>
        <w:t>人民币（大写）</w:t>
      </w:r>
      <w:r>
        <w:rPr>
          <w:rFonts w:ascii="新宋体" w:hAnsi="新宋体" w:eastAsia="新宋体"/>
          <w:color w:val="auto"/>
          <w:u w:val="single"/>
        </w:rPr>
        <w:t xml:space="preserve">                 </w:t>
      </w:r>
      <w:r>
        <w:rPr>
          <w:rFonts w:ascii="新宋体" w:hAnsi="新宋体" w:eastAsia="新宋体"/>
          <w:color w:val="auto"/>
        </w:rPr>
        <w:t>(</w:t>
      </w:r>
      <w:r>
        <w:rPr>
          <w:rFonts w:hint="eastAsia" w:ascii="新宋体" w:hAnsi="新宋体" w:eastAsia="新宋体"/>
          <w:color w:val="auto"/>
        </w:rPr>
        <w:t>¥</w:t>
      </w:r>
      <w:r>
        <w:rPr>
          <w:rFonts w:ascii="新宋体" w:hAnsi="新宋体" w:eastAsia="新宋体"/>
          <w:color w:val="auto"/>
          <w:u w:val="single"/>
        </w:rPr>
        <w:t xml:space="preserve">            </w:t>
      </w:r>
      <w:r>
        <w:rPr>
          <w:rFonts w:hint="eastAsia" w:ascii="新宋体" w:hAnsi="新宋体" w:eastAsia="新宋体"/>
          <w:color w:val="auto"/>
        </w:rPr>
        <w:t>元</w:t>
      </w:r>
      <w:r>
        <w:rPr>
          <w:rFonts w:ascii="新宋体" w:hAnsi="新宋体" w:eastAsia="新宋体"/>
          <w:color w:val="auto"/>
        </w:rPr>
        <w:t>)</w:t>
      </w:r>
      <w:r>
        <w:rPr>
          <w:rFonts w:hint="eastAsia" w:ascii="新宋体" w:hAnsi="新宋体" w:eastAsia="新宋体"/>
          <w:color w:val="auto"/>
        </w:rPr>
        <w:t>；</w:t>
      </w:r>
    </w:p>
    <w:p>
      <w:pPr>
        <w:spacing w:line="312" w:lineRule="auto"/>
        <w:ind w:firstLine="420" w:firstLineChars="200"/>
        <w:rPr>
          <w:rFonts w:ascii="新宋体" w:hAnsi="新宋体" w:eastAsia="新宋体"/>
          <w:color w:val="auto"/>
        </w:rPr>
      </w:pPr>
      <w:r>
        <w:rPr>
          <w:rFonts w:hint="eastAsia" w:ascii="新宋体" w:hAnsi="新宋体" w:eastAsia="新宋体"/>
          <w:color w:val="auto"/>
        </w:rPr>
        <w:t>其中：</w:t>
      </w:r>
    </w:p>
    <w:p>
      <w:pPr>
        <w:spacing w:line="312" w:lineRule="auto"/>
        <w:ind w:firstLine="420" w:firstLineChars="200"/>
        <w:rPr>
          <w:rFonts w:ascii="新宋体" w:hAnsi="新宋体" w:eastAsia="新宋体"/>
          <w:color w:val="auto"/>
        </w:rPr>
      </w:pPr>
      <w:r>
        <w:rPr>
          <w:rFonts w:hint="eastAsia" w:ascii="新宋体" w:hAnsi="新宋体" w:eastAsia="新宋体"/>
          <w:color w:val="auto"/>
        </w:rPr>
        <w:t>（</w:t>
      </w:r>
      <w:r>
        <w:rPr>
          <w:rFonts w:ascii="新宋体" w:hAnsi="新宋体" w:eastAsia="新宋体"/>
          <w:color w:val="auto"/>
        </w:rPr>
        <w:t>1</w:t>
      </w:r>
      <w:r>
        <w:rPr>
          <w:rFonts w:hint="eastAsia" w:ascii="新宋体" w:hAnsi="新宋体" w:eastAsia="新宋体"/>
          <w:color w:val="auto"/>
        </w:rPr>
        <w:t>）安全文明施工费：</w:t>
      </w:r>
    </w:p>
    <w:p>
      <w:pPr>
        <w:spacing w:line="312" w:lineRule="auto"/>
        <w:ind w:firstLine="945" w:firstLineChars="450"/>
        <w:rPr>
          <w:rFonts w:ascii="新宋体" w:hAnsi="新宋体" w:eastAsia="新宋体"/>
          <w:color w:val="auto"/>
        </w:rPr>
      </w:pPr>
      <w:r>
        <w:rPr>
          <w:rFonts w:hint="eastAsia" w:ascii="新宋体" w:hAnsi="新宋体" w:eastAsia="新宋体"/>
          <w:color w:val="auto"/>
        </w:rPr>
        <w:t>人民币（大写）</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w:t>
      </w:r>
      <w:r>
        <w:rPr>
          <w:rFonts w:ascii="新宋体" w:hAnsi="新宋体" w:eastAsia="新宋体"/>
          <w:color w:val="auto"/>
          <w:u w:val="single"/>
        </w:rPr>
        <w:t xml:space="preserve">          </w:t>
      </w:r>
      <w:r>
        <w:rPr>
          <w:rFonts w:hint="eastAsia" w:ascii="新宋体" w:hAnsi="新宋体" w:eastAsia="新宋体"/>
          <w:color w:val="auto"/>
        </w:rPr>
        <w:t>元</w:t>
      </w:r>
      <w:r>
        <w:rPr>
          <w:rFonts w:ascii="新宋体" w:hAnsi="新宋体" w:eastAsia="新宋体"/>
          <w:color w:val="auto"/>
        </w:rPr>
        <w:t>)</w:t>
      </w:r>
      <w:r>
        <w:rPr>
          <w:rFonts w:hint="eastAsia" w:ascii="新宋体" w:hAnsi="新宋体" w:eastAsia="新宋体"/>
          <w:color w:val="auto"/>
        </w:rPr>
        <w:t>；</w:t>
      </w:r>
    </w:p>
    <w:p>
      <w:pPr>
        <w:spacing w:line="312" w:lineRule="auto"/>
        <w:ind w:firstLine="420" w:firstLineChars="200"/>
        <w:rPr>
          <w:rFonts w:ascii="新宋体" w:hAnsi="新宋体" w:eastAsia="新宋体"/>
          <w:color w:val="auto"/>
        </w:rPr>
      </w:pPr>
      <w:r>
        <w:rPr>
          <w:rFonts w:hint="eastAsia" w:ascii="新宋体" w:hAnsi="新宋体" w:eastAsia="新宋体"/>
          <w:color w:val="auto"/>
        </w:rPr>
        <w:t>（</w:t>
      </w:r>
      <w:r>
        <w:rPr>
          <w:rFonts w:ascii="新宋体" w:hAnsi="新宋体" w:eastAsia="新宋体"/>
          <w:color w:val="auto"/>
        </w:rPr>
        <w:t>2</w:t>
      </w:r>
      <w:r>
        <w:rPr>
          <w:rFonts w:hint="eastAsia" w:ascii="新宋体" w:hAnsi="新宋体" w:eastAsia="新宋体"/>
          <w:color w:val="auto"/>
        </w:rPr>
        <w:t>）材料和工程设备暂估价金额：</w:t>
      </w:r>
    </w:p>
    <w:p>
      <w:pPr>
        <w:spacing w:line="312" w:lineRule="auto"/>
        <w:ind w:firstLine="945" w:firstLineChars="450"/>
        <w:rPr>
          <w:rFonts w:ascii="新宋体" w:hAnsi="新宋体" w:eastAsia="新宋体"/>
          <w:color w:val="auto"/>
        </w:rPr>
      </w:pPr>
      <w:r>
        <w:rPr>
          <w:rFonts w:hint="eastAsia" w:ascii="新宋体" w:hAnsi="新宋体" w:eastAsia="新宋体"/>
          <w:color w:val="auto"/>
        </w:rPr>
        <w:t>人民币（大写）</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w:t>
      </w:r>
      <w:r>
        <w:rPr>
          <w:rFonts w:ascii="新宋体" w:hAnsi="新宋体" w:eastAsia="新宋体"/>
          <w:color w:val="auto"/>
          <w:u w:val="single"/>
        </w:rPr>
        <w:t xml:space="preserve">          </w:t>
      </w:r>
      <w:r>
        <w:rPr>
          <w:rFonts w:hint="eastAsia" w:ascii="新宋体" w:hAnsi="新宋体" w:eastAsia="新宋体"/>
          <w:color w:val="auto"/>
        </w:rPr>
        <w:t>元</w:t>
      </w:r>
      <w:r>
        <w:rPr>
          <w:rFonts w:ascii="新宋体" w:hAnsi="新宋体" w:eastAsia="新宋体"/>
          <w:color w:val="auto"/>
        </w:rPr>
        <w:t>)</w:t>
      </w:r>
      <w:r>
        <w:rPr>
          <w:rFonts w:hint="eastAsia" w:ascii="新宋体" w:hAnsi="新宋体" w:eastAsia="新宋体"/>
          <w:color w:val="auto"/>
        </w:rPr>
        <w:t>；</w:t>
      </w:r>
    </w:p>
    <w:p>
      <w:pPr>
        <w:spacing w:line="312" w:lineRule="auto"/>
        <w:ind w:firstLine="420" w:firstLineChars="200"/>
        <w:rPr>
          <w:rFonts w:ascii="新宋体" w:hAnsi="新宋体" w:eastAsia="新宋体"/>
          <w:color w:val="auto"/>
        </w:rPr>
      </w:pPr>
      <w:r>
        <w:rPr>
          <w:rFonts w:hint="eastAsia" w:ascii="新宋体" w:hAnsi="新宋体" w:eastAsia="新宋体"/>
          <w:color w:val="auto"/>
        </w:rPr>
        <w:t>（</w:t>
      </w:r>
      <w:r>
        <w:rPr>
          <w:rFonts w:ascii="新宋体" w:hAnsi="新宋体" w:eastAsia="新宋体"/>
          <w:color w:val="auto"/>
        </w:rPr>
        <w:t>3</w:t>
      </w:r>
      <w:r>
        <w:rPr>
          <w:rFonts w:hint="eastAsia" w:ascii="新宋体" w:hAnsi="新宋体" w:eastAsia="新宋体"/>
          <w:color w:val="auto"/>
        </w:rPr>
        <w:t>）专业工程暂估价金额：</w:t>
      </w:r>
    </w:p>
    <w:p>
      <w:pPr>
        <w:spacing w:line="312" w:lineRule="auto"/>
        <w:ind w:firstLine="945" w:firstLineChars="450"/>
        <w:rPr>
          <w:rFonts w:ascii="新宋体" w:hAnsi="新宋体" w:eastAsia="新宋体"/>
          <w:color w:val="auto"/>
        </w:rPr>
      </w:pPr>
      <w:r>
        <w:rPr>
          <w:rFonts w:hint="eastAsia" w:ascii="新宋体" w:hAnsi="新宋体" w:eastAsia="新宋体"/>
          <w:color w:val="auto"/>
        </w:rPr>
        <w:t>人民币（大写）</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w:t>
      </w:r>
      <w:r>
        <w:rPr>
          <w:rFonts w:ascii="新宋体" w:hAnsi="新宋体" w:eastAsia="新宋体"/>
          <w:color w:val="auto"/>
          <w:u w:val="single"/>
        </w:rPr>
        <w:t xml:space="preserve">          </w:t>
      </w:r>
      <w:r>
        <w:rPr>
          <w:rFonts w:hint="eastAsia" w:ascii="新宋体" w:hAnsi="新宋体" w:eastAsia="新宋体"/>
          <w:color w:val="auto"/>
        </w:rPr>
        <w:t>元</w:t>
      </w:r>
      <w:r>
        <w:rPr>
          <w:rFonts w:ascii="新宋体" w:hAnsi="新宋体" w:eastAsia="新宋体"/>
          <w:color w:val="auto"/>
        </w:rPr>
        <w:t>)</w:t>
      </w:r>
      <w:r>
        <w:rPr>
          <w:rFonts w:hint="eastAsia" w:ascii="新宋体" w:hAnsi="新宋体" w:eastAsia="新宋体"/>
          <w:color w:val="auto"/>
        </w:rPr>
        <w:t>；</w:t>
      </w:r>
    </w:p>
    <w:p>
      <w:pPr>
        <w:spacing w:line="312" w:lineRule="auto"/>
        <w:ind w:firstLine="420" w:firstLineChars="200"/>
        <w:rPr>
          <w:rFonts w:ascii="新宋体" w:hAnsi="新宋体" w:eastAsia="新宋体"/>
          <w:color w:val="auto"/>
        </w:rPr>
      </w:pPr>
      <w:r>
        <w:rPr>
          <w:rFonts w:hint="eastAsia" w:ascii="新宋体" w:hAnsi="新宋体" w:eastAsia="新宋体"/>
          <w:color w:val="auto"/>
        </w:rPr>
        <w:t>（</w:t>
      </w:r>
      <w:r>
        <w:rPr>
          <w:rFonts w:ascii="新宋体" w:hAnsi="新宋体" w:eastAsia="新宋体"/>
          <w:color w:val="auto"/>
        </w:rPr>
        <w:t>4</w:t>
      </w:r>
      <w:r>
        <w:rPr>
          <w:rFonts w:hint="eastAsia" w:ascii="新宋体" w:hAnsi="新宋体" w:eastAsia="新宋体"/>
          <w:color w:val="auto"/>
        </w:rPr>
        <w:t>）暂列金额：</w:t>
      </w:r>
    </w:p>
    <w:p>
      <w:pPr>
        <w:spacing w:line="312" w:lineRule="auto"/>
        <w:ind w:firstLine="945" w:firstLineChars="450"/>
        <w:rPr>
          <w:rFonts w:ascii="新宋体" w:hAnsi="新宋体" w:eastAsia="新宋体"/>
          <w:color w:val="auto"/>
        </w:rPr>
      </w:pPr>
      <w:r>
        <w:rPr>
          <w:rFonts w:hint="eastAsia" w:ascii="新宋体" w:hAnsi="新宋体" w:eastAsia="新宋体"/>
          <w:color w:val="auto"/>
        </w:rPr>
        <w:t>人民币（大写）</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w:t>
      </w:r>
      <w:r>
        <w:rPr>
          <w:rFonts w:ascii="新宋体" w:hAnsi="新宋体" w:eastAsia="新宋体"/>
          <w:color w:val="auto"/>
          <w:u w:val="single"/>
        </w:rPr>
        <w:t xml:space="preserve">          </w:t>
      </w:r>
      <w:r>
        <w:rPr>
          <w:rFonts w:hint="eastAsia" w:ascii="新宋体" w:hAnsi="新宋体" w:eastAsia="新宋体"/>
          <w:color w:val="auto"/>
        </w:rPr>
        <w:t>元</w:t>
      </w:r>
      <w:r>
        <w:rPr>
          <w:rFonts w:ascii="新宋体" w:hAnsi="新宋体" w:eastAsia="新宋体"/>
          <w:color w:val="auto"/>
        </w:rPr>
        <w:t>)</w:t>
      </w:r>
      <w:r>
        <w:rPr>
          <w:rFonts w:hint="eastAsia" w:ascii="新宋体" w:hAnsi="新宋体" w:eastAsia="新宋体"/>
          <w:color w:val="auto"/>
        </w:rPr>
        <w:t>。</w:t>
      </w:r>
    </w:p>
    <w:p>
      <w:pPr>
        <w:spacing w:line="312" w:lineRule="auto"/>
        <w:ind w:firstLine="420" w:firstLineChars="200"/>
        <w:rPr>
          <w:rFonts w:ascii="新宋体" w:hAnsi="新宋体" w:eastAsia="新宋体"/>
          <w:color w:val="auto"/>
        </w:rPr>
      </w:pPr>
      <w:r>
        <w:rPr>
          <w:rFonts w:ascii="新宋体" w:hAnsi="新宋体" w:eastAsia="新宋体"/>
          <w:color w:val="auto"/>
        </w:rPr>
        <w:t>2.</w:t>
      </w:r>
      <w:r>
        <w:rPr>
          <w:rFonts w:hint="eastAsia" w:ascii="新宋体" w:hAnsi="新宋体" w:eastAsia="新宋体"/>
          <w:color w:val="auto"/>
        </w:rPr>
        <w:t>合同价格形式：</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hint="eastAsia" w:ascii="新宋体" w:hAnsi="新宋体" w:eastAsia="新宋体"/>
          <w:color w:val="auto"/>
        </w:rPr>
        <w:t>。</w:t>
      </w:r>
    </w:p>
    <w:p>
      <w:pPr>
        <w:pStyle w:val="7"/>
        <w:spacing w:line="312" w:lineRule="auto"/>
        <w:rPr>
          <w:rFonts w:ascii="新宋体" w:hAnsi="新宋体" w:eastAsia="新宋体" w:cs="Cambria"/>
          <w:b w:val="0"/>
          <w:bCs w:val="0"/>
          <w:color w:val="auto"/>
          <w:sz w:val="21"/>
          <w:szCs w:val="21"/>
        </w:rPr>
      </w:pPr>
      <w:r>
        <w:rPr>
          <w:rFonts w:ascii="新宋体" w:hAnsi="新宋体" w:eastAsia="新宋体" w:cs="Cambria"/>
          <w:color w:val="auto"/>
          <w:sz w:val="21"/>
          <w:szCs w:val="21"/>
        </w:rPr>
        <w:t xml:space="preserve">   </w:t>
      </w:r>
      <w:r>
        <w:rPr>
          <w:rFonts w:ascii="新宋体" w:hAnsi="新宋体" w:eastAsia="新宋体" w:cs="Cambria"/>
          <w:b w:val="0"/>
          <w:bCs w:val="0"/>
          <w:color w:val="auto"/>
          <w:sz w:val="21"/>
          <w:szCs w:val="21"/>
        </w:rPr>
        <w:t xml:space="preserve"> </w:t>
      </w:r>
      <w:bookmarkStart w:id="215" w:name="_Toc351203485"/>
      <w:r>
        <w:rPr>
          <w:rFonts w:hint="eastAsia" w:ascii="新宋体" w:hAnsi="新宋体" w:eastAsia="新宋体" w:cs="Cambria"/>
          <w:b w:val="0"/>
          <w:bCs w:val="0"/>
          <w:color w:val="auto"/>
          <w:sz w:val="21"/>
          <w:szCs w:val="21"/>
        </w:rPr>
        <w:t>五、</w:t>
      </w:r>
      <w:bookmarkEnd w:id="215"/>
      <w:r>
        <w:rPr>
          <w:rFonts w:hint="eastAsia" w:ascii="新宋体" w:hAnsi="新宋体" w:eastAsia="新宋体" w:cs="Cambria"/>
          <w:b w:val="0"/>
          <w:bCs w:val="0"/>
          <w:color w:val="auto"/>
          <w:sz w:val="21"/>
          <w:szCs w:val="21"/>
        </w:rPr>
        <w:t>项目经理</w:t>
      </w:r>
    </w:p>
    <w:p>
      <w:pPr>
        <w:spacing w:line="312" w:lineRule="auto"/>
        <w:ind w:firstLine="420" w:firstLineChars="200"/>
        <w:rPr>
          <w:rFonts w:ascii="新宋体" w:hAnsi="新宋体" w:eastAsia="新宋体" w:cs="宋体"/>
          <w:color w:val="auto"/>
        </w:rPr>
      </w:pPr>
      <w:r>
        <w:rPr>
          <w:rFonts w:hint="eastAsia" w:ascii="新宋体" w:hAnsi="新宋体" w:eastAsia="新宋体"/>
          <w:color w:val="auto"/>
        </w:rPr>
        <w:t>承包人项目经理：</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hint="eastAsia" w:ascii="新宋体" w:hAnsi="新宋体" w:eastAsia="新宋体"/>
          <w:color w:val="auto"/>
        </w:rPr>
        <w:t>。</w:t>
      </w:r>
    </w:p>
    <w:p>
      <w:pPr>
        <w:pStyle w:val="7"/>
        <w:spacing w:line="312" w:lineRule="auto"/>
        <w:rPr>
          <w:rFonts w:ascii="新宋体" w:hAnsi="新宋体" w:eastAsia="新宋体" w:cs="Cambria"/>
          <w:color w:val="auto"/>
          <w:sz w:val="21"/>
          <w:szCs w:val="21"/>
        </w:rPr>
      </w:pPr>
      <w:r>
        <w:rPr>
          <w:rFonts w:ascii="新宋体" w:hAnsi="新宋体" w:eastAsia="新宋体" w:cs="Cambria"/>
          <w:color w:val="auto"/>
          <w:sz w:val="21"/>
          <w:szCs w:val="21"/>
        </w:rPr>
        <w:t xml:space="preserve">   </w:t>
      </w:r>
      <w:r>
        <w:rPr>
          <w:rFonts w:ascii="新宋体" w:hAnsi="新宋体" w:eastAsia="新宋体" w:cs="Cambria"/>
          <w:b w:val="0"/>
          <w:bCs w:val="0"/>
          <w:color w:val="auto"/>
          <w:sz w:val="21"/>
          <w:szCs w:val="21"/>
        </w:rPr>
        <w:t xml:space="preserve"> </w:t>
      </w:r>
      <w:bookmarkStart w:id="216" w:name="_Toc351203486"/>
      <w:r>
        <w:rPr>
          <w:rFonts w:hint="eastAsia" w:ascii="新宋体" w:hAnsi="新宋体" w:eastAsia="新宋体" w:cs="Cambria"/>
          <w:b w:val="0"/>
          <w:bCs w:val="0"/>
          <w:color w:val="auto"/>
          <w:sz w:val="21"/>
          <w:szCs w:val="21"/>
        </w:rPr>
        <w:t>六、合同文件构成</w:t>
      </w:r>
      <w:bookmarkEnd w:id="216"/>
    </w:p>
    <w:p>
      <w:pPr>
        <w:spacing w:line="312" w:lineRule="auto"/>
        <w:ind w:firstLine="420" w:firstLineChars="200"/>
        <w:rPr>
          <w:rFonts w:ascii="新宋体" w:hAnsi="新宋体" w:eastAsia="新宋体" w:cs="宋体"/>
          <w:color w:val="auto"/>
        </w:rPr>
      </w:pPr>
      <w:r>
        <w:rPr>
          <w:rFonts w:hint="eastAsia" w:ascii="新宋体" w:hAnsi="新宋体" w:eastAsia="新宋体"/>
          <w:color w:val="auto"/>
        </w:rPr>
        <w:t>本协议书与下列文件一起构成合同文件：</w:t>
      </w:r>
    </w:p>
    <w:p>
      <w:pPr>
        <w:autoSpaceDE w:val="0"/>
        <w:autoSpaceDN w:val="0"/>
        <w:adjustRightInd w:val="0"/>
        <w:spacing w:line="312" w:lineRule="auto"/>
        <w:ind w:firstLine="420" w:firstLineChars="200"/>
        <w:jc w:val="left"/>
        <w:rPr>
          <w:rFonts w:ascii="新宋体" w:hAnsi="新宋体" w:eastAsia="新宋体"/>
          <w:color w:val="auto"/>
        </w:rPr>
      </w:pPr>
      <w:r>
        <w:rPr>
          <w:rFonts w:hint="eastAsia" w:ascii="新宋体" w:hAnsi="新宋体" w:eastAsia="新宋体"/>
          <w:color w:val="auto"/>
        </w:rPr>
        <w:t>（</w:t>
      </w:r>
      <w:r>
        <w:rPr>
          <w:rFonts w:ascii="新宋体" w:hAnsi="新宋体" w:eastAsia="新宋体"/>
          <w:color w:val="auto"/>
        </w:rPr>
        <w:t>1</w:t>
      </w:r>
      <w:r>
        <w:rPr>
          <w:rFonts w:hint="eastAsia" w:ascii="新宋体" w:hAnsi="新宋体" w:eastAsia="新宋体"/>
          <w:color w:val="auto"/>
        </w:rPr>
        <w:t>）中标通知书（如果有）；</w:t>
      </w:r>
    </w:p>
    <w:p>
      <w:pPr>
        <w:autoSpaceDE w:val="0"/>
        <w:autoSpaceDN w:val="0"/>
        <w:adjustRightInd w:val="0"/>
        <w:spacing w:line="312" w:lineRule="auto"/>
        <w:ind w:firstLine="420" w:firstLineChars="200"/>
        <w:jc w:val="left"/>
        <w:rPr>
          <w:rFonts w:ascii="新宋体" w:hAnsi="新宋体" w:eastAsia="新宋体"/>
          <w:color w:val="auto"/>
        </w:rPr>
      </w:pPr>
      <w:r>
        <w:rPr>
          <w:rFonts w:hint="eastAsia" w:ascii="新宋体" w:hAnsi="新宋体" w:eastAsia="新宋体"/>
          <w:color w:val="auto"/>
        </w:rPr>
        <w:t>（</w:t>
      </w:r>
      <w:r>
        <w:rPr>
          <w:rFonts w:ascii="新宋体" w:hAnsi="新宋体" w:eastAsia="新宋体"/>
          <w:color w:val="auto"/>
        </w:rPr>
        <w:t>2</w:t>
      </w:r>
      <w:r>
        <w:rPr>
          <w:rFonts w:hint="eastAsia" w:ascii="新宋体" w:hAnsi="新宋体" w:eastAsia="新宋体"/>
          <w:color w:val="auto"/>
        </w:rPr>
        <w:t>）投标函及其附录（如果有）；</w:t>
      </w:r>
      <w:r>
        <w:rPr>
          <w:rFonts w:ascii="新宋体" w:hAnsi="新宋体" w:eastAsia="新宋体"/>
          <w:color w:val="auto"/>
        </w:rPr>
        <w:t xml:space="preserve"> </w:t>
      </w:r>
    </w:p>
    <w:p>
      <w:pPr>
        <w:autoSpaceDE w:val="0"/>
        <w:autoSpaceDN w:val="0"/>
        <w:adjustRightInd w:val="0"/>
        <w:spacing w:line="312" w:lineRule="auto"/>
        <w:ind w:firstLine="420" w:firstLineChars="200"/>
        <w:jc w:val="left"/>
        <w:rPr>
          <w:rFonts w:ascii="新宋体" w:hAnsi="新宋体" w:eastAsia="新宋体"/>
          <w:color w:val="auto"/>
        </w:rPr>
      </w:pPr>
      <w:r>
        <w:rPr>
          <w:rFonts w:hint="eastAsia" w:ascii="新宋体" w:hAnsi="新宋体" w:eastAsia="新宋体"/>
          <w:color w:val="auto"/>
        </w:rPr>
        <w:t>（</w:t>
      </w:r>
      <w:r>
        <w:rPr>
          <w:rFonts w:ascii="新宋体" w:hAnsi="新宋体" w:eastAsia="新宋体"/>
          <w:color w:val="auto"/>
        </w:rPr>
        <w:t>3</w:t>
      </w:r>
      <w:r>
        <w:rPr>
          <w:rFonts w:hint="eastAsia" w:ascii="新宋体" w:hAnsi="新宋体" w:eastAsia="新宋体"/>
          <w:color w:val="auto"/>
        </w:rPr>
        <w:t>）专用合同条款及其附件；</w:t>
      </w:r>
    </w:p>
    <w:p>
      <w:pPr>
        <w:autoSpaceDE w:val="0"/>
        <w:autoSpaceDN w:val="0"/>
        <w:adjustRightInd w:val="0"/>
        <w:spacing w:line="312" w:lineRule="auto"/>
        <w:ind w:firstLine="420" w:firstLineChars="200"/>
        <w:jc w:val="left"/>
        <w:rPr>
          <w:rFonts w:ascii="新宋体" w:hAnsi="新宋体" w:eastAsia="新宋体"/>
          <w:color w:val="auto"/>
        </w:rPr>
      </w:pPr>
      <w:r>
        <w:rPr>
          <w:rFonts w:hint="eastAsia" w:ascii="新宋体" w:hAnsi="新宋体" w:eastAsia="新宋体"/>
          <w:color w:val="auto"/>
        </w:rPr>
        <w:t>（</w:t>
      </w:r>
      <w:r>
        <w:rPr>
          <w:rFonts w:ascii="新宋体" w:hAnsi="新宋体" w:eastAsia="新宋体"/>
          <w:color w:val="auto"/>
        </w:rPr>
        <w:t>4</w:t>
      </w:r>
      <w:r>
        <w:rPr>
          <w:rFonts w:hint="eastAsia" w:ascii="新宋体" w:hAnsi="新宋体" w:eastAsia="新宋体"/>
          <w:color w:val="auto"/>
        </w:rPr>
        <w:t>）通用合同条款；</w:t>
      </w:r>
    </w:p>
    <w:p>
      <w:pPr>
        <w:autoSpaceDE w:val="0"/>
        <w:autoSpaceDN w:val="0"/>
        <w:adjustRightInd w:val="0"/>
        <w:spacing w:line="312" w:lineRule="auto"/>
        <w:ind w:firstLine="420" w:firstLineChars="200"/>
        <w:jc w:val="left"/>
        <w:rPr>
          <w:rFonts w:ascii="新宋体" w:hAnsi="新宋体" w:eastAsia="新宋体"/>
          <w:color w:val="auto"/>
        </w:rPr>
      </w:pPr>
      <w:r>
        <w:rPr>
          <w:rFonts w:hint="eastAsia" w:ascii="新宋体" w:hAnsi="新宋体" w:eastAsia="新宋体"/>
          <w:color w:val="auto"/>
        </w:rPr>
        <w:t>（</w:t>
      </w:r>
      <w:r>
        <w:rPr>
          <w:rFonts w:ascii="新宋体" w:hAnsi="新宋体" w:eastAsia="新宋体"/>
          <w:color w:val="auto"/>
        </w:rPr>
        <w:t>5</w:t>
      </w:r>
      <w:r>
        <w:rPr>
          <w:rFonts w:hint="eastAsia" w:ascii="新宋体" w:hAnsi="新宋体" w:eastAsia="新宋体"/>
          <w:color w:val="auto"/>
        </w:rPr>
        <w:t>）技术标准和要求；</w:t>
      </w:r>
    </w:p>
    <w:p>
      <w:pPr>
        <w:autoSpaceDE w:val="0"/>
        <w:autoSpaceDN w:val="0"/>
        <w:adjustRightInd w:val="0"/>
        <w:spacing w:line="312" w:lineRule="auto"/>
        <w:ind w:firstLine="420" w:firstLineChars="200"/>
        <w:jc w:val="left"/>
        <w:rPr>
          <w:rFonts w:ascii="新宋体" w:hAnsi="新宋体" w:eastAsia="新宋体"/>
          <w:color w:val="auto"/>
        </w:rPr>
      </w:pPr>
      <w:r>
        <w:rPr>
          <w:rFonts w:hint="eastAsia" w:ascii="新宋体" w:hAnsi="新宋体" w:eastAsia="新宋体"/>
          <w:color w:val="auto"/>
        </w:rPr>
        <w:t>（</w:t>
      </w:r>
      <w:r>
        <w:rPr>
          <w:rFonts w:ascii="新宋体" w:hAnsi="新宋体" w:eastAsia="新宋体"/>
          <w:color w:val="auto"/>
        </w:rPr>
        <w:t>6</w:t>
      </w:r>
      <w:r>
        <w:rPr>
          <w:rFonts w:hint="eastAsia" w:ascii="新宋体" w:hAnsi="新宋体" w:eastAsia="新宋体"/>
          <w:color w:val="auto"/>
        </w:rPr>
        <w:t>）图纸；</w:t>
      </w:r>
    </w:p>
    <w:p>
      <w:pPr>
        <w:autoSpaceDE w:val="0"/>
        <w:autoSpaceDN w:val="0"/>
        <w:adjustRightInd w:val="0"/>
        <w:spacing w:line="312" w:lineRule="auto"/>
        <w:ind w:firstLine="420" w:firstLineChars="200"/>
        <w:jc w:val="left"/>
        <w:rPr>
          <w:rFonts w:ascii="新宋体" w:hAnsi="新宋体" w:eastAsia="新宋体"/>
          <w:color w:val="auto"/>
        </w:rPr>
      </w:pPr>
      <w:r>
        <w:rPr>
          <w:rFonts w:hint="eastAsia" w:ascii="新宋体" w:hAnsi="新宋体" w:eastAsia="新宋体"/>
          <w:color w:val="auto"/>
        </w:rPr>
        <w:t>（</w:t>
      </w:r>
      <w:r>
        <w:rPr>
          <w:rFonts w:ascii="新宋体" w:hAnsi="新宋体" w:eastAsia="新宋体"/>
          <w:color w:val="auto"/>
        </w:rPr>
        <w:t>7</w:t>
      </w:r>
      <w:r>
        <w:rPr>
          <w:rFonts w:hint="eastAsia" w:ascii="新宋体" w:hAnsi="新宋体" w:eastAsia="新宋体"/>
          <w:color w:val="auto"/>
        </w:rPr>
        <w:t>）已标价工程量清单或预算书；</w:t>
      </w:r>
    </w:p>
    <w:p>
      <w:pPr>
        <w:autoSpaceDE w:val="0"/>
        <w:autoSpaceDN w:val="0"/>
        <w:adjustRightInd w:val="0"/>
        <w:spacing w:line="312" w:lineRule="auto"/>
        <w:ind w:firstLine="420" w:firstLineChars="200"/>
        <w:jc w:val="left"/>
        <w:rPr>
          <w:rFonts w:ascii="新宋体" w:hAnsi="新宋体" w:eastAsia="新宋体"/>
          <w:color w:val="auto"/>
        </w:rPr>
      </w:pPr>
      <w:r>
        <w:rPr>
          <w:rFonts w:hint="eastAsia" w:ascii="新宋体" w:hAnsi="新宋体" w:eastAsia="新宋体"/>
          <w:color w:val="auto"/>
        </w:rPr>
        <w:t>（</w:t>
      </w:r>
      <w:r>
        <w:rPr>
          <w:rFonts w:ascii="新宋体" w:hAnsi="新宋体" w:eastAsia="新宋体"/>
          <w:color w:val="auto"/>
        </w:rPr>
        <w:t>8</w:t>
      </w:r>
      <w:r>
        <w:rPr>
          <w:rFonts w:hint="eastAsia" w:ascii="新宋体" w:hAnsi="新宋体" w:eastAsia="新宋体"/>
          <w:color w:val="auto"/>
        </w:rPr>
        <w:t>）其他合同文件。</w:t>
      </w:r>
    </w:p>
    <w:p>
      <w:pPr>
        <w:autoSpaceDE w:val="0"/>
        <w:autoSpaceDN w:val="0"/>
        <w:adjustRightInd w:val="0"/>
        <w:spacing w:line="312" w:lineRule="auto"/>
        <w:ind w:firstLine="420" w:firstLineChars="200"/>
        <w:jc w:val="left"/>
        <w:rPr>
          <w:rFonts w:ascii="新宋体" w:hAnsi="新宋体" w:eastAsia="新宋体"/>
          <w:color w:val="auto"/>
        </w:rPr>
      </w:pPr>
      <w:r>
        <w:rPr>
          <w:rFonts w:hint="eastAsia" w:ascii="新宋体" w:hAnsi="新宋体" w:eastAsia="新宋体"/>
          <w:color w:val="auto"/>
        </w:rPr>
        <w:t>在合同订立及履行过程中形成的与合同有关的文件均构成合同文件组成部分。</w:t>
      </w:r>
    </w:p>
    <w:p>
      <w:pPr>
        <w:autoSpaceDE w:val="0"/>
        <w:autoSpaceDN w:val="0"/>
        <w:adjustRightInd w:val="0"/>
        <w:spacing w:line="312" w:lineRule="auto"/>
        <w:ind w:firstLine="420" w:firstLineChars="200"/>
        <w:jc w:val="left"/>
        <w:rPr>
          <w:rFonts w:ascii="新宋体" w:hAnsi="新宋体" w:eastAsia="新宋体"/>
          <w:color w:val="auto"/>
        </w:rPr>
      </w:pPr>
      <w:r>
        <w:rPr>
          <w:rFonts w:hint="eastAsia" w:ascii="新宋体" w:hAnsi="新宋体" w:eastAsia="新宋体"/>
          <w:color w:val="auto"/>
        </w:rPr>
        <w:t>上述各项合同文件包括合同当事人就该项合同文件所作出的补充和修改，属于同一类内容的文件，应以最新签署的为准。专用合同条款及其附件须经合同当事人签字或盖章。</w:t>
      </w:r>
    </w:p>
    <w:p>
      <w:pPr>
        <w:pStyle w:val="7"/>
        <w:spacing w:line="312" w:lineRule="auto"/>
        <w:rPr>
          <w:rFonts w:ascii="新宋体" w:hAnsi="新宋体" w:eastAsia="新宋体" w:cs="Cambria"/>
          <w:b w:val="0"/>
          <w:bCs w:val="0"/>
          <w:color w:val="auto"/>
          <w:sz w:val="21"/>
          <w:szCs w:val="21"/>
        </w:rPr>
      </w:pPr>
      <w:r>
        <w:rPr>
          <w:rFonts w:ascii="新宋体" w:hAnsi="新宋体" w:eastAsia="新宋体" w:cs="Cambria"/>
          <w:b w:val="0"/>
          <w:bCs w:val="0"/>
          <w:color w:val="auto"/>
          <w:sz w:val="21"/>
          <w:szCs w:val="21"/>
        </w:rPr>
        <w:t xml:space="preserve">    </w:t>
      </w:r>
      <w:bookmarkStart w:id="217" w:name="_Toc351203487"/>
      <w:r>
        <w:rPr>
          <w:rFonts w:hint="eastAsia" w:ascii="新宋体" w:hAnsi="新宋体" w:eastAsia="新宋体" w:cs="Cambria"/>
          <w:b w:val="0"/>
          <w:bCs w:val="0"/>
          <w:color w:val="auto"/>
          <w:sz w:val="21"/>
          <w:szCs w:val="21"/>
        </w:rPr>
        <w:t>七、承诺</w:t>
      </w:r>
      <w:bookmarkEnd w:id="217"/>
    </w:p>
    <w:p>
      <w:pPr>
        <w:spacing w:line="312" w:lineRule="auto"/>
        <w:ind w:firstLine="420" w:firstLineChars="200"/>
        <w:rPr>
          <w:rFonts w:ascii="新宋体" w:hAnsi="新宋体" w:eastAsia="新宋体" w:cs="宋体"/>
          <w:color w:val="auto"/>
        </w:rPr>
      </w:pPr>
      <w:r>
        <w:rPr>
          <w:rFonts w:ascii="新宋体" w:hAnsi="新宋体" w:eastAsia="新宋体"/>
          <w:color w:val="auto"/>
        </w:rPr>
        <w:t>1.</w:t>
      </w:r>
      <w:r>
        <w:rPr>
          <w:rFonts w:hint="eastAsia" w:ascii="新宋体" w:hAnsi="新宋体" w:eastAsia="新宋体"/>
          <w:color w:val="auto"/>
        </w:rPr>
        <w:t>发包人承诺按照法律规定履行项目审批手续、筹集工程建设资金并按照合同约定的期限和方式支付合同价款。</w:t>
      </w:r>
    </w:p>
    <w:p>
      <w:pPr>
        <w:spacing w:line="312" w:lineRule="auto"/>
        <w:ind w:firstLine="420" w:firstLineChars="200"/>
        <w:rPr>
          <w:rFonts w:ascii="新宋体" w:hAnsi="新宋体" w:eastAsia="新宋体"/>
          <w:color w:val="auto"/>
        </w:rPr>
      </w:pPr>
      <w:r>
        <w:rPr>
          <w:rFonts w:ascii="新宋体" w:hAnsi="新宋体" w:eastAsia="新宋体"/>
          <w:color w:val="auto"/>
        </w:rPr>
        <w:t>2.</w:t>
      </w:r>
      <w:r>
        <w:rPr>
          <w:rFonts w:hint="eastAsia" w:ascii="新宋体" w:hAnsi="新宋体" w:eastAsia="新宋体"/>
          <w:color w:val="auto"/>
        </w:rPr>
        <w:t>承包人承诺按照法律规定及合同约定组织完成工程施工，确保工程质量和安全，不进行转包及违法分包，并在缺陷责任期及保修期内承担相应的工程维修责任。</w:t>
      </w:r>
    </w:p>
    <w:p>
      <w:pPr>
        <w:spacing w:line="312" w:lineRule="auto"/>
        <w:ind w:firstLine="420" w:firstLineChars="200"/>
        <w:rPr>
          <w:rFonts w:ascii="新宋体" w:hAnsi="新宋体" w:eastAsia="新宋体"/>
          <w:color w:val="auto"/>
        </w:rPr>
      </w:pPr>
      <w:r>
        <w:rPr>
          <w:rFonts w:ascii="新宋体" w:hAnsi="新宋体" w:eastAsia="新宋体"/>
          <w:color w:val="auto"/>
        </w:rPr>
        <w:t>3.</w:t>
      </w:r>
      <w:r>
        <w:rPr>
          <w:rFonts w:hint="eastAsia" w:ascii="新宋体" w:hAnsi="新宋体" w:eastAsia="新宋体"/>
          <w:color w:val="auto"/>
        </w:rPr>
        <w:t>发包人和承包人通过招投标形式签订合同的，双方理解并承诺不再就同一工程另行签订与合同实质性内容相背离的协议。</w:t>
      </w:r>
    </w:p>
    <w:p>
      <w:pPr>
        <w:spacing w:line="312" w:lineRule="auto"/>
        <w:rPr>
          <w:rFonts w:ascii="新宋体" w:hAnsi="新宋体" w:eastAsia="新宋体"/>
          <w:color w:val="auto"/>
        </w:rPr>
      </w:pPr>
      <w:bookmarkStart w:id="218" w:name="_Toc351203488"/>
      <w:bookmarkEnd w:id="218"/>
      <w:r>
        <w:rPr>
          <w:rFonts w:ascii="新宋体" w:hAnsi="新宋体" w:eastAsia="新宋体"/>
          <w:b/>
          <w:bCs/>
          <w:color w:val="auto"/>
        </w:rPr>
        <w:t xml:space="preserve">    </w:t>
      </w:r>
      <w:r>
        <w:rPr>
          <w:rFonts w:hint="eastAsia" w:ascii="新宋体" w:hAnsi="新宋体" w:eastAsia="新宋体"/>
          <w:b/>
          <w:bCs/>
          <w:color w:val="auto"/>
        </w:rPr>
        <w:t>八、词语含义</w:t>
      </w:r>
    </w:p>
    <w:p>
      <w:pPr>
        <w:spacing w:line="312" w:lineRule="auto"/>
        <w:ind w:firstLine="420" w:firstLineChars="200"/>
        <w:rPr>
          <w:rFonts w:ascii="新宋体" w:hAnsi="新宋体" w:eastAsia="新宋体"/>
          <w:color w:val="auto"/>
        </w:rPr>
      </w:pPr>
      <w:r>
        <w:rPr>
          <w:rFonts w:hint="eastAsia" w:ascii="新宋体" w:hAnsi="新宋体" w:eastAsia="新宋体"/>
          <w:color w:val="auto"/>
        </w:rPr>
        <w:t>本协议书中词语含义与第二部分通用合同条款中赋予的含义相同。</w:t>
      </w:r>
    </w:p>
    <w:p>
      <w:pPr>
        <w:pStyle w:val="7"/>
        <w:spacing w:line="312" w:lineRule="auto"/>
        <w:rPr>
          <w:rFonts w:ascii="新宋体" w:hAnsi="新宋体" w:eastAsia="新宋体" w:cs="Cambria"/>
          <w:color w:val="auto"/>
          <w:sz w:val="21"/>
          <w:szCs w:val="21"/>
        </w:rPr>
      </w:pPr>
      <w:r>
        <w:rPr>
          <w:rFonts w:ascii="新宋体" w:hAnsi="新宋体" w:eastAsia="新宋体" w:cs="Cambria"/>
          <w:color w:val="auto"/>
          <w:sz w:val="21"/>
          <w:szCs w:val="21"/>
        </w:rPr>
        <w:t xml:space="preserve">  </w:t>
      </w:r>
      <w:r>
        <w:rPr>
          <w:rFonts w:ascii="新宋体" w:hAnsi="新宋体" w:eastAsia="新宋体" w:cs="Cambria"/>
          <w:b w:val="0"/>
          <w:bCs w:val="0"/>
          <w:color w:val="auto"/>
          <w:sz w:val="21"/>
          <w:szCs w:val="21"/>
        </w:rPr>
        <w:t xml:space="preserve">  </w:t>
      </w:r>
      <w:bookmarkStart w:id="219" w:name="_Toc351203489"/>
      <w:r>
        <w:rPr>
          <w:rFonts w:hint="eastAsia" w:ascii="新宋体" w:hAnsi="新宋体" w:eastAsia="新宋体" w:cs="Cambria"/>
          <w:b w:val="0"/>
          <w:bCs w:val="0"/>
          <w:color w:val="auto"/>
          <w:sz w:val="21"/>
          <w:szCs w:val="21"/>
        </w:rPr>
        <w:t>九、签订时间</w:t>
      </w:r>
      <w:bookmarkEnd w:id="219"/>
    </w:p>
    <w:p>
      <w:pPr>
        <w:spacing w:line="312" w:lineRule="auto"/>
        <w:ind w:firstLine="420" w:firstLineChars="200"/>
        <w:rPr>
          <w:rFonts w:ascii="新宋体" w:hAnsi="新宋体" w:eastAsia="新宋体" w:cs="宋体"/>
          <w:color w:val="auto"/>
        </w:rPr>
      </w:pPr>
      <w:r>
        <w:rPr>
          <w:rFonts w:hint="eastAsia" w:ascii="新宋体" w:hAnsi="新宋体" w:eastAsia="新宋体"/>
          <w:color w:val="auto"/>
        </w:rPr>
        <w:t>本合同于</w:t>
      </w:r>
      <w:r>
        <w:rPr>
          <w:rFonts w:ascii="新宋体" w:hAnsi="新宋体" w:eastAsia="新宋体"/>
          <w:color w:val="auto"/>
          <w:u w:val="single"/>
        </w:rPr>
        <w:t xml:space="preserve">         </w:t>
      </w:r>
      <w:r>
        <w:rPr>
          <w:rFonts w:hint="eastAsia" w:ascii="新宋体" w:hAnsi="新宋体" w:eastAsia="新宋体"/>
          <w:color w:val="auto"/>
        </w:rPr>
        <w:t>年</w:t>
      </w:r>
      <w:r>
        <w:rPr>
          <w:rFonts w:ascii="新宋体" w:hAnsi="新宋体" w:eastAsia="新宋体"/>
          <w:color w:val="auto"/>
          <w:u w:val="single"/>
        </w:rPr>
        <w:t xml:space="preserve">    </w:t>
      </w:r>
      <w:r>
        <w:rPr>
          <w:rFonts w:hint="eastAsia" w:ascii="新宋体" w:hAnsi="新宋体" w:eastAsia="新宋体"/>
          <w:color w:val="auto"/>
        </w:rPr>
        <w:t>月</w:t>
      </w:r>
      <w:r>
        <w:rPr>
          <w:rFonts w:ascii="新宋体" w:hAnsi="新宋体" w:eastAsia="新宋体"/>
          <w:color w:val="auto"/>
          <w:u w:val="single"/>
        </w:rPr>
        <w:t xml:space="preserve">    </w:t>
      </w:r>
      <w:r>
        <w:rPr>
          <w:rFonts w:hint="eastAsia" w:ascii="新宋体" w:hAnsi="新宋体" w:eastAsia="新宋体"/>
          <w:color w:val="auto"/>
        </w:rPr>
        <w:t>日签订。</w:t>
      </w:r>
    </w:p>
    <w:p>
      <w:pPr>
        <w:pStyle w:val="7"/>
        <w:spacing w:line="312" w:lineRule="auto"/>
        <w:rPr>
          <w:rFonts w:ascii="新宋体" w:hAnsi="新宋体" w:eastAsia="新宋体" w:cs="Cambria"/>
          <w:color w:val="auto"/>
          <w:sz w:val="21"/>
          <w:szCs w:val="21"/>
        </w:rPr>
      </w:pPr>
      <w:r>
        <w:rPr>
          <w:rFonts w:ascii="新宋体" w:hAnsi="新宋体" w:eastAsia="新宋体" w:cs="Cambria"/>
          <w:color w:val="auto"/>
          <w:sz w:val="21"/>
          <w:szCs w:val="21"/>
        </w:rPr>
        <w:t xml:space="preserve">    </w:t>
      </w:r>
      <w:bookmarkStart w:id="220" w:name="_Toc351203490"/>
      <w:bookmarkEnd w:id="220"/>
      <w:r>
        <w:rPr>
          <w:rFonts w:hint="eastAsia" w:ascii="新宋体" w:hAnsi="新宋体" w:eastAsia="新宋体" w:cs="Cambria"/>
          <w:b w:val="0"/>
          <w:bCs w:val="0"/>
          <w:color w:val="auto"/>
          <w:sz w:val="21"/>
          <w:szCs w:val="21"/>
        </w:rPr>
        <w:t>十、签订地点</w:t>
      </w:r>
    </w:p>
    <w:p>
      <w:pPr>
        <w:spacing w:line="312" w:lineRule="auto"/>
        <w:ind w:firstLine="420" w:firstLineChars="200"/>
        <w:rPr>
          <w:rFonts w:ascii="新宋体" w:hAnsi="新宋体" w:eastAsia="新宋体" w:cs="宋体"/>
          <w:color w:val="auto"/>
        </w:rPr>
      </w:pPr>
      <w:r>
        <w:rPr>
          <w:rFonts w:hint="eastAsia" w:ascii="新宋体" w:hAnsi="新宋体" w:eastAsia="新宋体"/>
          <w:color w:val="auto"/>
        </w:rPr>
        <w:t>本合同在</w:t>
      </w:r>
      <w:r>
        <w:rPr>
          <w:rFonts w:ascii="新宋体" w:hAnsi="新宋体" w:eastAsia="新宋体"/>
          <w:color w:val="auto"/>
          <w:u w:val="single"/>
        </w:rPr>
        <w:t xml:space="preserve">                                    </w:t>
      </w:r>
      <w:r>
        <w:rPr>
          <w:rFonts w:hint="eastAsia" w:ascii="新宋体" w:hAnsi="新宋体" w:eastAsia="新宋体"/>
          <w:color w:val="auto"/>
        </w:rPr>
        <w:t>签订。</w:t>
      </w:r>
    </w:p>
    <w:p>
      <w:pPr>
        <w:pStyle w:val="7"/>
        <w:spacing w:line="312" w:lineRule="auto"/>
        <w:rPr>
          <w:rFonts w:ascii="新宋体" w:hAnsi="新宋体" w:eastAsia="新宋体" w:cs="Cambria"/>
          <w:color w:val="auto"/>
          <w:sz w:val="21"/>
          <w:szCs w:val="21"/>
        </w:rPr>
      </w:pPr>
      <w:r>
        <w:rPr>
          <w:rFonts w:ascii="新宋体" w:hAnsi="新宋体" w:eastAsia="新宋体" w:cs="Cambria"/>
          <w:color w:val="auto"/>
          <w:sz w:val="21"/>
          <w:szCs w:val="21"/>
        </w:rPr>
        <w:t xml:space="preserve">    </w:t>
      </w:r>
      <w:bookmarkStart w:id="221" w:name="_Toc351203491"/>
      <w:bookmarkEnd w:id="221"/>
      <w:r>
        <w:rPr>
          <w:rFonts w:hint="eastAsia" w:ascii="新宋体" w:hAnsi="新宋体" w:eastAsia="新宋体" w:cs="Cambria"/>
          <w:b w:val="0"/>
          <w:bCs w:val="0"/>
          <w:color w:val="auto"/>
          <w:sz w:val="21"/>
          <w:szCs w:val="21"/>
        </w:rPr>
        <w:t>十一、补充协议</w:t>
      </w:r>
    </w:p>
    <w:p>
      <w:pPr>
        <w:spacing w:line="312" w:lineRule="auto"/>
        <w:ind w:firstLine="420" w:firstLineChars="200"/>
        <w:rPr>
          <w:rFonts w:ascii="新宋体" w:hAnsi="新宋体" w:eastAsia="新宋体" w:cs="宋体"/>
          <w:b/>
          <w:bCs/>
          <w:color w:val="auto"/>
        </w:rPr>
      </w:pPr>
      <w:r>
        <w:rPr>
          <w:rFonts w:hint="eastAsia" w:ascii="新宋体" w:hAnsi="新宋体" w:eastAsia="新宋体"/>
          <w:color w:val="auto"/>
        </w:rPr>
        <w:t>合同未尽事宜，合同当事人另行签订补充协议，补充协议是合同的组成部分。</w:t>
      </w:r>
    </w:p>
    <w:p>
      <w:pPr>
        <w:pStyle w:val="7"/>
        <w:spacing w:line="312" w:lineRule="auto"/>
        <w:rPr>
          <w:rFonts w:ascii="新宋体" w:hAnsi="新宋体" w:eastAsia="新宋体" w:cs="Cambria"/>
          <w:color w:val="auto"/>
          <w:sz w:val="21"/>
          <w:szCs w:val="21"/>
        </w:rPr>
      </w:pPr>
      <w:r>
        <w:rPr>
          <w:rFonts w:ascii="新宋体" w:hAnsi="新宋体" w:eastAsia="新宋体" w:cs="Cambria"/>
          <w:color w:val="auto"/>
          <w:sz w:val="21"/>
          <w:szCs w:val="21"/>
        </w:rPr>
        <w:t xml:space="preserve">    </w:t>
      </w:r>
      <w:bookmarkStart w:id="222" w:name="_Toc351203492"/>
      <w:bookmarkEnd w:id="222"/>
      <w:r>
        <w:rPr>
          <w:rFonts w:hint="eastAsia" w:ascii="新宋体" w:hAnsi="新宋体" w:eastAsia="新宋体" w:cs="Cambria"/>
          <w:b w:val="0"/>
          <w:bCs w:val="0"/>
          <w:color w:val="auto"/>
          <w:sz w:val="21"/>
          <w:szCs w:val="21"/>
        </w:rPr>
        <w:t>十二、合同生效</w:t>
      </w:r>
    </w:p>
    <w:p>
      <w:pPr>
        <w:spacing w:line="312" w:lineRule="auto"/>
        <w:ind w:firstLine="420" w:firstLineChars="200"/>
        <w:rPr>
          <w:rFonts w:ascii="新宋体" w:hAnsi="新宋体" w:eastAsia="新宋体" w:cs="宋体"/>
          <w:color w:val="auto"/>
        </w:rPr>
      </w:pPr>
      <w:r>
        <w:rPr>
          <w:rFonts w:hint="eastAsia" w:ascii="新宋体" w:hAnsi="新宋体" w:eastAsia="新宋体"/>
          <w:color w:val="auto"/>
        </w:rPr>
        <w:t>本合同自</w:t>
      </w:r>
      <w:r>
        <w:rPr>
          <w:rFonts w:ascii="新宋体" w:hAnsi="新宋体" w:eastAsia="新宋体"/>
          <w:color w:val="auto"/>
          <w:u w:val="single"/>
        </w:rPr>
        <w:t xml:space="preserve">                                   </w:t>
      </w:r>
      <w:r>
        <w:rPr>
          <w:rFonts w:hint="eastAsia" w:ascii="新宋体" w:hAnsi="新宋体" w:eastAsia="新宋体"/>
          <w:color w:val="auto"/>
        </w:rPr>
        <w:t>生效。</w:t>
      </w:r>
    </w:p>
    <w:p>
      <w:pPr>
        <w:pStyle w:val="7"/>
        <w:spacing w:line="312" w:lineRule="auto"/>
        <w:rPr>
          <w:rFonts w:ascii="新宋体" w:hAnsi="新宋体" w:eastAsia="新宋体" w:cs="Cambria"/>
          <w:color w:val="auto"/>
          <w:sz w:val="21"/>
          <w:szCs w:val="21"/>
        </w:rPr>
      </w:pPr>
      <w:r>
        <w:rPr>
          <w:rFonts w:ascii="新宋体" w:hAnsi="新宋体" w:eastAsia="新宋体" w:cs="Cambria"/>
          <w:color w:val="auto"/>
          <w:sz w:val="21"/>
          <w:szCs w:val="21"/>
        </w:rPr>
        <w:t xml:space="preserve">    </w:t>
      </w:r>
      <w:bookmarkStart w:id="223" w:name="_Toc351203493"/>
      <w:bookmarkEnd w:id="223"/>
      <w:r>
        <w:rPr>
          <w:rFonts w:hint="eastAsia" w:ascii="新宋体" w:hAnsi="新宋体" w:eastAsia="新宋体" w:cs="Cambria"/>
          <w:b w:val="0"/>
          <w:bCs w:val="0"/>
          <w:color w:val="auto"/>
          <w:sz w:val="21"/>
          <w:szCs w:val="21"/>
        </w:rPr>
        <w:t>十三、合同份数</w:t>
      </w:r>
    </w:p>
    <w:p>
      <w:pPr>
        <w:spacing w:line="312" w:lineRule="auto"/>
        <w:ind w:firstLine="420" w:firstLineChars="200"/>
        <w:rPr>
          <w:rFonts w:ascii="新宋体" w:hAnsi="新宋体" w:eastAsia="新宋体" w:cs="宋体"/>
          <w:color w:val="auto"/>
        </w:rPr>
      </w:pPr>
      <w:r>
        <w:rPr>
          <w:rFonts w:hint="eastAsia" w:ascii="新宋体" w:hAnsi="新宋体" w:eastAsia="新宋体"/>
          <w:color w:val="auto"/>
        </w:rPr>
        <w:t>本合同一式</w:t>
      </w:r>
      <w:r>
        <w:rPr>
          <w:rFonts w:ascii="新宋体" w:hAnsi="新宋体" w:eastAsia="新宋体"/>
          <w:color w:val="auto"/>
          <w:u w:val="single"/>
        </w:rPr>
        <w:t xml:space="preserve">    </w:t>
      </w:r>
      <w:r>
        <w:rPr>
          <w:rFonts w:hint="eastAsia" w:ascii="新宋体" w:hAnsi="新宋体" w:eastAsia="新宋体"/>
          <w:color w:val="auto"/>
        </w:rPr>
        <w:t>份，均具有同等法律效力，发包人执</w:t>
      </w:r>
      <w:r>
        <w:rPr>
          <w:rFonts w:ascii="新宋体" w:hAnsi="新宋体" w:eastAsia="新宋体"/>
          <w:color w:val="auto"/>
          <w:u w:val="single"/>
        </w:rPr>
        <w:t xml:space="preserve">    </w:t>
      </w:r>
      <w:r>
        <w:rPr>
          <w:rFonts w:hint="eastAsia" w:ascii="新宋体" w:hAnsi="新宋体" w:eastAsia="新宋体"/>
          <w:color w:val="auto"/>
        </w:rPr>
        <w:t>份，承包人执</w:t>
      </w:r>
      <w:r>
        <w:rPr>
          <w:rFonts w:ascii="新宋体" w:hAnsi="新宋体" w:eastAsia="新宋体"/>
          <w:color w:val="auto"/>
          <w:u w:val="single"/>
        </w:rPr>
        <w:t xml:space="preserve">    </w:t>
      </w:r>
      <w:r>
        <w:rPr>
          <w:rFonts w:hint="eastAsia" w:ascii="新宋体" w:hAnsi="新宋体" w:eastAsia="新宋体"/>
          <w:color w:val="auto"/>
        </w:rPr>
        <w:t>份。</w:t>
      </w:r>
    </w:p>
    <w:p>
      <w:pPr>
        <w:spacing w:line="300" w:lineRule="exact"/>
        <w:rPr>
          <w:rFonts w:ascii="新宋体" w:hAnsi="新宋体" w:eastAsia="新宋体"/>
          <w:color w:val="auto"/>
        </w:rPr>
      </w:pPr>
      <w:r>
        <w:rPr>
          <w:rFonts w:ascii="新宋体" w:hAnsi="新宋体" w:eastAsia="新宋体"/>
          <w:color w:val="auto"/>
        </w:rPr>
        <w:t xml:space="preserve"> </w:t>
      </w:r>
    </w:p>
    <w:p>
      <w:pPr>
        <w:spacing w:line="300" w:lineRule="exact"/>
        <w:rPr>
          <w:rFonts w:ascii="新宋体" w:hAnsi="新宋体" w:eastAsia="新宋体"/>
          <w:color w:val="auto"/>
        </w:rPr>
      </w:pPr>
      <w:r>
        <w:rPr>
          <w:rFonts w:ascii="新宋体" w:hAnsi="新宋体" w:eastAsia="新宋体"/>
          <w:color w:val="auto"/>
        </w:rPr>
        <w:t xml:space="preserve"> </w:t>
      </w:r>
    </w:p>
    <w:p>
      <w:pPr>
        <w:spacing w:line="312" w:lineRule="auto"/>
        <w:rPr>
          <w:rFonts w:ascii="新宋体" w:hAnsi="新宋体" w:eastAsia="新宋体"/>
          <w:color w:val="auto"/>
          <w:u w:val="single"/>
        </w:rPr>
      </w:pPr>
      <w:r>
        <w:rPr>
          <w:rFonts w:hint="eastAsia" w:ascii="新宋体" w:hAnsi="新宋体" w:eastAsia="新宋体"/>
          <w:color w:val="auto"/>
        </w:rPr>
        <w:t>发包人：</w:t>
      </w:r>
      <w:r>
        <w:rPr>
          <w:rFonts w:ascii="新宋体" w:hAnsi="新宋体" w:eastAsia="新宋体"/>
          <w:color w:val="auto"/>
        </w:rPr>
        <w:t xml:space="preserve">  (</w:t>
      </w:r>
      <w:r>
        <w:rPr>
          <w:rFonts w:hint="eastAsia" w:ascii="新宋体" w:hAnsi="新宋体" w:eastAsia="新宋体"/>
          <w:color w:val="auto"/>
        </w:rPr>
        <w:t>公章</w:t>
      </w:r>
      <w:r>
        <w:rPr>
          <w:rFonts w:ascii="新宋体" w:hAnsi="新宋体" w:eastAsia="新宋体"/>
          <w:color w:val="auto"/>
        </w:rPr>
        <w:t xml:space="preserve">)             </w:t>
      </w:r>
      <w:r>
        <w:rPr>
          <w:rFonts w:hint="eastAsia" w:ascii="新宋体" w:hAnsi="新宋体" w:eastAsia="新宋体"/>
          <w:color w:val="auto"/>
        </w:rPr>
        <w:t>承包人：</w:t>
      </w:r>
      <w:r>
        <w:rPr>
          <w:rFonts w:ascii="新宋体" w:hAnsi="新宋体" w:eastAsia="新宋体"/>
          <w:color w:val="auto"/>
        </w:rPr>
        <w:t xml:space="preserve">  (</w:t>
      </w:r>
      <w:r>
        <w:rPr>
          <w:rFonts w:hint="eastAsia" w:ascii="新宋体" w:hAnsi="新宋体" w:eastAsia="新宋体"/>
          <w:color w:val="auto"/>
        </w:rPr>
        <w:t>公章</w:t>
      </w:r>
      <w:r>
        <w:rPr>
          <w:rFonts w:ascii="新宋体" w:hAnsi="新宋体" w:eastAsia="新宋体"/>
          <w:color w:val="auto"/>
        </w:rPr>
        <w:t xml:space="preserve">)                               </w:t>
      </w:r>
    </w:p>
    <w:p>
      <w:pPr>
        <w:spacing w:line="312" w:lineRule="auto"/>
        <w:rPr>
          <w:rFonts w:ascii="新宋体" w:hAnsi="新宋体" w:eastAsia="新宋体"/>
          <w:color w:val="auto"/>
        </w:rPr>
      </w:pPr>
      <w:r>
        <w:rPr>
          <w:rFonts w:hint="eastAsia" w:ascii="新宋体" w:hAnsi="新宋体" w:eastAsia="新宋体"/>
          <w:color w:val="auto"/>
        </w:rPr>
        <w:t>法定代表人或其委托代理人：</w:t>
      </w:r>
      <w:r>
        <w:rPr>
          <w:rFonts w:ascii="新宋体" w:hAnsi="新宋体" w:eastAsia="新宋体"/>
          <w:color w:val="auto"/>
        </w:rPr>
        <w:t xml:space="preserve">  </w:t>
      </w:r>
      <w:r>
        <w:rPr>
          <w:rFonts w:hint="eastAsia" w:ascii="新宋体" w:hAnsi="新宋体" w:eastAsia="新宋体"/>
          <w:color w:val="auto"/>
        </w:rPr>
        <w:t>法定代表人或其委托代理人：</w:t>
      </w:r>
    </w:p>
    <w:p>
      <w:pPr>
        <w:spacing w:line="312" w:lineRule="auto"/>
        <w:rPr>
          <w:rFonts w:ascii="新宋体" w:hAnsi="新宋体" w:eastAsia="新宋体"/>
          <w:color w:val="auto"/>
          <w:u w:val="single"/>
        </w:rPr>
      </w:pPr>
      <w:r>
        <w:rPr>
          <w:rFonts w:hint="eastAsia" w:ascii="新宋体" w:hAnsi="新宋体" w:eastAsia="新宋体"/>
          <w:color w:val="auto"/>
        </w:rPr>
        <w:t>（签字）</w:t>
      </w:r>
      <w:r>
        <w:rPr>
          <w:rFonts w:ascii="新宋体" w:hAnsi="新宋体" w:eastAsia="新宋体"/>
          <w:color w:val="auto"/>
        </w:rPr>
        <w:t xml:space="preserve">                    </w:t>
      </w:r>
      <w:r>
        <w:rPr>
          <w:rFonts w:hint="eastAsia" w:ascii="新宋体" w:hAnsi="新宋体" w:eastAsia="新宋体"/>
          <w:color w:val="auto"/>
        </w:rPr>
        <w:t>（签字）</w:t>
      </w:r>
    </w:p>
    <w:p>
      <w:pPr>
        <w:spacing w:line="312" w:lineRule="auto"/>
        <w:rPr>
          <w:rFonts w:ascii="新宋体" w:hAnsi="新宋体" w:eastAsia="新宋体"/>
          <w:color w:val="auto"/>
        </w:rPr>
      </w:pPr>
      <w:r>
        <w:rPr>
          <w:rFonts w:hint="eastAsia" w:ascii="新宋体" w:hAnsi="新宋体" w:eastAsia="新宋体"/>
          <w:color w:val="auto"/>
        </w:rPr>
        <w:t>组织机构代码：</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组织机构代码：</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p>
    <w:p>
      <w:pPr>
        <w:spacing w:line="312" w:lineRule="auto"/>
        <w:rPr>
          <w:rFonts w:ascii="新宋体" w:hAnsi="新宋体" w:eastAsia="新宋体"/>
          <w:color w:val="auto"/>
        </w:rPr>
      </w:pPr>
      <w:r>
        <w:rPr>
          <w:rFonts w:hint="eastAsia" w:ascii="新宋体" w:hAnsi="新宋体" w:eastAsia="新宋体"/>
          <w:color w:val="auto"/>
        </w:rPr>
        <w:t>地</w:t>
      </w:r>
      <w:r>
        <w:rPr>
          <w:rFonts w:ascii="新宋体" w:hAnsi="新宋体" w:eastAsia="新宋体"/>
          <w:color w:val="auto"/>
        </w:rPr>
        <w:t xml:space="preserve">  </w:t>
      </w:r>
      <w:r>
        <w:rPr>
          <w:rFonts w:hint="eastAsia" w:ascii="新宋体" w:hAnsi="新宋体" w:eastAsia="新宋体"/>
          <w:color w:val="auto"/>
        </w:rPr>
        <w:t>址：</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地</w:t>
      </w:r>
      <w:r>
        <w:rPr>
          <w:rFonts w:ascii="新宋体" w:hAnsi="新宋体" w:eastAsia="新宋体"/>
          <w:color w:val="auto"/>
        </w:rPr>
        <w:t xml:space="preserve">  </w:t>
      </w:r>
      <w:r>
        <w:rPr>
          <w:rFonts w:hint="eastAsia" w:ascii="新宋体" w:hAnsi="新宋体" w:eastAsia="新宋体"/>
          <w:color w:val="auto"/>
        </w:rPr>
        <w:t>址：</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spacing w:line="312" w:lineRule="auto"/>
        <w:rPr>
          <w:rFonts w:ascii="新宋体" w:hAnsi="新宋体" w:eastAsia="新宋体"/>
          <w:color w:val="auto"/>
        </w:rPr>
      </w:pPr>
      <w:r>
        <w:rPr>
          <w:rFonts w:hint="eastAsia" w:ascii="新宋体" w:hAnsi="新宋体" w:eastAsia="新宋体"/>
          <w:color w:val="auto"/>
        </w:rPr>
        <w:t>邮政编码：</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邮政编码：</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spacing w:line="312" w:lineRule="auto"/>
        <w:rPr>
          <w:rFonts w:ascii="新宋体" w:hAnsi="新宋体" w:eastAsia="新宋体"/>
          <w:color w:val="auto"/>
        </w:rPr>
      </w:pPr>
      <w:r>
        <w:rPr>
          <w:rFonts w:hint="eastAsia" w:ascii="新宋体" w:hAnsi="新宋体" w:eastAsia="新宋体"/>
          <w:color w:val="auto"/>
        </w:rPr>
        <w:t>法定代表人：</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法定代表人：</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spacing w:line="312" w:lineRule="auto"/>
        <w:rPr>
          <w:rFonts w:ascii="新宋体" w:hAnsi="新宋体" w:eastAsia="新宋体"/>
          <w:color w:val="auto"/>
        </w:rPr>
      </w:pPr>
      <w:r>
        <w:rPr>
          <w:rFonts w:hint="eastAsia" w:ascii="新宋体" w:hAnsi="新宋体" w:eastAsia="新宋体"/>
          <w:color w:val="auto"/>
        </w:rPr>
        <w:t>委托代理人：</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委托代理人：</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spacing w:line="312" w:lineRule="auto"/>
        <w:rPr>
          <w:rFonts w:ascii="新宋体" w:hAnsi="新宋体" w:eastAsia="新宋体"/>
          <w:color w:val="auto"/>
        </w:rPr>
      </w:pPr>
      <w:r>
        <w:rPr>
          <w:rFonts w:hint="eastAsia" w:ascii="新宋体" w:hAnsi="新宋体" w:eastAsia="新宋体"/>
          <w:color w:val="auto"/>
        </w:rPr>
        <w:t>电</w:t>
      </w:r>
      <w:r>
        <w:rPr>
          <w:rFonts w:ascii="新宋体" w:hAnsi="新宋体" w:eastAsia="新宋体"/>
          <w:color w:val="auto"/>
        </w:rPr>
        <w:t xml:space="preserve">  </w:t>
      </w:r>
      <w:r>
        <w:rPr>
          <w:rFonts w:hint="eastAsia" w:ascii="新宋体" w:hAnsi="新宋体" w:eastAsia="新宋体"/>
          <w:color w:val="auto"/>
        </w:rPr>
        <w:t>话：</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电</w:t>
      </w:r>
      <w:r>
        <w:rPr>
          <w:rFonts w:ascii="新宋体" w:hAnsi="新宋体" w:eastAsia="新宋体"/>
          <w:color w:val="auto"/>
        </w:rPr>
        <w:t xml:space="preserve">  </w:t>
      </w:r>
      <w:r>
        <w:rPr>
          <w:rFonts w:hint="eastAsia" w:ascii="新宋体" w:hAnsi="新宋体" w:eastAsia="新宋体"/>
          <w:color w:val="auto"/>
        </w:rPr>
        <w:t>话：</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spacing w:line="312" w:lineRule="auto"/>
        <w:rPr>
          <w:rFonts w:ascii="新宋体" w:hAnsi="新宋体" w:eastAsia="新宋体"/>
          <w:color w:val="auto"/>
        </w:rPr>
      </w:pPr>
      <w:r>
        <w:rPr>
          <w:rFonts w:hint="eastAsia" w:ascii="新宋体" w:hAnsi="新宋体" w:eastAsia="新宋体"/>
          <w:color w:val="auto"/>
        </w:rPr>
        <w:t>传</w:t>
      </w:r>
      <w:r>
        <w:rPr>
          <w:rFonts w:ascii="新宋体" w:hAnsi="新宋体" w:eastAsia="新宋体"/>
          <w:color w:val="auto"/>
        </w:rPr>
        <w:t xml:space="preserve">  </w:t>
      </w:r>
      <w:r>
        <w:rPr>
          <w:rFonts w:hint="eastAsia" w:ascii="新宋体" w:hAnsi="新宋体" w:eastAsia="新宋体"/>
          <w:color w:val="auto"/>
        </w:rPr>
        <w:t>真：</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传</w:t>
      </w:r>
      <w:r>
        <w:rPr>
          <w:rFonts w:ascii="新宋体" w:hAnsi="新宋体" w:eastAsia="新宋体"/>
          <w:color w:val="auto"/>
        </w:rPr>
        <w:t xml:space="preserve">  </w:t>
      </w:r>
      <w:r>
        <w:rPr>
          <w:rFonts w:hint="eastAsia" w:ascii="新宋体" w:hAnsi="新宋体" w:eastAsia="新宋体"/>
          <w:color w:val="auto"/>
        </w:rPr>
        <w:t>真：</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spacing w:line="312" w:lineRule="auto"/>
        <w:rPr>
          <w:rFonts w:ascii="新宋体" w:hAnsi="新宋体" w:eastAsia="新宋体"/>
          <w:color w:val="auto"/>
        </w:rPr>
      </w:pPr>
      <w:r>
        <w:rPr>
          <w:rFonts w:hint="eastAsia" w:ascii="新宋体" w:hAnsi="新宋体" w:eastAsia="新宋体"/>
          <w:color w:val="auto"/>
        </w:rPr>
        <w:t>电子信箱：</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电子信箱：</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spacing w:line="312" w:lineRule="auto"/>
        <w:rPr>
          <w:rFonts w:ascii="新宋体" w:hAnsi="新宋体" w:eastAsia="新宋体"/>
          <w:color w:val="auto"/>
        </w:rPr>
      </w:pPr>
      <w:r>
        <w:rPr>
          <w:rFonts w:hint="eastAsia" w:ascii="新宋体" w:hAnsi="新宋体" w:eastAsia="新宋体"/>
          <w:color w:val="auto"/>
        </w:rPr>
        <w:t>开户银行：</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开户银行：</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spacing w:line="312" w:lineRule="auto"/>
        <w:rPr>
          <w:rFonts w:ascii="新宋体" w:hAnsi="新宋体" w:eastAsia="新宋体"/>
          <w:color w:val="auto"/>
        </w:rPr>
      </w:pPr>
      <w:r>
        <w:rPr>
          <w:rFonts w:hint="eastAsia" w:ascii="新宋体" w:hAnsi="新宋体" w:eastAsia="新宋体"/>
          <w:color w:val="auto"/>
        </w:rPr>
        <w:t>账</w:t>
      </w:r>
      <w:r>
        <w:rPr>
          <w:rFonts w:ascii="新宋体" w:hAnsi="新宋体" w:eastAsia="新宋体"/>
          <w:color w:val="auto"/>
        </w:rPr>
        <w:t xml:space="preserve">  </w:t>
      </w:r>
      <w:r>
        <w:rPr>
          <w:rFonts w:hint="eastAsia" w:ascii="新宋体" w:hAnsi="新宋体" w:eastAsia="新宋体"/>
          <w:color w:val="auto"/>
        </w:rPr>
        <w:t>号：</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账</w:t>
      </w:r>
      <w:r>
        <w:rPr>
          <w:rFonts w:ascii="新宋体" w:hAnsi="新宋体" w:eastAsia="新宋体"/>
          <w:color w:val="auto"/>
        </w:rPr>
        <w:t xml:space="preserve">  </w:t>
      </w:r>
      <w:r>
        <w:rPr>
          <w:rFonts w:hint="eastAsia" w:ascii="新宋体" w:hAnsi="新宋体" w:eastAsia="新宋体"/>
          <w:color w:val="auto"/>
        </w:rPr>
        <w:t>号：</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rPr>
          <w:rFonts w:hint="eastAsia" w:ascii="新宋体" w:hAnsi="新宋体" w:eastAsia="新宋体" w:cs="新宋体"/>
          <w:b/>
          <w:bCs/>
          <w:color w:val="auto"/>
          <w:sz w:val="24"/>
          <w:szCs w:val="24"/>
        </w:rPr>
      </w:pPr>
    </w:p>
    <w:p>
      <w:pPr>
        <w:pStyle w:val="2"/>
        <w:rPr>
          <w:rFonts w:hint="eastAsia" w:ascii="新宋体" w:hAnsi="新宋体" w:eastAsia="新宋体" w:cs="新宋体"/>
          <w:b/>
          <w:bCs/>
          <w:color w:val="auto"/>
          <w:sz w:val="24"/>
          <w:szCs w:val="24"/>
        </w:rPr>
      </w:pPr>
    </w:p>
    <w:p/>
    <w:p/>
    <w:p/>
    <w:p/>
    <w:p/>
    <w:p/>
    <w:p/>
    <w:p/>
    <w:p/>
    <w:p/>
    <w:p>
      <w: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6"/>
        <w:spacing w:line="312" w:lineRule="auto"/>
        <w:rPr>
          <w:rFonts w:hint="eastAsia" w:ascii="新宋体" w:hAnsi="新宋体" w:eastAsia="新宋体"/>
          <w:b/>
          <w:bCs/>
          <w:color w:val="auto"/>
        </w:rPr>
      </w:pPr>
    </w:p>
    <w:p>
      <w:pPr>
        <w:pStyle w:val="6"/>
        <w:spacing w:line="312" w:lineRule="auto"/>
        <w:rPr>
          <w:rFonts w:hint="eastAsia" w:ascii="新宋体" w:hAnsi="新宋体" w:eastAsia="新宋体"/>
          <w:b/>
          <w:bCs/>
          <w:color w:val="auto"/>
          <w:lang w:eastAsia="zh-CN"/>
        </w:rPr>
      </w:pPr>
      <w:r>
        <w:rPr>
          <w:rFonts w:hint="eastAsia" w:ascii="新宋体" w:hAnsi="新宋体" w:eastAsia="新宋体"/>
          <w:b/>
          <w:bCs/>
          <w:color w:val="auto"/>
        </w:rPr>
        <w:t>第二部分</w:t>
      </w:r>
      <w:r>
        <w:rPr>
          <w:rFonts w:ascii="新宋体" w:hAnsi="新宋体" w:eastAsia="新宋体"/>
          <w:b/>
          <w:bCs/>
          <w:color w:val="auto"/>
        </w:rPr>
        <w:t xml:space="preserve"> </w:t>
      </w:r>
      <w:r>
        <w:rPr>
          <w:rFonts w:hint="eastAsia" w:ascii="新宋体" w:hAnsi="新宋体" w:eastAsia="新宋体"/>
          <w:b/>
          <w:bCs/>
          <w:color w:val="auto"/>
        </w:rPr>
        <w:t>通用合同条款</w:t>
      </w:r>
      <w:bookmarkStart w:id="224" w:name="_Toc337558727"/>
      <w:bookmarkEnd w:id="224"/>
      <w:r>
        <w:rPr>
          <w:rFonts w:hint="eastAsia" w:ascii="新宋体" w:hAnsi="新宋体" w:eastAsia="新宋体"/>
          <w:b/>
          <w:bCs/>
          <w:color w:val="auto"/>
          <w:lang w:eastAsia="zh-CN"/>
        </w:rPr>
        <w:t>（略）</w:t>
      </w:r>
    </w:p>
    <w:p>
      <w:pPr>
        <w:pStyle w:val="6"/>
        <w:spacing w:line="300" w:lineRule="exact"/>
        <w:rPr>
          <w:rFonts w:ascii="新宋体" w:hAnsi="新宋体" w:eastAsia="新宋体"/>
          <w:b/>
          <w:bCs/>
          <w:color w:val="auto"/>
        </w:rPr>
      </w:pPr>
      <w:r>
        <w:rPr>
          <w:rFonts w:ascii="新宋体" w:hAnsi="新宋体" w:eastAsia="新宋体"/>
          <w:b/>
          <w:bCs/>
          <w:color w:val="auto"/>
        </w:rPr>
        <w:t xml:space="preserve"> </w:t>
      </w:r>
      <w:r>
        <w:rPr>
          <w:rFonts w:hint="eastAsia" w:ascii="新宋体" w:hAnsi="新宋体" w:eastAsia="新宋体"/>
          <w:b/>
          <w:bCs/>
          <w:color w:val="auto"/>
        </w:rPr>
        <w:t>第三部分</w:t>
      </w:r>
      <w:r>
        <w:rPr>
          <w:rFonts w:ascii="新宋体" w:hAnsi="新宋体" w:eastAsia="新宋体"/>
          <w:b/>
          <w:bCs/>
          <w:color w:val="auto"/>
        </w:rPr>
        <w:t xml:space="preserve"> </w:t>
      </w:r>
      <w:r>
        <w:rPr>
          <w:rFonts w:hint="eastAsia" w:ascii="新宋体" w:hAnsi="新宋体" w:eastAsia="新宋体"/>
          <w:b/>
          <w:bCs/>
          <w:color w:val="auto"/>
        </w:rPr>
        <w:t>专用合同条款</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225" w:name="_Toc351203633"/>
      <w:bookmarkEnd w:id="225"/>
      <w:r>
        <w:rPr>
          <w:rFonts w:hint="eastAsia" w:ascii="宋体" w:hAnsi="宋体" w:eastAsia="宋体" w:cs="宋体"/>
          <w:b w:val="0"/>
          <w:bCs w:val="0"/>
          <w:color w:val="auto"/>
          <w:sz w:val="21"/>
          <w:szCs w:val="21"/>
        </w:rPr>
        <w:t>1</w:t>
      </w:r>
      <w:bookmarkStart w:id="226" w:name="_Toc297120456"/>
      <w:bookmarkEnd w:id="226"/>
      <w:bookmarkStart w:id="227" w:name="_Toc296503156"/>
      <w:bookmarkEnd w:id="227"/>
      <w:bookmarkStart w:id="228" w:name="_Toc296944495"/>
      <w:bookmarkEnd w:id="228"/>
      <w:bookmarkStart w:id="229" w:name="_Toc296891196"/>
      <w:bookmarkEnd w:id="229"/>
      <w:bookmarkStart w:id="230" w:name="_Toc296346657"/>
      <w:bookmarkEnd w:id="230"/>
      <w:bookmarkStart w:id="231" w:name="_Toc296347155"/>
      <w:bookmarkEnd w:id="231"/>
      <w:bookmarkStart w:id="232" w:name="_Toc296890984"/>
      <w:bookmarkEnd w:id="232"/>
      <w:bookmarkStart w:id="233" w:name="_Toc297048342"/>
      <w:bookmarkEnd w:id="233"/>
      <w:bookmarkStart w:id="234" w:name="_Toc292559866"/>
      <w:bookmarkEnd w:id="234"/>
      <w:bookmarkStart w:id="235" w:name="_Toc292559361"/>
      <w:r>
        <w:rPr>
          <w:rFonts w:hint="eastAsia" w:ascii="宋体" w:hAnsi="宋体" w:eastAsia="宋体" w:cs="宋体"/>
          <w:b w:val="0"/>
          <w:bCs w:val="0"/>
          <w:color w:val="auto"/>
          <w:sz w:val="21"/>
          <w:szCs w:val="21"/>
        </w:rPr>
        <w:t>. 一般约定</w:t>
      </w:r>
      <w:bookmarkEnd w:id="235"/>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1.1 词语定义</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1.1.1合同</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1.1.1.10其他合同文件包括：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1.1.2 合同当事人及其他相关方</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1.1.2.4监理人：</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rPr>
        <w:t xml:space="preserve">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资质类别和等级：</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1.1.2.5 设计人：</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u w:val="single"/>
        </w:rPr>
        <w:t xml:space="preserve">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资质类别和等级：</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1.1.3 工程和设备</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1.1.3.7 作为施工现场组成部分的其他场所包括：</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1.1.3.9 永久占地包括：</w:t>
      </w:r>
      <w:r>
        <w:rPr>
          <w:rFonts w:hint="eastAsia" w:ascii="宋体" w:hAnsi="宋体" w:eastAsia="宋体" w:cs="宋体"/>
          <w:color w:val="auto"/>
          <w:sz w:val="21"/>
          <w:szCs w:val="21"/>
          <w:u w:val="single"/>
        </w:rPr>
        <w:t xml:space="preserve">           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1.1.3.10 临时占地包括：</w:t>
      </w:r>
      <w:r>
        <w:rPr>
          <w:rFonts w:hint="eastAsia" w:ascii="宋体" w:hAnsi="宋体" w:eastAsia="宋体" w:cs="宋体"/>
          <w:color w:val="auto"/>
          <w:sz w:val="21"/>
          <w:szCs w:val="21"/>
          <w:u w:val="single"/>
        </w:rPr>
        <w:t xml:space="preserve">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1.3法律 </w:t>
      </w:r>
    </w:p>
    <w:p>
      <w:pPr>
        <w:pageBreakBefore w:val="0"/>
        <w:widowControl w:val="0"/>
        <w:kinsoku/>
        <w:wordWrap/>
        <w:overflowPunct/>
        <w:topLinePunct w:val="0"/>
        <w:autoSpaceDE w:val="0"/>
        <w:autoSpaceDN w:val="0"/>
        <w:bidi w:val="0"/>
        <w:adjustRightInd w:val="0"/>
        <w:snapToGrid/>
        <w:spacing w:line="356" w:lineRule="exact"/>
        <w:ind w:left="596" w:leftChars="284"/>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适用于合同的其他规范性文件：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 标准和规范</w:t>
      </w:r>
    </w:p>
    <w:p>
      <w:pPr>
        <w:pageBreakBefore w:val="0"/>
        <w:widowControl w:val="0"/>
        <w:kinsoku/>
        <w:wordWrap/>
        <w:overflowPunct/>
        <w:topLinePunct w:val="0"/>
        <w:bidi w:val="0"/>
        <w:snapToGrid/>
        <w:spacing w:line="356" w:lineRule="exact"/>
        <w:ind w:left="596" w:leftChars="284"/>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1.4.1适用于工程的标准规范包括：</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1.4.2 发包人提供国外标准、规范的名称：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发包人提供国外标准、规范的份数：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1.4.3发包人对工程的技术标准和功能要求的特殊要求：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1.5 合同文件的优先顺序</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合同文件组成及优先顺序为：</w:t>
      </w:r>
      <w:r>
        <w:rPr>
          <w:rFonts w:hint="eastAsia" w:ascii="宋体" w:hAnsi="宋体" w:eastAsia="宋体" w:cs="宋体"/>
          <w:color w:val="auto"/>
          <w:sz w:val="21"/>
          <w:szCs w:val="21"/>
          <w:u w:val="single"/>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1.6 图纸和承包人文件</w:t>
      </w:r>
      <w:r>
        <w:rPr>
          <w:rFonts w:hint="eastAsia" w:ascii="宋体" w:hAnsi="宋体" w:eastAsia="宋体" w:cs="宋体"/>
          <w:color w:val="auto"/>
          <w:sz w:val="21"/>
          <w:szCs w:val="21"/>
        </w:rPr>
        <w:tab/>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1.6.1 图纸的提供</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发包人向承包人提供图纸的期限：</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发包人向承包人提供图纸的数量：</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发包人向承包人提供图纸的内容：</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1.6.4 承包人文件</w:t>
      </w:r>
    </w:p>
    <w:p>
      <w:pPr>
        <w:pageBreakBefore w:val="0"/>
        <w:widowControl w:val="0"/>
        <w:kinsoku/>
        <w:wordWrap/>
        <w:overflowPunct/>
        <w:topLinePunct w:val="0"/>
        <w:bidi w:val="0"/>
        <w:snapToGrid/>
        <w:spacing w:line="356" w:lineRule="exact"/>
        <w:ind w:left="596" w:leftChars="284"/>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需要由承包人提供的文件，包括：</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承包人提供的文件的数量为：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承包人提供的文件的形式为：</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发包人审批承包人文件的期限：</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1.6.5 现场图纸准备</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关于现场图纸准备的约定：</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1.7 联络</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1.7.1发包人和承包人应当在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天内将与合同有关的通知、批准、证明、证书、指示、指令、要求、请求、同意、意见、确定和决定等书面函件送达对方当事人。</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1.7.2 发包人接收文件的地点：</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发包人指定的接收人为：</w:t>
      </w:r>
      <w:r>
        <w:rPr>
          <w:rFonts w:hint="eastAsia" w:ascii="宋体" w:hAnsi="宋体" w:eastAsia="宋体" w:cs="宋体"/>
          <w:color w:val="auto"/>
          <w:sz w:val="21"/>
          <w:szCs w:val="21"/>
          <w:u w:val="single"/>
        </w:rPr>
        <w:t> 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承包人接收文件的地点：</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承包人指定的接收人为：</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监理人接收文件的地点：</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监理人指定的接收人为：</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1.10 交通运输</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236" w:name="_Toc304295521"/>
      <w:bookmarkEnd w:id="236"/>
      <w:bookmarkStart w:id="237" w:name="_Toc312677986"/>
      <w:bookmarkEnd w:id="237"/>
      <w:bookmarkStart w:id="238" w:name="_Toc303539100"/>
      <w:bookmarkEnd w:id="238"/>
      <w:bookmarkStart w:id="239" w:name="_Toc300934943"/>
      <w:bookmarkEnd w:id="239"/>
      <w:bookmarkStart w:id="240" w:name="_Toc318581155"/>
      <w:r>
        <w:rPr>
          <w:rFonts w:hint="eastAsia" w:ascii="宋体" w:hAnsi="宋体" w:eastAsia="宋体" w:cs="宋体"/>
          <w:color w:val="auto"/>
          <w:sz w:val="21"/>
          <w:szCs w:val="21"/>
        </w:rPr>
        <w:t>.10.1 出入现场的权利</w:t>
      </w:r>
      <w:bookmarkEnd w:id="240"/>
    </w:p>
    <w:p>
      <w:pPr>
        <w:pageBreakBefore w:val="0"/>
        <w:widowControl w:val="0"/>
        <w:kinsoku/>
        <w:wordWrap/>
        <w:overflowPunct/>
        <w:topLinePunct w:val="0"/>
        <w:bidi w:val="0"/>
        <w:snapToGrid/>
        <w:spacing w:line="356" w:lineRule="exact"/>
        <w:ind w:left="596" w:leftChars="284"/>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关于出入现场的权利的约定：</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241" w:name="_Toc303539101"/>
      <w:bookmarkEnd w:id="241"/>
      <w:bookmarkStart w:id="242" w:name="_Toc304295522"/>
      <w:bookmarkEnd w:id="242"/>
      <w:bookmarkStart w:id="243" w:name="_Toc300934944"/>
      <w:bookmarkEnd w:id="243"/>
      <w:bookmarkStart w:id="244" w:name="_Toc318581156"/>
      <w:bookmarkEnd w:id="244"/>
      <w:bookmarkStart w:id="245" w:name="_Toc312677987"/>
      <w:r>
        <w:rPr>
          <w:rFonts w:hint="eastAsia" w:ascii="宋体" w:hAnsi="宋体" w:eastAsia="宋体" w:cs="宋体"/>
          <w:color w:val="auto"/>
          <w:sz w:val="21"/>
          <w:szCs w:val="21"/>
        </w:rPr>
        <w:t>.10.3 场内交通</w:t>
      </w:r>
      <w:bookmarkEnd w:id="245"/>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关于场外交通和场内交通的边界的约定：</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关于发包人向承包人免费提供满足工程施工需要的场内道路和交通设施的约定：</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 xml:space="preserve">。  </w:t>
      </w:r>
      <w:bookmarkStart w:id="246" w:name="_Toc318581157"/>
      <w:bookmarkEnd w:id="246"/>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1.10.4超大件和超重件的运输</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运输超大件或超重件所需的道路和桥梁临时加固改造费用和其他有关费用由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承担。</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1.11 知识产权</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left="596" w:leftChars="284"/>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关于发包人提供的上述文件的使用限制的要求：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left="596" w:leftChars="284"/>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1.11.2 关于承包人为实施工程所编制文件的著作权的归属：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关于承包人提供的上述文件的使用限制的要求：</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1.11.4 承包人在施工过程中所采用的专利、专有技术、技术秘密的使用费的承担方式：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1.13工程量清单错误的修正</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出现工程量清单错误时，是否调整合同价格：</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允许调整合同价格的工程量偏差范围：</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247" w:name="_Toc351203634"/>
      <w:bookmarkEnd w:id="247"/>
      <w:r>
        <w:rPr>
          <w:rFonts w:hint="eastAsia" w:ascii="宋体" w:hAnsi="宋体" w:eastAsia="宋体" w:cs="宋体"/>
          <w:b w:val="0"/>
          <w:bCs w:val="0"/>
          <w:color w:val="auto"/>
          <w:sz w:val="21"/>
          <w:szCs w:val="21"/>
        </w:rPr>
        <w:t>2</w:t>
      </w:r>
      <w:bookmarkStart w:id="248" w:name="_Toc296347156"/>
      <w:bookmarkEnd w:id="248"/>
      <w:bookmarkStart w:id="249" w:name="_Toc296890985"/>
      <w:bookmarkEnd w:id="249"/>
      <w:bookmarkStart w:id="250" w:name="_Toc296944496"/>
      <w:bookmarkEnd w:id="250"/>
      <w:bookmarkStart w:id="251" w:name="_Toc296891197"/>
      <w:bookmarkEnd w:id="251"/>
      <w:bookmarkStart w:id="252" w:name="_Toc297120457"/>
      <w:bookmarkEnd w:id="252"/>
      <w:bookmarkStart w:id="253" w:name="_Toc296503157"/>
      <w:bookmarkEnd w:id="253"/>
      <w:bookmarkStart w:id="254" w:name="_Toc292559867"/>
      <w:bookmarkEnd w:id="254"/>
      <w:bookmarkStart w:id="255" w:name="_Toc292559362"/>
      <w:bookmarkEnd w:id="255"/>
      <w:bookmarkStart w:id="256" w:name="_Toc296346658"/>
      <w:bookmarkEnd w:id="256"/>
      <w:bookmarkStart w:id="257" w:name="_Toc297048343"/>
      <w:r>
        <w:rPr>
          <w:rFonts w:hint="eastAsia" w:ascii="宋体" w:hAnsi="宋体" w:eastAsia="宋体" w:cs="宋体"/>
          <w:b w:val="0"/>
          <w:bCs w:val="0"/>
          <w:color w:val="auto"/>
          <w:sz w:val="21"/>
          <w:szCs w:val="21"/>
        </w:rPr>
        <w:t>. 发包人</w:t>
      </w:r>
      <w:bookmarkEnd w:id="257"/>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2.2 发包人代表</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发包人代表：</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发包人对发包人代表的授权范围如下：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2.4 施工现场、施工条件和基础资料的提供</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2.4.1 提供施工现场</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关于发包人移交施工现场的期限要求：</w:t>
      </w:r>
      <w:r>
        <w:rPr>
          <w:rFonts w:hint="eastAsia" w:ascii="宋体" w:hAnsi="宋体" w:eastAsia="宋体" w:cs="宋体"/>
          <w:color w:val="auto"/>
          <w:sz w:val="21"/>
          <w:szCs w:val="21"/>
          <w:u w:val="single"/>
        </w:rPr>
        <w:t xml:space="preserve">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2.4.2 提供施工条件</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关于发包人应负责提供施工所需要的条件，包括：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2.5 资金来源证明及支付担保</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发包人提供资金来源证明的期限要求：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发包人是否提供支付担保：</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发包人提供支付担保的形式：</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258" w:name="_Toc351203635"/>
      <w:bookmarkEnd w:id="258"/>
      <w:r>
        <w:rPr>
          <w:rFonts w:hint="eastAsia" w:ascii="宋体" w:hAnsi="宋体" w:eastAsia="宋体" w:cs="宋体"/>
          <w:b w:val="0"/>
          <w:bCs w:val="0"/>
          <w:color w:val="auto"/>
          <w:sz w:val="21"/>
          <w:szCs w:val="21"/>
        </w:rPr>
        <w:t>3</w:t>
      </w:r>
      <w:bookmarkStart w:id="259" w:name="_Toc292559363"/>
      <w:bookmarkEnd w:id="259"/>
      <w:bookmarkStart w:id="260" w:name="_Toc297048344"/>
      <w:bookmarkEnd w:id="260"/>
      <w:bookmarkStart w:id="261" w:name="_Toc296944497"/>
      <w:bookmarkEnd w:id="261"/>
      <w:bookmarkStart w:id="262" w:name="_Toc296503158"/>
      <w:bookmarkEnd w:id="262"/>
      <w:bookmarkStart w:id="263" w:name="_Toc297120458"/>
      <w:bookmarkEnd w:id="263"/>
      <w:bookmarkStart w:id="264" w:name="_Toc296891198"/>
      <w:bookmarkEnd w:id="264"/>
      <w:bookmarkStart w:id="265" w:name="_Toc296347157"/>
      <w:bookmarkEnd w:id="265"/>
      <w:bookmarkStart w:id="266" w:name="_Toc296346659"/>
      <w:bookmarkEnd w:id="266"/>
      <w:bookmarkStart w:id="267" w:name="_Toc292559868"/>
      <w:bookmarkEnd w:id="267"/>
      <w:bookmarkStart w:id="268" w:name="_Toc296890986"/>
      <w:r>
        <w:rPr>
          <w:rFonts w:hint="eastAsia" w:ascii="宋体" w:hAnsi="宋体" w:eastAsia="宋体" w:cs="宋体"/>
          <w:b w:val="0"/>
          <w:bCs w:val="0"/>
          <w:color w:val="auto"/>
          <w:sz w:val="21"/>
          <w:szCs w:val="21"/>
        </w:rPr>
        <w:t>. 承包人</w:t>
      </w:r>
      <w:bookmarkEnd w:id="268"/>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 承包人的一般义务</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（9）承包人提交的竣工资料的内容：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left="638" w:leftChars="304"/>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left="638" w:leftChars="304"/>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（10）承包人应履行的其他义务：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 项目经理</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3.2.1 项目经理：</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建造师执业资格等级：</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建造师注册证书号：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建造师执业印章号：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安全生产考核合格证书号：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承包人对项目经理的授权范围如下：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关于项目经理每月在施工现场的时间要求：</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承包人未提交劳动合同，以及没有为项目经理缴纳社会保险证明的违约责任：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项目经理未经批准，擅自离开施工现场的违约责任：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3.2.3 承包人擅自更换项目经理的违约责任：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 xml:space="preserve">    3.2.4 承包人无正当理由拒绝更换项目经理的违约责任：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 承包人人员</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3.3.1 承包人提交项目管理机构及施工现场管理人员安排报告的期限：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3.3.3 承包人无正当理由拒绝撤换主要施工管理人员的违约责任：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3.3.4 承包人主要施工管理人员离开施工现场的批准要求：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3.3.5承包人擅自更换主要施工管理人员的违约责任：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承包人主要施工管理人员擅自离开施工现场的违约责任：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269" w:name="_Toc297216151"/>
      <w:bookmarkEnd w:id="269"/>
      <w:bookmarkStart w:id="270" w:name="_Toc303539102"/>
      <w:bookmarkEnd w:id="270"/>
      <w:bookmarkStart w:id="271" w:name="_Toc292559869"/>
      <w:bookmarkEnd w:id="271"/>
      <w:bookmarkStart w:id="272" w:name="_Toc312677988"/>
      <w:bookmarkEnd w:id="272"/>
      <w:bookmarkStart w:id="273" w:name="_Toc304295523"/>
      <w:bookmarkEnd w:id="273"/>
      <w:bookmarkStart w:id="274" w:name="_Toc296890987"/>
      <w:bookmarkEnd w:id="274"/>
      <w:bookmarkStart w:id="275" w:name="_Toc296944498"/>
      <w:bookmarkEnd w:id="275"/>
      <w:bookmarkStart w:id="276" w:name="_Toc296347158"/>
      <w:bookmarkEnd w:id="276"/>
      <w:bookmarkStart w:id="277" w:name="_Toc296891199"/>
      <w:bookmarkEnd w:id="277"/>
      <w:bookmarkStart w:id="278" w:name="_Toc297048345"/>
      <w:bookmarkEnd w:id="278"/>
      <w:bookmarkStart w:id="279" w:name="_Toc297120459"/>
      <w:bookmarkEnd w:id="279"/>
      <w:bookmarkStart w:id="280" w:name="_Toc300934945"/>
      <w:bookmarkEnd w:id="280"/>
      <w:bookmarkStart w:id="281" w:name="_Toc292559364"/>
      <w:bookmarkEnd w:id="281"/>
      <w:bookmarkStart w:id="282" w:name="_Toc296503159"/>
      <w:bookmarkEnd w:id="282"/>
      <w:bookmarkStart w:id="283" w:name="_Toc296346660"/>
      <w:bookmarkEnd w:id="283"/>
      <w:bookmarkStart w:id="284" w:name="_Toc297123492"/>
      <w:r>
        <w:rPr>
          <w:rFonts w:hint="eastAsia" w:ascii="宋体" w:hAnsi="宋体" w:eastAsia="宋体" w:cs="宋体"/>
          <w:color w:val="auto"/>
          <w:sz w:val="21"/>
          <w:szCs w:val="21"/>
        </w:rPr>
        <w:t>.5 分包</w:t>
      </w:r>
      <w:bookmarkEnd w:id="284"/>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285" w:name="_Toc292559870"/>
      <w:bookmarkEnd w:id="285"/>
      <w:bookmarkStart w:id="286" w:name="_Toc318581158"/>
      <w:bookmarkEnd w:id="286"/>
      <w:bookmarkStart w:id="287" w:name="_Toc303539103"/>
      <w:bookmarkEnd w:id="287"/>
      <w:bookmarkStart w:id="288" w:name="_Toc296891200"/>
      <w:bookmarkEnd w:id="288"/>
      <w:bookmarkStart w:id="289" w:name="_Toc296347159"/>
      <w:bookmarkEnd w:id="289"/>
      <w:bookmarkStart w:id="290" w:name="_Toc300934946"/>
      <w:bookmarkEnd w:id="290"/>
      <w:bookmarkStart w:id="291" w:name="_Toc297216152"/>
      <w:bookmarkEnd w:id="291"/>
      <w:bookmarkStart w:id="292" w:name="_Toc296890988"/>
      <w:bookmarkEnd w:id="292"/>
      <w:bookmarkStart w:id="293" w:name="_Toc292559365"/>
      <w:bookmarkEnd w:id="293"/>
      <w:bookmarkStart w:id="294" w:name="_Toc296346661"/>
      <w:bookmarkEnd w:id="294"/>
      <w:bookmarkStart w:id="295" w:name="_Toc297048346"/>
      <w:bookmarkEnd w:id="295"/>
      <w:bookmarkStart w:id="296" w:name="_Toc304295524"/>
      <w:bookmarkEnd w:id="296"/>
      <w:bookmarkStart w:id="297" w:name="_Toc297123493"/>
      <w:bookmarkEnd w:id="297"/>
      <w:bookmarkStart w:id="298" w:name="_Toc296503160"/>
      <w:bookmarkEnd w:id="298"/>
      <w:bookmarkStart w:id="299" w:name="_Toc296944499"/>
      <w:bookmarkEnd w:id="299"/>
      <w:bookmarkStart w:id="300" w:name="_Toc297120460"/>
      <w:bookmarkEnd w:id="300"/>
      <w:bookmarkStart w:id="301" w:name="_Toc312677989"/>
      <w:r>
        <w:rPr>
          <w:rFonts w:hint="eastAsia" w:ascii="宋体" w:hAnsi="宋体" w:eastAsia="宋体" w:cs="宋体"/>
          <w:color w:val="auto"/>
          <w:sz w:val="21"/>
          <w:szCs w:val="21"/>
        </w:rPr>
        <w:t>.5.1 分包的一般约定</w:t>
      </w:r>
      <w:bookmarkEnd w:id="301"/>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禁止分包的工程包括：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主体结构、关键性工作的范围：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bookmarkStart w:id="302" w:name="_Toc296503161"/>
      <w:bookmarkEnd w:id="302"/>
      <w:bookmarkStart w:id="303" w:name="_Toc304295525"/>
      <w:bookmarkEnd w:id="303"/>
      <w:bookmarkStart w:id="304" w:name="_Toc296891201"/>
      <w:bookmarkEnd w:id="304"/>
      <w:bookmarkStart w:id="305" w:name="_Toc303539104"/>
      <w:bookmarkEnd w:id="305"/>
      <w:bookmarkStart w:id="306" w:name="_Toc297216153"/>
      <w:bookmarkEnd w:id="306"/>
      <w:bookmarkStart w:id="307" w:name="_Toc296890989"/>
      <w:bookmarkEnd w:id="307"/>
      <w:bookmarkStart w:id="308" w:name="_Toc296347160"/>
      <w:bookmarkEnd w:id="308"/>
      <w:bookmarkStart w:id="309" w:name="_Toc297048347"/>
      <w:bookmarkEnd w:id="309"/>
      <w:bookmarkStart w:id="310" w:name="_Toc296944500"/>
      <w:bookmarkEnd w:id="310"/>
      <w:bookmarkStart w:id="311" w:name="_Toc300934947"/>
      <w:bookmarkEnd w:id="311"/>
      <w:bookmarkStart w:id="312" w:name="_Toc297123494"/>
      <w:bookmarkEnd w:id="312"/>
      <w:bookmarkStart w:id="313" w:name="_Toc296346662"/>
      <w:bookmarkEnd w:id="313"/>
      <w:bookmarkStart w:id="314" w:name="_Toc297120461"/>
      <w:bookmarkEnd w:id="314"/>
    </w:p>
    <w:p>
      <w:pPr>
        <w:pageBreakBefore w:val="0"/>
        <w:widowControl w:val="0"/>
        <w:kinsoku/>
        <w:wordWrap/>
        <w:overflowPunct/>
        <w:topLinePunct w:val="0"/>
        <w:bidi w:val="0"/>
        <w:snapToGrid/>
        <w:spacing w:line="356"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w:t>
      </w:r>
      <w:bookmarkStart w:id="315" w:name="_Toc312677990"/>
      <w:bookmarkEnd w:id="315"/>
      <w:bookmarkStart w:id="316" w:name="_Toc318581159"/>
      <w:r>
        <w:rPr>
          <w:rFonts w:hint="eastAsia" w:ascii="宋体" w:hAnsi="宋体" w:eastAsia="宋体" w:cs="宋体"/>
          <w:color w:val="auto"/>
          <w:sz w:val="21"/>
          <w:szCs w:val="21"/>
        </w:rPr>
        <w:t>.5.2分包的确定</w:t>
      </w:r>
      <w:bookmarkEnd w:id="316"/>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允许分包的专业工程包括：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其他关于分包的约定：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3.5.4 分包合同价款</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关于分包合同价款支付的约定：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3.6 工程照管与成品、半成品保护</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承包人负责照管工程及工程相关的材料、工程设备的起始时间：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3.7 履约担保</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承包人是否提供履约担保：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承包人提供履约担保的形式、金额及期限的：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317" w:name="_Toc351203636"/>
      <w:bookmarkEnd w:id="317"/>
      <w:r>
        <w:rPr>
          <w:rFonts w:hint="eastAsia" w:ascii="宋体" w:hAnsi="宋体" w:eastAsia="宋体" w:cs="宋体"/>
          <w:b w:val="0"/>
          <w:bCs w:val="0"/>
          <w:color w:val="auto"/>
          <w:sz w:val="21"/>
          <w:szCs w:val="21"/>
        </w:rPr>
        <w:t>4</w:t>
      </w:r>
      <w:bookmarkStart w:id="318" w:name="_Toc297120462"/>
      <w:bookmarkEnd w:id="318"/>
      <w:bookmarkStart w:id="319" w:name="_Toc296503162"/>
      <w:bookmarkEnd w:id="319"/>
      <w:bookmarkStart w:id="320" w:name="_Toc296944501"/>
      <w:bookmarkEnd w:id="320"/>
      <w:bookmarkStart w:id="321" w:name="_Toc292559871"/>
      <w:bookmarkEnd w:id="321"/>
      <w:bookmarkStart w:id="322" w:name="_Toc296891202"/>
      <w:bookmarkEnd w:id="322"/>
      <w:bookmarkStart w:id="323" w:name="_Toc296890990"/>
      <w:bookmarkEnd w:id="323"/>
      <w:bookmarkStart w:id="324" w:name="_Toc296347161"/>
      <w:bookmarkEnd w:id="324"/>
      <w:bookmarkStart w:id="325" w:name="_Toc296346663"/>
      <w:bookmarkEnd w:id="325"/>
      <w:bookmarkStart w:id="326" w:name="_Toc267251413"/>
      <w:bookmarkEnd w:id="326"/>
      <w:bookmarkStart w:id="327" w:name="_Toc292559366"/>
      <w:bookmarkEnd w:id="327"/>
      <w:bookmarkStart w:id="328" w:name="_Toc297048348"/>
      <w:r>
        <w:rPr>
          <w:rFonts w:hint="eastAsia" w:ascii="宋体" w:hAnsi="宋体" w:eastAsia="宋体" w:cs="宋体"/>
          <w:b w:val="0"/>
          <w:bCs w:val="0"/>
          <w:color w:val="auto"/>
          <w:sz w:val="21"/>
          <w:szCs w:val="21"/>
        </w:rPr>
        <w:t>. 监</w:t>
      </w:r>
      <w:bookmarkEnd w:id="328"/>
      <w:r>
        <w:rPr>
          <w:rFonts w:hint="eastAsia" w:ascii="宋体" w:hAnsi="宋体" w:eastAsia="宋体" w:cs="宋体"/>
          <w:b w:val="0"/>
          <w:bCs w:val="0"/>
          <w:color w:val="auto"/>
          <w:sz w:val="21"/>
          <w:szCs w:val="21"/>
        </w:rPr>
        <w:t>理人</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4.1监理人的一般规定</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关于监理人的监理权限：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关于监理人在施工现场的办公场所、生活场所的提供和费用承担的约定：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4.2 监理人员</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关于监理人的其他约定：</w:t>
      </w:r>
      <w:r>
        <w:rPr>
          <w:rFonts w:hint="eastAsia" w:ascii="宋体" w:hAnsi="宋体" w:eastAsia="宋体" w:cs="宋体"/>
          <w:color w:val="auto"/>
          <w:sz w:val="21"/>
          <w:szCs w:val="21"/>
          <w:u w:val="single"/>
        </w:rPr>
        <w:t>  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4.4 商定或确定</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bookmarkStart w:id="329" w:name="_Toc267251418"/>
      <w:bookmarkEnd w:id="329"/>
      <w:r>
        <w:rPr>
          <w:rFonts w:hint="eastAsia" w:ascii="宋体" w:hAnsi="宋体" w:eastAsia="宋体" w:cs="宋体"/>
          <w:color w:val="auto"/>
          <w:sz w:val="21"/>
          <w:szCs w:val="21"/>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330" w:name="_Toc351203637"/>
      <w:bookmarkEnd w:id="330"/>
      <w:r>
        <w:rPr>
          <w:rFonts w:hint="eastAsia" w:ascii="宋体" w:hAnsi="宋体" w:eastAsia="宋体" w:cs="宋体"/>
          <w:b w:val="0"/>
          <w:bCs w:val="0"/>
          <w:color w:val="auto"/>
          <w:sz w:val="21"/>
          <w:szCs w:val="21"/>
        </w:rPr>
        <w:t>5</w:t>
      </w:r>
      <w:bookmarkStart w:id="331" w:name="_Toc292559872"/>
      <w:bookmarkEnd w:id="331"/>
      <w:bookmarkStart w:id="332" w:name="_Toc292559367"/>
      <w:bookmarkEnd w:id="332"/>
      <w:bookmarkStart w:id="333" w:name="_Toc296890991"/>
      <w:bookmarkEnd w:id="333"/>
      <w:bookmarkStart w:id="334" w:name="_Toc296891203"/>
      <w:bookmarkEnd w:id="334"/>
      <w:bookmarkStart w:id="335" w:name="_Toc297120463"/>
      <w:bookmarkEnd w:id="335"/>
      <w:bookmarkStart w:id="336" w:name="_Toc296503163"/>
      <w:bookmarkEnd w:id="336"/>
      <w:bookmarkStart w:id="337" w:name="_Toc296944502"/>
      <w:bookmarkEnd w:id="337"/>
      <w:bookmarkStart w:id="338" w:name="_Toc296347162"/>
      <w:bookmarkEnd w:id="338"/>
      <w:bookmarkStart w:id="339" w:name="_Toc297048349"/>
      <w:bookmarkEnd w:id="339"/>
      <w:bookmarkStart w:id="340" w:name="_Toc296346664"/>
      <w:r>
        <w:rPr>
          <w:rFonts w:hint="eastAsia" w:ascii="宋体" w:hAnsi="宋体" w:eastAsia="宋体" w:cs="宋体"/>
          <w:b w:val="0"/>
          <w:bCs w:val="0"/>
          <w:color w:val="auto"/>
          <w:sz w:val="21"/>
          <w:szCs w:val="21"/>
        </w:rPr>
        <w:t>. 工程质量</w:t>
      </w:r>
      <w:bookmarkEnd w:id="340"/>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5.1 质量要求</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bookmarkStart w:id="341" w:name="_Toc318581164"/>
      <w:bookmarkEnd w:id="341"/>
      <w:bookmarkStart w:id="342" w:name="_Toc303539106"/>
      <w:bookmarkEnd w:id="342"/>
      <w:bookmarkStart w:id="343" w:name="_Toc297216155"/>
      <w:bookmarkEnd w:id="343"/>
      <w:bookmarkStart w:id="344" w:name="_Toc297123496"/>
      <w:bookmarkEnd w:id="344"/>
      <w:bookmarkStart w:id="345" w:name="_Toc300934949"/>
      <w:bookmarkEnd w:id="345"/>
      <w:bookmarkStart w:id="346" w:name="_Toc312677997"/>
      <w:bookmarkEnd w:id="346"/>
      <w:bookmarkStart w:id="347" w:name="_Toc304295527"/>
      <w:r>
        <w:rPr>
          <w:rFonts w:hint="eastAsia" w:ascii="宋体" w:hAnsi="宋体" w:eastAsia="宋体" w:cs="宋体"/>
          <w:color w:val="auto"/>
          <w:sz w:val="21"/>
          <w:szCs w:val="21"/>
        </w:rPr>
        <w:t>.1.1 特殊质量标准和要求：</w:t>
      </w:r>
      <w:bookmarkEnd w:id="347"/>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关于工程奖项的约定：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5.3 隐蔽工程检查</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5.3.2承包人提前通知监理人隐蔽工程检查的期限的约定：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监理人不能按时进行检查时，应提前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小时提交书面延期要求。</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348" w:name="_Toc351203638"/>
      <w:bookmarkEnd w:id="348"/>
      <w:r>
        <w:rPr>
          <w:rFonts w:hint="eastAsia" w:ascii="宋体" w:hAnsi="宋体" w:eastAsia="宋体" w:cs="宋体"/>
          <w:b w:val="0"/>
          <w:bCs w:val="0"/>
          <w:color w:val="auto"/>
          <w:sz w:val="21"/>
          <w:szCs w:val="21"/>
        </w:rPr>
        <w:t>6. 安全文明施工与环境保护</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6.1安全文明施工</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6.1.1 项目安全生产的达标目标及相应事项的约定：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6.1.4 关于治安保卫的特别约定：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关于编制施工场地治安管理计划的约定：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6.1.5 文明施工</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合同当事人对文明施工的要求：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6.1.6 关于安全文明施工费支付比例和支付期限的约定：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349" w:name="_Toc351203639"/>
      <w:bookmarkEnd w:id="349"/>
      <w:r>
        <w:rPr>
          <w:rFonts w:hint="eastAsia" w:ascii="宋体" w:hAnsi="宋体" w:eastAsia="宋体" w:cs="宋体"/>
          <w:b w:val="0"/>
          <w:bCs w:val="0"/>
          <w:color w:val="auto"/>
          <w:sz w:val="21"/>
          <w:szCs w:val="21"/>
        </w:rPr>
        <w:t>7. 工期和进度</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7.1 施工组织设计</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7.1.1 合同当事人约定的施工组织设计应包括的其他内容：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7.1.2 施工组织设计的提交和修改</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承包人提交详细施工组织设计的期限的约定：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发包人和监理人在收到详细的施工组织设计后确认或提出修改意见的期限：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350" w:name="_Toc297123514"/>
      <w:bookmarkEnd w:id="350"/>
      <w:bookmarkStart w:id="351" w:name="_Toc312677479"/>
      <w:bookmarkEnd w:id="351"/>
      <w:bookmarkStart w:id="352" w:name="_Toc303539123"/>
      <w:bookmarkEnd w:id="352"/>
      <w:bookmarkStart w:id="353" w:name="_Toc300934966"/>
      <w:bookmarkEnd w:id="353"/>
      <w:bookmarkStart w:id="354" w:name="_Toc312678005"/>
      <w:bookmarkEnd w:id="354"/>
      <w:bookmarkStart w:id="355" w:name="_Toc297216173"/>
      <w:bookmarkEnd w:id="355"/>
      <w:bookmarkStart w:id="356" w:name="_Toc304295541"/>
      <w:r>
        <w:rPr>
          <w:rFonts w:hint="eastAsia" w:ascii="宋体" w:hAnsi="宋体" w:eastAsia="宋体" w:cs="宋体"/>
          <w:color w:val="auto"/>
          <w:sz w:val="21"/>
          <w:szCs w:val="21"/>
        </w:rPr>
        <w:t>.2 施工进度计划</w:t>
      </w:r>
      <w:bookmarkEnd w:id="356"/>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7.2.2 施工进度计划的修订</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发包人和监理人在收到修订的施工进度计划后确认或提出修改意见的期限：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 开工</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7.3.1 开工准备</w:t>
      </w:r>
    </w:p>
    <w:p>
      <w:pPr>
        <w:pageBreakBefore w:val="0"/>
        <w:widowControl w:val="0"/>
        <w:kinsoku/>
        <w:wordWrap/>
        <w:overflowPunct/>
        <w:topLinePunct w:val="0"/>
        <w:bidi w:val="0"/>
        <w:snapToGrid/>
        <w:spacing w:line="356" w:lineRule="exact"/>
        <w:ind w:firstLine="645"/>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关于承包人提交工程开工报审表的期限：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64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关于发包人应完成的其他开工准备工作及期限：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关于承包人应完成的其他开工准备工作及期限：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7.3.2开工通知</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因发包人原因造成监理人未能在计划开工日期之日起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天内发出开工通知的，承包人有权提出价格调整要求，或者解除合同。</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7.4 测量放线</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7.4.1发包人通过监理人向承包人提供测量基准点、基准线和水准点及其书面资料的期限：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357" w:name="_Toc312677484"/>
      <w:bookmarkEnd w:id="357"/>
      <w:bookmarkStart w:id="358" w:name="_Toc312678010"/>
      <w:bookmarkEnd w:id="358"/>
      <w:bookmarkStart w:id="359" w:name="_Toc300934968"/>
      <w:bookmarkEnd w:id="359"/>
      <w:bookmarkStart w:id="360" w:name="_Toc297216175"/>
      <w:bookmarkEnd w:id="360"/>
      <w:bookmarkStart w:id="361" w:name="_Toc304295546"/>
      <w:bookmarkEnd w:id="361"/>
      <w:bookmarkStart w:id="362" w:name="_Toc303539125"/>
      <w:bookmarkEnd w:id="362"/>
      <w:bookmarkStart w:id="363" w:name="_Toc297123516"/>
      <w:r>
        <w:rPr>
          <w:rFonts w:hint="eastAsia" w:ascii="宋体" w:hAnsi="宋体" w:eastAsia="宋体" w:cs="宋体"/>
          <w:color w:val="auto"/>
          <w:sz w:val="21"/>
          <w:szCs w:val="21"/>
        </w:rPr>
        <w:t>.5 工期延误</w:t>
      </w:r>
      <w:bookmarkEnd w:id="363"/>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7.5.1 因发包人原因导致工期延误</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（7）因发包人原因导致工期延误的其他情形：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364" w:name="_Toc297123518"/>
      <w:bookmarkEnd w:id="364"/>
      <w:bookmarkStart w:id="365" w:name="_Toc297216177"/>
      <w:bookmarkEnd w:id="365"/>
      <w:bookmarkStart w:id="366" w:name="_Toc318581169"/>
      <w:bookmarkEnd w:id="366"/>
      <w:bookmarkStart w:id="367" w:name="_Toc300934970"/>
      <w:bookmarkEnd w:id="367"/>
      <w:bookmarkStart w:id="368" w:name="_Toc312677486"/>
      <w:bookmarkEnd w:id="368"/>
      <w:bookmarkStart w:id="369" w:name="_Toc304295548"/>
      <w:bookmarkEnd w:id="369"/>
      <w:bookmarkStart w:id="370" w:name="_Toc303539127"/>
      <w:bookmarkEnd w:id="370"/>
      <w:bookmarkStart w:id="371" w:name="_Toc312678012"/>
      <w:r>
        <w:rPr>
          <w:rFonts w:hint="eastAsia" w:ascii="宋体" w:hAnsi="宋体" w:eastAsia="宋体" w:cs="宋体"/>
          <w:color w:val="auto"/>
          <w:sz w:val="21"/>
          <w:szCs w:val="21"/>
        </w:rPr>
        <w:t>.5.2 因承包人原因导致工期延误</w:t>
      </w:r>
      <w:bookmarkEnd w:id="371"/>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w:t>
      </w:r>
      <w:bookmarkStart w:id="372" w:name="_Toc312677487"/>
      <w:bookmarkEnd w:id="372"/>
      <w:bookmarkStart w:id="373" w:name="_Toc312678013"/>
      <w:bookmarkEnd w:id="373"/>
      <w:bookmarkStart w:id="374" w:name="_Toc318581170"/>
      <w:r>
        <w:rPr>
          <w:rFonts w:hint="eastAsia" w:ascii="宋体" w:hAnsi="宋体" w:eastAsia="宋体" w:cs="宋体"/>
          <w:color w:val="auto"/>
          <w:sz w:val="21"/>
          <w:szCs w:val="21"/>
        </w:rPr>
        <w:t>承包人原因造成工期延误，逾期竣工违约金的计算方法为：</w:t>
      </w:r>
      <w:bookmarkEnd w:id="374"/>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b/>
          <w:bCs/>
          <w:color w:val="auto"/>
          <w:sz w:val="21"/>
          <w:szCs w:val="21"/>
          <w:u w:val="single"/>
        </w:rPr>
      </w:pPr>
      <w:r>
        <w:rPr>
          <w:rFonts w:hint="eastAsia" w:ascii="宋体" w:hAnsi="宋体" w:eastAsia="宋体" w:cs="宋体"/>
          <w:color w:val="auto"/>
          <w:sz w:val="21"/>
          <w:szCs w:val="21"/>
        </w:rPr>
        <w:t>因承包人原因造成工期延误，逾</w:t>
      </w:r>
      <w:bookmarkStart w:id="375" w:name="_Toc312678014"/>
      <w:bookmarkEnd w:id="375"/>
      <w:bookmarkStart w:id="376" w:name="_Toc318581171"/>
      <w:r>
        <w:rPr>
          <w:rFonts w:hint="eastAsia" w:ascii="宋体" w:hAnsi="宋体" w:eastAsia="宋体" w:cs="宋体"/>
          <w:color w:val="auto"/>
          <w:sz w:val="21"/>
          <w:szCs w:val="21"/>
        </w:rPr>
        <w:t>期竣工违约金的上限：</w:t>
      </w:r>
      <w:bookmarkEnd w:id="376"/>
      <w:r>
        <w:rPr>
          <w:rFonts w:hint="eastAsia" w:ascii="宋体" w:hAnsi="宋体" w:eastAsia="宋体" w:cs="宋体"/>
          <w:color w:val="auto"/>
          <w:sz w:val="21"/>
          <w:szCs w:val="21"/>
          <w:u w:val="single"/>
        </w:rPr>
        <w:t xml:space="preserve">               。</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377" w:name="_Toc297216178"/>
      <w:bookmarkEnd w:id="377"/>
      <w:bookmarkStart w:id="378" w:name="_Toc304295549"/>
      <w:bookmarkEnd w:id="378"/>
      <w:bookmarkStart w:id="379" w:name="_Toc303539128"/>
      <w:bookmarkEnd w:id="379"/>
      <w:bookmarkStart w:id="380" w:name="_Toc300934971"/>
      <w:bookmarkEnd w:id="380"/>
      <w:bookmarkStart w:id="381" w:name="_Toc312678015"/>
      <w:bookmarkEnd w:id="381"/>
      <w:bookmarkStart w:id="382" w:name="_Toc297123519"/>
      <w:r>
        <w:rPr>
          <w:rFonts w:hint="eastAsia" w:ascii="宋体" w:hAnsi="宋体" w:eastAsia="宋体" w:cs="宋体"/>
          <w:color w:val="auto"/>
          <w:sz w:val="21"/>
          <w:szCs w:val="21"/>
        </w:rPr>
        <w:t>.6 不</w:t>
      </w:r>
      <w:bookmarkEnd w:id="382"/>
      <w:r>
        <w:rPr>
          <w:rFonts w:hint="eastAsia" w:ascii="宋体" w:hAnsi="宋体" w:eastAsia="宋体" w:cs="宋体"/>
          <w:color w:val="auto"/>
          <w:sz w:val="21"/>
          <w:szCs w:val="21"/>
        </w:rPr>
        <w:t>利物质条件</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bookmarkStart w:id="383" w:name="_Toc297216179"/>
      <w:bookmarkEnd w:id="383"/>
      <w:bookmarkStart w:id="384" w:name="_Toc297123520"/>
      <w:bookmarkEnd w:id="384"/>
      <w:bookmarkStart w:id="385" w:name="_Toc318581172"/>
      <w:bookmarkEnd w:id="385"/>
      <w:bookmarkStart w:id="386" w:name="_Toc300934972"/>
      <w:bookmarkEnd w:id="386"/>
      <w:bookmarkStart w:id="387" w:name="_Toc303539129"/>
      <w:bookmarkEnd w:id="387"/>
      <w:bookmarkStart w:id="388" w:name="_Toc304295550"/>
      <w:bookmarkEnd w:id="388"/>
      <w:bookmarkStart w:id="389" w:name="_Toc312678016"/>
      <w:r>
        <w:rPr>
          <w:rFonts w:hint="eastAsia" w:ascii="宋体" w:hAnsi="宋体" w:eastAsia="宋体" w:cs="宋体"/>
          <w:color w:val="auto"/>
          <w:sz w:val="21"/>
          <w:szCs w:val="21"/>
        </w:rPr>
        <w:t>不利物质条件的其他情形和有关约定：</w:t>
      </w:r>
      <w:bookmarkEnd w:id="389"/>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bookmarkStart w:id="390" w:name="_Toc297216180"/>
      <w:bookmarkEnd w:id="390"/>
      <w:bookmarkStart w:id="391" w:name="_Toc312678017"/>
      <w:bookmarkEnd w:id="391"/>
      <w:bookmarkStart w:id="392" w:name="_Toc300934973"/>
      <w:bookmarkEnd w:id="392"/>
      <w:bookmarkStart w:id="393" w:name="_Toc297123521"/>
      <w:bookmarkEnd w:id="393"/>
      <w:bookmarkStart w:id="394" w:name="_Toc304295551"/>
      <w:bookmarkEnd w:id="394"/>
      <w:bookmarkStart w:id="395" w:name="_Toc303539130"/>
      <w:r>
        <w:rPr>
          <w:rFonts w:hint="eastAsia" w:ascii="宋体" w:hAnsi="宋体" w:eastAsia="宋体" w:cs="宋体"/>
          <w:color w:val="auto"/>
          <w:sz w:val="21"/>
          <w:szCs w:val="21"/>
        </w:rPr>
        <w:t>.7异常恶劣的气候条件</w:t>
      </w:r>
      <w:bookmarkEnd w:id="395"/>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发包人和承包人同意以下情形视为异常恶劣的气候条件：</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7.9 提前竣工的奖励</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7.9.2提前竣工的奖励：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396" w:name="_Toc351203640"/>
      <w:bookmarkEnd w:id="396"/>
      <w:r>
        <w:rPr>
          <w:rFonts w:hint="eastAsia" w:ascii="宋体" w:hAnsi="宋体" w:eastAsia="宋体" w:cs="宋体"/>
          <w:b w:val="0"/>
          <w:bCs w:val="0"/>
          <w:color w:val="auto"/>
          <w:sz w:val="21"/>
          <w:szCs w:val="21"/>
        </w:rPr>
        <w:t>8. 材料与设备</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bookmarkStart w:id="397" w:name="_Toc280868656"/>
      <w:bookmarkEnd w:id="397"/>
      <w:bookmarkStart w:id="398" w:name="_Toc304295556"/>
      <w:bookmarkEnd w:id="398"/>
      <w:bookmarkStart w:id="399" w:name="_Toc297216186"/>
      <w:bookmarkEnd w:id="399"/>
      <w:bookmarkStart w:id="400" w:name="_Toc300934979"/>
      <w:bookmarkEnd w:id="400"/>
      <w:bookmarkStart w:id="401" w:name="_Toc296890995"/>
      <w:bookmarkEnd w:id="401"/>
      <w:bookmarkStart w:id="402" w:name="_Toc312677493"/>
      <w:bookmarkEnd w:id="402"/>
      <w:bookmarkStart w:id="403" w:name="_Toc296347166"/>
      <w:bookmarkEnd w:id="403"/>
      <w:bookmarkStart w:id="404" w:name="_Toc296891207"/>
      <w:bookmarkEnd w:id="404"/>
      <w:bookmarkStart w:id="405" w:name="_Toc292559877"/>
      <w:bookmarkEnd w:id="405"/>
      <w:bookmarkStart w:id="406" w:name="_Toc280868655"/>
      <w:bookmarkEnd w:id="406"/>
      <w:bookmarkStart w:id="407" w:name="_Toc296346668"/>
      <w:bookmarkEnd w:id="407"/>
      <w:bookmarkStart w:id="408" w:name="_Toc297048353"/>
      <w:bookmarkEnd w:id="408"/>
      <w:bookmarkStart w:id="409" w:name="_Toc296944506"/>
      <w:bookmarkEnd w:id="409"/>
      <w:bookmarkStart w:id="410" w:name="_Toc303539136"/>
      <w:bookmarkEnd w:id="410"/>
      <w:bookmarkStart w:id="411" w:name="_Toc297123527"/>
      <w:bookmarkEnd w:id="411"/>
      <w:bookmarkStart w:id="412" w:name="_Toc280868654"/>
      <w:bookmarkEnd w:id="412"/>
      <w:bookmarkStart w:id="413" w:name="_Toc297120467"/>
      <w:bookmarkEnd w:id="413"/>
      <w:bookmarkStart w:id="414" w:name="_Toc312678019"/>
      <w:bookmarkEnd w:id="414"/>
      <w:bookmarkStart w:id="415" w:name="_Toc292559372"/>
      <w:bookmarkEnd w:id="415"/>
      <w:bookmarkStart w:id="416" w:name="_Toc296503167"/>
      <w:bookmarkEnd w:id="416"/>
      <w:bookmarkStart w:id="417" w:name="_Toc267251424"/>
      <w:r>
        <w:rPr>
          <w:rFonts w:hint="eastAsia" w:ascii="宋体" w:hAnsi="宋体" w:eastAsia="宋体" w:cs="宋体"/>
          <w:color w:val="auto"/>
          <w:sz w:val="21"/>
          <w:szCs w:val="21"/>
        </w:rPr>
        <w:t>.4材料与工程设备的保管与使用</w:t>
      </w:r>
      <w:bookmarkEnd w:id="417"/>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bookmarkStart w:id="418" w:name="_Toc303539137"/>
      <w:bookmarkEnd w:id="418"/>
      <w:bookmarkStart w:id="419" w:name="_Toc318581173"/>
      <w:bookmarkEnd w:id="419"/>
      <w:bookmarkStart w:id="420" w:name="_Toc296503168"/>
      <w:bookmarkEnd w:id="420"/>
      <w:bookmarkStart w:id="421" w:name="_Toc296347167"/>
      <w:bookmarkEnd w:id="421"/>
      <w:bookmarkStart w:id="422" w:name="_Toc300934980"/>
      <w:bookmarkEnd w:id="422"/>
      <w:bookmarkStart w:id="423" w:name="_Toc297123528"/>
      <w:bookmarkEnd w:id="423"/>
      <w:bookmarkStart w:id="424" w:name="_Toc296944507"/>
      <w:bookmarkEnd w:id="424"/>
      <w:bookmarkStart w:id="425" w:name="_Toc292559373"/>
      <w:bookmarkEnd w:id="425"/>
      <w:bookmarkStart w:id="426" w:name="_Toc292559878"/>
      <w:bookmarkEnd w:id="426"/>
      <w:bookmarkStart w:id="427" w:name="_Toc304295557"/>
      <w:bookmarkEnd w:id="427"/>
      <w:bookmarkStart w:id="428" w:name="_Toc296890996"/>
      <w:bookmarkEnd w:id="428"/>
      <w:bookmarkStart w:id="429" w:name="_Toc297120468"/>
      <w:bookmarkEnd w:id="429"/>
      <w:bookmarkStart w:id="430" w:name="_Toc297048354"/>
      <w:bookmarkEnd w:id="430"/>
      <w:bookmarkStart w:id="431" w:name="_Toc297216187"/>
      <w:bookmarkEnd w:id="431"/>
      <w:bookmarkStart w:id="432" w:name="_Toc296346669"/>
      <w:bookmarkEnd w:id="432"/>
      <w:bookmarkStart w:id="433" w:name="_Toc296891208"/>
      <w:bookmarkEnd w:id="433"/>
      <w:bookmarkStart w:id="434" w:name="_Toc312677494"/>
      <w:bookmarkEnd w:id="434"/>
      <w:bookmarkStart w:id="435" w:name="_Toc312678020"/>
      <w:r>
        <w:rPr>
          <w:rFonts w:hint="eastAsia" w:ascii="宋体" w:hAnsi="宋体" w:eastAsia="宋体" w:cs="宋体"/>
          <w:color w:val="auto"/>
          <w:sz w:val="21"/>
          <w:szCs w:val="21"/>
        </w:rPr>
        <w:t>.4.1发包人供应的材料设备的保管费用的承担：</w:t>
      </w:r>
      <w:bookmarkEnd w:id="435"/>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8.6 样品</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8.6.1</w:t>
      </w:r>
      <w:r>
        <w:rPr>
          <w:rFonts w:hint="eastAsia" w:ascii="宋体" w:hAnsi="宋体" w:eastAsia="宋体" w:cs="宋体"/>
          <w:color w:val="auto"/>
          <w:sz w:val="21"/>
          <w:szCs w:val="21"/>
        </w:rPr>
        <w:tab/>
      </w:r>
      <w:r>
        <w:rPr>
          <w:rFonts w:hint="eastAsia" w:ascii="宋体" w:hAnsi="宋体" w:eastAsia="宋体" w:cs="宋体"/>
          <w:color w:val="auto"/>
          <w:sz w:val="21"/>
          <w:szCs w:val="21"/>
        </w:rPr>
        <w:t>样品的报送与封存</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需要承包人报送样品的材料或工程设备，样品的种类、名称、规格、数量要求：</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8.8 施工设备和临时设施</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8.8.1 承包人提供的施工设备和临时设施</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关于修建临时设施费用承担的约定：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436" w:name="_Toc351203641"/>
      <w:bookmarkEnd w:id="436"/>
      <w:r>
        <w:rPr>
          <w:rFonts w:hint="eastAsia" w:ascii="宋体" w:hAnsi="宋体" w:eastAsia="宋体" w:cs="宋体"/>
          <w:b w:val="0"/>
          <w:bCs w:val="0"/>
          <w:color w:val="auto"/>
          <w:sz w:val="21"/>
          <w:szCs w:val="21"/>
        </w:rPr>
        <w:t>9</w:t>
      </w:r>
      <w:bookmarkStart w:id="437" w:name="_Toc296891213"/>
      <w:bookmarkEnd w:id="437"/>
      <w:bookmarkStart w:id="438" w:name="_Toc292559378"/>
      <w:bookmarkEnd w:id="438"/>
      <w:bookmarkStart w:id="439" w:name="_Toc296891001"/>
      <w:bookmarkEnd w:id="439"/>
      <w:bookmarkStart w:id="440" w:name="_Toc297216192"/>
      <w:bookmarkEnd w:id="440"/>
      <w:bookmarkStart w:id="441" w:name="_Toc296346674"/>
      <w:bookmarkEnd w:id="441"/>
      <w:bookmarkStart w:id="442" w:name="_Toc300934982"/>
      <w:bookmarkEnd w:id="442"/>
      <w:bookmarkStart w:id="443" w:name="_Toc296503173"/>
      <w:bookmarkEnd w:id="443"/>
      <w:bookmarkStart w:id="444" w:name="_Toc312677495"/>
      <w:bookmarkEnd w:id="444"/>
      <w:bookmarkStart w:id="445" w:name="_Toc297120473"/>
      <w:bookmarkEnd w:id="445"/>
      <w:bookmarkStart w:id="446" w:name="_Toc267251427"/>
      <w:bookmarkEnd w:id="446"/>
      <w:bookmarkStart w:id="447" w:name="_Toc312678021"/>
      <w:bookmarkEnd w:id="447"/>
      <w:bookmarkStart w:id="448" w:name="_Toc296347172"/>
      <w:bookmarkEnd w:id="448"/>
      <w:bookmarkStart w:id="449" w:name="_Toc297123533"/>
      <w:bookmarkEnd w:id="449"/>
      <w:bookmarkStart w:id="450" w:name="_Toc267251428"/>
      <w:bookmarkEnd w:id="450"/>
      <w:bookmarkStart w:id="451" w:name="_Toc292559883"/>
      <w:bookmarkEnd w:id="451"/>
      <w:bookmarkStart w:id="452" w:name="_Toc296944512"/>
      <w:bookmarkEnd w:id="452"/>
      <w:bookmarkStart w:id="453" w:name="_Toc304295559"/>
      <w:bookmarkEnd w:id="453"/>
      <w:bookmarkStart w:id="454" w:name="_Toc303539139"/>
      <w:bookmarkEnd w:id="454"/>
      <w:bookmarkStart w:id="455" w:name="_Toc297048359"/>
      <w:r>
        <w:rPr>
          <w:rFonts w:hint="eastAsia" w:ascii="宋体" w:hAnsi="宋体" w:eastAsia="宋体" w:cs="宋体"/>
          <w:b w:val="0"/>
          <w:bCs w:val="0"/>
          <w:color w:val="auto"/>
          <w:sz w:val="21"/>
          <w:szCs w:val="21"/>
        </w:rPr>
        <w:t>. 试验与检验</w:t>
      </w:r>
      <w:bookmarkEnd w:id="455"/>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bookmarkStart w:id="456" w:name="_Toc303539140"/>
      <w:bookmarkEnd w:id="456"/>
      <w:bookmarkStart w:id="457" w:name="_Toc304295560"/>
      <w:bookmarkEnd w:id="457"/>
      <w:bookmarkStart w:id="458" w:name="_Toc300934983"/>
      <w:bookmarkEnd w:id="458"/>
      <w:bookmarkStart w:id="459" w:name="_Toc312678022"/>
      <w:bookmarkEnd w:id="459"/>
      <w:bookmarkStart w:id="460" w:name="_Toc297123534"/>
      <w:bookmarkEnd w:id="460"/>
      <w:bookmarkStart w:id="461" w:name="_Toc297216193"/>
      <w:bookmarkEnd w:id="461"/>
      <w:bookmarkStart w:id="462" w:name="_Toc312677496"/>
      <w:r>
        <w:rPr>
          <w:rFonts w:hint="eastAsia" w:ascii="宋体" w:hAnsi="宋体" w:eastAsia="宋体" w:cs="宋体"/>
          <w:color w:val="auto"/>
          <w:sz w:val="21"/>
          <w:szCs w:val="21"/>
        </w:rPr>
        <w:t>.1试验设备与试验人员</w:t>
      </w:r>
      <w:bookmarkEnd w:id="462"/>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bookmarkStart w:id="463" w:name="_Toc312678023"/>
      <w:bookmarkEnd w:id="463"/>
      <w:bookmarkStart w:id="464" w:name="_Toc312677497"/>
      <w:bookmarkEnd w:id="464"/>
      <w:bookmarkStart w:id="465" w:name="_Toc297216194"/>
      <w:bookmarkEnd w:id="465"/>
      <w:bookmarkStart w:id="466" w:name="_Toc300934984"/>
      <w:bookmarkEnd w:id="466"/>
      <w:bookmarkStart w:id="467" w:name="_Toc297123535"/>
      <w:bookmarkEnd w:id="467"/>
      <w:bookmarkStart w:id="468" w:name="_Toc303539141"/>
      <w:bookmarkEnd w:id="468"/>
      <w:bookmarkStart w:id="469" w:name="_Toc304295561"/>
      <w:bookmarkEnd w:id="469"/>
      <w:bookmarkStart w:id="470" w:name="_Toc318581174"/>
      <w:r>
        <w:rPr>
          <w:rFonts w:hint="eastAsia" w:ascii="宋体" w:hAnsi="宋体" w:eastAsia="宋体" w:cs="宋体"/>
          <w:color w:val="auto"/>
          <w:sz w:val="21"/>
          <w:szCs w:val="21"/>
        </w:rPr>
        <w:t>.1.2 试验设备</w:t>
      </w:r>
      <w:bookmarkEnd w:id="470"/>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施工现场需要配置的试验场所：</w:t>
      </w:r>
      <w:bookmarkStart w:id="471" w:name="_Toc304295562"/>
      <w:bookmarkEnd w:id="471"/>
      <w:bookmarkStart w:id="472" w:name="_Toc303539142"/>
      <w:bookmarkEnd w:id="472"/>
      <w:bookmarkStart w:id="473" w:name="_Toc300934985"/>
      <w:bookmarkEnd w:id="473"/>
      <w:bookmarkStart w:id="474" w:name="_Toc297123536"/>
      <w:bookmarkEnd w:id="474"/>
      <w:bookmarkStart w:id="475" w:name="_Toc297216195"/>
      <w:bookmarkEnd w:id="475"/>
      <w:bookmarkStart w:id="476" w:name="_Toc312677498"/>
      <w:bookmarkEnd w:id="476"/>
      <w:bookmarkStart w:id="477" w:name="_Toc312678024"/>
      <w:bookmarkEnd w:id="477"/>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施工现场需要配备的试验设备：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施工现场需要具备的其他试验条件：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 xml:space="preserve">9.4 现场工艺试验 </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现场工艺试验的有关约定：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478" w:name="_Toc351203642"/>
      <w:bookmarkEnd w:id="478"/>
      <w:r>
        <w:rPr>
          <w:rFonts w:hint="eastAsia" w:ascii="宋体" w:hAnsi="宋体" w:eastAsia="宋体" w:cs="宋体"/>
          <w:b w:val="0"/>
          <w:bCs w:val="0"/>
          <w:color w:val="auto"/>
          <w:sz w:val="21"/>
          <w:szCs w:val="21"/>
        </w:rPr>
        <w:t>1</w:t>
      </w:r>
      <w:bookmarkStart w:id="479" w:name="_Toc296347192"/>
      <w:bookmarkEnd w:id="479"/>
      <w:bookmarkStart w:id="480" w:name="_Toc296944532"/>
      <w:bookmarkEnd w:id="480"/>
      <w:bookmarkStart w:id="481" w:name="_Toc297123540"/>
      <w:bookmarkEnd w:id="481"/>
      <w:bookmarkStart w:id="482" w:name="_Toc267251437"/>
      <w:bookmarkEnd w:id="482"/>
      <w:bookmarkStart w:id="483" w:name="_Toc296891233"/>
      <w:bookmarkEnd w:id="483"/>
      <w:bookmarkStart w:id="484" w:name="_Toc267251440"/>
      <w:bookmarkEnd w:id="484"/>
      <w:bookmarkStart w:id="485" w:name="_Toc297120493"/>
      <w:bookmarkEnd w:id="485"/>
      <w:bookmarkStart w:id="486" w:name="_Toc296891021"/>
      <w:bookmarkEnd w:id="486"/>
      <w:bookmarkStart w:id="487" w:name="_Toc304295566"/>
      <w:bookmarkEnd w:id="487"/>
      <w:bookmarkStart w:id="488" w:name="_Toc292559903"/>
      <w:bookmarkEnd w:id="488"/>
      <w:bookmarkStart w:id="489" w:name="_Toc297048379"/>
      <w:bookmarkEnd w:id="489"/>
      <w:bookmarkStart w:id="490" w:name="_Toc312677499"/>
      <w:bookmarkEnd w:id="490"/>
      <w:bookmarkStart w:id="491" w:name="_Toc267251435"/>
      <w:bookmarkEnd w:id="491"/>
      <w:bookmarkStart w:id="492" w:name="_Toc267251442"/>
      <w:bookmarkEnd w:id="492"/>
      <w:bookmarkStart w:id="493" w:name="_Toc312678025"/>
      <w:bookmarkEnd w:id="493"/>
      <w:bookmarkStart w:id="494" w:name="_Toc296503193"/>
      <w:bookmarkEnd w:id="494"/>
      <w:bookmarkStart w:id="495" w:name="_Toc267251439"/>
      <w:bookmarkEnd w:id="495"/>
      <w:bookmarkStart w:id="496" w:name="_Toc267251441"/>
      <w:bookmarkEnd w:id="496"/>
      <w:bookmarkStart w:id="497" w:name="_Toc303539146"/>
      <w:bookmarkEnd w:id="497"/>
      <w:bookmarkStart w:id="498" w:name="_Toc297216199"/>
      <w:bookmarkEnd w:id="498"/>
      <w:bookmarkStart w:id="499" w:name="_Toc292559398"/>
      <w:bookmarkEnd w:id="499"/>
      <w:bookmarkStart w:id="500" w:name="_Toc296346694"/>
      <w:bookmarkEnd w:id="500"/>
      <w:bookmarkStart w:id="501" w:name="_Toc300934989"/>
      <w:bookmarkEnd w:id="501"/>
      <w:bookmarkStart w:id="502" w:name="_Toc267251433"/>
      <w:r>
        <w:rPr>
          <w:rFonts w:hint="eastAsia" w:ascii="宋体" w:hAnsi="宋体" w:eastAsia="宋体" w:cs="宋体"/>
          <w:b w:val="0"/>
          <w:bCs w:val="0"/>
          <w:color w:val="auto"/>
          <w:sz w:val="21"/>
          <w:szCs w:val="21"/>
        </w:rPr>
        <w:t>0. 变更</w:t>
      </w:r>
      <w:bookmarkEnd w:id="502"/>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503" w:name="_Toc312677500"/>
      <w:bookmarkEnd w:id="503"/>
      <w:bookmarkStart w:id="504" w:name="_Toc297216200"/>
      <w:bookmarkEnd w:id="504"/>
      <w:bookmarkStart w:id="505" w:name="_Toc296891022"/>
      <w:bookmarkEnd w:id="505"/>
      <w:bookmarkStart w:id="506" w:name="_Toc296944533"/>
      <w:bookmarkEnd w:id="506"/>
      <w:bookmarkStart w:id="507" w:name="_Toc296346695"/>
      <w:bookmarkEnd w:id="507"/>
      <w:bookmarkStart w:id="508" w:name="_Toc292559399"/>
      <w:bookmarkEnd w:id="508"/>
      <w:bookmarkStart w:id="509" w:name="_Toc296503194"/>
      <w:bookmarkEnd w:id="509"/>
      <w:bookmarkStart w:id="510" w:name="_Toc304295567"/>
      <w:bookmarkEnd w:id="510"/>
      <w:bookmarkStart w:id="511" w:name="_Toc312678026"/>
      <w:bookmarkEnd w:id="511"/>
      <w:bookmarkStart w:id="512" w:name="_Toc296891234"/>
      <w:bookmarkEnd w:id="512"/>
      <w:bookmarkStart w:id="513" w:name="_Toc296347193"/>
      <w:bookmarkEnd w:id="513"/>
      <w:bookmarkStart w:id="514" w:name="_Toc297048380"/>
      <w:bookmarkEnd w:id="514"/>
      <w:bookmarkStart w:id="515" w:name="_Toc292559904"/>
      <w:bookmarkEnd w:id="515"/>
      <w:bookmarkStart w:id="516" w:name="_Toc303539147"/>
      <w:bookmarkEnd w:id="516"/>
      <w:bookmarkStart w:id="517" w:name="_Toc297123541"/>
      <w:bookmarkEnd w:id="517"/>
      <w:bookmarkStart w:id="518" w:name="_Toc297120494"/>
      <w:bookmarkEnd w:id="518"/>
      <w:bookmarkStart w:id="519" w:name="_Toc300934990"/>
      <w:r>
        <w:rPr>
          <w:rFonts w:hint="eastAsia" w:ascii="宋体" w:hAnsi="宋体" w:eastAsia="宋体" w:cs="宋体"/>
          <w:color w:val="auto"/>
          <w:sz w:val="21"/>
          <w:szCs w:val="21"/>
        </w:rPr>
        <w:t>0.1变更的范围</w:t>
      </w:r>
      <w:bookmarkEnd w:id="519"/>
    </w:p>
    <w:p>
      <w:pPr>
        <w:pageBreakBefore w:val="0"/>
        <w:widowControl w:val="0"/>
        <w:kinsoku/>
        <w:wordWrap/>
        <w:overflowPunct/>
        <w:topLinePunct w:val="0"/>
        <w:bidi w:val="0"/>
        <w:snapToGrid/>
        <w:spacing w:line="356" w:lineRule="exact"/>
        <w:ind w:firstLine="6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关于变更的范围的约定：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10.4 变更估价</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10.4.1 变更估价原则</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关于变更估价的约定: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520" w:name="_Toc296347196"/>
      <w:bookmarkEnd w:id="520"/>
      <w:bookmarkStart w:id="521" w:name="_Toc297216203"/>
      <w:bookmarkEnd w:id="521"/>
      <w:bookmarkStart w:id="522" w:name="_Toc297048383"/>
      <w:bookmarkEnd w:id="522"/>
      <w:bookmarkStart w:id="523" w:name="_Toc296891025"/>
      <w:bookmarkEnd w:id="523"/>
      <w:bookmarkStart w:id="524" w:name="_Toc312677503"/>
      <w:bookmarkEnd w:id="524"/>
      <w:bookmarkStart w:id="525" w:name="_Toc303539150"/>
      <w:bookmarkEnd w:id="525"/>
      <w:bookmarkStart w:id="526" w:name="_Toc296346698"/>
      <w:bookmarkEnd w:id="526"/>
      <w:bookmarkStart w:id="527" w:name="_Toc304295570"/>
      <w:bookmarkEnd w:id="527"/>
      <w:bookmarkStart w:id="528" w:name="_Toc292559907"/>
      <w:bookmarkEnd w:id="528"/>
      <w:bookmarkStart w:id="529" w:name="_Toc297123544"/>
      <w:bookmarkEnd w:id="529"/>
      <w:bookmarkStart w:id="530" w:name="_Toc300934993"/>
      <w:bookmarkEnd w:id="530"/>
      <w:bookmarkStart w:id="531" w:name="_Toc296944536"/>
      <w:bookmarkEnd w:id="531"/>
      <w:bookmarkStart w:id="532" w:name="_Toc296891237"/>
      <w:bookmarkEnd w:id="532"/>
      <w:bookmarkStart w:id="533" w:name="_Toc292559402"/>
      <w:bookmarkEnd w:id="533"/>
      <w:bookmarkStart w:id="534" w:name="_Toc297120497"/>
      <w:bookmarkEnd w:id="534"/>
      <w:bookmarkStart w:id="535" w:name="_Toc296503197"/>
      <w:bookmarkEnd w:id="535"/>
      <w:bookmarkStart w:id="536" w:name="_Toc312678029"/>
      <w:bookmarkEnd w:id="536"/>
      <w:r>
        <w:rPr>
          <w:rFonts w:hint="eastAsia" w:ascii="宋体" w:hAnsi="宋体" w:eastAsia="宋体" w:cs="宋体"/>
          <w:color w:val="auto"/>
          <w:sz w:val="21"/>
          <w:szCs w:val="21"/>
        </w:rPr>
        <w:t>0.5承</w:t>
      </w:r>
      <w:bookmarkStart w:id="537" w:name="_Toc292559408"/>
      <w:bookmarkEnd w:id="537"/>
      <w:bookmarkStart w:id="538" w:name="_Toc296503203"/>
      <w:bookmarkEnd w:id="538"/>
      <w:bookmarkStart w:id="539" w:name="_Toc292559913"/>
      <w:bookmarkEnd w:id="539"/>
      <w:bookmarkStart w:id="540" w:name="_Toc296346704"/>
      <w:bookmarkEnd w:id="540"/>
      <w:bookmarkStart w:id="541" w:name="_Toc296347202"/>
      <w:bookmarkEnd w:id="541"/>
      <w:bookmarkStart w:id="542" w:name="_Toc297120503"/>
      <w:bookmarkEnd w:id="542"/>
      <w:bookmarkStart w:id="543" w:name="_Toc303539151"/>
      <w:bookmarkEnd w:id="543"/>
      <w:bookmarkStart w:id="544" w:name="_Toc297216204"/>
      <w:bookmarkEnd w:id="544"/>
      <w:bookmarkStart w:id="545" w:name="_Toc296891243"/>
      <w:bookmarkEnd w:id="545"/>
      <w:bookmarkStart w:id="546" w:name="_Toc300934994"/>
      <w:bookmarkEnd w:id="546"/>
      <w:bookmarkStart w:id="547" w:name="_Toc296891031"/>
      <w:bookmarkEnd w:id="547"/>
      <w:bookmarkStart w:id="548" w:name="_Toc297123545"/>
      <w:bookmarkEnd w:id="548"/>
      <w:bookmarkStart w:id="549" w:name="_Toc296944542"/>
      <w:bookmarkEnd w:id="549"/>
      <w:bookmarkStart w:id="550" w:name="_Toc297048389"/>
      <w:bookmarkEnd w:id="550"/>
      <w:r>
        <w:rPr>
          <w:rFonts w:hint="eastAsia" w:ascii="宋体" w:hAnsi="宋体" w:eastAsia="宋体" w:cs="宋体"/>
          <w:color w:val="auto"/>
          <w:sz w:val="21"/>
          <w:szCs w:val="21"/>
        </w:rPr>
        <w:t>包人的合理化建议</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监理人审查承包人合理化建议的期限：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w:t>
      </w:r>
      <w:bookmarkStart w:id="551" w:name="_Toc296503204"/>
      <w:bookmarkEnd w:id="551"/>
      <w:bookmarkStart w:id="552" w:name="_Toc296944543"/>
      <w:bookmarkEnd w:id="552"/>
      <w:bookmarkStart w:id="553" w:name="_Toc318581175"/>
      <w:bookmarkEnd w:id="553"/>
      <w:bookmarkStart w:id="554" w:name="_Toc296891244"/>
      <w:bookmarkEnd w:id="554"/>
      <w:bookmarkStart w:id="555" w:name="_Toc292559409"/>
      <w:bookmarkEnd w:id="555"/>
      <w:bookmarkStart w:id="556" w:name="_Toc303539152"/>
      <w:bookmarkEnd w:id="556"/>
      <w:bookmarkStart w:id="557" w:name="_Toc296346705"/>
      <w:bookmarkEnd w:id="557"/>
      <w:bookmarkStart w:id="558" w:name="_Toc296347203"/>
      <w:bookmarkEnd w:id="558"/>
      <w:bookmarkStart w:id="559" w:name="_Toc300934995"/>
      <w:bookmarkEnd w:id="559"/>
      <w:bookmarkStart w:id="560" w:name="_Toc297120504"/>
      <w:bookmarkEnd w:id="560"/>
      <w:bookmarkStart w:id="561" w:name="_Toc297123546"/>
      <w:bookmarkEnd w:id="561"/>
      <w:bookmarkStart w:id="562" w:name="_Toc296891032"/>
      <w:bookmarkEnd w:id="562"/>
      <w:bookmarkStart w:id="563" w:name="_Toc297048390"/>
      <w:bookmarkEnd w:id="563"/>
      <w:bookmarkStart w:id="564" w:name="_Toc312678030"/>
      <w:bookmarkEnd w:id="564"/>
      <w:bookmarkStart w:id="565" w:name="_Toc312677504"/>
      <w:bookmarkEnd w:id="565"/>
      <w:bookmarkStart w:id="566" w:name="_Toc292559914"/>
      <w:bookmarkEnd w:id="566"/>
      <w:bookmarkStart w:id="567" w:name="_Toc297216205"/>
      <w:bookmarkEnd w:id="567"/>
      <w:bookmarkStart w:id="568" w:name="_Toc304295571"/>
      <w:r>
        <w:rPr>
          <w:rFonts w:hint="eastAsia" w:ascii="宋体" w:hAnsi="宋体" w:eastAsia="宋体" w:cs="宋体"/>
          <w:color w:val="auto"/>
          <w:sz w:val="21"/>
          <w:szCs w:val="21"/>
        </w:rPr>
        <w:t>包人提出的合理化建议降低了合同价格或者提高了工程经济效益的奖励的方法和金额为：</w:t>
      </w:r>
      <w:bookmarkEnd w:id="568"/>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569" w:name="_Toc300934997"/>
      <w:bookmarkEnd w:id="569"/>
      <w:bookmarkStart w:id="570" w:name="_Toc297216207"/>
      <w:bookmarkEnd w:id="570"/>
      <w:bookmarkStart w:id="571" w:name="_Toc312677507"/>
      <w:bookmarkEnd w:id="571"/>
      <w:bookmarkStart w:id="572" w:name="_Toc292559404"/>
      <w:bookmarkEnd w:id="572"/>
      <w:bookmarkStart w:id="573" w:name="_Toc304295574"/>
      <w:bookmarkEnd w:id="573"/>
      <w:bookmarkStart w:id="574" w:name="_Toc303539154"/>
      <w:bookmarkEnd w:id="574"/>
      <w:bookmarkStart w:id="575" w:name="_Toc292559909"/>
      <w:bookmarkEnd w:id="575"/>
      <w:bookmarkStart w:id="576" w:name="_Toc296891239"/>
      <w:bookmarkEnd w:id="576"/>
      <w:bookmarkStart w:id="577" w:name="_Toc297048385"/>
      <w:bookmarkEnd w:id="577"/>
      <w:bookmarkStart w:id="578" w:name="_Toc296891027"/>
      <w:bookmarkEnd w:id="578"/>
      <w:bookmarkStart w:id="579" w:name="_Toc296503199"/>
      <w:bookmarkEnd w:id="579"/>
      <w:bookmarkStart w:id="580" w:name="_Toc297123548"/>
      <w:bookmarkEnd w:id="580"/>
      <w:bookmarkStart w:id="581" w:name="_Toc296944538"/>
      <w:bookmarkEnd w:id="581"/>
      <w:bookmarkStart w:id="582" w:name="_Toc296346700"/>
      <w:bookmarkEnd w:id="582"/>
      <w:bookmarkStart w:id="583" w:name="_Toc297120499"/>
      <w:bookmarkEnd w:id="583"/>
      <w:bookmarkStart w:id="584" w:name="_Toc312678033"/>
      <w:bookmarkEnd w:id="584"/>
      <w:bookmarkStart w:id="585" w:name="_Toc296347198"/>
      <w:r>
        <w:rPr>
          <w:rFonts w:hint="eastAsia" w:ascii="宋体" w:hAnsi="宋体" w:eastAsia="宋体" w:cs="宋体"/>
          <w:color w:val="auto"/>
          <w:sz w:val="21"/>
          <w:szCs w:val="21"/>
        </w:rPr>
        <w:t>0.7 暂估价</w:t>
      </w:r>
      <w:bookmarkEnd w:id="585"/>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暂</w:t>
      </w:r>
      <w:bookmarkStart w:id="586" w:name="_Toc318581176"/>
      <w:bookmarkEnd w:id="586"/>
      <w:bookmarkStart w:id="587" w:name="_Toc312677508"/>
      <w:bookmarkEnd w:id="587"/>
      <w:bookmarkStart w:id="588" w:name="_Toc312678034"/>
      <w:r>
        <w:rPr>
          <w:rFonts w:hint="eastAsia" w:ascii="宋体" w:hAnsi="宋体" w:eastAsia="宋体" w:cs="宋体"/>
          <w:color w:val="auto"/>
          <w:sz w:val="21"/>
          <w:szCs w:val="21"/>
        </w:rPr>
        <w:t>估价材料和工程设备的明细详见附件</w:t>
      </w:r>
      <w:bookmarkEnd w:id="588"/>
      <w:r>
        <w:rPr>
          <w:rFonts w:hint="eastAsia" w:ascii="宋体" w:hAnsi="宋体" w:eastAsia="宋体" w:cs="宋体"/>
          <w:color w:val="auto"/>
          <w:sz w:val="21"/>
          <w:szCs w:val="21"/>
        </w:rPr>
        <w:t>11：《暂估价一览表》。</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bookmarkStart w:id="589" w:name="_Toc312678035"/>
      <w:bookmarkEnd w:id="589"/>
      <w:bookmarkStart w:id="590" w:name="_Toc318581177"/>
      <w:bookmarkEnd w:id="590"/>
      <w:bookmarkStart w:id="591" w:name="_Toc312677509"/>
      <w:r>
        <w:rPr>
          <w:rFonts w:hint="eastAsia" w:ascii="宋体" w:hAnsi="宋体" w:eastAsia="宋体" w:cs="宋体"/>
          <w:color w:val="auto"/>
          <w:sz w:val="21"/>
          <w:szCs w:val="21"/>
        </w:rPr>
        <w:t>0.7.1 依法必须招标的暂估价项目</w:t>
      </w:r>
      <w:bookmarkEnd w:id="591"/>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对于依法必须招标的暂估价项目的确认和批准采取第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种方式确定。</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10.7.2 不属于依法必须招标的暂估价项目</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对于不属于依法必须招标的暂估价项目的确认和批准采取第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种方式确定。</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第3种方式：承包人直接实施的暂估价项目</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承包人直接实施的暂估价项目的约定：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10.8 暂列金额</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合同当事人关于暂列金额使用的约定：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592" w:name="_Toc351203643"/>
      <w:bookmarkEnd w:id="592"/>
      <w:r>
        <w:rPr>
          <w:rFonts w:hint="eastAsia" w:ascii="宋体" w:hAnsi="宋体" w:eastAsia="宋体" w:cs="宋体"/>
          <w:b w:val="0"/>
          <w:bCs w:val="0"/>
          <w:color w:val="auto"/>
          <w:sz w:val="21"/>
          <w:szCs w:val="21"/>
        </w:rPr>
        <w:t>11. 价格调整</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bookmarkStart w:id="593" w:name="_Toc296891029"/>
      <w:bookmarkEnd w:id="593"/>
      <w:bookmarkStart w:id="594" w:name="_Toc292559911"/>
      <w:bookmarkEnd w:id="594"/>
      <w:bookmarkStart w:id="595" w:name="_Toc297120501"/>
      <w:bookmarkEnd w:id="595"/>
      <w:bookmarkStart w:id="596" w:name="_Toc296346702"/>
      <w:bookmarkEnd w:id="596"/>
      <w:bookmarkStart w:id="597" w:name="_Toc296347200"/>
      <w:bookmarkEnd w:id="597"/>
      <w:bookmarkStart w:id="598" w:name="_Toc297216209"/>
      <w:bookmarkEnd w:id="598"/>
      <w:bookmarkStart w:id="599" w:name="_Toc304295577"/>
      <w:bookmarkEnd w:id="599"/>
      <w:bookmarkStart w:id="600" w:name="_Toc300935000"/>
      <w:bookmarkEnd w:id="600"/>
      <w:bookmarkStart w:id="601" w:name="_Toc297123550"/>
      <w:bookmarkEnd w:id="601"/>
      <w:bookmarkStart w:id="602" w:name="_Toc296503201"/>
      <w:bookmarkEnd w:id="602"/>
      <w:bookmarkStart w:id="603" w:name="_Toc292559406"/>
      <w:bookmarkEnd w:id="603"/>
      <w:bookmarkStart w:id="604" w:name="_Toc303539157"/>
      <w:bookmarkEnd w:id="604"/>
      <w:bookmarkStart w:id="605" w:name="_Toc296944540"/>
      <w:bookmarkEnd w:id="605"/>
      <w:bookmarkStart w:id="606" w:name="_Toc296891241"/>
      <w:bookmarkEnd w:id="606"/>
      <w:bookmarkStart w:id="607" w:name="_Toc312678039"/>
      <w:bookmarkEnd w:id="607"/>
      <w:bookmarkStart w:id="608" w:name="_Toc297048387"/>
      <w:r>
        <w:rPr>
          <w:rFonts w:hint="eastAsia" w:ascii="宋体" w:hAnsi="宋体" w:eastAsia="宋体" w:cs="宋体"/>
          <w:color w:val="auto"/>
          <w:sz w:val="21"/>
          <w:szCs w:val="21"/>
        </w:rPr>
        <w:t>11.1 市场价格波动引起的调整</w:t>
      </w:r>
      <w:bookmarkEnd w:id="608"/>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市场价格波动是否调整合同价格的约定：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因市场价格波动调整合同价格，采用以下第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种方式对合同价格进行调整：</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第1种方式：采用价格指数进行价格调整。</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关于各可调因子、定值和变值权重，以及基本价格指数及其来源的约定：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第2种方式：采用造价信息进行价格调整。</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（2）关于基准价格的约定：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%时，或材料单价跌幅以已标价工程量清单或预算书中载明材料单价为基础超过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%时，其超过部分据实调整。</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%时，材料单价涨幅以已标价工程量清单或预算书中载明材料单价为基础超过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%时，其超过部分据实调整。</w:t>
      </w:r>
    </w:p>
    <w:p>
      <w:pPr>
        <w:pageBreakBefore w:val="0"/>
        <w:widowControl w:val="0"/>
        <w:kinsoku/>
        <w:wordWrap/>
        <w:overflowPunct/>
        <w:topLinePunct w:val="0"/>
        <w:bidi w:val="0"/>
        <w:snapToGrid/>
        <w:spacing w:line="356" w:lineRule="exact"/>
        <w:ind w:firstLine="64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%时，其超过部分据实调整。</w:t>
      </w:r>
    </w:p>
    <w:p>
      <w:pPr>
        <w:pageBreakBefore w:val="0"/>
        <w:widowControl w:val="0"/>
        <w:kinsoku/>
        <w:wordWrap/>
        <w:overflowPunct/>
        <w:topLinePunct w:val="0"/>
        <w:bidi w:val="0"/>
        <w:snapToGrid/>
        <w:spacing w:line="356" w:lineRule="exact"/>
        <w:ind w:firstLine="64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第3种方式：其他价格调整方式：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609" w:name="_Toc303539159"/>
      <w:bookmarkEnd w:id="609"/>
      <w:bookmarkStart w:id="610" w:name="_Toc292559410"/>
      <w:bookmarkEnd w:id="610"/>
      <w:bookmarkStart w:id="611" w:name="_Toc297120505"/>
      <w:bookmarkEnd w:id="611"/>
      <w:bookmarkStart w:id="612" w:name="_Toc296346706"/>
      <w:bookmarkEnd w:id="612"/>
      <w:bookmarkStart w:id="613" w:name="_Toc312678040"/>
      <w:bookmarkEnd w:id="613"/>
      <w:bookmarkStart w:id="614" w:name="_Toc300935002"/>
      <w:bookmarkEnd w:id="614"/>
      <w:bookmarkStart w:id="615" w:name="_Toc296944544"/>
      <w:bookmarkEnd w:id="615"/>
      <w:bookmarkStart w:id="616" w:name="_Toc297123552"/>
      <w:bookmarkEnd w:id="616"/>
      <w:bookmarkStart w:id="617" w:name="_Toc297216211"/>
      <w:bookmarkEnd w:id="617"/>
      <w:bookmarkStart w:id="618" w:name="_Toc296347204"/>
      <w:bookmarkEnd w:id="618"/>
      <w:bookmarkStart w:id="619" w:name="_Toc296891033"/>
      <w:bookmarkEnd w:id="619"/>
      <w:bookmarkStart w:id="620" w:name="_Toc292559915"/>
      <w:bookmarkEnd w:id="620"/>
      <w:bookmarkStart w:id="621" w:name="_Toc296503205"/>
      <w:bookmarkEnd w:id="621"/>
      <w:bookmarkStart w:id="622" w:name="_Toc297048391"/>
      <w:bookmarkEnd w:id="622"/>
      <w:bookmarkStart w:id="623" w:name="_Toc304295579"/>
      <w:bookmarkEnd w:id="623"/>
      <w:bookmarkStart w:id="624" w:name="_Toc296891245"/>
      <w:bookmarkEnd w:id="624"/>
      <w:bookmarkStart w:id="625" w:name="_Toc351203644"/>
      <w:r>
        <w:rPr>
          <w:rFonts w:hint="eastAsia" w:ascii="宋体" w:hAnsi="宋体" w:eastAsia="宋体" w:cs="宋体"/>
          <w:b w:val="0"/>
          <w:bCs w:val="0"/>
          <w:color w:val="auto"/>
          <w:sz w:val="21"/>
          <w:szCs w:val="21"/>
        </w:rPr>
        <w:t xml:space="preserve">12. </w:t>
      </w:r>
      <w:bookmarkEnd w:id="625"/>
      <w:r>
        <w:rPr>
          <w:rFonts w:hint="eastAsia" w:ascii="宋体" w:hAnsi="宋体" w:eastAsia="宋体" w:cs="宋体"/>
          <w:b w:val="0"/>
          <w:bCs w:val="0"/>
          <w:color w:val="auto"/>
          <w:sz w:val="21"/>
          <w:szCs w:val="21"/>
        </w:rPr>
        <w:t>合同价格、计量与支付</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bookmarkStart w:id="626" w:name="_Toc296346707"/>
      <w:bookmarkEnd w:id="626"/>
      <w:bookmarkStart w:id="627" w:name="_Toc303539160"/>
      <w:bookmarkEnd w:id="627"/>
      <w:bookmarkStart w:id="628" w:name="_Toc297123553"/>
      <w:bookmarkEnd w:id="628"/>
      <w:bookmarkStart w:id="629" w:name="_Toc297048392"/>
      <w:bookmarkEnd w:id="629"/>
      <w:bookmarkStart w:id="630" w:name="_Toc297120506"/>
      <w:bookmarkEnd w:id="630"/>
      <w:bookmarkStart w:id="631" w:name="_Toc296503206"/>
      <w:bookmarkEnd w:id="631"/>
      <w:bookmarkStart w:id="632" w:name="_Toc312678041"/>
      <w:bookmarkEnd w:id="632"/>
      <w:bookmarkStart w:id="633" w:name="_Toc296347205"/>
      <w:bookmarkEnd w:id="633"/>
      <w:bookmarkStart w:id="634" w:name="_Toc300935003"/>
      <w:bookmarkEnd w:id="634"/>
      <w:bookmarkStart w:id="635" w:name="_Toc292559411"/>
      <w:bookmarkEnd w:id="635"/>
      <w:bookmarkStart w:id="636" w:name="_Toc296891246"/>
      <w:bookmarkEnd w:id="636"/>
      <w:bookmarkStart w:id="637" w:name="_Toc296891034"/>
      <w:bookmarkEnd w:id="637"/>
      <w:bookmarkStart w:id="638" w:name="_Toc292559916"/>
      <w:bookmarkEnd w:id="638"/>
      <w:bookmarkStart w:id="639" w:name="_Toc297216212"/>
      <w:bookmarkEnd w:id="639"/>
      <w:bookmarkStart w:id="640" w:name="_Toc304295580"/>
      <w:bookmarkEnd w:id="640"/>
      <w:bookmarkStart w:id="641" w:name="_Toc296944545"/>
      <w:bookmarkEnd w:id="641"/>
      <w:bookmarkStart w:id="642" w:name="_Toc267251461"/>
      <w:r>
        <w:rPr>
          <w:rFonts w:hint="eastAsia" w:ascii="宋体" w:hAnsi="宋体" w:eastAsia="宋体" w:cs="宋体"/>
          <w:color w:val="auto"/>
          <w:sz w:val="21"/>
          <w:szCs w:val="21"/>
        </w:rPr>
        <w:t>12.1 合</w:t>
      </w:r>
      <w:bookmarkEnd w:id="642"/>
      <w:r>
        <w:rPr>
          <w:rFonts w:hint="eastAsia" w:ascii="宋体" w:hAnsi="宋体" w:eastAsia="宋体" w:cs="宋体"/>
          <w:color w:val="auto"/>
          <w:sz w:val="21"/>
          <w:szCs w:val="21"/>
        </w:rPr>
        <w:t>同价格形式</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1、单价合同。</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综合单价包含的风险范围：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2、总价合同。</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总价包含的风险范围：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3、其他价格方式：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bookmarkStart w:id="643" w:name="_Toc312678042"/>
      <w:bookmarkEnd w:id="643"/>
      <w:bookmarkStart w:id="644" w:name="_Toc297048393"/>
      <w:bookmarkEnd w:id="644"/>
      <w:bookmarkStart w:id="645" w:name="_Toc300935004"/>
      <w:bookmarkEnd w:id="645"/>
      <w:bookmarkStart w:id="646" w:name="_Toc296944546"/>
      <w:bookmarkEnd w:id="646"/>
      <w:bookmarkStart w:id="647" w:name="_Toc292559412"/>
      <w:bookmarkEnd w:id="647"/>
      <w:bookmarkStart w:id="648" w:name="_Toc304295581"/>
      <w:bookmarkEnd w:id="648"/>
      <w:bookmarkStart w:id="649" w:name="_Toc296891035"/>
      <w:bookmarkEnd w:id="649"/>
      <w:bookmarkStart w:id="650" w:name="_Toc297120507"/>
      <w:bookmarkEnd w:id="650"/>
      <w:bookmarkStart w:id="651" w:name="_Toc303539161"/>
      <w:bookmarkEnd w:id="651"/>
      <w:bookmarkStart w:id="652" w:name="_Toc296347206"/>
      <w:bookmarkEnd w:id="652"/>
      <w:bookmarkStart w:id="653" w:name="_Toc297216213"/>
      <w:bookmarkEnd w:id="653"/>
      <w:bookmarkStart w:id="654" w:name="_Toc296346708"/>
      <w:bookmarkEnd w:id="654"/>
      <w:bookmarkStart w:id="655" w:name="_Toc296503207"/>
      <w:bookmarkEnd w:id="655"/>
      <w:bookmarkStart w:id="656" w:name="_Toc296891247"/>
      <w:bookmarkEnd w:id="656"/>
      <w:bookmarkStart w:id="657" w:name="_Toc292559917"/>
      <w:bookmarkEnd w:id="657"/>
      <w:bookmarkStart w:id="658" w:name="_Toc297123554"/>
      <w:r>
        <w:rPr>
          <w:rFonts w:hint="eastAsia" w:ascii="宋体" w:hAnsi="宋体" w:eastAsia="宋体" w:cs="宋体"/>
          <w:color w:val="auto"/>
          <w:sz w:val="21"/>
          <w:szCs w:val="21"/>
        </w:rPr>
        <w:t>12.2 预付款</w:t>
      </w:r>
      <w:bookmarkEnd w:id="658"/>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12.2.1 预付款的支付</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预付款支付比例或金额：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预付款支付期限：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预付款扣回的方式：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12.2.2 预付款担保</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承包人提交预付款担保的期限：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预付款担保的形式为：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 计量</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12.3.1 计量原则</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工程量计算规则：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12.3.2 计量周期</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关于计量周期的约定：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12.3.3 单价合同的计量</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关于单价合同计量的约定：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12.3.4 总价合同的计量</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关于总价合同计量的约定：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12.3.5总价合同采用支付分解表计量支付的，是否适用第12.3.4 项〔总价合同的计量〕约定进行计量：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12.3.6 其他价格形式合同的计量</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其他价格形式的计量方式和程序：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12.4 工程进度款支付</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bookmarkStart w:id="659" w:name="_Toc296891251"/>
      <w:bookmarkEnd w:id="659"/>
      <w:bookmarkStart w:id="660" w:name="_Toc300935006"/>
      <w:bookmarkEnd w:id="660"/>
      <w:bookmarkStart w:id="661" w:name="_Toc296347210"/>
      <w:bookmarkEnd w:id="661"/>
      <w:bookmarkStart w:id="662" w:name="_Toc297048397"/>
      <w:bookmarkEnd w:id="662"/>
      <w:bookmarkStart w:id="663" w:name="_Toc297123556"/>
      <w:bookmarkEnd w:id="663"/>
      <w:bookmarkStart w:id="664" w:name="_Toc296944550"/>
      <w:bookmarkEnd w:id="664"/>
      <w:bookmarkStart w:id="665" w:name="_Toc292559416"/>
      <w:bookmarkEnd w:id="665"/>
      <w:bookmarkStart w:id="666" w:name="_Toc296503211"/>
      <w:bookmarkEnd w:id="666"/>
      <w:bookmarkStart w:id="667" w:name="_Toc296346712"/>
      <w:bookmarkEnd w:id="667"/>
      <w:bookmarkStart w:id="668" w:name="_Toc303539163"/>
      <w:bookmarkEnd w:id="668"/>
      <w:bookmarkStart w:id="669" w:name="_Toc297120511"/>
      <w:bookmarkEnd w:id="669"/>
      <w:bookmarkStart w:id="670" w:name="_Toc296891039"/>
      <w:bookmarkEnd w:id="670"/>
      <w:bookmarkStart w:id="671" w:name="_Toc292559921"/>
      <w:bookmarkEnd w:id="671"/>
      <w:bookmarkStart w:id="672" w:name="_Toc297216215"/>
      <w:r>
        <w:rPr>
          <w:rFonts w:hint="eastAsia" w:ascii="宋体" w:hAnsi="宋体" w:eastAsia="宋体" w:cs="宋体"/>
          <w:color w:val="auto"/>
          <w:sz w:val="21"/>
          <w:szCs w:val="21"/>
        </w:rPr>
        <w:t>12.4.1 付款周期</w:t>
      </w:r>
      <w:bookmarkEnd w:id="672"/>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b/>
          <w:bCs/>
          <w:color w:val="auto"/>
          <w:sz w:val="21"/>
          <w:szCs w:val="21"/>
          <w:u w:val="single"/>
        </w:rPr>
      </w:pPr>
      <w:r>
        <w:rPr>
          <w:rFonts w:hint="eastAsia" w:ascii="宋体" w:hAnsi="宋体" w:eastAsia="宋体" w:cs="宋体"/>
          <w:color w:val="auto"/>
          <w:sz w:val="21"/>
          <w:szCs w:val="21"/>
        </w:rPr>
        <w:t>关于付款周期的约定：</w:t>
      </w:r>
      <w:r>
        <w:rPr>
          <w:rFonts w:hint="eastAsia" w:ascii="宋体" w:hAnsi="宋体" w:eastAsia="宋体" w:cs="宋体"/>
          <w:color w:val="auto"/>
          <w:sz w:val="21"/>
          <w:szCs w:val="21"/>
          <w:u w:val="single"/>
        </w:rPr>
        <w:t xml:space="preserve"> </w:t>
      </w:r>
      <w:r>
        <w:rPr>
          <w:rFonts w:hint="eastAsia" w:ascii="宋体" w:hAnsi="宋体" w:eastAsia="宋体" w:cs="宋体"/>
          <w:b/>
          <w:bCs/>
          <w:color w:val="auto"/>
          <w:sz w:val="21"/>
          <w:szCs w:val="21"/>
          <w:u w:val="single"/>
        </w:rPr>
        <w:t xml:space="preserve">                                  。</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12.4.2 进度付款申请单的编制</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关于进度付款申请单编制的约定：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12.4.3 进度付款申请单的提交</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（1）单价合同进度付款申请单提交的约定：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（3）其他价格形式合同进度付款申请单提交的约定：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12.4.4 进度款审核和支付</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（1）监理人审查并报送发包人的期限：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发包人完成审批并签发进度款支付证书的期限：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（2）发包人支付进度款的期限：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525" w:firstLineChars="25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发包人逾期支付进度款的违约金的计算方式：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525" w:firstLineChars="25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12.4.6 支付分解表的编制</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2、总价合同支付分解表的编制与审批：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3、单价合同的总价项目支付分解表的编制与审批：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673" w:name="_Toc296891259"/>
      <w:bookmarkEnd w:id="673"/>
      <w:bookmarkStart w:id="674" w:name="_Toc351203645"/>
      <w:bookmarkEnd w:id="674"/>
      <w:bookmarkStart w:id="675" w:name="_Toc296503219"/>
      <w:bookmarkEnd w:id="675"/>
      <w:bookmarkStart w:id="676" w:name="_Toc297120519"/>
      <w:bookmarkEnd w:id="676"/>
      <w:bookmarkStart w:id="677" w:name="_Toc296891047"/>
      <w:bookmarkEnd w:id="677"/>
      <w:bookmarkStart w:id="678" w:name="_Toc297123564"/>
      <w:bookmarkEnd w:id="678"/>
      <w:bookmarkStart w:id="679" w:name="_Toc292559929"/>
      <w:bookmarkEnd w:id="679"/>
      <w:bookmarkStart w:id="680" w:name="_Toc297216223"/>
      <w:bookmarkEnd w:id="680"/>
      <w:bookmarkStart w:id="681" w:name="_Toc297048405"/>
      <w:bookmarkEnd w:id="681"/>
      <w:bookmarkStart w:id="682" w:name="_Toc292559424"/>
      <w:bookmarkEnd w:id="682"/>
      <w:bookmarkStart w:id="683" w:name="_Toc312678053"/>
      <w:bookmarkEnd w:id="683"/>
      <w:bookmarkStart w:id="684" w:name="_Toc296944558"/>
      <w:bookmarkEnd w:id="684"/>
      <w:bookmarkStart w:id="685" w:name="_Toc304295593"/>
      <w:bookmarkEnd w:id="685"/>
      <w:bookmarkStart w:id="686" w:name="_Toc296347218"/>
      <w:bookmarkEnd w:id="686"/>
      <w:bookmarkStart w:id="687" w:name="_Toc300935015"/>
      <w:bookmarkEnd w:id="687"/>
      <w:bookmarkStart w:id="688" w:name="_Toc303539172"/>
      <w:bookmarkEnd w:id="688"/>
      <w:bookmarkStart w:id="689" w:name="_Toc296346720"/>
      <w:r>
        <w:rPr>
          <w:rFonts w:hint="eastAsia" w:ascii="宋体" w:hAnsi="宋体" w:eastAsia="宋体" w:cs="宋体"/>
          <w:b w:val="0"/>
          <w:bCs w:val="0"/>
          <w:color w:val="auto"/>
          <w:sz w:val="21"/>
          <w:szCs w:val="21"/>
        </w:rPr>
        <w:t>13.</w:t>
      </w:r>
      <w:bookmarkEnd w:id="689"/>
      <w:r>
        <w:rPr>
          <w:rFonts w:hint="eastAsia" w:ascii="宋体" w:hAnsi="宋体" w:eastAsia="宋体" w:cs="宋体"/>
          <w:b w:val="0"/>
          <w:bCs w:val="0"/>
          <w:color w:val="auto"/>
          <w:sz w:val="21"/>
          <w:szCs w:val="21"/>
        </w:rPr>
        <w:t xml:space="preserve"> 验收和工程试车</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13.1 分部分项工程验收</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13.1.2监理人不能按时进行验收时，应提前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小时提交书面延期要求。</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bookmarkStart w:id="690" w:name="_Toc292559428"/>
      <w:bookmarkEnd w:id="690"/>
      <w:bookmarkStart w:id="691" w:name="_Toc304295596"/>
      <w:bookmarkEnd w:id="691"/>
      <w:bookmarkStart w:id="692" w:name="_Toc297120523"/>
      <w:bookmarkEnd w:id="692"/>
      <w:bookmarkStart w:id="693" w:name="_Toc296891263"/>
      <w:bookmarkEnd w:id="693"/>
      <w:bookmarkStart w:id="694" w:name="_Toc296346724"/>
      <w:bookmarkEnd w:id="694"/>
      <w:bookmarkStart w:id="695" w:name="_Toc296891051"/>
      <w:bookmarkEnd w:id="695"/>
      <w:bookmarkStart w:id="696" w:name="_Toc267251472"/>
      <w:bookmarkEnd w:id="696"/>
      <w:bookmarkStart w:id="697" w:name="_Toc297123565"/>
      <w:bookmarkEnd w:id="697"/>
      <w:bookmarkStart w:id="698" w:name="_Toc267251470"/>
      <w:bookmarkEnd w:id="698"/>
      <w:bookmarkStart w:id="699" w:name="_Toc296944562"/>
      <w:bookmarkEnd w:id="699"/>
      <w:bookmarkStart w:id="700" w:name="_Toc312678056"/>
      <w:bookmarkEnd w:id="700"/>
      <w:bookmarkStart w:id="701" w:name="_Toc296347222"/>
      <w:bookmarkEnd w:id="701"/>
      <w:bookmarkStart w:id="702" w:name="_Toc296503223"/>
      <w:bookmarkEnd w:id="702"/>
      <w:bookmarkStart w:id="703" w:name="_Toc297216224"/>
      <w:bookmarkEnd w:id="703"/>
      <w:bookmarkStart w:id="704" w:name="_Toc267251473"/>
      <w:bookmarkEnd w:id="704"/>
      <w:bookmarkStart w:id="705" w:name="_Toc267251475"/>
      <w:bookmarkEnd w:id="705"/>
      <w:bookmarkStart w:id="706" w:name="_Toc297048409"/>
      <w:bookmarkEnd w:id="706"/>
      <w:bookmarkStart w:id="707" w:name="_Toc267251471"/>
      <w:bookmarkEnd w:id="707"/>
      <w:bookmarkStart w:id="708" w:name="_Toc292559933"/>
      <w:bookmarkEnd w:id="708"/>
      <w:bookmarkStart w:id="709" w:name="_Toc300935016"/>
      <w:bookmarkEnd w:id="709"/>
      <w:bookmarkStart w:id="710" w:name="_Toc303539173"/>
      <w:bookmarkEnd w:id="710"/>
      <w:bookmarkStart w:id="711" w:name="_Toc267251476"/>
      <w:bookmarkEnd w:id="711"/>
      <w:bookmarkStart w:id="712" w:name="_Toc267251474"/>
      <w:r>
        <w:rPr>
          <w:rFonts w:hint="eastAsia" w:ascii="宋体" w:hAnsi="宋体" w:eastAsia="宋体" w:cs="宋体"/>
          <w:color w:val="auto"/>
          <w:sz w:val="21"/>
          <w:szCs w:val="21"/>
        </w:rPr>
        <w:t>13.2 竣工验收</w:t>
      </w:r>
      <w:bookmarkEnd w:id="712"/>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bookmarkStart w:id="713" w:name="_Toc280868706"/>
      <w:bookmarkEnd w:id="713"/>
      <w:bookmarkStart w:id="714" w:name="_Toc280868707"/>
      <w:bookmarkEnd w:id="714"/>
      <w:bookmarkStart w:id="715" w:name="_Toc280868709"/>
      <w:bookmarkEnd w:id="715"/>
      <w:bookmarkStart w:id="716" w:name="_Toc280868708"/>
      <w:bookmarkEnd w:id="716"/>
      <w:bookmarkStart w:id="717" w:name="_Toc280868705"/>
      <w:bookmarkEnd w:id="717"/>
      <w:bookmarkStart w:id="718" w:name="_Toc280868704"/>
      <w:bookmarkEnd w:id="718"/>
      <w:r>
        <w:rPr>
          <w:rFonts w:hint="eastAsia" w:ascii="宋体" w:hAnsi="宋体" w:eastAsia="宋体" w:cs="宋体"/>
          <w:color w:val="auto"/>
          <w:sz w:val="21"/>
          <w:szCs w:val="21"/>
        </w:rPr>
        <w:t>13.2.2竣工验收程序</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关于竣工验收程序的约定：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发包人不按照本项约定组织竣工验收、颁发工程接收证书的违约金的计算方法：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13.2.5移交、接收全部与部分工程</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承包人向发包人移交工程的期限：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发包人未按本合同约定接收全部或部分工程的，违约金的计算方法为：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承包人未按时移交工程的，违约金的计算方法为：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13.3 工程试车</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13.3.1 试车程序</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工程试车内容：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（1）单机无负荷试车费用由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承担；</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（2）无负荷联动试车费用由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承担。</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13.3.3 投料试车</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关于投料试车相关事项的约定：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13.6 竣工退场</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13.6.1 竣工退场</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承包人完成竣工退场的期限：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719" w:name="_Toc351203646"/>
      <w:bookmarkEnd w:id="719"/>
      <w:r>
        <w:rPr>
          <w:rFonts w:hint="eastAsia" w:ascii="宋体" w:hAnsi="宋体" w:eastAsia="宋体" w:cs="宋体"/>
          <w:b w:val="0"/>
          <w:bCs w:val="0"/>
          <w:color w:val="auto"/>
          <w:sz w:val="21"/>
          <w:szCs w:val="21"/>
        </w:rPr>
        <w:t>14. 竣工结算</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14.1 竣工结算申请</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承包人提交竣工结算申请单的期限：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竣工结算申请单应包括的内容：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14.2 竣工结算审核</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发包人审批竣工付款申请单的期限：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发包人完成竣工付款的期限：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关于竣工付款证书异议部分复核的方式和程序：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14.4 最终结清</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14.4.1 最终结清申请单</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承包人提交最终结清申请单的份数：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承包人提交最终结算申请单的期限：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14.4.2 最终结清证书和支付</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（1）发包人完成最终结清申请单的审批并颁发最终结清证书的期限：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（2）发包人完成支付的期限：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720" w:name="_Toc267251508"/>
      <w:bookmarkEnd w:id="720"/>
      <w:bookmarkStart w:id="721" w:name="_Toc267251515"/>
      <w:bookmarkEnd w:id="721"/>
      <w:bookmarkStart w:id="722" w:name="_Toc267251489"/>
      <w:bookmarkEnd w:id="722"/>
      <w:bookmarkStart w:id="723" w:name="_Toc267251494"/>
      <w:bookmarkEnd w:id="723"/>
      <w:bookmarkStart w:id="724" w:name="_Toc267251495"/>
      <w:bookmarkEnd w:id="724"/>
      <w:bookmarkStart w:id="725" w:name="_Toc267251504"/>
      <w:bookmarkEnd w:id="725"/>
      <w:bookmarkStart w:id="726" w:name="_Toc267251484"/>
      <w:bookmarkEnd w:id="726"/>
      <w:bookmarkStart w:id="727" w:name="_Toc267251493"/>
      <w:bookmarkEnd w:id="727"/>
      <w:bookmarkStart w:id="728" w:name="_Toc267251499"/>
      <w:bookmarkEnd w:id="728"/>
      <w:bookmarkStart w:id="729" w:name="_Toc267251502"/>
      <w:bookmarkEnd w:id="729"/>
      <w:bookmarkStart w:id="730" w:name="_Toc267251488"/>
      <w:bookmarkEnd w:id="730"/>
      <w:bookmarkStart w:id="731" w:name="_Toc267251486"/>
      <w:bookmarkEnd w:id="731"/>
      <w:bookmarkStart w:id="732" w:name="_Toc267251492"/>
      <w:bookmarkEnd w:id="732"/>
      <w:bookmarkStart w:id="733" w:name="_Toc267251511"/>
      <w:bookmarkEnd w:id="733"/>
      <w:bookmarkStart w:id="734" w:name="_Toc267251491"/>
      <w:bookmarkEnd w:id="734"/>
      <w:bookmarkStart w:id="735" w:name="_Toc267251496"/>
      <w:bookmarkEnd w:id="735"/>
      <w:bookmarkStart w:id="736" w:name="_Toc267251501"/>
      <w:bookmarkEnd w:id="736"/>
      <w:bookmarkStart w:id="737" w:name="_Toc351203647"/>
      <w:bookmarkEnd w:id="737"/>
      <w:bookmarkStart w:id="738" w:name="_Toc267251490"/>
      <w:bookmarkEnd w:id="738"/>
      <w:bookmarkStart w:id="739" w:name="_Toc267251513"/>
      <w:bookmarkEnd w:id="739"/>
      <w:bookmarkStart w:id="740" w:name="_Toc267251483"/>
      <w:bookmarkEnd w:id="740"/>
      <w:bookmarkStart w:id="741" w:name="_Toc267251506"/>
      <w:bookmarkEnd w:id="741"/>
      <w:bookmarkStart w:id="742" w:name="_Toc267251509"/>
      <w:bookmarkEnd w:id="742"/>
      <w:bookmarkStart w:id="743" w:name="_Toc267251514"/>
      <w:bookmarkEnd w:id="743"/>
      <w:bookmarkStart w:id="744" w:name="_Toc267251507"/>
      <w:bookmarkEnd w:id="744"/>
      <w:bookmarkStart w:id="745" w:name="_Toc267251503"/>
      <w:bookmarkEnd w:id="745"/>
      <w:bookmarkStart w:id="746" w:name="_Toc267251485"/>
      <w:bookmarkEnd w:id="746"/>
      <w:bookmarkStart w:id="747" w:name="_Toc267251498"/>
      <w:bookmarkEnd w:id="747"/>
      <w:bookmarkStart w:id="748" w:name="_Toc267251497"/>
      <w:bookmarkEnd w:id="748"/>
      <w:bookmarkStart w:id="749" w:name="_Toc267251482"/>
      <w:bookmarkEnd w:id="749"/>
      <w:bookmarkStart w:id="750" w:name="_Toc267251510"/>
      <w:r>
        <w:rPr>
          <w:rFonts w:hint="eastAsia" w:ascii="宋体" w:hAnsi="宋体" w:eastAsia="宋体" w:cs="宋体"/>
          <w:b w:val="0"/>
          <w:bCs w:val="0"/>
          <w:color w:val="auto"/>
          <w:sz w:val="21"/>
          <w:szCs w:val="21"/>
        </w:rPr>
        <w:t>15. 缺陷责任期与保修</w:t>
      </w:r>
      <w:bookmarkEnd w:id="750"/>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15.2缺陷责任期</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缺陷责任期的具体期限：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15.3 质量保证金</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关于是否扣留质量保证金的约定：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。在工程项目竣工前，承包人按专用合同条款第3.7条提供履约担保的，发包人不得同时预留工程质量保证金。</w:t>
      </w:r>
    </w:p>
    <w:p>
      <w:pPr>
        <w:pageBreakBefore w:val="0"/>
        <w:widowControl w:val="0"/>
        <w:kinsoku/>
        <w:wordWrap/>
        <w:overflowPunct/>
        <w:topLinePunct w:val="0"/>
        <w:bidi w:val="0"/>
        <w:snapToGrid/>
        <w:spacing w:line="356" w:lineRule="exact"/>
        <w:ind w:firstLine="420" w:firstLineChars="20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15.3.1 承包人提供质量保证金的方式</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质量保证金采用以下第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（1）质量保证金保函，保证金额为：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%的工程款；</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（3）其他方式: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 xml:space="preserve">15.3.2 质量保证金的扣留 </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质量保证金的扣留采取以下第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（2）工程竣工结算时一次性扣留质量保证金；</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（3）其他扣留方式: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关于质量保证金的补充约定：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15.4保修</w:t>
      </w:r>
    </w:p>
    <w:p>
      <w:pPr>
        <w:pageBreakBefore w:val="0"/>
        <w:widowControl w:val="0"/>
        <w:kinsoku/>
        <w:wordWrap/>
        <w:overflowPunct/>
        <w:topLinePunct w:val="0"/>
        <w:bidi w:val="0"/>
        <w:snapToGrid/>
        <w:spacing w:line="356" w:lineRule="exact"/>
        <w:ind w:firstLine="409" w:firstLineChars="19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15.4.1 保修责任</w:t>
      </w:r>
    </w:p>
    <w:p>
      <w:pPr>
        <w:pageBreakBefore w:val="0"/>
        <w:widowControl w:val="0"/>
        <w:kinsoku/>
        <w:wordWrap/>
        <w:overflowPunct/>
        <w:topLinePunct w:val="0"/>
        <w:bidi w:val="0"/>
        <w:snapToGrid/>
        <w:spacing w:line="356" w:lineRule="exact"/>
        <w:ind w:firstLine="409" w:firstLineChars="19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工程保修期为：</w:t>
      </w:r>
      <w:r>
        <w:rPr>
          <w:rFonts w:hint="eastAsia" w:ascii="宋体" w:hAnsi="宋体" w:eastAsia="宋体" w:cs="宋体"/>
          <w:color w:val="auto"/>
          <w:sz w:val="21"/>
          <w:szCs w:val="21"/>
          <w:u w:val="single"/>
        </w:rPr>
        <w:t xml:space="preserve">                                                             </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rPr>
        <w:t>。</w:t>
      </w:r>
    </w:p>
    <w:p>
      <w:pPr>
        <w:pageBreakBefore w:val="0"/>
        <w:widowControl w:val="0"/>
        <w:kinsoku/>
        <w:wordWrap/>
        <w:overflowPunct/>
        <w:topLinePunct w:val="0"/>
        <w:bidi w:val="0"/>
        <w:snapToGrid/>
        <w:spacing w:line="356" w:lineRule="exact"/>
        <w:ind w:firstLine="409" w:firstLineChars="19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15.4.3 修复通知</w:t>
      </w:r>
    </w:p>
    <w:p>
      <w:pPr>
        <w:pageBreakBefore w:val="0"/>
        <w:widowControl w:val="0"/>
        <w:kinsoku/>
        <w:wordWrap/>
        <w:overflowPunct/>
        <w:topLinePunct w:val="0"/>
        <w:bidi w:val="0"/>
        <w:snapToGrid/>
        <w:spacing w:line="356" w:lineRule="exact"/>
        <w:ind w:firstLine="409" w:firstLineChars="19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承包人收到保修通知并到达工程现场的合理时间：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751" w:name="_Toc351203648"/>
      <w:bookmarkEnd w:id="751"/>
      <w:bookmarkStart w:id="752" w:name="_Toc280868717"/>
      <w:bookmarkEnd w:id="752"/>
      <w:bookmarkStart w:id="753" w:name="_Toc280868718"/>
      <w:bookmarkEnd w:id="753"/>
      <w:r>
        <w:rPr>
          <w:rFonts w:hint="eastAsia" w:ascii="宋体" w:hAnsi="宋体" w:eastAsia="宋体" w:cs="宋体"/>
          <w:b w:val="0"/>
          <w:bCs w:val="0"/>
          <w:color w:val="auto"/>
          <w:sz w:val="21"/>
          <w:szCs w:val="21"/>
        </w:rPr>
        <w:t>16. 违约</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16.1 发包人违约</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16.1.1发包人违约的情形</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left="1050" w:hanging="1050" w:hangingChars="5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16.1.2 发包人违约的责任</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发包人违约责任的承担方式和计算方法：</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（1）因发包人原因未能在计划开工日期前7天内下达开工通知的违约责任：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（2）因发包人原因未能按合同约定支付合同价款的违约责任：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（3）发包人违反第10.1款〔变更的范围〕第（2）项约定，自行实施被取消的工作或转由他人实施的违约责任：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（5）因发包人违反合同约定造成暂停施工的违约责任：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（6）发包人无正当理由没有在约定期限内发出复工指示，导致承包人无法复工的违约责任：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（7）其他：</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16.1.3 因发包人违约解除合同</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承包人按16.1.1项〔发包人违约的情形〕约定暂停施工满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天后发包人仍不纠正其违约行为并致使合同目的不能实现的，承包人有权解除合同。</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16.2 承包人违约</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16.2.1 承包人违约的情形</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16.2.2承包人违约的责任</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承包人违约责任的承担方式和计算方法：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16.2.3 因承包人违约解除合同</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关于承包人违约解除合同的特别约定：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754" w:name="_Toc351203649"/>
      <w:bookmarkEnd w:id="754"/>
      <w:r>
        <w:rPr>
          <w:rFonts w:hint="eastAsia" w:ascii="宋体" w:hAnsi="宋体" w:eastAsia="宋体" w:cs="宋体"/>
          <w:b w:val="0"/>
          <w:bCs w:val="0"/>
          <w:color w:val="auto"/>
          <w:sz w:val="21"/>
          <w:szCs w:val="21"/>
        </w:rPr>
        <w:t xml:space="preserve">17. 不可抗力 </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17.1 不可抗力的确认</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除通用合同条款约定的不可抗力事件之外，视为不可抗力的其他情形：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17.4 因不可抗力解除合同</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合同解除后，发包人应在商定或确定发包人应支付款项后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天内完成款项的支付。</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755" w:name="_Toc351203650"/>
      <w:bookmarkEnd w:id="755"/>
      <w:r>
        <w:rPr>
          <w:rFonts w:hint="eastAsia" w:ascii="宋体" w:hAnsi="宋体" w:eastAsia="宋体" w:cs="宋体"/>
          <w:b w:val="0"/>
          <w:bCs w:val="0"/>
          <w:color w:val="auto"/>
          <w:sz w:val="21"/>
          <w:szCs w:val="21"/>
        </w:rPr>
        <w:t>18. 保险</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18.1 工程保险</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18.3 其他保险</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关于其他保险的约定：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承包人是否应为其施工设备等办理财产保险：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18.7 通知义务</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关于变更保险合同时的通知义务的约定：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7"/>
        <w:pageBreakBefore w:val="0"/>
        <w:widowControl w:val="0"/>
        <w:kinsoku/>
        <w:wordWrap/>
        <w:overflowPunct/>
        <w:topLinePunct w:val="0"/>
        <w:bidi w:val="0"/>
        <w:snapToGrid/>
        <w:spacing w:line="356" w:lineRule="exact"/>
        <w:textAlignment w:val="auto"/>
        <w:rPr>
          <w:rFonts w:hint="eastAsia" w:ascii="宋体" w:hAnsi="宋体" w:eastAsia="宋体" w:cs="宋体"/>
          <w:b w:val="0"/>
          <w:bCs w:val="0"/>
          <w:color w:val="auto"/>
          <w:sz w:val="21"/>
          <w:szCs w:val="21"/>
        </w:rPr>
      </w:pPr>
      <w:bookmarkStart w:id="756" w:name="_Toc351203651"/>
      <w:bookmarkEnd w:id="756"/>
      <w:r>
        <w:rPr>
          <w:rFonts w:hint="eastAsia" w:ascii="宋体" w:hAnsi="宋体" w:eastAsia="宋体" w:cs="宋体"/>
          <w:b w:val="0"/>
          <w:bCs w:val="0"/>
          <w:color w:val="auto"/>
          <w:sz w:val="21"/>
          <w:szCs w:val="21"/>
        </w:rPr>
        <w:t>20. 争议解决</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20.3 争议评审</w:t>
      </w:r>
    </w:p>
    <w:p>
      <w:pPr>
        <w:pageBreakBefore w:val="0"/>
        <w:widowControl w:val="0"/>
        <w:kinsoku/>
        <w:wordWrap/>
        <w:overflowPunct/>
        <w:topLinePunct w:val="0"/>
        <w:bidi w:val="0"/>
        <w:snapToGrid/>
        <w:spacing w:line="356" w:lineRule="exact"/>
        <w:ind w:left="149" w:leftChars="71" w:firstLine="315" w:firstLineChars="15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合同当事人是否同意将工程争议提交争议评审小组决定：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pageBreakBefore w:val="0"/>
        <w:widowControl w:val="0"/>
        <w:kinsoku/>
        <w:wordWrap/>
        <w:overflowPunct/>
        <w:topLinePunct w:val="0"/>
        <w:bidi w:val="0"/>
        <w:snapToGrid/>
        <w:spacing w:line="356" w:lineRule="exact"/>
        <w:ind w:firstLine="420" w:firstLineChars="20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20.3.1 争议评审小组的确定</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争议评审小组成员的确定：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选定争议评审员的期限：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争议评审小组成员的报酬承担方式：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autoSpaceDE w:val="0"/>
        <w:autoSpaceDN w:val="0"/>
        <w:bidi w:val="0"/>
        <w:adjustRightInd w:val="0"/>
        <w:snapToGrid/>
        <w:spacing w:line="356" w:lineRule="exact"/>
        <w:ind w:firstLine="420" w:firstLineChars="20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20.3.2 争议评审小组的决定</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合同当事人关于本项的约定：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ageBreakBefore w:val="0"/>
        <w:widowControl w:val="0"/>
        <w:kinsoku/>
        <w:wordWrap/>
        <w:overflowPunct/>
        <w:topLinePunct w:val="0"/>
        <w:bidi w:val="0"/>
        <w:snapToGrid/>
        <w:spacing w:line="356"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20.4仲裁或诉讼</w:t>
      </w:r>
    </w:p>
    <w:p>
      <w:pPr>
        <w:pageBreakBefore w:val="0"/>
        <w:widowControl w:val="0"/>
        <w:kinsoku/>
        <w:wordWrap/>
        <w:overflowPunct/>
        <w:topLinePunct w:val="0"/>
        <w:bidi w:val="0"/>
        <w:snapToGrid/>
        <w:spacing w:line="356"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因合同及合同有关事项发生的争议，按下列第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种方式解决：</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仲裁委员会申请仲裁；</w:t>
      </w:r>
    </w:p>
    <w:p>
      <w:pPr>
        <w:pageBreakBefore w:val="0"/>
        <w:widowControl w:val="0"/>
        <w:kinsoku/>
        <w:wordWrap/>
        <w:overflowPunct/>
        <w:topLinePunct w:val="0"/>
        <w:bidi w:val="0"/>
        <w:snapToGrid/>
        <w:spacing w:line="356"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人民法院起诉。</w:t>
      </w: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p>
    <w:p>
      <w:pPr>
        <w:spacing w:line="288" w:lineRule="auto"/>
        <w:jc w:val="left"/>
        <w:rPr>
          <w:rFonts w:ascii="新宋体" w:hAnsi="新宋体" w:eastAsia="新宋体"/>
          <w:b/>
          <w:bCs/>
          <w:color w:val="auto"/>
        </w:rPr>
      </w:pPr>
      <w:r>
        <w:rPr>
          <w:rFonts w:hint="eastAsia" w:ascii="新宋体" w:hAnsi="新宋体" w:eastAsia="新宋体"/>
          <w:b/>
          <w:bCs/>
          <w:color w:val="auto"/>
        </w:rPr>
        <w:t>附件</w:t>
      </w:r>
    </w:p>
    <w:p>
      <w:pPr>
        <w:spacing w:line="288" w:lineRule="auto"/>
        <w:jc w:val="left"/>
        <w:rPr>
          <w:rFonts w:ascii="新宋体" w:hAnsi="新宋体" w:eastAsia="新宋体"/>
          <w:color w:val="auto"/>
        </w:rPr>
      </w:pPr>
      <w:r>
        <w:rPr>
          <w:rFonts w:hint="eastAsia" w:ascii="新宋体" w:hAnsi="新宋体" w:eastAsia="新宋体"/>
          <w:color w:val="auto"/>
        </w:rPr>
        <w:t>协议书附件：</w:t>
      </w:r>
    </w:p>
    <w:p>
      <w:pPr>
        <w:spacing w:line="288" w:lineRule="auto"/>
        <w:jc w:val="left"/>
        <w:rPr>
          <w:rFonts w:ascii="新宋体" w:hAnsi="新宋体" w:eastAsia="新宋体"/>
          <w:color w:val="auto"/>
        </w:rPr>
      </w:pPr>
      <w:r>
        <w:rPr>
          <w:rFonts w:hint="eastAsia" w:ascii="新宋体" w:hAnsi="新宋体" w:eastAsia="新宋体"/>
          <w:color w:val="auto"/>
        </w:rPr>
        <w:t>附件</w:t>
      </w:r>
      <w:r>
        <w:rPr>
          <w:rFonts w:ascii="新宋体" w:hAnsi="新宋体" w:eastAsia="新宋体"/>
          <w:color w:val="auto"/>
        </w:rPr>
        <w:t>1</w:t>
      </w:r>
      <w:r>
        <w:rPr>
          <w:rFonts w:hint="eastAsia" w:ascii="新宋体" w:hAnsi="新宋体" w:eastAsia="新宋体"/>
          <w:color w:val="auto"/>
        </w:rPr>
        <w:t>：承包人承揽工程项目一览表</w:t>
      </w:r>
    </w:p>
    <w:p>
      <w:pPr>
        <w:spacing w:line="288" w:lineRule="auto"/>
        <w:jc w:val="left"/>
        <w:rPr>
          <w:rFonts w:ascii="新宋体" w:hAnsi="新宋体" w:eastAsia="新宋体"/>
          <w:color w:val="auto"/>
        </w:rPr>
      </w:pPr>
      <w:r>
        <w:rPr>
          <w:rFonts w:hint="eastAsia" w:ascii="新宋体" w:hAnsi="新宋体" w:eastAsia="新宋体"/>
          <w:color w:val="auto"/>
        </w:rPr>
        <w:t>专用合同条款附件：</w:t>
      </w:r>
    </w:p>
    <w:p>
      <w:pPr>
        <w:spacing w:line="288" w:lineRule="auto"/>
        <w:jc w:val="left"/>
        <w:rPr>
          <w:rFonts w:ascii="新宋体" w:hAnsi="新宋体" w:eastAsia="新宋体"/>
          <w:color w:val="auto"/>
        </w:rPr>
      </w:pPr>
      <w:r>
        <w:rPr>
          <w:rFonts w:hint="eastAsia" w:ascii="新宋体" w:hAnsi="新宋体" w:eastAsia="新宋体"/>
          <w:color w:val="auto"/>
        </w:rPr>
        <w:t>附件</w:t>
      </w:r>
      <w:r>
        <w:rPr>
          <w:rFonts w:ascii="新宋体" w:hAnsi="新宋体" w:eastAsia="新宋体"/>
          <w:color w:val="auto"/>
        </w:rPr>
        <w:t>2</w:t>
      </w:r>
      <w:r>
        <w:rPr>
          <w:rFonts w:hint="eastAsia" w:ascii="新宋体" w:hAnsi="新宋体" w:eastAsia="新宋体"/>
          <w:color w:val="auto"/>
        </w:rPr>
        <w:t>：发包人供应材料设备一览表</w:t>
      </w:r>
    </w:p>
    <w:p>
      <w:pPr>
        <w:spacing w:line="288" w:lineRule="auto"/>
        <w:jc w:val="left"/>
        <w:rPr>
          <w:rFonts w:ascii="新宋体" w:hAnsi="新宋体" w:eastAsia="新宋体"/>
          <w:color w:val="auto"/>
        </w:rPr>
      </w:pPr>
      <w:r>
        <w:rPr>
          <w:rFonts w:hint="eastAsia" w:ascii="新宋体" w:hAnsi="新宋体" w:eastAsia="新宋体"/>
          <w:color w:val="auto"/>
        </w:rPr>
        <w:t>附件</w:t>
      </w:r>
      <w:r>
        <w:rPr>
          <w:rFonts w:ascii="新宋体" w:hAnsi="新宋体" w:eastAsia="新宋体"/>
          <w:color w:val="auto"/>
        </w:rPr>
        <w:t>3</w:t>
      </w:r>
      <w:r>
        <w:rPr>
          <w:rFonts w:hint="eastAsia" w:ascii="新宋体" w:hAnsi="新宋体" w:eastAsia="新宋体"/>
          <w:color w:val="auto"/>
        </w:rPr>
        <w:t>：工程质量保修书</w:t>
      </w:r>
    </w:p>
    <w:p>
      <w:pPr>
        <w:spacing w:line="288" w:lineRule="auto"/>
        <w:jc w:val="left"/>
        <w:rPr>
          <w:rFonts w:ascii="新宋体" w:hAnsi="新宋体" w:eastAsia="新宋体"/>
          <w:color w:val="auto"/>
        </w:rPr>
      </w:pPr>
      <w:r>
        <w:rPr>
          <w:rFonts w:hint="eastAsia" w:ascii="新宋体" w:hAnsi="新宋体" w:eastAsia="新宋体"/>
          <w:color w:val="auto"/>
        </w:rPr>
        <w:t>附件</w:t>
      </w:r>
      <w:r>
        <w:rPr>
          <w:rFonts w:ascii="新宋体" w:hAnsi="新宋体" w:eastAsia="新宋体"/>
          <w:color w:val="auto"/>
        </w:rPr>
        <w:t>4</w:t>
      </w:r>
      <w:r>
        <w:rPr>
          <w:rFonts w:hint="eastAsia" w:ascii="新宋体" w:hAnsi="新宋体" w:eastAsia="新宋体"/>
          <w:color w:val="auto"/>
        </w:rPr>
        <w:t>：主要建设工程文件目录</w:t>
      </w:r>
    </w:p>
    <w:p>
      <w:pPr>
        <w:spacing w:line="288" w:lineRule="auto"/>
        <w:jc w:val="left"/>
        <w:rPr>
          <w:rFonts w:ascii="新宋体" w:hAnsi="新宋体" w:eastAsia="新宋体"/>
          <w:color w:val="auto"/>
        </w:rPr>
      </w:pPr>
      <w:r>
        <w:rPr>
          <w:rFonts w:hint="eastAsia" w:ascii="新宋体" w:hAnsi="新宋体" w:eastAsia="新宋体"/>
          <w:color w:val="auto"/>
        </w:rPr>
        <w:t>附件</w:t>
      </w:r>
      <w:r>
        <w:rPr>
          <w:rFonts w:ascii="新宋体" w:hAnsi="新宋体" w:eastAsia="新宋体"/>
          <w:color w:val="auto"/>
        </w:rPr>
        <w:t>5</w:t>
      </w:r>
      <w:r>
        <w:rPr>
          <w:rFonts w:hint="eastAsia" w:ascii="新宋体" w:hAnsi="新宋体" w:eastAsia="新宋体"/>
          <w:color w:val="auto"/>
        </w:rPr>
        <w:t>：承包人用于本工程施工的机械设备表</w:t>
      </w:r>
    </w:p>
    <w:p>
      <w:pPr>
        <w:spacing w:line="288" w:lineRule="auto"/>
        <w:jc w:val="left"/>
        <w:rPr>
          <w:rFonts w:ascii="新宋体" w:hAnsi="新宋体" w:eastAsia="新宋体"/>
          <w:color w:val="auto"/>
        </w:rPr>
      </w:pPr>
      <w:r>
        <w:rPr>
          <w:rFonts w:hint="eastAsia" w:ascii="新宋体" w:hAnsi="新宋体" w:eastAsia="新宋体"/>
          <w:color w:val="auto"/>
        </w:rPr>
        <w:t>附件</w:t>
      </w:r>
      <w:r>
        <w:rPr>
          <w:rFonts w:ascii="新宋体" w:hAnsi="新宋体" w:eastAsia="新宋体"/>
          <w:color w:val="auto"/>
        </w:rPr>
        <w:t>6</w:t>
      </w:r>
      <w:r>
        <w:rPr>
          <w:rFonts w:hint="eastAsia" w:ascii="新宋体" w:hAnsi="新宋体" w:eastAsia="新宋体"/>
          <w:color w:val="auto"/>
        </w:rPr>
        <w:t>：承包人主要施工管理人员表</w:t>
      </w:r>
    </w:p>
    <w:p>
      <w:pPr>
        <w:spacing w:line="288" w:lineRule="auto"/>
        <w:jc w:val="left"/>
        <w:rPr>
          <w:rFonts w:ascii="新宋体" w:hAnsi="新宋体" w:eastAsia="新宋体"/>
          <w:color w:val="auto"/>
        </w:rPr>
      </w:pPr>
      <w:r>
        <w:rPr>
          <w:rFonts w:hint="eastAsia" w:ascii="新宋体" w:hAnsi="新宋体" w:eastAsia="新宋体"/>
          <w:color w:val="auto"/>
        </w:rPr>
        <w:t>附件</w:t>
      </w:r>
      <w:r>
        <w:rPr>
          <w:rFonts w:ascii="新宋体" w:hAnsi="新宋体" w:eastAsia="新宋体"/>
          <w:color w:val="auto"/>
        </w:rPr>
        <w:t>7</w:t>
      </w:r>
      <w:r>
        <w:rPr>
          <w:rFonts w:hint="eastAsia" w:ascii="新宋体" w:hAnsi="新宋体" w:eastAsia="新宋体"/>
          <w:color w:val="auto"/>
        </w:rPr>
        <w:t>：分包人主要施工管理人员表</w:t>
      </w:r>
    </w:p>
    <w:p>
      <w:pPr>
        <w:spacing w:line="288" w:lineRule="auto"/>
        <w:jc w:val="left"/>
        <w:rPr>
          <w:rFonts w:ascii="新宋体" w:hAnsi="新宋体" w:eastAsia="新宋体"/>
          <w:color w:val="auto"/>
        </w:rPr>
      </w:pPr>
      <w:r>
        <w:rPr>
          <w:rFonts w:hint="eastAsia" w:ascii="新宋体" w:hAnsi="新宋体" w:eastAsia="新宋体"/>
          <w:color w:val="auto"/>
        </w:rPr>
        <w:t>附件</w:t>
      </w:r>
      <w:r>
        <w:rPr>
          <w:rFonts w:ascii="新宋体" w:hAnsi="新宋体" w:eastAsia="新宋体"/>
          <w:color w:val="auto"/>
        </w:rPr>
        <w:t>8</w:t>
      </w:r>
      <w:r>
        <w:rPr>
          <w:rFonts w:hint="eastAsia" w:ascii="新宋体" w:hAnsi="新宋体" w:eastAsia="新宋体"/>
          <w:color w:val="auto"/>
        </w:rPr>
        <w:t>：履约担保格式</w:t>
      </w:r>
    </w:p>
    <w:p>
      <w:pPr>
        <w:spacing w:line="288" w:lineRule="auto"/>
        <w:jc w:val="left"/>
        <w:rPr>
          <w:rFonts w:ascii="新宋体" w:hAnsi="新宋体" w:eastAsia="新宋体"/>
          <w:color w:val="auto"/>
        </w:rPr>
      </w:pPr>
      <w:r>
        <w:rPr>
          <w:rFonts w:hint="eastAsia" w:ascii="新宋体" w:hAnsi="新宋体" w:eastAsia="新宋体"/>
          <w:color w:val="auto"/>
        </w:rPr>
        <w:t>附件</w:t>
      </w:r>
      <w:r>
        <w:rPr>
          <w:rFonts w:ascii="新宋体" w:hAnsi="新宋体" w:eastAsia="新宋体"/>
          <w:color w:val="auto"/>
        </w:rPr>
        <w:t>9</w:t>
      </w:r>
      <w:r>
        <w:rPr>
          <w:rFonts w:hint="eastAsia" w:ascii="新宋体" w:hAnsi="新宋体" w:eastAsia="新宋体"/>
          <w:color w:val="auto"/>
        </w:rPr>
        <w:t>：预付款担保格式</w:t>
      </w:r>
    </w:p>
    <w:p>
      <w:pPr>
        <w:spacing w:line="288" w:lineRule="auto"/>
        <w:jc w:val="left"/>
        <w:rPr>
          <w:rFonts w:ascii="新宋体" w:hAnsi="新宋体" w:eastAsia="新宋体"/>
          <w:color w:val="auto"/>
        </w:rPr>
      </w:pPr>
      <w:r>
        <w:rPr>
          <w:rFonts w:hint="eastAsia" w:ascii="新宋体" w:hAnsi="新宋体" w:eastAsia="新宋体"/>
          <w:color w:val="auto"/>
        </w:rPr>
        <w:t>附件</w:t>
      </w:r>
      <w:r>
        <w:rPr>
          <w:rFonts w:ascii="新宋体" w:hAnsi="新宋体" w:eastAsia="新宋体"/>
          <w:color w:val="auto"/>
        </w:rPr>
        <w:t>10</w:t>
      </w:r>
      <w:r>
        <w:rPr>
          <w:rFonts w:hint="eastAsia" w:ascii="新宋体" w:hAnsi="新宋体" w:eastAsia="新宋体"/>
          <w:color w:val="auto"/>
        </w:rPr>
        <w:t>：支付担保格式</w:t>
      </w:r>
    </w:p>
    <w:p>
      <w:pPr>
        <w:spacing w:line="288" w:lineRule="auto"/>
        <w:jc w:val="left"/>
        <w:rPr>
          <w:rFonts w:ascii="宋体"/>
          <w:color w:val="auto"/>
          <w:sz w:val="34"/>
          <w:szCs w:val="34"/>
        </w:rPr>
      </w:pPr>
      <w:r>
        <w:rPr>
          <w:rFonts w:hint="eastAsia" w:ascii="新宋体" w:hAnsi="新宋体" w:eastAsia="新宋体"/>
          <w:color w:val="auto"/>
        </w:rPr>
        <w:t>附件</w:t>
      </w:r>
      <w:r>
        <w:rPr>
          <w:rFonts w:ascii="新宋体" w:hAnsi="新宋体" w:eastAsia="新宋体"/>
          <w:color w:val="auto"/>
        </w:rPr>
        <w:t>11</w:t>
      </w:r>
      <w:r>
        <w:rPr>
          <w:rFonts w:hint="eastAsia" w:ascii="新宋体" w:hAnsi="新宋体" w:eastAsia="新宋体"/>
          <w:color w:val="auto"/>
        </w:rPr>
        <w:t>：暂估价一览表</w:t>
      </w: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p>
    <w:p>
      <w:pPr>
        <w:widowControl/>
        <w:spacing w:line="288" w:lineRule="auto"/>
        <w:jc w:val="left"/>
        <w:rPr>
          <w:rFonts w:ascii="新宋体" w:hAnsi="新宋体" w:eastAsia="新宋体"/>
          <w:color w:val="auto"/>
        </w:rPr>
        <w:sectPr>
          <w:pgSz w:w="11906" w:h="16838"/>
          <w:pgMar w:top="1134" w:right="1134" w:bottom="1134" w:left="1418" w:header="720" w:footer="720" w:gutter="0"/>
          <w:pgNumType w:fmt="decimal"/>
          <w:cols w:space="720" w:num="1"/>
          <w:docGrid w:type="lines" w:linePitch="312" w:charSpace="0"/>
        </w:sectPr>
      </w:pPr>
    </w:p>
    <w:p>
      <w:pPr>
        <w:spacing w:line="300" w:lineRule="exact"/>
        <w:jc w:val="left"/>
        <w:rPr>
          <w:rFonts w:ascii="新宋体" w:hAnsi="新宋体" w:eastAsia="新宋体"/>
          <w:b/>
          <w:bCs/>
          <w:color w:val="auto"/>
        </w:rPr>
      </w:pPr>
      <w:r>
        <w:rPr>
          <w:rFonts w:hint="eastAsia" w:ascii="新宋体" w:hAnsi="新宋体" w:eastAsia="新宋体"/>
          <w:b/>
          <w:bCs/>
          <w:color w:val="auto"/>
        </w:rPr>
        <w:t>附件</w:t>
      </w:r>
      <w:r>
        <w:rPr>
          <w:rFonts w:ascii="新宋体" w:hAnsi="新宋体" w:eastAsia="新宋体"/>
          <w:b/>
          <w:bCs/>
          <w:color w:val="auto"/>
        </w:rPr>
        <w:t>1</w:t>
      </w:r>
      <w:r>
        <w:rPr>
          <w:rFonts w:hint="eastAsia" w:ascii="新宋体" w:hAnsi="新宋体" w:eastAsia="新宋体"/>
          <w:b/>
          <w:bCs/>
          <w:color w:val="auto"/>
        </w:rPr>
        <w:t>：</w:t>
      </w:r>
    </w:p>
    <w:p>
      <w:pPr>
        <w:spacing w:line="300" w:lineRule="exact"/>
        <w:jc w:val="center"/>
        <w:rPr>
          <w:rFonts w:ascii="新宋体" w:hAnsi="新宋体" w:eastAsia="新宋体"/>
          <w:color w:val="auto"/>
        </w:rPr>
      </w:pPr>
      <w:r>
        <w:rPr>
          <w:rFonts w:hint="eastAsia" w:ascii="新宋体" w:hAnsi="新宋体" w:eastAsia="新宋体"/>
          <w:color w:val="auto"/>
        </w:rPr>
        <w:t>承包人承揽工程项目一览表</w:t>
      </w:r>
    </w:p>
    <w:tbl>
      <w:tblPr>
        <w:tblStyle w:val="15"/>
        <w:tblW w:w="14601" w:type="dxa"/>
        <w:tblInd w:w="-318" w:type="dxa"/>
        <w:tblLayout w:type="fixed"/>
        <w:tblCellMar>
          <w:top w:w="0" w:type="dxa"/>
          <w:left w:w="28" w:type="dxa"/>
          <w:bottom w:w="0" w:type="dxa"/>
          <w:right w:w="28" w:type="dxa"/>
        </w:tblCellMar>
      </w:tblPr>
      <w:tblGrid>
        <w:gridCol w:w="1466"/>
        <w:gridCol w:w="1140"/>
        <w:gridCol w:w="1931"/>
        <w:gridCol w:w="1729"/>
        <w:gridCol w:w="900"/>
        <w:gridCol w:w="1350"/>
        <w:gridCol w:w="1830"/>
        <w:gridCol w:w="1785"/>
        <w:gridCol w:w="1065"/>
        <w:gridCol w:w="1405"/>
      </w:tblGrid>
      <w:tr>
        <w:tblPrEx>
          <w:tblLayout w:type="fixed"/>
          <w:tblCellMar>
            <w:top w:w="0" w:type="dxa"/>
            <w:left w:w="28" w:type="dxa"/>
            <w:bottom w:w="0" w:type="dxa"/>
            <w:right w:w="28" w:type="dxa"/>
          </w:tblCellMar>
        </w:tblPrEx>
        <w:tc>
          <w:tcPr>
            <w:tcW w:w="1466" w:type="dxa"/>
            <w:tcBorders>
              <w:top w:val="single" w:color="auto" w:sz="12" w:space="0"/>
              <w:left w:val="single" w:color="auto" w:sz="12"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单位工程名称</w:t>
            </w:r>
          </w:p>
        </w:tc>
        <w:tc>
          <w:tcPr>
            <w:tcW w:w="1140"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建设规模</w:t>
            </w:r>
          </w:p>
        </w:tc>
        <w:tc>
          <w:tcPr>
            <w:tcW w:w="1931"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建筑面积</w:t>
            </w:r>
            <w:r>
              <w:rPr>
                <w:rFonts w:ascii="新宋体" w:hAnsi="新宋体" w:eastAsia="新宋体"/>
                <w:color w:val="auto"/>
              </w:rPr>
              <w:t>(</w:t>
            </w:r>
            <w:r>
              <w:rPr>
                <w:rFonts w:hint="eastAsia" w:ascii="新宋体" w:hAnsi="新宋体" w:eastAsia="新宋体"/>
                <w:color w:val="auto"/>
              </w:rPr>
              <w:t>平方米</w:t>
            </w:r>
            <w:r>
              <w:rPr>
                <w:rFonts w:ascii="新宋体" w:hAnsi="新宋体" w:eastAsia="新宋体"/>
                <w:color w:val="auto"/>
              </w:rPr>
              <w:t>)</w:t>
            </w:r>
          </w:p>
        </w:tc>
        <w:tc>
          <w:tcPr>
            <w:tcW w:w="1729"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结构形式</w:t>
            </w:r>
          </w:p>
        </w:tc>
        <w:tc>
          <w:tcPr>
            <w:tcW w:w="900"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层数</w:t>
            </w:r>
          </w:p>
        </w:tc>
        <w:tc>
          <w:tcPr>
            <w:tcW w:w="1350"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生产能力</w:t>
            </w:r>
          </w:p>
        </w:tc>
        <w:tc>
          <w:tcPr>
            <w:tcW w:w="1830"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设备安装内容</w:t>
            </w:r>
          </w:p>
        </w:tc>
        <w:tc>
          <w:tcPr>
            <w:tcW w:w="1785"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合同价格（元）</w:t>
            </w:r>
          </w:p>
        </w:tc>
        <w:tc>
          <w:tcPr>
            <w:tcW w:w="1065"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开工日期</w:t>
            </w:r>
          </w:p>
        </w:tc>
        <w:tc>
          <w:tcPr>
            <w:tcW w:w="1405" w:type="dxa"/>
            <w:tcBorders>
              <w:top w:val="single" w:color="auto" w:sz="12" w:space="0"/>
              <w:left w:val="single" w:color="auto" w:sz="6" w:space="0"/>
              <w:bottom w:val="double" w:color="auto" w:sz="2"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竣工日期</w:t>
            </w:r>
          </w:p>
        </w:tc>
      </w:tr>
      <w:tr>
        <w:tblPrEx>
          <w:tblLayout w:type="fixed"/>
          <w:tblCellMar>
            <w:top w:w="0" w:type="dxa"/>
            <w:left w:w="28" w:type="dxa"/>
            <w:bottom w:w="0" w:type="dxa"/>
            <w:right w:w="28" w:type="dxa"/>
          </w:tblCellMar>
        </w:tblPrEx>
        <w:trPr>
          <w:trHeight w:val="567" w:hRule="atLeast"/>
        </w:trPr>
        <w:tc>
          <w:tcPr>
            <w:tcW w:w="1466" w:type="dxa"/>
            <w:tcBorders>
              <w:top w:val="double" w:color="auto" w:sz="2"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140"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931"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9"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00"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350"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830"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85"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65"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05" w:type="dxa"/>
            <w:tcBorders>
              <w:top w:val="double" w:color="auto" w:sz="2"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67" w:hRule="atLeast"/>
        </w:trPr>
        <w:tc>
          <w:tcPr>
            <w:tcW w:w="1466" w:type="dxa"/>
            <w:tcBorders>
              <w:top w:val="nil"/>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14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931"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9"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0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35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83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85"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65"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05" w:type="dxa"/>
            <w:tcBorders>
              <w:top w:val="nil"/>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67" w:hRule="atLeast"/>
        </w:trPr>
        <w:tc>
          <w:tcPr>
            <w:tcW w:w="1466" w:type="dxa"/>
            <w:tcBorders>
              <w:top w:val="nil"/>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14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931"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9"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0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35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83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85"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65"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05" w:type="dxa"/>
            <w:tcBorders>
              <w:top w:val="nil"/>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67" w:hRule="atLeast"/>
        </w:trPr>
        <w:tc>
          <w:tcPr>
            <w:tcW w:w="1466"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14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93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6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05"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67" w:hRule="atLeast"/>
        </w:trPr>
        <w:tc>
          <w:tcPr>
            <w:tcW w:w="1466" w:type="dxa"/>
            <w:tcBorders>
              <w:top w:val="nil"/>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14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931"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9"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0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35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83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85"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65"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05" w:type="dxa"/>
            <w:tcBorders>
              <w:top w:val="nil"/>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67" w:hRule="atLeast"/>
        </w:trPr>
        <w:tc>
          <w:tcPr>
            <w:tcW w:w="1466"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14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93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6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05"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67" w:hRule="atLeast"/>
        </w:trPr>
        <w:tc>
          <w:tcPr>
            <w:tcW w:w="1466" w:type="dxa"/>
            <w:tcBorders>
              <w:top w:val="nil"/>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14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931"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9"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0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35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83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85"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65"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05" w:type="dxa"/>
            <w:tcBorders>
              <w:top w:val="nil"/>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67" w:hRule="atLeast"/>
        </w:trPr>
        <w:tc>
          <w:tcPr>
            <w:tcW w:w="1466" w:type="dxa"/>
            <w:tcBorders>
              <w:top w:val="nil"/>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14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931"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9"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0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35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83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85"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65"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05" w:type="dxa"/>
            <w:tcBorders>
              <w:top w:val="nil"/>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67" w:hRule="atLeast"/>
        </w:trPr>
        <w:tc>
          <w:tcPr>
            <w:tcW w:w="1466"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14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93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6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05"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67" w:hRule="atLeast"/>
        </w:trPr>
        <w:tc>
          <w:tcPr>
            <w:tcW w:w="1466" w:type="dxa"/>
            <w:tcBorders>
              <w:top w:val="nil"/>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14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931"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9"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0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35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83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85"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65"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05" w:type="dxa"/>
            <w:tcBorders>
              <w:top w:val="nil"/>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67" w:hRule="atLeast"/>
        </w:trPr>
        <w:tc>
          <w:tcPr>
            <w:tcW w:w="1466" w:type="dxa"/>
            <w:tcBorders>
              <w:top w:val="single" w:color="auto" w:sz="6" w:space="0"/>
              <w:left w:val="single" w:color="auto" w:sz="12" w:space="0"/>
              <w:bottom w:val="single" w:color="auto" w:sz="1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140" w:type="dxa"/>
            <w:tcBorders>
              <w:top w:val="single" w:color="auto" w:sz="6" w:space="0"/>
              <w:left w:val="single" w:color="auto" w:sz="6" w:space="0"/>
              <w:bottom w:val="single" w:color="auto" w:sz="1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931" w:type="dxa"/>
            <w:tcBorders>
              <w:top w:val="single" w:color="auto" w:sz="6" w:space="0"/>
              <w:left w:val="single" w:color="auto" w:sz="6" w:space="0"/>
              <w:bottom w:val="single" w:color="auto" w:sz="1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9" w:type="dxa"/>
            <w:tcBorders>
              <w:top w:val="single" w:color="auto" w:sz="6" w:space="0"/>
              <w:left w:val="single" w:color="auto" w:sz="6" w:space="0"/>
              <w:bottom w:val="single" w:color="auto" w:sz="1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00" w:type="dxa"/>
            <w:tcBorders>
              <w:top w:val="single" w:color="auto" w:sz="6" w:space="0"/>
              <w:left w:val="single" w:color="auto" w:sz="6" w:space="0"/>
              <w:bottom w:val="single" w:color="auto" w:sz="1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830" w:type="dxa"/>
            <w:tcBorders>
              <w:top w:val="single" w:color="auto" w:sz="6" w:space="0"/>
              <w:left w:val="single" w:color="auto" w:sz="6" w:space="0"/>
              <w:bottom w:val="single" w:color="auto" w:sz="1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85" w:type="dxa"/>
            <w:tcBorders>
              <w:top w:val="single" w:color="auto" w:sz="6" w:space="0"/>
              <w:left w:val="single" w:color="auto" w:sz="6" w:space="0"/>
              <w:bottom w:val="single" w:color="auto" w:sz="1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65" w:type="dxa"/>
            <w:tcBorders>
              <w:top w:val="single" w:color="auto" w:sz="6" w:space="0"/>
              <w:left w:val="single" w:color="auto" w:sz="6" w:space="0"/>
              <w:bottom w:val="single" w:color="auto" w:sz="1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05" w:type="dxa"/>
            <w:tcBorders>
              <w:top w:val="single" w:color="auto" w:sz="6" w:space="0"/>
              <w:left w:val="single" w:color="auto" w:sz="6" w:space="0"/>
              <w:bottom w:val="single" w:color="auto" w:sz="12"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bl>
    <w:p>
      <w:pPr>
        <w:widowControl/>
        <w:jc w:val="left"/>
        <w:rPr>
          <w:rFonts w:ascii="新宋体" w:hAnsi="新宋体" w:eastAsia="新宋体"/>
          <w:color w:val="auto"/>
        </w:rPr>
        <w:sectPr>
          <w:pgSz w:w="16838" w:h="11906" w:orient="landscape"/>
          <w:pgMar w:top="1554" w:right="1418" w:bottom="1531" w:left="1418" w:header="720" w:footer="720" w:gutter="0"/>
          <w:pgNumType w:fmt="decimal"/>
          <w:cols w:space="720" w:num="1"/>
          <w:docGrid w:type="lines" w:linePitch="312" w:charSpace="0"/>
        </w:sectPr>
      </w:pPr>
    </w:p>
    <w:p>
      <w:pPr>
        <w:spacing w:line="300" w:lineRule="exact"/>
        <w:rPr>
          <w:rFonts w:ascii="新宋体" w:hAnsi="新宋体" w:eastAsia="新宋体"/>
          <w:b/>
          <w:bCs/>
          <w:color w:val="auto"/>
        </w:rPr>
      </w:pPr>
      <w:r>
        <w:rPr>
          <w:rFonts w:hint="eastAsia" w:ascii="新宋体" w:hAnsi="新宋体" w:eastAsia="新宋体"/>
          <w:b/>
          <w:bCs/>
          <w:color w:val="auto"/>
        </w:rPr>
        <w:t>附</w:t>
      </w:r>
      <w:bookmarkStart w:id="757" w:name="_Toc296346726"/>
      <w:bookmarkEnd w:id="757"/>
      <w:bookmarkStart w:id="758" w:name="_Toc296891265"/>
      <w:bookmarkEnd w:id="758"/>
      <w:bookmarkStart w:id="759" w:name="_Toc267261692"/>
      <w:bookmarkEnd w:id="759"/>
      <w:bookmarkStart w:id="760" w:name="_Toc296891053"/>
      <w:bookmarkEnd w:id="760"/>
      <w:bookmarkStart w:id="761" w:name="_Toc296503225"/>
      <w:bookmarkEnd w:id="761"/>
      <w:bookmarkStart w:id="762" w:name="_Toc296944564"/>
      <w:bookmarkEnd w:id="762"/>
      <w:bookmarkStart w:id="763" w:name="_Toc296347224"/>
      <w:r>
        <w:rPr>
          <w:rFonts w:hint="eastAsia" w:ascii="新宋体" w:hAnsi="新宋体" w:eastAsia="新宋体"/>
          <w:b/>
          <w:bCs/>
          <w:color w:val="auto"/>
        </w:rPr>
        <w:t>件</w:t>
      </w:r>
      <w:r>
        <w:rPr>
          <w:rFonts w:ascii="新宋体" w:hAnsi="新宋体" w:eastAsia="新宋体"/>
          <w:b/>
          <w:bCs/>
          <w:color w:val="auto"/>
        </w:rPr>
        <w:t>2</w:t>
      </w:r>
      <w:r>
        <w:rPr>
          <w:rFonts w:hint="eastAsia" w:ascii="新宋体" w:hAnsi="新宋体" w:eastAsia="新宋体"/>
          <w:b/>
          <w:bCs/>
          <w:color w:val="auto"/>
        </w:rPr>
        <w:t>：</w:t>
      </w:r>
      <w:bookmarkEnd w:id="763"/>
    </w:p>
    <w:p>
      <w:pPr>
        <w:spacing w:line="300" w:lineRule="exact"/>
        <w:jc w:val="center"/>
        <w:rPr>
          <w:rFonts w:ascii="新宋体" w:hAnsi="新宋体" w:eastAsia="新宋体"/>
          <w:color w:val="auto"/>
        </w:rPr>
      </w:pPr>
      <w:r>
        <w:rPr>
          <w:rFonts w:hint="eastAsia" w:ascii="新宋体" w:hAnsi="新宋体" w:eastAsia="新宋体"/>
          <w:color w:val="auto"/>
        </w:rPr>
        <w:t>发包人供应材料设备一览表</w:t>
      </w:r>
    </w:p>
    <w:tbl>
      <w:tblPr>
        <w:tblStyle w:val="15"/>
        <w:tblW w:w="9060" w:type="dxa"/>
        <w:jc w:val="center"/>
        <w:tblInd w:w="0" w:type="dxa"/>
        <w:tblLayout w:type="fixed"/>
        <w:tblCellMar>
          <w:top w:w="0" w:type="dxa"/>
          <w:left w:w="28" w:type="dxa"/>
          <w:bottom w:w="0" w:type="dxa"/>
          <w:right w:w="28" w:type="dxa"/>
        </w:tblCellMar>
      </w:tblPr>
      <w:tblGrid>
        <w:gridCol w:w="721"/>
        <w:gridCol w:w="1080"/>
        <w:gridCol w:w="1200"/>
        <w:gridCol w:w="796"/>
        <w:gridCol w:w="720"/>
        <w:gridCol w:w="884"/>
        <w:gridCol w:w="840"/>
        <w:gridCol w:w="721"/>
        <w:gridCol w:w="1258"/>
        <w:gridCol w:w="840"/>
      </w:tblGrid>
      <w:tr>
        <w:tblPrEx>
          <w:tblLayout w:type="fixed"/>
          <w:tblCellMar>
            <w:top w:w="0" w:type="dxa"/>
            <w:left w:w="28" w:type="dxa"/>
            <w:bottom w:w="0" w:type="dxa"/>
            <w:right w:w="28" w:type="dxa"/>
          </w:tblCellMar>
        </w:tblPrEx>
        <w:trPr>
          <w:trHeight w:val="652" w:hRule="atLeast"/>
          <w:jc w:val="center"/>
        </w:trPr>
        <w:tc>
          <w:tcPr>
            <w:tcW w:w="721" w:type="dxa"/>
            <w:tcBorders>
              <w:top w:val="single" w:color="auto" w:sz="12" w:space="0"/>
              <w:left w:val="single" w:color="auto" w:sz="12"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序号</w:t>
            </w:r>
          </w:p>
        </w:tc>
        <w:tc>
          <w:tcPr>
            <w:tcW w:w="1080"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s="宋体"/>
                <w:color w:val="auto"/>
              </w:rPr>
            </w:pPr>
            <w:r>
              <w:rPr>
                <w:rFonts w:ascii="新宋体" w:hAnsi="新宋体" w:eastAsia="新宋体"/>
                <w:color w:val="auto"/>
              </w:rPr>
              <w:t xml:space="preserve">  </w:t>
            </w:r>
            <w:r>
              <w:rPr>
                <w:rFonts w:hint="eastAsia" w:ascii="新宋体" w:hAnsi="新宋体" w:eastAsia="新宋体"/>
                <w:color w:val="auto"/>
              </w:rPr>
              <w:t>材料、</w:t>
            </w:r>
          </w:p>
          <w:p>
            <w:pPr>
              <w:pStyle w:val="3"/>
              <w:keepNext/>
              <w:spacing w:line="300" w:lineRule="exact"/>
              <w:ind w:right="63"/>
              <w:rPr>
                <w:rFonts w:ascii="新宋体" w:hAnsi="新宋体" w:eastAsia="新宋体"/>
                <w:color w:val="auto"/>
              </w:rPr>
            </w:pPr>
            <w:r>
              <w:rPr>
                <w:rFonts w:hint="eastAsia" w:ascii="新宋体" w:hAnsi="新宋体" w:eastAsia="新宋体"/>
                <w:color w:val="auto"/>
              </w:rPr>
              <w:t>设备品种</w:t>
            </w:r>
          </w:p>
        </w:tc>
        <w:tc>
          <w:tcPr>
            <w:tcW w:w="1200"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规格型号</w:t>
            </w:r>
          </w:p>
        </w:tc>
        <w:tc>
          <w:tcPr>
            <w:tcW w:w="796"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单位</w:t>
            </w:r>
          </w:p>
        </w:tc>
        <w:tc>
          <w:tcPr>
            <w:tcW w:w="720"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数量</w:t>
            </w:r>
          </w:p>
        </w:tc>
        <w:tc>
          <w:tcPr>
            <w:tcW w:w="884"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单价（元）</w:t>
            </w:r>
          </w:p>
        </w:tc>
        <w:tc>
          <w:tcPr>
            <w:tcW w:w="840"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质量等级</w:t>
            </w:r>
          </w:p>
        </w:tc>
        <w:tc>
          <w:tcPr>
            <w:tcW w:w="721"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供应时间</w:t>
            </w:r>
          </w:p>
        </w:tc>
        <w:tc>
          <w:tcPr>
            <w:tcW w:w="1258"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送达地点</w:t>
            </w:r>
          </w:p>
        </w:tc>
        <w:tc>
          <w:tcPr>
            <w:tcW w:w="840" w:type="dxa"/>
            <w:tcBorders>
              <w:top w:val="single" w:color="auto" w:sz="12" w:space="0"/>
              <w:left w:val="single" w:color="auto" w:sz="6" w:space="0"/>
              <w:bottom w:val="double" w:color="auto" w:sz="2"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备注</w:t>
            </w:r>
          </w:p>
        </w:tc>
      </w:tr>
      <w:tr>
        <w:tblPrEx>
          <w:tblLayout w:type="fixed"/>
          <w:tblCellMar>
            <w:top w:w="0" w:type="dxa"/>
            <w:left w:w="28" w:type="dxa"/>
            <w:bottom w:w="0" w:type="dxa"/>
            <w:right w:w="28" w:type="dxa"/>
          </w:tblCellMar>
        </w:tblPrEx>
        <w:trPr>
          <w:trHeight w:val="650" w:hRule="atLeast"/>
          <w:jc w:val="center"/>
        </w:trPr>
        <w:tc>
          <w:tcPr>
            <w:tcW w:w="721" w:type="dxa"/>
            <w:tcBorders>
              <w:top w:val="double" w:color="auto" w:sz="2"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80"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00"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96"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0"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84"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1"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58"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double" w:color="auto" w:sz="2"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90" w:hRule="atLeast"/>
          <w:jc w:val="center"/>
        </w:trPr>
        <w:tc>
          <w:tcPr>
            <w:tcW w:w="721" w:type="dxa"/>
            <w:tcBorders>
              <w:top w:val="nil"/>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8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0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96"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84"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1"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58"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nil"/>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96"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96"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96"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96"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96"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96"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9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6" w:space="0"/>
              <w:right w:val="single" w:color="auto" w:sz="12" w:space="0"/>
            </w:tcBorders>
            <w:noWrap w:val="0"/>
            <w:vAlign w:val="center"/>
          </w:tcPr>
          <w:p>
            <w:pPr>
              <w:spacing w:line="300" w:lineRule="exact"/>
              <w:jc w:val="center"/>
              <w:rPr>
                <w:rFonts w:ascii="新宋体" w:hAnsi="新宋体" w:eastAsia="新宋体" w:cs="宋体"/>
                <w:color w:val="auto"/>
              </w:rPr>
            </w:pPr>
          </w:p>
        </w:tc>
      </w:tr>
      <w:tr>
        <w:tblPrEx>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96"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840"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9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6" w:space="0"/>
              <w:right w:val="single" w:color="auto" w:sz="12" w:space="0"/>
            </w:tcBorders>
            <w:noWrap w:val="0"/>
            <w:vAlign w:val="center"/>
          </w:tcPr>
          <w:p>
            <w:pPr>
              <w:spacing w:line="300" w:lineRule="exact"/>
              <w:jc w:val="center"/>
              <w:rPr>
                <w:rFonts w:ascii="新宋体" w:hAnsi="新宋体" w:eastAsia="新宋体" w:cs="宋体"/>
                <w:color w:val="auto"/>
              </w:rPr>
            </w:pPr>
          </w:p>
        </w:tc>
      </w:tr>
      <w:tr>
        <w:tblPrEx>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9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6" w:space="0"/>
              <w:right w:val="single" w:color="auto" w:sz="12" w:space="0"/>
            </w:tcBorders>
            <w:noWrap w:val="0"/>
            <w:vAlign w:val="center"/>
          </w:tcPr>
          <w:p>
            <w:pPr>
              <w:spacing w:line="300" w:lineRule="exact"/>
              <w:jc w:val="center"/>
              <w:rPr>
                <w:rFonts w:ascii="新宋体" w:hAnsi="新宋体" w:eastAsia="新宋体" w:cs="宋体"/>
                <w:color w:val="auto"/>
              </w:rPr>
            </w:pPr>
          </w:p>
        </w:tc>
      </w:tr>
      <w:tr>
        <w:tblPrEx>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9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6" w:space="0"/>
              <w:right w:val="single" w:color="auto" w:sz="12" w:space="0"/>
            </w:tcBorders>
            <w:noWrap w:val="0"/>
            <w:vAlign w:val="center"/>
          </w:tcPr>
          <w:p>
            <w:pPr>
              <w:spacing w:line="300" w:lineRule="exact"/>
              <w:jc w:val="center"/>
              <w:rPr>
                <w:rFonts w:ascii="新宋体" w:hAnsi="新宋体" w:eastAsia="新宋体" w:cs="宋体"/>
                <w:color w:val="auto"/>
              </w:rPr>
            </w:pPr>
          </w:p>
        </w:tc>
      </w:tr>
      <w:tr>
        <w:tblPrEx>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9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6" w:space="0"/>
              <w:right w:val="single" w:color="auto" w:sz="12" w:space="0"/>
            </w:tcBorders>
            <w:noWrap w:val="0"/>
            <w:vAlign w:val="center"/>
          </w:tcPr>
          <w:p>
            <w:pPr>
              <w:spacing w:line="300" w:lineRule="exact"/>
              <w:jc w:val="center"/>
              <w:rPr>
                <w:rFonts w:ascii="新宋体" w:hAnsi="新宋体" w:eastAsia="新宋体" w:cs="宋体"/>
                <w:color w:val="auto"/>
              </w:rPr>
            </w:pPr>
          </w:p>
        </w:tc>
      </w:tr>
      <w:tr>
        <w:tblPrEx>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9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6" w:space="0"/>
              <w:right w:val="single" w:color="auto" w:sz="12" w:space="0"/>
            </w:tcBorders>
            <w:noWrap w:val="0"/>
            <w:vAlign w:val="center"/>
          </w:tcPr>
          <w:p>
            <w:pPr>
              <w:spacing w:line="300" w:lineRule="exact"/>
              <w:jc w:val="center"/>
              <w:rPr>
                <w:rFonts w:ascii="新宋体" w:hAnsi="新宋体" w:eastAsia="新宋体" w:cs="宋体"/>
                <w:color w:val="auto"/>
              </w:rPr>
            </w:pPr>
          </w:p>
        </w:tc>
      </w:tr>
      <w:tr>
        <w:tblPrEx>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9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6" w:space="0"/>
              <w:right w:val="single" w:color="auto" w:sz="12" w:space="0"/>
            </w:tcBorders>
            <w:noWrap w:val="0"/>
            <w:vAlign w:val="center"/>
          </w:tcPr>
          <w:p>
            <w:pPr>
              <w:spacing w:line="300" w:lineRule="exact"/>
              <w:jc w:val="center"/>
              <w:rPr>
                <w:rFonts w:ascii="新宋体" w:hAnsi="新宋体" w:eastAsia="新宋体" w:cs="宋体"/>
                <w:color w:val="auto"/>
              </w:rPr>
            </w:pPr>
          </w:p>
        </w:tc>
      </w:tr>
      <w:tr>
        <w:tblPrEx>
          <w:tblLayout w:type="fixed"/>
          <w:tblCellMar>
            <w:top w:w="0" w:type="dxa"/>
            <w:left w:w="28" w:type="dxa"/>
            <w:bottom w:w="0" w:type="dxa"/>
            <w:right w:w="28" w:type="dxa"/>
          </w:tblCellMar>
        </w:tblPrEx>
        <w:trPr>
          <w:trHeight w:val="590" w:hRule="atLeast"/>
          <w:jc w:val="center"/>
        </w:trPr>
        <w:tc>
          <w:tcPr>
            <w:tcW w:w="721" w:type="dxa"/>
            <w:tcBorders>
              <w:top w:val="single" w:color="auto" w:sz="6" w:space="0"/>
              <w:left w:val="single" w:color="auto" w:sz="12"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96"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1"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58"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6" w:space="0"/>
              <w:right w:val="single" w:color="auto" w:sz="12" w:space="0"/>
            </w:tcBorders>
            <w:noWrap w:val="0"/>
            <w:vAlign w:val="center"/>
          </w:tcPr>
          <w:p>
            <w:pPr>
              <w:spacing w:line="300" w:lineRule="exact"/>
              <w:jc w:val="center"/>
              <w:rPr>
                <w:rFonts w:ascii="新宋体" w:hAnsi="新宋体" w:eastAsia="新宋体" w:cs="宋体"/>
                <w:color w:val="auto"/>
              </w:rPr>
            </w:pPr>
          </w:p>
        </w:tc>
      </w:tr>
      <w:tr>
        <w:tblPrEx>
          <w:tblLayout w:type="fixed"/>
          <w:tblCellMar>
            <w:top w:w="0" w:type="dxa"/>
            <w:left w:w="28" w:type="dxa"/>
            <w:bottom w:w="0" w:type="dxa"/>
            <w:right w:w="28" w:type="dxa"/>
          </w:tblCellMar>
        </w:tblPrEx>
        <w:trPr>
          <w:trHeight w:val="650" w:hRule="atLeast"/>
          <w:jc w:val="center"/>
        </w:trPr>
        <w:tc>
          <w:tcPr>
            <w:tcW w:w="721" w:type="dxa"/>
            <w:tcBorders>
              <w:top w:val="single" w:color="auto" w:sz="6" w:space="0"/>
              <w:left w:val="single" w:color="auto" w:sz="12" w:space="0"/>
              <w:bottom w:val="single" w:color="auto" w:sz="12"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080" w:type="dxa"/>
            <w:tcBorders>
              <w:top w:val="single" w:color="auto" w:sz="6" w:space="0"/>
              <w:left w:val="single" w:color="auto" w:sz="6" w:space="0"/>
              <w:bottom w:val="single" w:color="auto" w:sz="12"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00" w:type="dxa"/>
            <w:tcBorders>
              <w:top w:val="single" w:color="auto" w:sz="6" w:space="0"/>
              <w:left w:val="single" w:color="auto" w:sz="6" w:space="0"/>
              <w:bottom w:val="single" w:color="auto" w:sz="12"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96" w:type="dxa"/>
            <w:tcBorders>
              <w:top w:val="single" w:color="auto" w:sz="6" w:space="0"/>
              <w:left w:val="single" w:color="auto" w:sz="6" w:space="0"/>
              <w:bottom w:val="single" w:color="auto" w:sz="12"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0" w:type="dxa"/>
            <w:tcBorders>
              <w:top w:val="single" w:color="auto" w:sz="6" w:space="0"/>
              <w:left w:val="single" w:color="auto" w:sz="6" w:space="0"/>
              <w:bottom w:val="single" w:color="auto" w:sz="12"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84" w:type="dxa"/>
            <w:tcBorders>
              <w:top w:val="single" w:color="auto" w:sz="6" w:space="0"/>
              <w:left w:val="single" w:color="auto" w:sz="6" w:space="0"/>
              <w:bottom w:val="single" w:color="auto" w:sz="12"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12"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721" w:type="dxa"/>
            <w:tcBorders>
              <w:top w:val="single" w:color="auto" w:sz="6" w:space="0"/>
              <w:left w:val="single" w:color="auto" w:sz="6" w:space="0"/>
              <w:bottom w:val="single" w:color="auto" w:sz="12"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1258" w:type="dxa"/>
            <w:tcBorders>
              <w:top w:val="single" w:color="auto" w:sz="6" w:space="0"/>
              <w:left w:val="single" w:color="auto" w:sz="6" w:space="0"/>
              <w:bottom w:val="single" w:color="auto" w:sz="12" w:space="0"/>
              <w:right w:val="single" w:color="auto" w:sz="6" w:space="0"/>
            </w:tcBorders>
            <w:noWrap w:val="0"/>
            <w:vAlign w:val="center"/>
          </w:tcPr>
          <w:p>
            <w:pPr>
              <w:spacing w:line="300" w:lineRule="exact"/>
              <w:jc w:val="center"/>
              <w:rPr>
                <w:rFonts w:ascii="新宋体" w:hAnsi="新宋体" w:eastAsia="新宋体" w:cs="宋体"/>
                <w:color w:val="auto"/>
              </w:rPr>
            </w:pPr>
          </w:p>
        </w:tc>
        <w:tc>
          <w:tcPr>
            <w:tcW w:w="840" w:type="dxa"/>
            <w:tcBorders>
              <w:top w:val="single" w:color="auto" w:sz="6" w:space="0"/>
              <w:left w:val="single" w:color="auto" w:sz="6" w:space="0"/>
              <w:bottom w:val="single" w:color="auto" w:sz="12" w:space="0"/>
              <w:right w:val="single" w:color="auto" w:sz="12" w:space="0"/>
            </w:tcBorders>
            <w:noWrap w:val="0"/>
            <w:vAlign w:val="center"/>
          </w:tcPr>
          <w:p>
            <w:pPr>
              <w:spacing w:line="300" w:lineRule="exact"/>
              <w:jc w:val="center"/>
              <w:rPr>
                <w:rFonts w:ascii="新宋体" w:hAnsi="新宋体" w:eastAsia="新宋体" w:cs="宋体"/>
                <w:color w:val="auto"/>
              </w:rPr>
            </w:pPr>
          </w:p>
        </w:tc>
      </w:tr>
    </w:tbl>
    <w:p>
      <w:pPr>
        <w:spacing w:line="300" w:lineRule="exact"/>
        <w:rPr>
          <w:rFonts w:ascii="新宋体" w:hAnsi="新宋体" w:eastAsia="新宋体"/>
          <w:color w:val="auto"/>
        </w:rPr>
      </w:pPr>
      <w:r>
        <w:rPr>
          <w:rFonts w:ascii="新宋体" w:hAnsi="新宋体" w:eastAsia="新宋体"/>
          <w:color w:val="auto"/>
        </w:rPr>
        <w:t xml:space="preserve"> </w:t>
      </w:r>
    </w:p>
    <w:p>
      <w:pPr>
        <w:spacing w:line="300" w:lineRule="exact"/>
        <w:rPr>
          <w:rFonts w:ascii="新宋体" w:hAnsi="新宋体" w:eastAsia="新宋体"/>
          <w:color w:val="auto"/>
        </w:rPr>
      </w:pPr>
      <w:r>
        <w:rPr>
          <w:rFonts w:ascii="新宋体" w:hAnsi="新宋体" w:eastAsia="新宋体"/>
          <w:color w:val="auto"/>
        </w:rPr>
        <w:br w:type="page"/>
      </w:r>
      <w:r>
        <w:rPr>
          <w:rFonts w:hint="eastAsia" w:ascii="新宋体" w:hAnsi="新宋体" w:eastAsia="新宋体"/>
          <w:b/>
          <w:bCs/>
          <w:color w:val="auto"/>
        </w:rPr>
        <w:t>附</w:t>
      </w:r>
      <w:bookmarkStart w:id="764" w:name="_Toc296891266"/>
      <w:bookmarkEnd w:id="764"/>
      <w:bookmarkStart w:id="765" w:name="_Toc296347225"/>
      <w:bookmarkEnd w:id="765"/>
      <w:bookmarkStart w:id="766" w:name="_Toc296346727"/>
      <w:bookmarkEnd w:id="766"/>
      <w:bookmarkStart w:id="767" w:name="_Toc267261693"/>
      <w:bookmarkEnd w:id="767"/>
      <w:bookmarkStart w:id="768" w:name="_Toc296503226"/>
      <w:bookmarkEnd w:id="768"/>
      <w:bookmarkStart w:id="769" w:name="_Toc296891054"/>
      <w:bookmarkEnd w:id="769"/>
      <w:bookmarkStart w:id="770" w:name="_Toc296944565"/>
      <w:r>
        <w:rPr>
          <w:rFonts w:hint="eastAsia" w:ascii="新宋体" w:hAnsi="新宋体" w:eastAsia="新宋体"/>
          <w:b/>
          <w:bCs/>
          <w:color w:val="auto"/>
        </w:rPr>
        <w:t>件</w:t>
      </w:r>
      <w:r>
        <w:rPr>
          <w:rFonts w:ascii="新宋体" w:hAnsi="新宋体" w:eastAsia="新宋体"/>
          <w:b/>
          <w:bCs/>
          <w:color w:val="auto"/>
        </w:rPr>
        <w:t>3</w:t>
      </w:r>
      <w:r>
        <w:rPr>
          <w:rFonts w:hint="eastAsia" w:ascii="新宋体" w:hAnsi="新宋体" w:eastAsia="新宋体"/>
          <w:b/>
          <w:bCs/>
          <w:color w:val="auto"/>
        </w:rPr>
        <w:t>：</w:t>
      </w:r>
      <w:bookmarkEnd w:id="770"/>
      <w:r>
        <w:rPr>
          <w:rFonts w:ascii="新宋体" w:hAnsi="新宋体" w:eastAsia="新宋体"/>
          <w:color w:val="auto"/>
        </w:rPr>
        <w:t xml:space="preserve">    </w:t>
      </w:r>
    </w:p>
    <w:p>
      <w:pPr>
        <w:spacing w:line="300" w:lineRule="exact"/>
        <w:jc w:val="center"/>
        <w:rPr>
          <w:rFonts w:hint="eastAsia" w:ascii="新宋体" w:hAnsi="新宋体" w:eastAsia="新宋体"/>
          <w:color w:val="auto"/>
        </w:rPr>
      </w:pPr>
    </w:p>
    <w:p>
      <w:pPr>
        <w:spacing w:line="300" w:lineRule="exact"/>
        <w:jc w:val="center"/>
        <w:rPr>
          <w:rFonts w:ascii="新宋体" w:hAnsi="新宋体" w:eastAsia="新宋体"/>
          <w:color w:val="auto"/>
        </w:rPr>
      </w:pPr>
      <w:r>
        <w:rPr>
          <w:rFonts w:hint="eastAsia" w:ascii="新宋体" w:hAnsi="新宋体" w:eastAsia="新宋体"/>
          <w:color w:val="auto"/>
        </w:rPr>
        <w:t>工程质量保修书</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ascii="新宋体" w:hAnsi="新宋体" w:eastAsia="新宋体"/>
          <w:color w:val="auto"/>
        </w:rPr>
      </w:pPr>
      <w:r>
        <w:rPr>
          <w:rFonts w:hint="eastAsia" w:ascii="新宋体" w:hAnsi="新宋体" w:eastAsia="新宋体"/>
          <w:color w:val="auto"/>
        </w:rPr>
        <w:t>发包人（全称）：</w:t>
      </w:r>
      <w:r>
        <w:rPr>
          <w:rFonts w:ascii="新宋体" w:hAnsi="新宋体" w:eastAsia="新宋体"/>
          <w:color w:val="auto"/>
          <w:u w:val="single"/>
        </w:rPr>
        <w:t xml:space="preserve">                                </w:t>
      </w:r>
      <w:r>
        <w:rPr>
          <w:rFonts w:ascii="新宋体" w:hAnsi="新宋体" w:eastAsia="新宋体"/>
          <w:color w:val="auto"/>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承包人（全称）：</w:t>
      </w:r>
      <w:r>
        <w:rPr>
          <w:rFonts w:ascii="新宋体" w:hAnsi="新宋体" w:eastAsia="新宋体"/>
          <w:color w:val="auto"/>
          <w:u w:val="single"/>
        </w:rPr>
        <w:t xml:space="preserve">                                </w:t>
      </w:r>
      <w:r>
        <w:rPr>
          <w:rFonts w:ascii="新宋体" w:hAnsi="新宋体" w:eastAsia="新宋体"/>
          <w:color w:val="auto"/>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发包人和承包人根据《中华人民共和国建筑法》和《建设工程质量管理条例》，经协商一致就</w:t>
      </w:r>
      <w:r>
        <w:rPr>
          <w:rFonts w:ascii="新宋体" w:hAnsi="新宋体" w:eastAsia="新宋体"/>
          <w:color w:val="auto"/>
          <w:u w:val="single"/>
        </w:rPr>
        <w:t xml:space="preserve">                </w:t>
      </w:r>
      <w:r>
        <w:rPr>
          <w:rFonts w:hint="eastAsia" w:ascii="新宋体" w:hAnsi="新宋体" w:eastAsia="新宋体"/>
          <w:color w:val="auto"/>
        </w:rPr>
        <w:t>（工程全称）签订工程质量保修书。</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一、工程质量保修范围和内容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新宋体" w:hAnsi="新宋体" w:eastAsia="新宋体"/>
          <w:color w:val="auto"/>
          <w:u w:val="single"/>
        </w:rPr>
        <w:t xml:space="preserve">           </w:t>
      </w:r>
      <w:r>
        <w:rPr>
          <w:rFonts w:hint="eastAsia" w:ascii="新宋体" w:hAnsi="新宋体" w:eastAsia="新宋体"/>
          <w:color w:val="auto"/>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ascii="新宋体" w:hAnsi="新宋体" w:eastAsia="新宋体"/>
          <w:color w:val="auto"/>
        </w:rPr>
      </w:pPr>
      <w:r>
        <w:rPr>
          <w:rFonts w:ascii="新宋体" w:hAnsi="新宋体" w:eastAsia="新宋体"/>
          <w:b/>
          <w:bCs/>
          <w:color w:val="auto"/>
        </w:rPr>
        <w:t xml:space="preserve">  </w:t>
      </w:r>
      <w:r>
        <w:rPr>
          <w:rFonts w:hint="eastAsia" w:ascii="新宋体" w:hAnsi="新宋体" w:eastAsia="新宋体"/>
          <w:color w:val="auto"/>
        </w:rPr>
        <w:t>二、质量保修期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新宋体" w:hAnsi="新宋体" w:eastAsia="新宋体"/>
          <w:color w:val="auto"/>
        </w:rPr>
      </w:pPr>
      <w:r>
        <w:rPr>
          <w:rFonts w:hint="eastAsia" w:ascii="新宋体" w:hAnsi="新宋体" w:eastAsia="新宋体"/>
          <w:color w:val="auto"/>
        </w:rPr>
        <w:t>根据《建设工程质量管理条例》及有关规定，工程的质量保修期如下：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新宋体" w:hAnsi="新宋体" w:eastAsia="新宋体"/>
          <w:color w:val="auto"/>
        </w:rPr>
      </w:pPr>
      <w:r>
        <w:rPr>
          <w:rFonts w:ascii="新宋体" w:hAnsi="新宋体" w:eastAsia="新宋体"/>
          <w:color w:val="auto"/>
        </w:rPr>
        <w:t>1</w:t>
      </w:r>
      <w:r>
        <w:rPr>
          <w:rFonts w:hint="eastAsia" w:ascii="新宋体" w:hAnsi="新宋体" w:eastAsia="新宋体"/>
          <w:color w:val="auto"/>
        </w:rPr>
        <w:t>．地基基础工程和主体结构工程为设计文件规定的工程合理使用年限；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新宋体" w:hAnsi="新宋体" w:eastAsia="新宋体"/>
          <w:color w:val="auto"/>
        </w:rPr>
      </w:pPr>
      <w:r>
        <w:rPr>
          <w:rFonts w:ascii="新宋体" w:hAnsi="新宋体" w:eastAsia="新宋体"/>
          <w:color w:val="auto"/>
        </w:rPr>
        <w:t>2</w:t>
      </w:r>
      <w:r>
        <w:rPr>
          <w:rFonts w:hint="eastAsia" w:ascii="新宋体" w:hAnsi="新宋体" w:eastAsia="新宋体"/>
          <w:color w:val="auto"/>
        </w:rPr>
        <w:t>．屋面防水工程、有防水要求的卫生间、房间和外墙面的防渗</w:t>
      </w:r>
      <w:r>
        <w:rPr>
          <w:rFonts w:ascii="新宋体" w:hAnsi="新宋体" w:eastAsia="新宋体"/>
          <w:color w:val="auto"/>
        </w:rPr>
        <w:t xml:space="preserve">     </w:t>
      </w:r>
      <w:r>
        <w:rPr>
          <w:rFonts w:hint="eastAsia" w:ascii="新宋体" w:hAnsi="新宋体" w:eastAsia="新宋体"/>
          <w:color w:val="auto"/>
        </w:rPr>
        <w:t>为</w:t>
      </w:r>
      <w:r>
        <w:rPr>
          <w:rFonts w:ascii="新宋体" w:hAnsi="新宋体" w:eastAsia="新宋体"/>
          <w:color w:val="auto"/>
          <w:u w:val="single"/>
        </w:rPr>
        <w:t xml:space="preserve">        </w:t>
      </w:r>
      <w:r>
        <w:rPr>
          <w:rFonts w:hint="eastAsia" w:ascii="新宋体" w:hAnsi="新宋体" w:eastAsia="新宋体"/>
          <w:color w:val="auto"/>
        </w:rPr>
        <w:t>年；</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105" w:firstLineChars="50"/>
        <w:textAlignment w:val="auto"/>
        <w:rPr>
          <w:rFonts w:ascii="新宋体" w:hAnsi="新宋体" w:eastAsia="新宋体"/>
          <w:color w:val="auto"/>
        </w:rPr>
      </w:pPr>
      <w:r>
        <w:rPr>
          <w:rFonts w:ascii="新宋体" w:hAnsi="新宋体" w:eastAsia="新宋体"/>
          <w:color w:val="auto"/>
        </w:rPr>
        <w:t>3</w:t>
      </w:r>
      <w:r>
        <w:rPr>
          <w:rFonts w:hint="eastAsia" w:ascii="新宋体" w:hAnsi="新宋体" w:eastAsia="新宋体"/>
          <w:color w:val="auto"/>
        </w:rPr>
        <w:t>．装修工程为</w:t>
      </w:r>
      <w:r>
        <w:rPr>
          <w:rFonts w:ascii="新宋体" w:hAnsi="新宋体" w:eastAsia="新宋体"/>
          <w:color w:val="auto"/>
          <w:u w:val="single"/>
        </w:rPr>
        <w:t xml:space="preserve">         </w:t>
      </w:r>
      <w:r>
        <w:rPr>
          <w:rFonts w:hint="eastAsia" w:ascii="新宋体" w:hAnsi="新宋体" w:eastAsia="新宋体"/>
          <w:color w:val="auto"/>
        </w:rPr>
        <w:t>年；</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105" w:firstLineChars="50"/>
        <w:textAlignment w:val="auto"/>
        <w:rPr>
          <w:rFonts w:ascii="新宋体" w:hAnsi="新宋体" w:eastAsia="新宋体"/>
          <w:color w:val="auto"/>
        </w:rPr>
      </w:pPr>
      <w:r>
        <w:rPr>
          <w:rFonts w:ascii="新宋体" w:hAnsi="新宋体" w:eastAsia="新宋体"/>
          <w:color w:val="auto"/>
        </w:rPr>
        <w:t>4</w:t>
      </w:r>
      <w:r>
        <w:rPr>
          <w:rFonts w:hint="eastAsia" w:ascii="新宋体" w:hAnsi="新宋体" w:eastAsia="新宋体"/>
          <w:color w:val="auto"/>
        </w:rPr>
        <w:t>．电气管线、给排水管道、设备安装工程为</w:t>
      </w:r>
      <w:r>
        <w:rPr>
          <w:rFonts w:ascii="新宋体" w:hAnsi="新宋体" w:eastAsia="新宋体"/>
          <w:color w:val="auto"/>
          <w:u w:val="single"/>
        </w:rPr>
        <w:t xml:space="preserve">         </w:t>
      </w:r>
      <w:r>
        <w:rPr>
          <w:rFonts w:hint="eastAsia" w:ascii="新宋体" w:hAnsi="新宋体" w:eastAsia="新宋体"/>
          <w:color w:val="auto"/>
        </w:rPr>
        <w:t>年；</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105" w:firstLineChars="50"/>
        <w:textAlignment w:val="auto"/>
        <w:rPr>
          <w:rFonts w:ascii="新宋体" w:hAnsi="新宋体" w:eastAsia="新宋体"/>
          <w:color w:val="auto"/>
        </w:rPr>
      </w:pPr>
      <w:r>
        <w:rPr>
          <w:rFonts w:ascii="新宋体" w:hAnsi="新宋体" w:eastAsia="新宋体"/>
          <w:color w:val="auto"/>
        </w:rPr>
        <w:t>5</w:t>
      </w:r>
      <w:r>
        <w:rPr>
          <w:rFonts w:hint="eastAsia" w:ascii="新宋体" w:hAnsi="新宋体" w:eastAsia="新宋体"/>
          <w:color w:val="auto"/>
        </w:rPr>
        <w:t>．供热与供冷系统为</w:t>
      </w:r>
      <w:r>
        <w:rPr>
          <w:rFonts w:ascii="新宋体" w:hAnsi="新宋体" w:eastAsia="新宋体"/>
          <w:color w:val="auto"/>
          <w:u w:val="single"/>
        </w:rPr>
        <w:t xml:space="preserve">         </w:t>
      </w:r>
      <w:r>
        <w:rPr>
          <w:rFonts w:hint="eastAsia" w:ascii="新宋体" w:hAnsi="新宋体" w:eastAsia="新宋体"/>
          <w:color w:val="auto"/>
        </w:rPr>
        <w:t>个采暖期、供冷期；</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105" w:firstLineChars="50"/>
        <w:textAlignment w:val="auto"/>
        <w:rPr>
          <w:rFonts w:ascii="新宋体" w:hAnsi="新宋体" w:eastAsia="新宋体"/>
          <w:color w:val="auto"/>
        </w:rPr>
      </w:pPr>
      <w:r>
        <w:rPr>
          <w:rFonts w:ascii="新宋体" w:hAnsi="新宋体" w:eastAsia="新宋体"/>
          <w:color w:val="auto"/>
        </w:rPr>
        <w:t>6</w:t>
      </w:r>
      <w:r>
        <w:rPr>
          <w:rFonts w:hint="eastAsia" w:ascii="新宋体" w:hAnsi="新宋体" w:eastAsia="新宋体"/>
          <w:color w:val="auto"/>
        </w:rPr>
        <w:t>．住宅小区内的给排水设施、道路等配套工程为</w:t>
      </w:r>
      <w:r>
        <w:rPr>
          <w:rFonts w:ascii="新宋体" w:hAnsi="新宋体" w:eastAsia="新宋体"/>
          <w:color w:val="auto"/>
          <w:u w:val="single"/>
        </w:rPr>
        <w:t xml:space="preserve">         </w:t>
      </w:r>
      <w:r>
        <w:rPr>
          <w:rFonts w:hint="eastAsia" w:ascii="新宋体" w:hAnsi="新宋体" w:eastAsia="新宋体"/>
          <w:color w:val="auto"/>
        </w:rPr>
        <w:t>年；</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105" w:firstLineChars="50"/>
        <w:textAlignment w:val="auto"/>
        <w:rPr>
          <w:rFonts w:ascii="新宋体" w:hAnsi="新宋体" w:eastAsia="新宋体"/>
          <w:color w:val="auto"/>
        </w:rPr>
      </w:pPr>
      <w:r>
        <w:rPr>
          <w:rFonts w:ascii="新宋体" w:hAnsi="新宋体" w:eastAsia="新宋体"/>
          <w:color w:val="auto"/>
        </w:rPr>
        <w:t>7</w:t>
      </w:r>
      <w:r>
        <w:rPr>
          <w:rFonts w:hint="eastAsia" w:ascii="新宋体" w:hAnsi="新宋体" w:eastAsia="新宋体"/>
          <w:color w:val="auto"/>
        </w:rPr>
        <w:t>．其他项目保修期限约定如下：</w:t>
      </w:r>
      <w:r>
        <w:rPr>
          <w:rFonts w:ascii="新宋体" w:hAnsi="新宋体" w:eastAsia="新宋体"/>
          <w:color w:val="auto"/>
          <w:u w:val="single"/>
        </w:rPr>
        <w:t xml:space="preserve">          </w:t>
      </w:r>
      <w:r>
        <w:rPr>
          <w:rFonts w:hint="eastAsia" w:ascii="新宋体" w:hAnsi="新宋体" w:eastAsia="新宋体"/>
          <w:color w:val="auto"/>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质量保修期自工程竣工验收合格之日起计算。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ascii="新宋体" w:hAnsi="新宋体" w:eastAsia="新宋体"/>
          <w:color w:val="auto"/>
        </w:rPr>
      </w:pPr>
      <w:r>
        <w:rPr>
          <w:rFonts w:hint="eastAsia" w:ascii="新宋体" w:hAnsi="新宋体" w:eastAsia="新宋体"/>
          <w:color w:val="auto"/>
        </w:rPr>
        <w:t>三、缺陷责任期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新宋体" w:hAnsi="新宋体" w:eastAsia="新宋体"/>
          <w:color w:val="auto"/>
        </w:rPr>
      </w:pPr>
      <w:r>
        <w:rPr>
          <w:rFonts w:hint="eastAsia" w:ascii="新宋体" w:hAnsi="新宋体" w:eastAsia="新宋体"/>
          <w:color w:val="auto"/>
        </w:rPr>
        <w:t>工程缺陷责任期为</w:t>
      </w:r>
      <w:r>
        <w:rPr>
          <w:rFonts w:ascii="新宋体" w:hAnsi="新宋体" w:eastAsia="新宋体"/>
          <w:color w:val="auto"/>
          <w:u w:val="single"/>
        </w:rPr>
        <w:t xml:space="preserve">         </w:t>
      </w:r>
      <w:r>
        <w:rPr>
          <w:rFonts w:hint="eastAsia" w:ascii="新宋体" w:hAnsi="新宋体" w:eastAsia="新宋体"/>
          <w:color w:val="auto"/>
        </w:rPr>
        <w:t>个月，缺陷责任期自工程通过竣工验收之日起计算。单位工程先于全部工程进行验收，单位工程缺陷责任期自单位工程验收合格之日起算。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新宋体" w:hAnsi="新宋体" w:eastAsia="新宋体"/>
          <w:color w:val="auto"/>
        </w:rPr>
      </w:pPr>
      <w:r>
        <w:rPr>
          <w:rFonts w:hint="eastAsia" w:ascii="新宋体" w:hAnsi="新宋体" w:eastAsia="新宋体"/>
          <w:color w:val="auto"/>
        </w:rPr>
        <w:t>缺陷责任期终止后，发包人应退还剩余的质量保证金。</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四、质量保修责任</w:t>
      </w:r>
    </w:p>
    <w:p>
      <w:pPr>
        <w:keepNext w:val="0"/>
        <w:keepLines w:val="0"/>
        <w:pageBreakBefore w:val="0"/>
        <w:widowControl w:val="0"/>
        <w:kinsoku/>
        <w:wordWrap/>
        <w:overflowPunct/>
        <w:topLinePunct w:val="0"/>
        <w:autoSpaceDE/>
        <w:autoSpaceDN/>
        <w:bidi w:val="0"/>
        <w:adjustRightInd/>
        <w:snapToGrid/>
        <w:spacing w:line="400" w:lineRule="exact"/>
        <w:ind w:left="105" w:leftChars="50" w:firstLine="430" w:firstLineChars="205"/>
        <w:textAlignment w:val="auto"/>
        <w:rPr>
          <w:rFonts w:ascii="新宋体" w:hAnsi="新宋体" w:eastAsia="新宋体"/>
          <w:color w:val="auto"/>
        </w:rPr>
      </w:pPr>
      <w:r>
        <w:rPr>
          <w:rFonts w:ascii="新宋体" w:hAnsi="新宋体" w:eastAsia="新宋体"/>
          <w:color w:val="auto"/>
        </w:rPr>
        <w:t>1</w:t>
      </w:r>
      <w:r>
        <w:rPr>
          <w:rFonts w:hint="eastAsia" w:ascii="新宋体" w:hAnsi="新宋体" w:eastAsia="新宋体"/>
          <w:color w:val="auto"/>
        </w:rPr>
        <w:t>．属于保修范围、内容的项目，承包人应当在接到保修通知之日起</w:t>
      </w:r>
      <w:r>
        <w:rPr>
          <w:rFonts w:ascii="新宋体" w:hAnsi="新宋体" w:eastAsia="新宋体"/>
          <w:color w:val="auto"/>
        </w:rPr>
        <w:t>7</w:t>
      </w:r>
      <w:r>
        <w:rPr>
          <w:rFonts w:hint="eastAsia" w:ascii="新宋体" w:hAnsi="新宋体" w:eastAsia="新宋体"/>
          <w:color w:val="auto"/>
        </w:rPr>
        <w:t>天内派人保修。承包人不在约定期限内派人保修的，发包人可以委托他人修理。</w:t>
      </w:r>
    </w:p>
    <w:p>
      <w:pPr>
        <w:keepNext w:val="0"/>
        <w:keepLines w:val="0"/>
        <w:pageBreakBefore w:val="0"/>
        <w:widowControl w:val="0"/>
        <w:kinsoku/>
        <w:wordWrap/>
        <w:overflowPunct/>
        <w:topLinePunct w:val="0"/>
        <w:autoSpaceDE/>
        <w:autoSpaceDN/>
        <w:bidi w:val="0"/>
        <w:adjustRightInd/>
        <w:snapToGrid/>
        <w:spacing w:line="400" w:lineRule="exact"/>
        <w:ind w:left="105" w:leftChars="50" w:firstLine="430" w:firstLineChars="205"/>
        <w:textAlignment w:val="auto"/>
        <w:rPr>
          <w:rFonts w:ascii="新宋体" w:hAnsi="新宋体" w:eastAsia="新宋体"/>
          <w:color w:val="auto"/>
        </w:rPr>
      </w:pPr>
      <w:r>
        <w:rPr>
          <w:rFonts w:ascii="新宋体" w:hAnsi="新宋体" w:eastAsia="新宋体"/>
          <w:color w:val="auto"/>
        </w:rPr>
        <w:t>2</w:t>
      </w:r>
      <w:r>
        <w:rPr>
          <w:rFonts w:hint="eastAsia" w:ascii="新宋体" w:hAnsi="新宋体" w:eastAsia="新宋体"/>
          <w:color w:val="auto"/>
        </w:rPr>
        <w:t>．发生紧急事故需抢修的，承包人在接到事故通知后，应当立即到达事故现场抢修。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adjustRightInd/>
        <w:snapToGrid/>
        <w:spacing w:line="400" w:lineRule="exact"/>
        <w:ind w:left="105" w:leftChars="50" w:firstLine="430" w:firstLineChars="205"/>
        <w:textAlignment w:val="auto"/>
        <w:rPr>
          <w:rFonts w:ascii="新宋体" w:hAnsi="新宋体" w:eastAsia="新宋体"/>
          <w:color w:val="auto"/>
        </w:rPr>
      </w:pPr>
      <w:r>
        <w:rPr>
          <w:rFonts w:ascii="新宋体" w:hAnsi="新宋体" w:eastAsia="新宋体"/>
          <w:color w:val="auto"/>
        </w:rPr>
        <w:t>3</w:t>
      </w:r>
      <w:r>
        <w:rPr>
          <w:rFonts w:hint="eastAsia" w:ascii="新宋体" w:hAnsi="新宋体" w:eastAsia="新宋体"/>
          <w:color w:val="auto"/>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105" w:firstLineChars="50"/>
        <w:textAlignment w:val="auto"/>
        <w:rPr>
          <w:rFonts w:ascii="新宋体" w:hAnsi="新宋体" w:eastAsia="新宋体"/>
          <w:color w:val="auto"/>
        </w:rPr>
      </w:pPr>
      <w:r>
        <w:rPr>
          <w:rFonts w:ascii="新宋体" w:hAnsi="新宋体" w:eastAsia="新宋体"/>
          <w:color w:val="auto"/>
        </w:rPr>
        <w:t>4</w:t>
      </w:r>
      <w:r>
        <w:rPr>
          <w:rFonts w:hint="eastAsia" w:ascii="新宋体" w:hAnsi="新宋体" w:eastAsia="新宋体"/>
          <w:color w:val="auto"/>
        </w:rPr>
        <w:t>．质量保修完成后，由发包人组织验收。</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ascii="新宋体" w:hAnsi="新宋体" w:eastAsia="新宋体"/>
          <w:color w:val="auto"/>
        </w:rPr>
      </w:pPr>
      <w:r>
        <w:rPr>
          <w:rFonts w:ascii="新宋体" w:hAnsi="新宋体" w:eastAsia="新宋体"/>
          <w:color w:val="auto"/>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五、保修费用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olor w:val="auto"/>
        </w:rPr>
      </w:pPr>
      <w:r>
        <w:rPr>
          <w:rFonts w:ascii="新宋体" w:hAnsi="新宋体" w:eastAsia="新宋体"/>
          <w:color w:val="auto"/>
        </w:rPr>
        <w:t xml:space="preserve">  </w:t>
      </w:r>
      <w:r>
        <w:rPr>
          <w:rFonts w:hint="eastAsia" w:ascii="新宋体" w:hAnsi="新宋体" w:eastAsia="新宋体"/>
          <w:color w:val="auto"/>
        </w:rPr>
        <w:t>保修费用由造成质量缺陷的责任方承担。</w:t>
      </w:r>
    </w:p>
    <w:p>
      <w:pPr>
        <w:keepNext w:val="0"/>
        <w:keepLines w:val="0"/>
        <w:pageBreakBefore w:val="0"/>
        <w:widowControl w:val="0"/>
        <w:kinsoku/>
        <w:wordWrap/>
        <w:overflowPunct/>
        <w:topLinePunct w:val="0"/>
        <w:autoSpaceDE/>
        <w:autoSpaceDN/>
        <w:bidi w:val="0"/>
        <w:adjustRightInd/>
        <w:snapToGrid/>
        <w:spacing w:line="400" w:lineRule="exact"/>
        <w:ind w:firstLine="600"/>
        <w:jc w:val="left"/>
        <w:textAlignment w:val="auto"/>
        <w:outlineLvl w:val="0"/>
        <w:rPr>
          <w:rFonts w:ascii="新宋体" w:hAnsi="新宋体" w:eastAsia="新宋体"/>
          <w:color w:val="auto"/>
        </w:rPr>
      </w:pPr>
      <w:r>
        <w:rPr>
          <w:rFonts w:hint="eastAsia" w:ascii="新宋体" w:hAnsi="新宋体" w:eastAsia="新宋体"/>
          <w:b/>
          <w:bCs/>
          <w:color w:val="auto"/>
        </w:rPr>
        <w:t>六</w:t>
      </w:r>
      <w:r>
        <w:rPr>
          <w:rFonts w:hint="eastAsia" w:ascii="新宋体" w:hAnsi="新宋体" w:eastAsia="新宋体"/>
          <w:color w:val="auto"/>
        </w:rPr>
        <w:t>、双方约定的其他工程质量保修事项：</w:t>
      </w:r>
      <w:r>
        <w:rPr>
          <w:rFonts w:ascii="新宋体" w:hAnsi="新宋体" w:eastAsia="新宋体"/>
          <w:color w:val="auto"/>
          <w:u w:val="single"/>
        </w:rPr>
        <w:t xml:space="preserve">               </w:t>
      </w:r>
      <w:r>
        <w:rPr>
          <w:rFonts w:hint="eastAsia" w:ascii="新宋体" w:hAnsi="新宋体" w:eastAsia="新宋体"/>
          <w:color w:val="auto"/>
        </w:rPr>
        <w:t>。</w:t>
      </w:r>
    </w:p>
    <w:p>
      <w:pPr>
        <w:keepNext w:val="0"/>
        <w:keepLines w:val="0"/>
        <w:pageBreakBefore w:val="0"/>
        <w:widowControl w:val="0"/>
        <w:kinsoku/>
        <w:wordWrap/>
        <w:overflowPunct/>
        <w:topLinePunct w:val="0"/>
        <w:autoSpaceDE/>
        <w:autoSpaceDN/>
        <w:bidi w:val="0"/>
        <w:adjustRightInd/>
        <w:snapToGrid/>
        <w:spacing w:line="400" w:lineRule="exact"/>
        <w:ind w:firstLine="399" w:firstLineChars="190"/>
        <w:textAlignment w:val="auto"/>
        <w:rPr>
          <w:rFonts w:ascii="新宋体" w:hAnsi="新宋体" w:eastAsia="新宋体"/>
          <w:color w:val="auto"/>
        </w:rPr>
      </w:pPr>
      <w:r>
        <w:rPr>
          <w:rFonts w:hint="eastAsia" w:ascii="新宋体" w:hAnsi="新宋体" w:eastAsia="新宋体"/>
          <w:color w:val="auto"/>
        </w:rPr>
        <w:t>工程质量保修书由发包人、承包人在工程竣工验收前共同签署，作为施工合同附件，其有效期限至保修期满。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olor w:val="auto"/>
        </w:rPr>
      </w:pPr>
      <w:r>
        <w:rPr>
          <w:rFonts w:hint="eastAsia" w:ascii="新宋体" w:hAnsi="新宋体" w:eastAsia="新宋体"/>
          <w:color w:val="auto"/>
        </w:rPr>
        <w:t>发包人</w:t>
      </w:r>
      <w:r>
        <w:rPr>
          <w:rFonts w:ascii="新宋体" w:hAnsi="新宋体" w:eastAsia="新宋体"/>
          <w:color w:val="auto"/>
        </w:rPr>
        <w:t>(</w:t>
      </w:r>
      <w:r>
        <w:rPr>
          <w:rFonts w:hint="eastAsia" w:ascii="新宋体" w:hAnsi="新宋体" w:eastAsia="新宋体"/>
          <w:color w:val="auto"/>
        </w:rPr>
        <w:t>公章</w:t>
      </w:r>
      <w:r>
        <w:rPr>
          <w:rFonts w:ascii="新宋体" w:hAnsi="新宋体" w:eastAsia="新宋体"/>
          <w:color w:val="auto"/>
        </w:rPr>
        <w:t>)</w:t>
      </w:r>
      <w:r>
        <w:rPr>
          <w:rFonts w:hint="eastAsia" w:ascii="新宋体" w:hAnsi="新宋体" w:eastAsia="新宋体"/>
          <w:color w:val="auto"/>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承包人</w:t>
      </w:r>
      <w:r>
        <w:rPr>
          <w:rFonts w:ascii="新宋体" w:hAnsi="新宋体" w:eastAsia="新宋体"/>
          <w:color w:val="auto"/>
        </w:rPr>
        <w:t>(</w:t>
      </w:r>
      <w:r>
        <w:rPr>
          <w:rFonts w:hint="eastAsia" w:ascii="新宋体" w:hAnsi="新宋体" w:eastAsia="新宋体"/>
          <w:color w:val="auto"/>
        </w:rPr>
        <w:t>公章</w:t>
      </w:r>
      <w:r>
        <w:rPr>
          <w:rFonts w:ascii="新宋体" w:hAnsi="新宋体" w:eastAsia="新宋体"/>
          <w:color w:val="auto"/>
        </w:rPr>
        <w:t>)</w:t>
      </w:r>
      <w:r>
        <w:rPr>
          <w:rFonts w:hint="eastAsia" w:ascii="新宋体" w:hAnsi="新宋体" w:eastAsia="新宋体"/>
          <w:color w:val="auto"/>
        </w:rPr>
        <w:t>：</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olor w:val="auto"/>
        </w:rPr>
      </w:pPr>
      <w:r>
        <w:rPr>
          <w:rFonts w:hint="eastAsia" w:ascii="新宋体" w:hAnsi="新宋体" w:eastAsia="新宋体"/>
          <w:color w:val="auto"/>
        </w:rPr>
        <w:t>地</w:t>
      </w:r>
      <w:r>
        <w:rPr>
          <w:rFonts w:ascii="新宋体" w:hAnsi="新宋体" w:eastAsia="新宋体"/>
          <w:color w:val="auto"/>
        </w:rPr>
        <w:t xml:space="preserve">  </w:t>
      </w:r>
      <w:r>
        <w:rPr>
          <w:rFonts w:hint="eastAsia" w:ascii="新宋体" w:hAnsi="新宋体" w:eastAsia="新宋体"/>
          <w:color w:val="auto"/>
        </w:rPr>
        <w:t>址：</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地</w:t>
      </w:r>
      <w:r>
        <w:rPr>
          <w:rFonts w:ascii="新宋体" w:hAnsi="新宋体" w:eastAsia="新宋体"/>
          <w:color w:val="auto"/>
        </w:rPr>
        <w:t xml:space="preserve">  </w:t>
      </w:r>
      <w:r>
        <w:rPr>
          <w:rFonts w:hint="eastAsia" w:ascii="新宋体" w:hAnsi="新宋体" w:eastAsia="新宋体"/>
          <w:color w:val="auto"/>
        </w:rPr>
        <w:t>址：</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olor w:val="auto"/>
        </w:rPr>
      </w:pPr>
      <w:r>
        <w:rPr>
          <w:rFonts w:hint="eastAsia" w:ascii="新宋体" w:hAnsi="新宋体" w:eastAsia="新宋体"/>
          <w:color w:val="auto"/>
        </w:rPr>
        <w:t>法定代表人</w:t>
      </w:r>
      <w:r>
        <w:rPr>
          <w:rFonts w:ascii="新宋体" w:hAnsi="新宋体" w:eastAsia="新宋体"/>
          <w:color w:val="auto"/>
        </w:rPr>
        <w:t>(</w:t>
      </w:r>
      <w:r>
        <w:rPr>
          <w:rFonts w:hint="eastAsia" w:ascii="新宋体" w:hAnsi="新宋体" w:eastAsia="新宋体"/>
          <w:color w:val="auto"/>
        </w:rPr>
        <w:t>签字</w:t>
      </w:r>
      <w:r>
        <w:rPr>
          <w:rFonts w:ascii="新宋体" w:hAnsi="新宋体" w:eastAsia="新宋体"/>
          <w:color w:val="auto"/>
        </w:rPr>
        <w:t>)</w:t>
      </w:r>
      <w:r>
        <w:rPr>
          <w:rFonts w:hint="eastAsia" w:ascii="新宋体" w:hAnsi="新宋体" w:eastAsia="新宋体"/>
          <w:color w:val="auto"/>
        </w:rPr>
        <w:t>：</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法定代表人</w:t>
      </w:r>
      <w:r>
        <w:rPr>
          <w:rFonts w:ascii="新宋体" w:hAnsi="新宋体" w:eastAsia="新宋体"/>
          <w:color w:val="auto"/>
        </w:rPr>
        <w:t>(</w:t>
      </w:r>
      <w:r>
        <w:rPr>
          <w:rFonts w:hint="eastAsia" w:ascii="新宋体" w:hAnsi="新宋体" w:eastAsia="新宋体"/>
          <w:color w:val="auto"/>
        </w:rPr>
        <w:t>签字</w:t>
      </w:r>
      <w:r>
        <w:rPr>
          <w:rFonts w:ascii="新宋体" w:hAnsi="新宋体" w:eastAsia="新宋体"/>
          <w:color w:val="auto"/>
        </w:rPr>
        <w:t>)</w:t>
      </w:r>
      <w:r>
        <w:rPr>
          <w:rFonts w:hint="eastAsia" w:ascii="新宋体" w:hAnsi="新宋体" w:eastAsia="新宋体"/>
          <w:color w:val="auto"/>
        </w:rPr>
        <w:t>：</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olor w:val="auto"/>
        </w:rPr>
      </w:pPr>
      <w:r>
        <w:rPr>
          <w:rFonts w:hint="eastAsia" w:ascii="新宋体" w:hAnsi="新宋体" w:eastAsia="新宋体"/>
          <w:color w:val="auto"/>
        </w:rPr>
        <w:t>委托代理人</w:t>
      </w:r>
      <w:r>
        <w:rPr>
          <w:rFonts w:ascii="新宋体" w:hAnsi="新宋体" w:eastAsia="新宋体"/>
          <w:color w:val="auto"/>
        </w:rPr>
        <w:t>(</w:t>
      </w:r>
      <w:r>
        <w:rPr>
          <w:rFonts w:hint="eastAsia" w:ascii="新宋体" w:hAnsi="新宋体" w:eastAsia="新宋体"/>
          <w:color w:val="auto"/>
        </w:rPr>
        <w:t>签字</w:t>
      </w:r>
      <w:r>
        <w:rPr>
          <w:rFonts w:ascii="新宋体" w:hAnsi="新宋体" w:eastAsia="新宋体"/>
          <w:color w:val="auto"/>
        </w:rPr>
        <w:t>)</w:t>
      </w:r>
      <w:r>
        <w:rPr>
          <w:rFonts w:hint="eastAsia" w:ascii="新宋体" w:hAnsi="新宋体" w:eastAsia="新宋体"/>
          <w:color w:val="auto"/>
        </w:rPr>
        <w:t>：</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委托代理人</w:t>
      </w:r>
      <w:r>
        <w:rPr>
          <w:rFonts w:ascii="新宋体" w:hAnsi="新宋体" w:eastAsia="新宋体"/>
          <w:color w:val="auto"/>
        </w:rPr>
        <w:t>(</w:t>
      </w:r>
      <w:r>
        <w:rPr>
          <w:rFonts w:hint="eastAsia" w:ascii="新宋体" w:hAnsi="新宋体" w:eastAsia="新宋体"/>
          <w:color w:val="auto"/>
        </w:rPr>
        <w:t>签字</w:t>
      </w:r>
      <w:r>
        <w:rPr>
          <w:rFonts w:ascii="新宋体" w:hAnsi="新宋体" w:eastAsia="新宋体"/>
          <w:color w:val="auto"/>
        </w:rPr>
        <w:t>)</w:t>
      </w:r>
      <w:r>
        <w:rPr>
          <w:rFonts w:hint="eastAsia" w:ascii="新宋体" w:hAnsi="新宋体" w:eastAsia="新宋体"/>
          <w:color w:val="auto"/>
        </w:rPr>
        <w:t>：</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olor w:val="auto"/>
        </w:rPr>
      </w:pPr>
      <w:r>
        <w:rPr>
          <w:rFonts w:hint="eastAsia" w:ascii="新宋体" w:hAnsi="新宋体" w:eastAsia="新宋体"/>
          <w:color w:val="auto"/>
        </w:rPr>
        <w:t>电</w:t>
      </w:r>
      <w:r>
        <w:rPr>
          <w:rFonts w:ascii="新宋体" w:hAnsi="新宋体" w:eastAsia="新宋体"/>
          <w:color w:val="auto"/>
        </w:rPr>
        <w:t xml:space="preserve">  </w:t>
      </w:r>
      <w:r>
        <w:rPr>
          <w:rFonts w:hint="eastAsia" w:ascii="新宋体" w:hAnsi="新宋体" w:eastAsia="新宋体"/>
          <w:color w:val="auto"/>
        </w:rPr>
        <w:t>话：</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电</w:t>
      </w:r>
      <w:r>
        <w:rPr>
          <w:rFonts w:ascii="新宋体" w:hAnsi="新宋体" w:eastAsia="新宋体"/>
          <w:color w:val="auto"/>
        </w:rPr>
        <w:t xml:space="preserve">  </w:t>
      </w:r>
      <w:r>
        <w:rPr>
          <w:rFonts w:hint="eastAsia" w:ascii="新宋体" w:hAnsi="新宋体" w:eastAsia="新宋体"/>
          <w:color w:val="auto"/>
        </w:rPr>
        <w:t>话：</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olor w:val="auto"/>
        </w:rPr>
      </w:pPr>
      <w:r>
        <w:rPr>
          <w:rFonts w:hint="eastAsia" w:ascii="新宋体" w:hAnsi="新宋体" w:eastAsia="新宋体"/>
          <w:color w:val="auto"/>
        </w:rPr>
        <w:t>传</w:t>
      </w:r>
      <w:r>
        <w:rPr>
          <w:rFonts w:ascii="新宋体" w:hAnsi="新宋体" w:eastAsia="新宋体"/>
          <w:color w:val="auto"/>
        </w:rPr>
        <w:t xml:space="preserve">  </w:t>
      </w:r>
      <w:r>
        <w:rPr>
          <w:rFonts w:hint="eastAsia" w:ascii="新宋体" w:hAnsi="新宋体" w:eastAsia="新宋体"/>
          <w:color w:val="auto"/>
        </w:rPr>
        <w:t>真：</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传</w:t>
      </w:r>
      <w:r>
        <w:rPr>
          <w:rFonts w:ascii="新宋体" w:hAnsi="新宋体" w:eastAsia="新宋体"/>
          <w:color w:val="auto"/>
        </w:rPr>
        <w:t xml:space="preserve">  </w:t>
      </w:r>
      <w:r>
        <w:rPr>
          <w:rFonts w:hint="eastAsia" w:ascii="新宋体" w:hAnsi="新宋体" w:eastAsia="新宋体"/>
          <w:color w:val="auto"/>
        </w:rPr>
        <w:t>真：</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olor w:val="auto"/>
        </w:rPr>
      </w:pPr>
      <w:r>
        <w:rPr>
          <w:rFonts w:hint="eastAsia" w:ascii="新宋体" w:hAnsi="新宋体" w:eastAsia="新宋体"/>
          <w:color w:val="auto"/>
        </w:rPr>
        <w:t>开户银行：</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开户银行：</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olor w:val="auto"/>
        </w:rPr>
      </w:pPr>
      <w:r>
        <w:rPr>
          <w:rFonts w:hint="eastAsia" w:ascii="新宋体" w:hAnsi="新宋体" w:eastAsia="新宋体"/>
          <w:color w:val="auto"/>
        </w:rPr>
        <w:t>账</w:t>
      </w:r>
      <w:r>
        <w:rPr>
          <w:rFonts w:ascii="新宋体" w:hAnsi="新宋体" w:eastAsia="新宋体"/>
          <w:color w:val="auto"/>
        </w:rPr>
        <w:t xml:space="preserve">  </w:t>
      </w:r>
      <w:r>
        <w:rPr>
          <w:rFonts w:hint="eastAsia" w:ascii="新宋体" w:hAnsi="新宋体" w:eastAsia="新宋体"/>
          <w:color w:val="auto"/>
        </w:rPr>
        <w:t>号：</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账</w:t>
      </w:r>
      <w:r>
        <w:rPr>
          <w:rFonts w:ascii="新宋体" w:hAnsi="新宋体" w:eastAsia="新宋体"/>
          <w:color w:val="auto"/>
        </w:rPr>
        <w:t xml:space="preserve">  </w:t>
      </w:r>
      <w:r>
        <w:rPr>
          <w:rFonts w:hint="eastAsia" w:ascii="新宋体" w:hAnsi="新宋体" w:eastAsia="新宋体"/>
          <w:color w:val="auto"/>
        </w:rPr>
        <w:t>号：</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olor w:val="auto"/>
        </w:rPr>
      </w:pPr>
      <w:r>
        <w:rPr>
          <w:rFonts w:hint="eastAsia" w:ascii="新宋体" w:hAnsi="新宋体" w:eastAsia="新宋体"/>
          <w:color w:val="auto"/>
        </w:rPr>
        <w:t>邮政编码：</w:t>
      </w:r>
      <w:r>
        <w:rPr>
          <w:rFonts w:ascii="新宋体" w:hAnsi="新宋体" w:eastAsia="新宋体"/>
          <w:color w:val="auto"/>
          <w:u w:val="single"/>
        </w:rPr>
        <w:t xml:space="preserve"> </w:t>
      </w:r>
      <w:r>
        <w:rPr>
          <w:rFonts w:hint="eastAsia" w:ascii="新宋体" w:hAnsi="新宋体" w:eastAsia="新宋体" w:cs="新宋体"/>
          <w:color w:val="auto"/>
          <w:u w:val="single"/>
        </w:rPr>
        <w:t></w:t>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邮政编码：</w:t>
      </w:r>
      <w:r>
        <w:rPr>
          <w:rFonts w:hint="eastAsia" w:ascii="新宋体" w:hAnsi="新宋体" w:eastAsia="新宋体" w:cs="新宋体"/>
          <w:color w:val="auto"/>
          <w:u w:val="single"/>
        </w:rPr>
        <w:t></w:t>
      </w:r>
      <w:r>
        <w:rPr>
          <w:rFonts w:ascii="新宋体" w:hAnsi="新宋体" w:eastAsia="新宋体"/>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olor w:val="auto"/>
        </w:rPr>
      </w:pPr>
      <w:r>
        <w:rPr>
          <w:rFonts w:ascii="新宋体" w:hAnsi="新宋体" w:eastAsia="新宋体"/>
          <w:b/>
          <w:bCs/>
          <w:color w:val="auto"/>
        </w:rPr>
        <w:br w:type="page"/>
      </w:r>
      <w:r>
        <w:rPr>
          <w:rFonts w:hint="eastAsia" w:ascii="新宋体" w:hAnsi="新宋体" w:eastAsia="新宋体"/>
          <w:b/>
          <w:bCs/>
          <w:color w:val="auto"/>
        </w:rPr>
        <w:t>附件</w:t>
      </w:r>
      <w:r>
        <w:rPr>
          <w:rFonts w:ascii="新宋体" w:hAnsi="新宋体" w:eastAsia="新宋体"/>
          <w:b/>
          <w:bCs/>
          <w:color w:val="auto"/>
        </w:rPr>
        <w:t>4</w:t>
      </w:r>
      <w:r>
        <w:rPr>
          <w:rFonts w:hint="eastAsia" w:ascii="新宋体" w:hAnsi="新宋体" w:eastAsia="新宋体"/>
          <w:b/>
          <w:bCs/>
          <w:color w:val="auto"/>
        </w:rPr>
        <w:t>：</w:t>
      </w:r>
    </w:p>
    <w:p>
      <w:pPr>
        <w:spacing w:line="300" w:lineRule="exact"/>
        <w:jc w:val="center"/>
        <w:rPr>
          <w:rFonts w:hint="eastAsia" w:ascii="新宋体" w:hAnsi="新宋体" w:eastAsia="新宋体"/>
          <w:color w:val="auto"/>
        </w:rPr>
      </w:pPr>
    </w:p>
    <w:p>
      <w:pPr>
        <w:spacing w:line="300" w:lineRule="exact"/>
        <w:jc w:val="center"/>
        <w:rPr>
          <w:rFonts w:ascii="新宋体" w:hAnsi="新宋体" w:eastAsia="新宋体"/>
          <w:color w:val="auto"/>
        </w:rPr>
      </w:pPr>
      <w:r>
        <w:rPr>
          <w:rFonts w:hint="eastAsia" w:ascii="新宋体" w:hAnsi="新宋体" w:eastAsia="新宋体"/>
          <w:color w:val="auto"/>
        </w:rPr>
        <w:t>主要建设工程文件目录</w:t>
      </w:r>
    </w:p>
    <w:tbl>
      <w:tblPr>
        <w:tblStyle w:val="15"/>
        <w:tblW w:w="9040" w:type="dxa"/>
        <w:jc w:val="center"/>
        <w:tblInd w:w="0" w:type="dxa"/>
        <w:tblLayout w:type="fixed"/>
        <w:tblCellMar>
          <w:top w:w="0" w:type="dxa"/>
          <w:left w:w="28" w:type="dxa"/>
          <w:bottom w:w="0" w:type="dxa"/>
          <w:right w:w="28" w:type="dxa"/>
        </w:tblCellMar>
      </w:tblPr>
      <w:tblGrid>
        <w:gridCol w:w="1953"/>
        <w:gridCol w:w="1276"/>
        <w:gridCol w:w="1451"/>
        <w:gridCol w:w="1243"/>
        <w:gridCol w:w="1450"/>
        <w:gridCol w:w="1667"/>
      </w:tblGrid>
      <w:tr>
        <w:tblPrEx>
          <w:tblLayout w:type="fixed"/>
          <w:tblCellMar>
            <w:top w:w="0" w:type="dxa"/>
            <w:left w:w="28" w:type="dxa"/>
            <w:bottom w:w="0" w:type="dxa"/>
            <w:right w:w="28" w:type="dxa"/>
          </w:tblCellMar>
        </w:tblPrEx>
        <w:trPr>
          <w:trHeight w:val="367" w:hRule="atLeast"/>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套数</w:t>
            </w:r>
          </w:p>
        </w:tc>
        <w:tc>
          <w:tcPr>
            <w:tcW w:w="1451"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费用（元）</w:t>
            </w:r>
          </w:p>
        </w:tc>
        <w:tc>
          <w:tcPr>
            <w:tcW w:w="1243"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pPr>
              <w:spacing w:line="300" w:lineRule="exact"/>
              <w:jc w:val="center"/>
              <w:rPr>
                <w:rFonts w:ascii="新宋体" w:hAnsi="新宋体" w:eastAsia="新宋体" w:cs="宋体"/>
                <w:color w:val="auto"/>
              </w:rPr>
            </w:pPr>
            <w:r>
              <w:rPr>
                <w:rFonts w:hint="eastAsia" w:ascii="新宋体" w:hAnsi="新宋体" w:eastAsia="新宋体"/>
                <w:color w:val="auto"/>
              </w:rPr>
              <w:t>移交时间</w:t>
            </w:r>
          </w:p>
        </w:tc>
        <w:tc>
          <w:tcPr>
            <w:tcW w:w="1667" w:type="dxa"/>
            <w:tcBorders>
              <w:top w:val="single" w:color="auto" w:sz="12" w:space="0"/>
              <w:left w:val="single" w:color="auto" w:sz="6" w:space="0"/>
              <w:bottom w:val="double" w:color="auto" w:sz="2" w:space="0"/>
              <w:right w:val="single" w:color="auto" w:sz="12" w:space="0"/>
            </w:tcBorders>
            <w:noWrap w:val="0"/>
            <w:vAlign w:val="top"/>
          </w:tcPr>
          <w:p>
            <w:pPr>
              <w:spacing w:line="300" w:lineRule="exact"/>
              <w:jc w:val="center"/>
              <w:rPr>
                <w:rFonts w:ascii="新宋体" w:hAnsi="新宋体" w:eastAsia="新宋体" w:cs="宋体"/>
                <w:color w:val="auto"/>
              </w:rPr>
            </w:pPr>
            <w:r>
              <w:rPr>
                <w:rFonts w:hint="eastAsia" w:ascii="新宋体" w:hAnsi="新宋体" w:eastAsia="新宋体"/>
                <w:color w:val="auto"/>
              </w:rPr>
              <w:t>责任人</w:t>
            </w:r>
          </w:p>
        </w:tc>
      </w:tr>
      <w:tr>
        <w:tblPrEx>
          <w:tblLayout w:type="fixed"/>
          <w:tblCellMar>
            <w:top w:w="0" w:type="dxa"/>
            <w:left w:w="28" w:type="dxa"/>
            <w:bottom w:w="0" w:type="dxa"/>
            <w:right w:w="28" w:type="dxa"/>
          </w:tblCellMar>
        </w:tblPrEx>
        <w:trPr>
          <w:trHeight w:val="42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1"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667" w:type="dxa"/>
            <w:tcBorders>
              <w:top w:val="double" w:color="auto" w:sz="2"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52" w:hRule="atLeast"/>
          <w:jc w:val="center"/>
        </w:trPr>
        <w:tc>
          <w:tcPr>
            <w:tcW w:w="1953" w:type="dxa"/>
            <w:tcBorders>
              <w:top w:val="nil"/>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76"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1"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43"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667" w:type="dxa"/>
            <w:tcBorders>
              <w:top w:val="nil"/>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451"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spacing w:line="300" w:lineRule="exact"/>
              <w:rPr>
                <w:rFonts w:ascii="新宋体" w:hAnsi="新宋体" w:eastAsia="新宋体" w:cs="宋体"/>
                <w:color w:val="auto"/>
              </w:rPr>
            </w:pPr>
          </w:p>
        </w:tc>
      </w:tr>
      <w:tr>
        <w:tblPrEx>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451"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spacing w:line="300" w:lineRule="exact"/>
              <w:rPr>
                <w:rFonts w:ascii="新宋体" w:hAnsi="新宋体" w:eastAsia="新宋体" w:cs="宋体"/>
                <w:color w:val="auto"/>
              </w:rPr>
            </w:pPr>
          </w:p>
        </w:tc>
      </w:tr>
      <w:tr>
        <w:tblPrEx>
          <w:tblLayout w:type="fixed"/>
          <w:tblCellMar>
            <w:top w:w="0" w:type="dxa"/>
            <w:left w:w="28" w:type="dxa"/>
            <w:bottom w:w="0" w:type="dxa"/>
            <w:right w:w="28" w:type="dxa"/>
          </w:tblCellMar>
        </w:tblPrEx>
        <w:trPr>
          <w:trHeight w:val="352"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451"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243"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450"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667" w:type="dxa"/>
            <w:tcBorders>
              <w:top w:val="single" w:color="auto" w:sz="6" w:space="0"/>
              <w:left w:val="single" w:color="auto" w:sz="6" w:space="0"/>
              <w:bottom w:val="single" w:color="auto" w:sz="6" w:space="0"/>
              <w:right w:val="single" w:color="auto" w:sz="12" w:space="0"/>
            </w:tcBorders>
            <w:noWrap w:val="0"/>
            <w:vAlign w:val="top"/>
          </w:tcPr>
          <w:p>
            <w:pPr>
              <w:spacing w:line="300" w:lineRule="exact"/>
              <w:rPr>
                <w:rFonts w:ascii="新宋体" w:hAnsi="新宋体" w:eastAsia="新宋体" w:cs="宋体"/>
                <w:color w:val="auto"/>
              </w:rPr>
            </w:pPr>
          </w:p>
        </w:tc>
      </w:tr>
    </w:tbl>
    <w:p>
      <w:pPr>
        <w:spacing w:line="300" w:lineRule="exact"/>
        <w:rPr>
          <w:rFonts w:ascii="新宋体" w:hAnsi="新宋体" w:eastAsia="新宋体"/>
          <w:color w:val="auto"/>
        </w:rPr>
      </w:pPr>
      <w:r>
        <w:rPr>
          <w:rFonts w:ascii="新宋体" w:hAnsi="新宋体" w:eastAsia="新宋体"/>
          <w:color w:val="auto"/>
        </w:rPr>
        <w:t xml:space="preserve"> </w:t>
      </w:r>
    </w:p>
    <w:p>
      <w:pPr>
        <w:spacing w:line="300" w:lineRule="exact"/>
        <w:rPr>
          <w:rFonts w:hint="eastAsia" w:ascii="新宋体" w:hAnsi="新宋体" w:eastAsia="新宋体"/>
          <w:b/>
          <w:bCs/>
          <w:color w:val="auto"/>
        </w:rPr>
      </w:pPr>
    </w:p>
    <w:p>
      <w:pPr>
        <w:spacing w:line="300" w:lineRule="exact"/>
        <w:rPr>
          <w:rFonts w:hint="eastAsia" w:ascii="新宋体" w:hAnsi="新宋体" w:eastAsia="新宋体"/>
          <w:b/>
          <w:bCs/>
          <w:color w:val="auto"/>
        </w:rPr>
      </w:pPr>
    </w:p>
    <w:p>
      <w:pPr>
        <w:spacing w:line="300" w:lineRule="exact"/>
        <w:rPr>
          <w:rFonts w:ascii="新宋体" w:hAnsi="新宋体" w:eastAsia="新宋体"/>
          <w:b/>
          <w:bCs/>
          <w:color w:val="auto"/>
        </w:rPr>
      </w:pPr>
      <w:r>
        <w:rPr>
          <w:rFonts w:hint="eastAsia" w:ascii="新宋体" w:hAnsi="新宋体" w:eastAsia="新宋体"/>
          <w:b/>
          <w:bCs/>
          <w:color w:val="auto"/>
        </w:rPr>
        <w:t>附</w:t>
      </w:r>
      <w:bookmarkStart w:id="771" w:name="_Toc296944566"/>
      <w:bookmarkEnd w:id="771"/>
      <w:bookmarkStart w:id="772" w:name="_Toc296891267"/>
      <w:bookmarkEnd w:id="772"/>
      <w:bookmarkStart w:id="773" w:name="_Toc296891055"/>
      <w:bookmarkEnd w:id="773"/>
      <w:bookmarkStart w:id="774" w:name="_Toc296346728"/>
      <w:bookmarkEnd w:id="774"/>
      <w:bookmarkStart w:id="775" w:name="_Toc267261698"/>
      <w:bookmarkEnd w:id="775"/>
      <w:bookmarkStart w:id="776" w:name="_Toc296503227"/>
      <w:bookmarkEnd w:id="776"/>
      <w:bookmarkStart w:id="777" w:name="_Toc296347226"/>
      <w:r>
        <w:rPr>
          <w:rFonts w:hint="eastAsia" w:ascii="新宋体" w:hAnsi="新宋体" w:eastAsia="新宋体"/>
          <w:b/>
          <w:bCs/>
          <w:color w:val="auto"/>
        </w:rPr>
        <w:t>件</w:t>
      </w:r>
      <w:r>
        <w:rPr>
          <w:rFonts w:ascii="新宋体" w:hAnsi="新宋体" w:eastAsia="新宋体"/>
          <w:b/>
          <w:bCs/>
          <w:color w:val="auto"/>
        </w:rPr>
        <w:t>5</w:t>
      </w:r>
      <w:r>
        <w:rPr>
          <w:rFonts w:hint="eastAsia" w:ascii="新宋体" w:hAnsi="新宋体" w:eastAsia="新宋体"/>
          <w:b/>
          <w:bCs/>
          <w:color w:val="auto"/>
        </w:rPr>
        <w:t>：</w:t>
      </w:r>
      <w:bookmarkEnd w:id="777"/>
    </w:p>
    <w:p>
      <w:pPr>
        <w:spacing w:line="300" w:lineRule="exact"/>
        <w:jc w:val="center"/>
        <w:rPr>
          <w:rFonts w:ascii="新宋体" w:hAnsi="新宋体" w:eastAsia="新宋体"/>
          <w:color w:val="auto"/>
        </w:rPr>
      </w:pPr>
      <w:r>
        <w:rPr>
          <w:rFonts w:hint="eastAsia" w:ascii="新宋体" w:hAnsi="新宋体" w:eastAsia="新宋体"/>
          <w:color w:val="auto"/>
        </w:rPr>
        <w:t>承包人用于本工程施工的机械设备表</w:t>
      </w:r>
    </w:p>
    <w:tbl>
      <w:tblPr>
        <w:tblStyle w:val="15"/>
        <w:tblW w:w="9499" w:type="dxa"/>
        <w:jc w:val="center"/>
        <w:tblInd w:w="0" w:type="dxa"/>
        <w:tblLayout w:type="fixed"/>
        <w:tblCellMar>
          <w:top w:w="0" w:type="dxa"/>
          <w:left w:w="28" w:type="dxa"/>
          <w:bottom w:w="0" w:type="dxa"/>
          <w:right w:w="28" w:type="dxa"/>
        </w:tblCellMar>
      </w:tblPr>
      <w:tblGrid>
        <w:gridCol w:w="884"/>
        <w:gridCol w:w="1720"/>
        <w:gridCol w:w="1055"/>
        <w:gridCol w:w="765"/>
        <w:gridCol w:w="993"/>
        <w:gridCol w:w="1030"/>
        <w:gridCol w:w="1494"/>
        <w:gridCol w:w="1029"/>
        <w:gridCol w:w="529"/>
      </w:tblGrid>
      <w:tr>
        <w:tblPrEx>
          <w:tblLayout w:type="fixed"/>
          <w:tblCellMar>
            <w:top w:w="0" w:type="dxa"/>
            <w:left w:w="28" w:type="dxa"/>
            <w:bottom w:w="0" w:type="dxa"/>
            <w:right w:w="28" w:type="dxa"/>
          </w:tblCellMar>
        </w:tblPrEx>
        <w:trPr>
          <w:trHeight w:val="703" w:hRule="atLeast"/>
          <w:jc w:val="center"/>
        </w:trPr>
        <w:tc>
          <w:tcPr>
            <w:tcW w:w="884" w:type="dxa"/>
            <w:tcBorders>
              <w:top w:val="single" w:color="auto" w:sz="12" w:space="0"/>
              <w:left w:val="single" w:color="auto" w:sz="12"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序号</w:t>
            </w:r>
          </w:p>
        </w:tc>
        <w:tc>
          <w:tcPr>
            <w:tcW w:w="1720"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机械或设备名称</w:t>
            </w:r>
          </w:p>
        </w:tc>
        <w:tc>
          <w:tcPr>
            <w:tcW w:w="1055"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规格型号</w:t>
            </w:r>
          </w:p>
        </w:tc>
        <w:tc>
          <w:tcPr>
            <w:tcW w:w="765"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数量</w:t>
            </w:r>
          </w:p>
        </w:tc>
        <w:tc>
          <w:tcPr>
            <w:tcW w:w="993"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产地</w:t>
            </w:r>
          </w:p>
        </w:tc>
        <w:tc>
          <w:tcPr>
            <w:tcW w:w="1030"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制造年份</w:t>
            </w:r>
          </w:p>
        </w:tc>
        <w:tc>
          <w:tcPr>
            <w:tcW w:w="1494"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额定功率</w:t>
            </w:r>
            <w:r>
              <w:rPr>
                <w:rFonts w:ascii="新宋体" w:hAnsi="新宋体" w:eastAsia="新宋体"/>
                <w:color w:val="auto"/>
              </w:rPr>
              <w:t>(kW)</w:t>
            </w:r>
          </w:p>
        </w:tc>
        <w:tc>
          <w:tcPr>
            <w:tcW w:w="1029"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生产能力</w:t>
            </w:r>
          </w:p>
        </w:tc>
        <w:tc>
          <w:tcPr>
            <w:tcW w:w="529" w:type="dxa"/>
            <w:tcBorders>
              <w:top w:val="single" w:color="auto" w:sz="12" w:space="0"/>
              <w:left w:val="single" w:color="auto" w:sz="6" w:space="0"/>
              <w:bottom w:val="double" w:color="auto" w:sz="2"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备注</w:t>
            </w:r>
          </w:p>
        </w:tc>
      </w:tr>
      <w:tr>
        <w:tblPrEx>
          <w:tblLayout w:type="fixed"/>
          <w:tblCellMar>
            <w:top w:w="0" w:type="dxa"/>
            <w:left w:w="28" w:type="dxa"/>
            <w:bottom w:w="0" w:type="dxa"/>
            <w:right w:w="28" w:type="dxa"/>
          </w:tblCellMar>
        </w:tblPrEx>
        <w:trPr>
          <w:trHeight w:val="463" w:hRule="atLeast"/>
          <w:jc w:val="center"/>
        </w:trPr>
        <w:tc>
          <w:tcPr>
            <w:tcW w:w="884" w:type="dxa"/>
            <w:tcBorders>
              <w:top w:val="double" w:color="auto" w:sz="2"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0"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55"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65"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93"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0"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94"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29" w:type="dxa"/>
            <w:tcBorders>
              <w:top w:val="double" w:color="auto" w:sz="2"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529" w:type="dxa"/>
            <w:tcBorders>
              <w:top w:val="double" w:color="auto" w:sz="2"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409" w:hRule="atLeast"/>
          <w:jc w:val="center"/>
        </w:trPr>
        <w:tc>
          <w:tcPr>
            <w:tcW w:w="884" w:type="dxa"/>
            <w:tcBorders>
              <w:top w:val="nil"/>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55"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65"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93"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0"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94"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29"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529" w:type="dxa"/>
            <w:tcBorders>
              <w:top w:val="nil"/>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409" w:hRule="atLeast"/>
          <w:jc w:val="center"/>
        </w:trPr>
        <w:tc>
          <w:tcPr>
            <w:tcW w:w="884"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5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6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9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52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409" w:hRule="atLeast"/>
          <w:jc w:val="center"/>
        </w:trPr>
        <w:tc>
          <w:tcPr>
            <w:tcW w:w="884"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5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6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9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52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409" w:hRule="atLeast"/>
          <w:jc w:val="center"/>
        </w:trPr>
        <w:tc>
          <w:tcPr>
            <w:tcW w:w="884"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5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6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9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52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409" w:hRule="atLeast"/>
          <w:jc w:val="center"/>
        </w:trPr>
        <w:tc>
          <w:tcPr>
            <w:tcW w:w="884"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5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6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9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52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409" w:hRule="atLeast"/>
          <w:jc w:val="center"/>
        </w:trPr>
        <w:tc>
          <w:tcPr>
            <w:tcW w:w="884"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5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6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9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52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409" w:hRule="atLeast"/>
          <w:jc w:val="center"/>
        </w:trPr>
        <w:tc>
          <w:tcPr>
            <w:tcW w:w="884"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72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5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765"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49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52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409" w:hRule="atLeast"/>
          <w:jc w:val="center"/>
        </w:trPr>
        <w:tc>
          <w:tcPr>
            <w:tcW w:w="884" w:type="dxa"/>
            <w:tcBorders>
              <w:top w:val="single" w:color="auto" w:sz="6" w:space="0"/>
              <w:left w:val="single" w:color="auto" w:sz="12"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720"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055"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765"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030"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494"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1029" w:type="dxa"/>
            <w:tcBorders>
              <w:top w:val="single" w:color="auto" w:sz="6" w:space="0"/>
              <w:left w:val="single" w:color="auto" w:sz="6" w:space="0"/>
              <w:bottom w:val="single" w:color="auto" w:sz="6" w:space="0"/>
              <w:right w:val="single" w:color="auto" w:sz="6" w:space="0"/>
            </w:tcBorders>
            <w:noWrap w:val="0"/>
            <w:vAlign w:val="top"/>
          </w:tcPr>
          <w:p>
            <w:pPr>
              <w:spacing w:line="300" w:lineRule="exact"/>
              <w:rPr>
                <w:rFonts w:ascii="新宋体" w:hAnsi="新宋体" w:eastAsia="新宋体" w:cs="宋体"/>
                <w:color w:val="auto"/>
              </w:rPr>
            </w:pPr>
          </w:p>
        </w:tc>
        <w:tc>
          <w:tcPr>
            <w:tcW w:w="529" w:type="dxa"/>
            <w:tcBorders>
              <w:top w:val="single" w:color="auto" w:sz="6" w:space="0"/>
              <w:left w:val="single" w:color="auto" w:sz="6" w:space="0"/>
              <w:bottom w:val="single" w:color="auto" w:sz="6" w:space="0"/>
              <w:right w:val="single" w:color="auto" w:sz="12" w:space="0"/>
            </w:tcBorders>
            <w:noWrap w:val="0"/>
            <w:vAlign w:val="top"/>
          </w:tcPr>
          <w:p>
            <w:pPr>
              <w:spacing w:line="300" w:lineRule="exact"/>
              <w:rPr>
                <w:rFonts w:ascii="新宋体" w:hAnsi="新宋体" w:eastAsia="新宋体" w:cs="宋体"/>
                <w:color w:val="auto"/>
              </w:rPr>
            </w:pPr>
          </w:p>
        </w:tc>
      </w:tr>
    </w:tbl>
    <w:p>
      <w:pPr>
        <w:spacing w:line="300" w:lineRule="exact"/>
        <w:rPr>
          <w:rFonts w:hint="eastAsia" w:ascii="新宋体" w:hAnsi="新宋体" w:eastAsia="新宋体"/>
          <w:b/>
          <w:bCs/>
          <w:color w:val="auto"/>
        </w:rPr>
      </w:pPr>
      <w:r>
        <w:rPr>
          <w:rFonts w:ascii="新宋体" w:hAnsi="新宋体" w:eastAsia="新宋体"/>
          <w:color w:val="auto"/>
        </w:rPr>
        <w:br w:type="page"/>
      </w:r>
      <w:r>
        <w:rPr>
          <w:rFonts w:hint="eastAsia" w:ascii="新宋体" w:hAnsi="新宋体" w:eastAsia="新宋体"/>
          <w:b/>
          <w:bCs/>
          <w:color w:val="auto"/>
        </w:rPr>
        <w:t>附</w:t>
      </w:r>
      <w:bookmarkStart w:id="778" w:name="_Toc296503228"/>
      <w:bookmarkEnd w:id="778"/>
      <w:bookmarkStart w:id="779" w:name="_Toc296944567"/>
      <w:bookmarkEnd w:id="779"/>
      <w:bookmarkStart w:id="780" w:name="_Toc296346729"/>
      <w:bookmarkEnd w:id="780"/>
      <w:bookmarkStart w:id="781" w:name="_Toc296891268"/>
      <w:bookmarkEnd w:id="781"/>
      <w:bookmarkStart w:id="782" w:name="_Toc296891056"/>
      <w:bookmarkEnd w:id="782"/>
      <w:bookmarkStart w:id="783" w:name="_Toc267261699"/>
      <w:bookmarkEnd w:id="783"/>
      <w:bookmarkStart w:id="784" w:name="_Toc296347227"/>
      <w:r>
        <w:rPr>
          <w:rFonts w:hint="eastAsia" w:ascii="新宋体" w:hAnsi="新宋体" w:eastAsia="新宋体"/>
          <w:b/>
          <w:bCs/>
          <w:color w:val="auto"/>
        </w:rPr>
        <w:t>件</w:t>
      </w:r>
      <w:r>
        <w:rPr>
          <w:rFonts w:ascii="新宋体" w:hAnsi="新宋体" w:eastAsia="新宋体"/>
          <w:b/>
          <w:bCs/>
          <w:color w:val="auto"/>
        </w:rPr>
        <w:t>6</w:t>
      </w:r>
      <w:r>
        <w:rPr>
          <w:rFonts w:hint="eastAsia" w:ascii="新宋体" w:hAnsi="新宋体" w:eastAsia="新宋体"/>
          <w:b/>
          <w:bCs/>
          <w:color w:val="auto"/>
        </w:rPr>
        <w:t>：</w:t>
      </w:r>
      <w:bookmarkEnd w:id="784"/>
    </w:p>
    <w:p>
      <w:pPr>
        <w:pStyle w:val="2"/>
      </w:pPr>
    </w:p>
    <w:p>
      <w:pPr>
        <w:spacing w:line="300" w:lineRule="exact"/>
        <w:jc w:val="center"/>
        <w:rPr>
          <w:rFonts w:ascii="新宋体" w:hAnsi="新宋体" w:eastAsia="新宋体"/>
          <w:color w:val="auto"/>
        </w:rPr>
      </w:pPr>
      <w:r>
        <w:rPr>
          <w:rFonts w:hint="eastAsia" w:ascii="新宋体" w:hAnsi="新宋体" w:eastAsia="新宋体"/>
          <w:color w:val="auto"/>
        </w:rPr>
        <w:t>承包人主要施工管理人员表</w:t>
      </w:r>
    </w:p>
    <w:tbl>
      <w:tblPr>
        <w:tblStyle w:val="15"/>
        <w:tblW w:w="8740" w:type="dxa"/>
        <w:jc w:val="center"/>
        <w:tblInd w:w="0" w:type="dxa"/>
        <w:tblLayout w:type="fixed"/>
        <w:tblCellMar>
          <w:top w:w="0" w:type="dxa"/>
          <w:left w:w="28" w:type="dxa"/>
          <w:bottom w:w="0" w:type="dxa"/>
          <w:right w:w="28" w:type="dxa"/>
        </w:tblCellMar>
      </w:tblPr>
      <w:tblGrid>
        <w:gridCol w:w="1667"/>
        <w:gridCol w:w="1264"/>
        <w:gridCol w:w="1009"/>
        <w:gridCol w:w="1011"/>
        <w:gridCol w:w="3789"/>
      </w:tblGrid>
      <w:tr>
        <w:tblPrEx>
          <w:tblLayout w:type="fixed"/>
          <w:tblCellMar>
            <w:top w:w="0" w:type="dxa"/>
            <w:left w:w="28" w:type="dxa"/>
            <w:bottom w:w="0" w:type="dxa"/>
            <w:right w:w="28" w:type="dxa"/>
          </w:tblCellMar>
        </w:tblPrEx>
        <w:trPr>
          <w:trHeight w:val="371" w:hRule="atLeast"/>
          <w:jc w:val="center"/>
        </w:trPr>
        <w:tc>
          <w:tcPr>
            <w:tcW w:w="1667" w:type="dxa"/>
            <w:tcBorders>
              <w:top w:val="single" w:color="auto" w:sz="12" w:space="0"/>
              <w:left w:val="single" w:color="auto" w:sz="12"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名</w:t>
            </w:r>
            <w:r>
              <w:rPr>
                <w:rFonts w:ascii="新宋体" w:hAnsi="新宋体" w:eastAsia="新宋体"/>
                <w:color w:val="auto"/>
              </w:rPr>
              <w:t xml:space="preserve">    </w:t>
            </w:r>
            <w:r>
              <w:rPr>
                <w:rFonts w:hint="eastAsia" w:ascii="新宋体" w:hAnsi="新宋体" w:eastAsia="新宋体"/>
                <w:color w:val="auto"/>
              </w:rPr>
              <w:t>称</w:t>
            </w:r>
          </w:p>
        </w:tc>
        <w:tc>
          <w:tcPr>
            <w:tcW w:w="1264"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姓名</w:t>
            </w:r>
          </w:p>
        </w:tc>
        <w:tc>
          <w:tcPr>
            <w:tcW w:w="1009"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职务</w:t>
            </w:r>
          </w:p>
        </w:tc>
        <w:tc>
          <w:tcPr>
            <w:tcW w:w="1011"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职称</w:t>
            </w:r>
          </w:p>
        </w:tc>
        <w:tc>
          <w:tcPr>
            <w:tcW w:w="3789" w:type="dxa"/>
            <w:tcBorders>
              <w:top w:val="single" w:color="auto" w:sz="12" w:space="0"/>
              <w:left w:val="single" w:color="auto" w:sz="6" w:space="0"/>
              <w:bottom w:val="double" w:color="auto" w:sz="2"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主要资历、经验及承担过的项目</w:t>
            </w:r>
          </w:p>
        </w:tc>
      </w:tr>
      <w:tr>
        <w:tblPrEx>
          <w:tblLayout w:type="fixed"/>
          <w:tblCellMar>
            <w:top w:w="0" w:type="dxa"/>
            <w:left w:w="28" w:type="dxa"/>
            <w:bottom w:w="0" w:type="dxa"/>
            <w:right w:w="28" w:type="dxa"/>
          </w:tblCellMar>
        </w:tblPrEx>
        <w:trPr>
          <w:trHeight w:val="409" w:hRule="atLeast"/>
          <w:jc w:val="center"/>
        </w:trPr>
        <w:tc>
          <w:tcPr>
            <w:tcW w:w="8740" w:type="dxa"/>
            <w:gridSpan w:val="5"/>
            <w:tcBorders>
              <w:top w:val="double" w:color="auto" w:sz="2" w:space="0"/>
              <w:left w:val="single" w:color="auto" w:sz="12"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一、总部人员</w:t>
            </w:r>
          </w:p>
        </w:tc>
      </w:tr>
      <w:tr>
        <w:tblPrEx>
          <w:tblLayout w:type="fixed"/>
          <w:tblCellMar>
            <w:top w:w="0" w:type="dxa"/>
            <w:left w:w="28" w:type="dxa"/>
            <w:bottom w:w="0" w:type="dxa"/>
            <w:right w:w="28" w:type="dxa"/>
          </w:tblCellMar>
        </w:tblPrEx>
        <w:trPr>
          <w:trHeight w:val="340" w:hRule="atLeast"/>
          <w:jc w:val="center"/>
        </w:trPr>
        <w:tc>
          <w:tcPr>
            <w:tcW w:w="1667" w:type="dxa"/>
            <w:tcBorders>
              <w:top w:val="nil"/>
              <w:left w:val="single" w:color="auto" w:sz="12" w:space="0"/>
              <w:bottom w:val="nil"/>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项目主管</w:t>
            </w:r>
          </w:p>
        </w:tc>
        <w:tc>
          <w:tcPr>
            <w:tcW w:w="1264"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nil"/>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nil"/>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6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0" w:hRule="atLeast"/>
          <w:jc w:val="center"/>
        </w:trPr>
        <w:tc>
          <w:tcPr>
            <w:tcW w:w="1667" w:type="dxa"/>
            <w:tcBorders>
              <w:top w:val="nil"/>
              <w:left w:val="single" w:color="auto" w:sz="12" w:space="0"/>
              <w:bottom w:val="nil"/>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其他人员</w:t>
            </w:r>
          </w:p>
        </w:tc>
        <w:tc>
          <w:tcPr>
            <w:tcW w:w="126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0" w:hRule="atLeast"/>
          <w:jc w:val="center"/>
        </w:trPr>
        <w:tc>
          <w:tcPr>
            <w:tcW w:w="1667" w:type="dxa"/>
            <w:tcBorders>
              <w:top w:val="nil"/>
              <w:left w:val="single" w:color="auto" w:sz="12" w:space="0"/>
              <w:bottom w:val="nil"/>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6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0" w:hRule="atLeast"/>
          <w:jc w:val="center"/>
        </w:trPr>
        <w:tc>
          <w:tcPr>
            <w:tcW w:w="8740" w:type="dxa"/>
            <w:gridSpan w:val="5"/>
            <w:tcBorders>
              <w:top w:val="single" w:color="auto" w:sz="6" w:space="0"/>
              <w:left w:val="single" w:color="auto" w:sz="12"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二、现场人员</w:t>
            </w:r>
          </w:p>
        </w:tc>
      </w:tr>
      <w:tr>
        <w:tblPrEx>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项目经理</w:t>
            </w:r>
          </w:p>
        </w:tc>
        <w:tc>
          <w:tcPr>
            <w:tcW w:w="126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项目副经理</w:t>
            </w:r>
          </w:p>
        </w:tc>
        <w:tc>
          <w:tcPr>
            <w:tcW w:w="126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技术负责人</w:t>
            </w:r>
          </w:p>
        </w:tc>
        <w:tc>
          <w:tcPr>
            <w:tcW w:w="126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造价管理</w:t>
            </w:r>
          </w:p>
        </w:tc>
        <w:tc>
          <w:tcPr>
            <w:tcW w:w="126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质量管理</w:t>
            </w:r>
          </w:p>
        </w:tc>
        <w:tc>
          <w:tcPr>
            <w:tcW w:w="126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材料管理</w:t>
            </w:r>
          </w:p>
        </w:tc>
        <w:tc>
          <w:tcPr>
            <w:tcW w:w="126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计划管理</w:t>
            </w:r>
          </w:p>
        </w:tc>
        <w:tc>
          <w:tcPr>
            <w:tcW w:w="126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0" w:hRule="atLeast"/>
          <w:jc w:val="center"/>
        </w:trPr>
        <w:tc>
          <w:tcPr>
            <w:tcW w:w="1667"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安全管理</w:t>
            </w:r>
          </w:p>
        </w:tc>
        <w:tc>
          <w:tcPr>
            <w:tcW w:w="126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0" w:hRule="atLeast"/>
          <w:jc w:val="center"/>
        </w:trPr>
        <w:tc>
          <w:tcPr>
            <w:tcW w:w="1667" w:type="dxa"/>
            <w:vMerge w:val="restart"/>
            <w:tcBorders>
              <w:top w:val="nil"/>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其他人员</w:t>
            </w:r>
          </w:p>
        </w:tc>
        <w:tc>
          <w:tcPr>
            <w:tcW w:w="126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0" w:hRule="atLeast"/>
          <w:jc w:val="center"/>
        </w:trPr>
        <w:tc>
          <w:tcPr>
            <w:tcW w:w="1667" w:type="dxa"/>
            <w:vMerge w:val="continue"/>
            <w:tcBorders>
              <w:top w:val="nil"/>
              <w:left w:val="single" w:color="auto" w:sz="12" w:space="0"/>
              <w:bottom w:val="single" w:color="auto" w:sz="6" w:space="0"/>
              <w:right w:val="single" w:color="auto" w:sz="6" w:space="0"/>
            </w:tcBorders>
            <w:noWrap w:val="0"/>
            <w:vAlign w:val="center"/>
          </w:tcPr>
          <w:p>
            <w:pPr>
              <w:widowControl/>
              <w:jc w:val="left"/>
              <w:rPr>
                <w:rFonts w:ascii="新宋体" w:hAnsi="新宋体" w:eastAsia="新宋体" w:cs="宋体"/>
                <w:color w:val="auto"/>
              </w:rPr>
            </w:pPr>
          </w:p>
        </w:tc>
        <w:tc>
          <w:tcPr>
            <w:tcW w:w="1264" w:type="dxa"/>
            <w:tcBorders>
              <w:top w:val="single" w:color="auto" w:sz="6" w:space="0"/>
              <w:left w:val="single" w:color="auto" w:sz="6" w:space="0"/>
              <w:bottom w:val="nil"/>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single" w:color="auto" w:sz="6" w:space="0"/>
              <w:left w:val="single" w:color="auto" w:sz="6" w:space="0"/>
              <w:bottom w:val="nil"/>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single" w:color="auto" w:sz="6" w:space="0"/>
              <w:left w:val="single" w:color="auto" w:sz="6" w:space="0"/>
              <w:bottom w:val="nil"/>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single" w:color="auto" w:sz="6" w:space="0"/>
              <w:left w:val="single" w:color="auto" w:sz="6" w:space="0"/>
              <w:bottom w:val="nil"/>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0" w:hRule="atLeast"/>
          <w:jc w:val="center"/>
        </w:trPr>
        <w:tc>
          <w:tcPr>
            <w:tcW w:w="1667" w:type="dxa"/>
            <w:vMerge w:val="continue"/>
            <w:tcBorders>
              <w:top w:val="nil"/>
              <w:left w:val="single" w:color="auto" w:sz="12" w:space="0"/>
              <w:bottom w:val="single" w:color="auto" w:sz="6" w:space="0"/>
              <w:right w:val="single" w:color="auto" w:sz="6" w:space="0"/>
            </w:tcBorders>
            <w:noWrap w:val="0"/>
            <w:vAlign w:val="center"/>
          </w:tcPr>
          <w:p>
            <w:pPr>
              <w:widowControl/>
              <w:jc w:val="left"/>
              <w:rPr>
                <w:rFonts w:ascii="新宋体" w:hAnsi="新宋体" w:eastAsia="新宋体" w:cs="宋体"/>
                <w:color w:val="auto"/>
              </w:rPr>
            </w:pPr>
          </w:p>
        </w:tc>
        <w:tc>
          <w:tcPr>
            <w:tcW w:w="126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0" w:hRule="atLeast"/>
          <w:jc w:val="center"/>
        </w:trPr>
        <w:tc>
          <w:tcPr>
            <w:tcW w:w="1667" w:type="dxa"/>
            <w:vMerge w:val="continue"/>
            <w:tcBorders>
              <w:top w:val="nil"/>
              <w:left w:val="single" w:color="auto" w:sz="12" w:space="0"/>
              <w:bottom w:val="single" w:color="auto" w:sz="6" w:space="0"/>
              <w:right w:val="single" w:color="auto" w:sz="6" w:space="0"/>
            </w:tcBorders>
            <w:noWrap w:val="0"/>
            <w:vAlign w:val="center"/>
          </w:tcPr>
          <w:p>
            <w:pPr>
              <w:widowControl/>
              <w:jc w:val="left"/>
              <w:rPr>
                <w:rFonts w:ascii="新宋体" w:hAnsi="新宋体" w:eastAsia="新宋体" w:cs="宋体"/>
                <w:color w:val="auto"/>
              </w:rPr>
            </w:pPr>
          </w:p>
        </w:tc>
        <w:tc>
          <w:tcPr>
            <w:tcW w:w="126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0" w:hRule="atLeast"/>
          <w:jc w:val="center"/>
        </w:trPr>
        <w:tc>
          <w:tcPr>
            <w:tcW w:w="1667" w:type="dxa"/>
            <w:vMerge w:val="continue"/>
            <w:tcBorders>
              <w:top w:val="nil"/>
              <w:left w:val="single" w:color="auto" w:sz="12" w:space="0"/>
              <w:bottom w:val="single" w:color="auto" w:sz="6" w:space="0"/>
              <w:right w:val="single" w:color="auto" w:sz="6" w:space="0"/>
            </w:tcBorders>
            <w:noWrap w:val="0"/>
            <w:vAlign w:val="center"/>
          </w:tcPr>
          <w:p>
            <w:pPr>
              <w:widowControl/>
              <w:jc w:val="left"/>
              <w:rPr>
                <w:rFonts w:ascii="新宋体" w:hAnsi="新宋体" w:eastAsia="新宋体" w:cs="宋体"/>
                <w:color w:val="auto"/>
              </w:rPr>
            </w:pPr>
          </w:p>
        </w:tc>
        <w:tc>
          <w:tcPr>
            <w:tcW w:w="126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409" w:hRule="atLeast"/>
          <w:jc w:val="center"/>
        </w:trPr>
        <w:tc>
          <w:tcPr>
            <w:tcW w:w="1667" w:type="dxa"/>
            <w:vMerge w:val="continue"/>
            <w:tcBorders>
              <w:top w:val="nil"/>
              <w:left w:val="single" w:color="auto" w:sz="12" w:space="0"/>
              <w:bottom w:val="single" w:color="auto" w:sz="6" w:space="0"/>
              <w:right w:val="single" w:color="auto" w:sz="6" w:space="0"/>
            </w:tcBorders>
            <w:noWrap w:val="0"/>
            <w:vAlign w:val="center"/>
          </w:tcPr>
          <w:p>
            <w:pPr>
              <w:widowControl/>
              <w:jc w:val="left"/>
              <w:rPr>
                <w:rFonts w:ascii="新宋体" w:hAnsi="新宋体" w:eastAsia="新宋体" w:cs="宋体"/>
                <w:color w:val="auto"/>
              </w:rPr>
            </w:pPr>
          </w:p>
        </w:tc>
        <w:tc>
          <w:tcPr>
            <w:tcW w:w="1264" w:type="dxa"/>
            <w:tcBorders>
              <w:top w:val="single" w:color="auto" w:sz="6" w:space="0"/>
              <w:left w:val="single" w:color="auto" w:sz="6" w:space="0"/>
              <w:bottom w:val="single" w:color="auto" w:sz="1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09" w:type="dxa"/>
            <w:tcBorders>
              <w:top w:val="single" w:color="auto" w:sz="6" w:space="0"/>
              <w:left w:val="single" w:color="auto" w:sz="6" w:space="0"/>
              <w:bottom w:val="single" w:color="auto" w:sz="1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11" w:type="dxa"/>
            <w:tcBorders>
              <w:top w:val="single" w:color="auto" w:sz="6" w:space="0"/>
              <w:left w:val="single" w:color="auto" w:sz="6" w:space="0"/>
              <w:bottom w:val="single" w:color="auto" w:sz="1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789" w:type="dxa"/>
            <w:tcBorders>
              <w:top w:val="single" w:color="auto" w:sz="6" w:space="0"/>
              <w:left w:val="single" w:color="auto" w:sz="6" w:space="0"/>
              <w:bottom w:val="single" w:color="auto" w:sz="12"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bl>
    <w:p>
      <w:pPr>
        <w:spacing w:line="300" w:lineRule="exact"/>
        <w:rPr>
          <w:rFonts w:ascii="新宋体" w:hAnsi="新宋体" w:eastAsia="新宋体"/>
          <w:color w:val="auto"/>
        </w:rPr>
      </w:pPr>
      <w:r>
        <w:rPr>
          <w:rFonts w:ascii="新宋体" w:hAnsi="新宋体" w:eastAsia="新宋体"/>
          <w:color w:val="auto"/>
        </w:rPr>
        <w:br w:type="page"/>
      </w:r>
      <w:r>
        <w:rPr>
          <w:rFonts w:hint="eastAsia" w:ascii="新宋体" w:hAnsi="新宋体" w:eastAsia="新宋体"/>
          <w:b/>
          <w:bCs/>
          <w:color w:val="auto"/>
        </w:rPr>
        <w:t>附</w:t>
      </w:r>
      <w:bookmarkStart w:id="785" w:name="_Toc296347228"/>
      <w:bookmarkEnd w:id="785"/>
      <w:bookmarkStart w:id="786" w:name="_Toc296503229"/>
      <w:bookmarkEnd w:id="786"/>
      <w:bookmarkStart w:id="787" w:name="_Toc296891057"/>
      <w:bookmarkEnd w:id="787"/>
      <w:bookmarkStart w:id="788" w:name="_Toc296891269"/>
      <w:bookmarkEnd w:id="788"/>
      <w:bookmarkStart w:id="789" w:name="_Toc296346730"/>
      <w:bookmarkEnd w:id="789"/>
      <w:bookmarkStart w:id="790" w:name="_Toc296944568"/>
      <w:r>
        <w:rPr>
          <w:rFonts w:hint="eastAsia" w:ascii="新宋体" w:hAnsi="新宋体" w:eastAsia="新宋体"/>
          <w:b/>
          <w:bCs/>
          <w:color w:val="auto"/>
        </w:rPr>
        <w:t>件</w:t>
      </w:r>
      <w:r>
        <w:rPr>
          <w:rFonts w:ascii="新宋体" w:hAnsi="新宋体" w:eastAsia="新宋体"/>
          <w:b/>
          <w:bCs/>
          <w:color w:val="auto"/>
        </w:rPr>
        <w:t>7</w:t>
      </w:r>
      <w:r>
        <w:rPr>
          <w:rFonts w:hint="eastAsia" w:ascii="新宋体" w:hAnsi="新宋体" w:eastAsia="新宋体"/>
          <w:b/>
          <w:bCs/>
          <w:color w:val="auto"/>
        </w:rPr>
        <w:t>：</w:t>
      </w:r>
      <w:bookmarkEnd w:id="790"/>
    </w:p>
    <w:tbl>
      <w:tblPr>
        <w:tblStyle w:val="15"/>
        <w:tblpPr w:leftFromText="180" w:rightFromText="180" w:vertAnchor="text" w:horzAnchor="page" w:tblpX="1250" w:tblpY="548"/>
        <w:tblOverlap w:val="never"/>
        <w:tblW w:w="8940" w:type="dxa"/>
        <w:tblInd w:w="0" w:type="dxa"/>
        <w:tblLayout w:type="fixed"/>
        <w:tblCellMar>
          <w:top w:w="0" w:type="dxa"/>
          <w:left w:w="28" w:type="dxa"/>
          <w:bottom w:w="0" w:type="dxa"/>
          <w:right w:w="28" w:type="dxa"/>
        </w:tblCellMar>
      </w:tblPr>
      <w:tblGrid>
        <w:gridCol w:w="1705"/>
        <w:gridCol w:w="1293"/>
        <w:gridCol w:w="1033"/>
        <w:gridCol w:w="1034"/>
        <w:gridCol w:w="3875"/>
      </w:tblGrid>
      <w:tr>
        <w:tblPrEx>
          <w:tblLayout w:type="fixed"/>
          <w:tblCellMar>
            <w:top w:w="0" w:type="dxa"/>
            <w:left w:w="28" w:type="dxa"/>
            <w:bottom w:w="0" w:type="dxa"/>
            <w:right w:w="28" w:type="dxa"/>
          </w:tblCellMar>
        </w:tblPrEx>
        <w:trPr>
          <w:trHeight w:val="310" w:hRule="atLeast"/>
        </w:trPr>
        <w:tc>
          <w:tcPr>
            <w:tcW w:w="1705" w:type="dxa"/>
            <w:tcBorders>
              <w:top w:val="single" w:color="auto" w:sz="12" w:space="0"/>
              <w:left w:val="single" w:color="auto" w:sz="12"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名</w:t>
            </w:r>
            <w:r>
              <w:rPr>
                <w:rFonts w:ascii="新宋体" w:hAnsi="新宋体" w:eastAsia="新宋体"/>
                <w:color w:val="auto"/>
              </w:rPr>
              <w:t xml:space="preserve">    </w:t>
            </w:r>
            <w:r>
              <w:rPr>
                <w:rFonts w:hint="eastAsia" w:ascii="新宋体" w:hAnsi="新宋体" w:eastAsia="新宋体"/>
                <w:color w:val="auto"/>
              </w:rPr>
              <w:t>称</w:t>
            </w:r>
          </w:p>
        </w:tc>
        <w:tc>
          <w:tcPr>
            <w:tcW w:w="1293"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姓名</w:t>
            </w:r>
          </w:p>
        </w:tc>
        <w:tc>
          <w:tcPr>
            <w:tcW w:w="1033"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职务</w:t>
            </w:r>
          </w:p>
        </w:tc>
        <w:tc>
          <w:tcPr>
            <w:tcW w:w="1034" w:type="dxa"/>
            <w:tcBorders>
              <w:top w:val="single" w:color="auto" w:sz="12" w:space="0"/>
              <w:left w:val="single" w:color="auto" w:sz="6" w:space="0"/>
              <w:bottom w:val="double" w:color="auto" w:sz="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职称</w:t>
            </w:r>
          </w:p>
        </w:tc>
        <w:tc>
          <w:tcPr>
            <w:tcW w:w="3875" w:type="dxa"/>
            <w:tcBorders>
              <w:top w:val="single" w:color="auto" w:sz="12" w:space="0"/>
              <w:left w:val="single" w:color="auto" w:sz="6" w:space="0"/>
              <w:bottom w:val="double" w:color="auto" w:sz="2"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主要资历、经验及承担过的项目</w:t>
            </w:r>
          </w:p>
        </w:tc>
      </w:tr>
      <w:tr>
        <w:tblPrEx>
          <w:tblLayout w:type="fixed"/>
          <w:tblCellMar>
            <w:top w:w="0" w:type="dxa"/>
            <w:left w:w="28" w:type="dxa"/>
            <w:bottom w:w="0" w:type="dxa"/>
            <w:right w:w="28" w:type="dxa"/>
          </w:tblCellMar>
        </w:tblPrEx>
        <w:trPr>
          <w:trHeight w:val="324" w:hRule="atLeast"/>
        </w:trPr>
        <w:tc>
          <w:tcPr>
            <w:tcW w:w="8940" w:type="dxa"/>
            <w:gridSpan w:val="5"/>
            <w:tcBorders>
              <w:top w:val="double" w:color="auto" w:sz="2" w:space="0"/>
              <w:left w:val="single" w:color="auto" w:sz="12"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一、总部人员</w:t>
            </w:r>
          </w:p>
        </w:tc>
      </w:tr>
      <w:tr>
        <w:tblPrEx>
          <w:tblLayout w:type="fixed"/>
          <w:tblCellMar>
            <w:top w:w="0" w:type="dxa"/>
            <w:left w:w="28" w:type="dxa"/>
            <w:bottom w:w="0" w:type="dxa"/>
            <w:right w:w="28" w:type="dxa"/>
          </w:tblCellMar>
        </w:tblPrEx>
        <w:trPr>
          <w:trHeight w:val="296" w:hRule="atLeast"/>
        </w:trPr>
        <w:tc>
          <w:tcPr>
            <w:tcW w:w="1705" w:type="dxa"/>
            <w:tcBorders>
              <w:top w:val="nil"/>
              <w:left w:val="single" w:color="auto" w:sz="12" w:space="0"/>
              <w:bottom w:val="nil"/>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项目主管</w:t>
            </w:r>
          </w:p>
        </w:tc>
        <w:tc>
          <w:tcPr>
            <w:tcW w:w="1293"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3"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4" w:type="dxa"/>
            <w:tcBorders>
              <w:top w:val="nil"/>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875" w:type="dxa"/>
            <w:tcBorders>
              <w:top w:val="nil"/>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nil"/>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875"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296" w:hRule="atLeast"/>
        </w:trPr>
        <w:tc>
          <w:tcPr>
            <w:tcW w:w="1705" w:type="dxa"/>
            <w:tcBorders>
              <w:top w:val="nil"/>
              <w:left w:val="single" w:color="auto" w:sz="12" w:space="0"/>
              <w:bottom w:val="nil"/>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其他人员</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875"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296" w:hRule="atLeast"/>
        </w:trPr>
        <w:tc>
          <w:tcPr>
            <w:tcW w:w="1705" w:type="dxa"/>
            <w:tcBorders>
              <w:top w:val="nil"/>
              <w:left w:val="single" w:color="auto" w:sz="12" w:space="0"/>
              <w:bottom w:val="nil"/>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875"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296" w:hRule="atLeast"/>
        </w:trPr>
        <w:tc>
          <w:tcPr>
            <w:tcW w:w="8940" w:type="dxa"/>
            <w:gridSpan w:val="5"/>
            <w:tcBorders>
              <w:top w:val="single" w:color="auto" w:sz="6" w:space="0"/>
              <w:left w:val="single" w:color="auto" w:sz="12"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二、现场人员</w:t>
            </w:r>
          </w:p>
        </w:tc>
      </w:tr>
      <w:tr>
        <w:tblPrEx>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项目经理</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875"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项目副经理</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875"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技术负责人</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875"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造价管理</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875"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质量管理</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875"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材料管理</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875"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计划管理</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875"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296" w:hRule="atLeast"/>
        </w:trPr>
        <w:tc>
          <w:tcPr>
            <w:tcW w:w="1705" w:type="dxa"/>
            <w:tcBorders>
              <w:top w:val="single" w:color="auto" w:sz="6" w:space="0"/>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安全管理</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875"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296" w:hRule="atLeast"/>
        </w:trPr>
        <w:tc>
          <w:tcPr>
            <w:tcW w:w="1705" w:type="dxa"/>
            <w:vMerge w:val="restart"/>
            <w:tcBorders>
              <w:top w:val="nil"/>
              <w:left w:val="single" w:color="auto" w:sz="12"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其他人员</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875"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296" w:hRule="atLeast"/>
        </w:trPr>
        <w:tc>
          <w:tcPr>
            <w:tcW w:w="1705" w:type="dxa"/>
            <w:vMerge w:val="continue"/>
            <w:tcBorders>
              <w:top w:val="nil"/>
              <w:left w:val="single" w:color="auto" w:sz="12" w:space="0"/>
              <w:bottom w:val="single" w:color="auto" w:sz="6" w:space="0"/>
              <w:right w:val="single" w:color="auto" w:sz="6" w:space="0"/>
            </w:tcBorders>
            <w:noWrap w:val="0"/>
            <w:vAlign w:val="center"/>
          </w:tcPr>
          <w:p>
            <w:pPr>
              <w:widowControl/>
              <w:jc w:val="left"/>
              <w:rPr>
                <w:rFonts w:ascii="新宋体" w:hAnsi="新宋体" w:eastAsia="新宋体" w:cs="宋体"/>
                <w:color w:val="auto"/>
              </w:rPr>
            </w:pPr>
          </w:p>
        </w:tc>
        <w:tc>
          <w:tcPr>
            <w:tcW w:w="1293" w:type="dxa"/>
            <w:tcBorders>
              <w:top w:val="single" w:color="auto" w:sz="6" w:space="0"/>
              <w:left w:val="single" w:color="auto" w:sz="6" w:space="0"/>
              <w:bottom w:val="nil"/>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3" w:type="dxa"/>
            <w:tcBorders>
              <w:top w:val="single" w:color="auto" w:sz="6" w:space="0"/>
              <w:left w:val="single" w:color="auto" w:sz="6" w:space="0"/>
              <w:bottom w:val="nil"/>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4" w:type="dxa"/>
            <w:tcBorders>
              <w:top w:val="single" w:color="auto" w:sz="6" w:space="0"/>
              <w:left w:val="single" w:color="auto" w:sz="6" w:space="0"/>
              <w:bottom w:val="nil"/>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875" w:type="dxa"/>
            <w:tcBorders>
              <w:top w:val="single" w:color="auto" w:sz="6" w:space="0"/>
              <w:left w:val="single" w:color="auto" w:sz="6" w:space="0"/>
              <w:bottom w:val="nil"/>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296" w:hRule="atLeast"/>
        </w:trPr>
        <w:tc>
          <w:tcPr>
            <w:tcW w:w="1705" w:type="dxa"/>
            <w:vMerge w:val="continue"/>
            <w:tcBorders>
              <w:top w:val="nil"/>
              <w:left w:val="single" w:color="auto" w:sz="12" w:space="0"/>
              <w:bottom w:val="single" w:color="auto" w:sz="6" w:space="0"/>
              <w:right w:val="single" w:color="auto" w:sz="6" w:space="0"/>
            </w:tcBorders>
            <w:noWrap w:val="0"/>
            <w:vAlign w:val="center"/>
          </w:tcPr>
          <w:p>
            <w:pPr>
              <w:widowControl/>
              <w:jc w:val="left"/>
              <w:rPr>
                <w:rFonts w:ascii="新宋体" w:hAnsi="新宋体" w:eastAsia="新宋体" w:cs="宋体"/>
                <w:color w:val="auto"/>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875"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296" w:hRule="atLeast"/>
        </w:trPr>
        <w:tc>
          <w:tcPr>
            <w:tcW w:w="1705" w:type="dxa"/>
            <w:vMerge w:val="continue"/>
            <w:tcBorders>
              <w:top w:val="nil"/>
              <w:left w:val="single" w:color="auto" w:sz="12" w:space="0"/>
              <w:bottom w:val="single" w:color="auto" w:sz="6" w:space="0"/>
              <w:right w:val="single" w:color="auto" w:sz="6" w:space="0"/>
            </w:tcBorders>
            <w:noWrap w:val="0"/>
            <w:vAlign w:val="center"/>
          </w:tcPr>
          <w:p>
            <w:pPr>
              <w:widowControl/>
              <w:jc w:val="left"/>
              <w:rPr>
                <w:rFonts w:ascii="新宋体" w:hAnsi="新宋体" w:eastAsia="新宋体" w:cs="宋体"/>
                <w:color w:val="auto"/>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3"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4" w:type="dxa"/>
            <w:tcBorders>
              <w:top w:val="single" w:color="auto" w:sz="6" w:space="0"/>
              <w:left w:val="single" w:color="auto" w:sz="6" w:space="0"/>
              <w:bottom w:val="single" w:color="auto" w:sz="6"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875" w:type="dxa"/>
            <w:tcBorders>
              <w:top w:val="single" w:color="auto" w:sz="6" w:space="0"/>
              <w:left w:val="single" w:color="auto" w:sz="6" w:space="0"/>
              <w:bottom w:val="single" w:color="auto" w:sz="6"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24" w:hRule="atLeast"/>
        </w:trPr>
        <w:tc>
          <w:tcPr>
            <w:tcW w:w="1705" w:type="dxa"/>
            <w:vMerge w:val="continue"/>
            <w:tcBorders>
              <w:top w:val="nil"/>
              <w:left w:val="single" w:color="auto" w:sz="12" w:space="0"/>
              <w:bottom w:val="single" w:color="auto" w:sz="6" w:space="0"/>
              <w:right w:val="single" w:color="auto" w:sz="6" w:space="0"/>
            </w:tcBorders>
            <w:noWrap w:val="0"/>
            <w:vAlign w:val="center"/>
          </w:tcPr>
          <w:p>
            <w:pPr>
              <w:widowControl/>
              <w:jc w:val="left"/>
              <w:rPr>
                <w:rFonts w:ascii="新宋体" w:hAnsi="新宋体" w:eastAsia="新宋体" w:cs="宋体"/>
                <w:color w:val="auto"/>
              </w:rPr>
            </w:pPr>
          </w:p>
        </w:tc>
        <w:tc>
          <w:tcPr>
            <w:tcW w:w="1293" w:type="dxa"/>
            <w:tcBorders>
              <w:top w:val="single" w:color="auto" w:sz="6" w:space="0"/>
              <w:left w:val="single" w:color="auto" w:sz="6" w:space="0"/>
              <w:bottom w:val="single" w:color="auto" w:sz="1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3" w:type="dxa"/>
            <w:tcBorders>
              <w:top w:val="single" w:color="auto" w:sz="6" w:space="0"/>
              <w:left w:val="single" w:color="auto" w:sz="6" w:space="0"/>
              <w:bottom w:val="single" w:color="auto" w:sz="1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1034" w:type="dxa"/>
            <w:tcBorders>
              <w:top w:val="single" w:color="auto" w:sz="6" w:space="0"/>
              <w:left w:val="single" w:color="auto" w:sz="6" w:space="0"/>
              <w:bottom w:val="single" w:color="auto" w:sz="12" w:space="0"/>
              <w:right w:val="single" w:color="auto" w:sz="6" w:space="0"/>
            </w:tcBorders>
            <w:noWrap w:val="0"/>
            <w:vAlign w:val="center"/>
          </w:tcPr>
          <w:p>
            <w:pPr>
              <w:pStyle w:val="3"/>
              <w:keepNext/>
              <w:spacing w:line="300" w:lineRule="exact"/>
              <w:ind w:left="63" w:right="63"/>
              <w:rPr>
                <w:rFonts w:ascii="新宋体" w:hAnsi="新宋体" w:eastAsia="新宋体"/>
                <w:color w:val="auto"/>
              </w:rPr>
            </w:pPr>
          </w:p>
        </w:tc>
        <w:tc>
          <w:tcPr>
            <w:tcW w:w="3875" w:type="dxa"/>
            <w:tcBorders>
              <w:top w:val="single" w:color="auto" w:sz="6" w:space="0"/>
              <w:left w:val="single" w:color="auto" w:sz="6" w:space="0"/>
              <w:bottom w:val="single" w:color="auto" w:sz="12" w:space="0"/>
              <w:right w:val="single" w:color="auto" w:sz="12" w:space="0"/>
            </w:tcBorders>
            <w:noWrap w:val="0"/>
            <w:vAlign w:val="center"/>
          </w:tcPr>
          <w:p>
            <w:pPr>
              <w:pStyle w:val="3"/>
              <w:keepNext/>
              <w:spacing w:line="300" w:lineRule="exact"/>
              <w:ind w:left="63" w:right="63"/>
              <w:rPr>
                <w:rFonts w:ascii="新宋体" w:hAnsi="新宋体" w:eastAsia="新宋体"/>
                <w:color w:val="auto"/>
              </w:rPr>
            </w:pPr>
          </w:p>
        </w:tc>
      </w:tr>
    </w:tbl>
    <w:p>
      <w:pPr>
        <w:spacing w:line="300" w:lineRule="exact"/>
        <w:jc w:val="center"/>
        <w:rPr>
          <w:rFonts w:ascii="新宋体" w:hAnsi="新宋体" w:eastAsia="新宋体"/>
          <w:color w:val="auto"/>
        </w:rPr>
      </w:pPr>
      <w:r>
        <w:rPr>
          <w:rFonts w:hint="eastAsia" w:ascii="新宋体" w:hAnsi="新宋体" w:eastAsia="新宋体"/>
          <w:color w:val="auto"/>
        </w:rPr>
        <w:t>分包人主要施工管理人员表</w:t>
      </w:r>
    </w:p>
    <w:p>
      <w:pPr>
        <w:spacing w:line="300" w:lineRule="exact"/>
        <w:rPr>
          <w:rFonts w:ascii="新宋体" w:hAnsi="新宋体" w:eastAsia="新宋体"/>
          <w:color w:val="auto"/>
        </w:rPr>
      </w:pPr>
      <w:r>
        <w:rPr>
          <w:rFonts w:ascii="新宋体" w:hAnsi="新宋体" w:eastAsia="新宋体"/>
          <w:color w:val="auto"/>
        </w:rPr>
        <w:br w:type="page"/>
      </w:r>
      <w:bookmarkStart w:id="791" w:name="_Toc267261701"/>
      <w:bookmarkEnd w:id="791"/>
      <w:r>
        <w:rPr>
          <w:rFonts w:hint="eastAsia" w:ascii="新宋体" w:hAnsi="新宋体" w:eastAsia="新宋体"/>
          <w:b/>
          <w:bCs/>
          <w:color w:val="auto"/>
        </w:rPr>
        <w:t>附</w:t>
      </w:r>
      <w:bookmarkStart w:id="792" w:name="_Toc296503231"/>
      <w:bookmarkEnd w:id="792"/>
      <w:bookmarkStart w:id="793" w:name="_Toc296891059"/>
      <w:bookmarkEnd w:id="793"/>
      <w:bookmarkStart w:id="794" w:name="_Toc296347230"/>
      <w:bookmarkEnd w:id="794"/>
      <w:bookmarkStart w:id="795" w:name="_Toc296944570"/>
      <w:bookmarkEnd w:id="795"/>
      <w:bookmarkStart w:id="796" w:name="_Toc296891271"/>
      <w:bookmarkEnd w:id="796"/>
      <w:bookmarkStart w:id="797" w:name="_Toc296346732"/>
      <w:r>
        <w:rPr>
          <w:rFonts w:hint="eastAsia" w:ascii="新宋体" w:hAnsi="新宋体" w:eastAsia="新宋体"/>
          <w:b/>
          <w:bCs/>
          <w:color w:val="auto"/>
        </w:rPr>
        <w:t>件</w:t>
      </w:r>
      <w:r>
        <w:rPr>
          <w:rFonts w:ascii="新宋体" w:hAnsi="新宋体" w:eastAsia="新宋体"/>
          <w:b/>
          <w:bCs/>
          <w:color w:val="auto"/>
        </w:rPr>
        <w:t>8</w:t>
      </w:r>
      <w:r>
        <w:rPr>
          <w:rFonts w:hint="eastAsia" w:ascii="新宋体" w:hAnsi="新宋体" w:eastAsia="新宋体"/>
          <w:b/>
          <w:bCs/>
          <w:color w:val="auto"/>
        </w:rPr>
        <w:t>：</w:t>
      </w:r>
      <w:bookmarkEnd w:id="797"/>
    </w:p>
    <w:p>
      <w:pPr>
        <w:spacing w:line="300" w:lineRule="exact"/>
        <w:jc w:val="center"/>
        <w:rPr>
          <w:rFonts w:hint="eastAsia" w:ascii="新宋体" w:hAnsi="新宋体" w:eastAsia="新宋体"/>
          <w:color w:val="auto"/>
        </w:rPr>
      </w:pPr>
    </w:p>
    <w:p>
      <w:pPr>
        <w:spacing w:line="300" w:lineRule="exact"/>
        <w:jc w:val="center"/>
        <w:rPr>
          <w:rFonts w:ascii="新宋体" w:hAnsi="新宋体" w:eastAsia="新宋体"/>
          <w:color w:val="auto"/>
        </w:rPr>
      </w:pPr>
      <w:r>
        <w:rPr>
          <w:rFonts w:hint="eastAsia" w:ascii="新宋体" w:hAnsi="新宋体" w:eastAsia="新宋体"/>
          <w:color w:val="auto"/>
        </w:rPr>
        <w:t>履约担保</w:t>
      </w:r>
    </w:p>
    <w:p>
      <w:pPr>
        <w:spacing w:line="300" w:lineRule="exact"/>
        <w:rPr>
          <w:rFonts w:ascii="新宋体" w:hAnsi="新宋体" w:eastAsia="新宋体"/>
          <w:color w:val="auto"/>
        </w:rPr>
      </w:pPr>
      <w:r>
        <w:rPr>
          <w:rFonts w:ascii="新宋体" w:hAnsi="新宋体" w:eastAsia="新宋体"/>
          <w:color w:val="auto"/>
          <w:u w:val="single"/>
        </w:rPr>
        <w:t xml:space="preserve">             </w:t>
      </w:r>
      <w:r>
        <w:rPr>
          <w:rFonts w:ascii="新宋体" w:hAnsi="新宋体" w:eastAsia="新宋体"/>
          <w:color w:val="auto"/>
          <w:u w:val="single"/>
        </w:rPr>
        <w:tab/>
      </w:r>
      <w:r>
        <w:rPr>
          <w:rFonts w:hint="eastAsia" w:ascii="新宋体" w:hAnsi="新宋体" w:eastAsia="新宋体"/>
          <w:color w:val="auto"/>
        </w:rPr>
        <w:t>（发包人名称）：</w:t>
      </w:r>
    </w:p>
    <w:p>
      <w:pPr>
        <w:spacing w:line="300" w:lineRule="exact"/>
        <w:rPr>
          <w:rFonts w:ascii="新宋体" w:hAnsi="新宋体" w:eastAsia="新宋体"/>
          <w:color w:val="auto"/>
        </w:rPr>
      </w:pPr>
      <w:r>
        <w:rPr>
          <w:rFonts w:ascii="新宋体" w:hAnsi="新宋体" w:eastAsia="新宋体"/>
          <w:color w:val="auto"/>
        </w:rPr>
        <w:t xml:space="preserve"> </w:t>
      </w:r>
    </w:p>
    <w:p>
      <w:pPr>
        <w:spacing w:line="360" w:lineRule="auto"/>
        <w:ind w:firstLine="420" w:firstLineChars="200"/>
        <w:rPr>
          <w:rFonts w:ascii="新宋体" w:hAnsi="新宋体" w:eastAsia="新宋体"/>
          <w:color w:val="auto"/>
        </w:rPr>
      </w:pPr>
      <w:r>
        <w:rPr>
          <w:rFonts w:hint="eastAsia" w:ascii="新宋体" w:hAnsi="新宋体" w:eastAsia="新宋体"/>
          <w:color w:val="auto"/>
        </w:rPr>
        <w:t>鉴于</w:t>
      </w:r>
      <w:r>
        <w:rPr>
          <w:rFonts w:ascii="新宋体" w:hAnsi="新宋体" w:eastAsia="新宋体"/>
          <w:color w:val="auto"/>
          <w:u w:val="single"/>
        </w:rPr>
        <w:t xml:space="preserve">                </w:t>
      </w:r>
      <w:r>
        <w:rPr>
          <w:rFonts w:hint="eastAsia" w:ascii="新宋体" w:hAnsi="新宋体" w:eastAsia="新宋体"/>
          <w:color w:val="auto"/>
        </w:rPr>
        <w:t>（发包人名称，以下简称“发包人”）与</w:t>
      </w:r>
    </w:p>
    <w:p>
      <w:pPr>
        <w:spacing w:line="360" w:lineRule="auto"/>
        <w:rPr>
          <w:rFonts w:ascii="新宋体" w:hAnsi="新宋体" w:eastAsia="新宋体"/>
          <w:color w:val="auto"/>
        </w:rPr>
      </w:pPr>
      <w:r>
        <w:rPr>
          <w:rFonts w:ascii="新宋体" w:hAnsi="新宋体" w:eastAsia="新宋体"/>
          <w:color w:val="auto"/>
        </w:rPr>
        <w:t xml:space="preserve"> </w:t>
      </w:r>
      <w:r>
        <w:rPr>
          <w:rFonts w:ascii="新宋体" w:hAnsi="新宋体" w:eastAsia="新宋体"/>
          <w:color w:val="auto"/>
          <w:u w:val="single"/>
        </w:rPr>
        <w:t xml:space="preserve">                           </w:t>
      </w:r>
      <w:r>
        <w:rPr>
          <w:rFonts w:hint="eastAsia" w:ascii="新宋体" w:hAnsi="新宋体" w:eastAsia="新宋体"/>
          <w:color w:val="auto"/>
        </w:rPr>
        <w:t>（承包人名称）（以下称“承包人”）于</w:t>
      </w:r>
      <w:r>
        <w:rPr>
          <w:rFonts w:ascii="新宋体" w:hAnsi="新宋体" w:eastAsia="新宋体"/>
          <w:color w:val="auto"/>
          <w:u w:val="single"/>
        </w:rPr>
        <w:t xml:space="preserve">    </w:t>
      </w:r>
      <w:r>
        <w:rPr>
          <w:rFonts w:hint="eastAsia" w:ascii="新宋体" w:hAnsi="新宋体" w:eastAsia="新宋体"/>
          <w:color w:val="auto"/>
        </w:rPr>
        <w:t>年</w:t>
      </w:r>
      <w:r>
        <w:rPr>
          <w:rFonts w:ascii="新宋体" w:hAnsi="新宋体" w:eastAsia="新宋体"/>
          <w:color w:val="auto"/>
          <w:u w:val="single"/>
        </w:rPr>
        <w:t xml:space="preserve">   </w:t>
      </w:r>
      <w:r>
        <w:rPr>
          <w:rFonts w:hint="eastAsia" w:ascii="新宋体" w:hAnsi="新宋体" w:eastAsia="新宋体"/>
          <w:color w:val="auto"/>
        </w:rPr>
        <w:t>月</w:t>
      </w:r>
      <w:r>
        <w:rPr>
          <w:rFonts w:ascii="新宋体" w:hAnsi="新宋体" w:eastAsia="新宋体"/>
          <w:color w:val="auto"/>
          <w:u w:val="single"/>
        </w:rPr>
        <w:t xml:space="preserve">   </w:t>
      </w:r>
      <w:r>
        <w:rPr>
          <w:rFonts w:hint="eastAsia" w:ascii="新宋体" w:hAnsi="新宋体" w:eastAsia="新宋体"/>
          <w:color w:val="auto"/>
        </w:rPr>
        <w:t>日就</w:t>
      </w:r>
      <w:r>
        <w:rPr>
          <w:rFonts w:ascii="新宋体" w:hAnsi="新宋体" w:eastAsia="新宋体"/>
          <w:color w:val="auto"/>
          <w:u w:val="single"/>
        </w:rPr>
        <w:t xml:space="preserve">                         </w:t>
      </w:r>
      <w:r>
        <w:rPr>
          <w:rFonts w:hint="eastAsia" w:ascii="新宋体" w:hAnsi="新宋体" w:eastAsia="新宋体"/>
          <w:color w:val="auto"/>
        </w:rPr>
        <w:t>（工程名称）施工及有关事项协商一致共同签订《建设工程施工合同》。我方愿意无条件地、不可撤销地就承包人履行与你方签订的合同，向你方提供连带责任担保。</w:t>
      </w:r>
      <w:r>
        <w:rPr>
          <w:rFonts w:ascii="新宋体" w:hAnsi="新宋体" w:eastAsia="新宋体"/>
          <w:color w:val="auto"/>
        </w:rPr>
        <w:t xml:space="preserve"> </w:t>
      </w:r>
    </w:p>
    <w:p>
      <w:pPr>
        <w:spacing w:line="360" w:lineRule="auto"/>
        <w:ind w:firstLine="420" w:firstLineChars="200"/>
        <w:rPr>
          <w:rFonts w:ascii="新宋体" w:hAnsi="新宋体" w:eastAsia="新宋体"/>
          <w:color w:val="auto"/>
        </w:rPr>
      </w:pPr>
      <w:r>
        <w:rPr>
          <w:rFonts w:ascii="新宋体" w:hAnsi="新宋体" w:eastAsia="新宋体"/>
          <w:color w:val="auto"/>
        </w:rPr>
        <w:t xml:space="preserve">1. </w:t>
      </w:r>
      <w:r>
        <w:rPr>
          <w:rFonts w:hint="eastAsia" w:ascii="新宋体" w:hAnsi="新宋体" w:eastAsia="新宋体"/>
          <w:color w:val="auto"/>
        </w:rPr>
        <w:t>担保金额人民币（大写）</w:t>
      </w:r>
      <w:r>
        <w:rPr>
          <w:rFonts w:ascii="新宋体" w:hAnsi="新宋体" w:eastAsia="新宋体"/>
          <w:color w:val="auto"/>
          <w:u w:val="single"/>
        </w:rPr>
        <w:t xml:space="preserve">                 </w:t>
      </w:r>
      <w:r>
        <w:rPr>
          <w:rFonts w:hint="eastAsia" w:ascii="新宋体" w:hAnsi="新宋体" w:eastAsia="新宋体"/>
          <w:color w:val="auto"/>
        </w:rPr>
        <w:t>元（¥</w:t>
      </w:r>
      <w:r>
        <w:rPr>
          <w:rFonts w:ascii="新宋体" w:hAnsi="新宋体" w:eastAsia="新宋体"/>
          <w:color w:val="auto"/>
          <w:u w:val="single"/>
        </w:rPr>
        <w:t xml:space="preserve">             </w:t>
      </w:r>
      <w:r>
        <w:rPr>
          <w:rFonts w:hint="eastAsia" w:ascii="新宋体" w:hAnsi="新宋体" w:eastAsia="新宋体"/>
          <w:color w:val="auto"/>
        </w:rPr>
        <w:t>）。</w:t>
      </w:r>
    </w:p>
    <w:p>
      <w:pPr>
        <w:spacing w:line="360" w:lineRule="auto"/>
        <w:ind w:firstLine="420" w:firstLineChars="200"/>
        <w:rPr>
          <w:rFonts w:ascii="新宋体" w:hAnsi="新宋体" w:eastAsia="新宋体"/>
          <w:color w:val="auto"/>
        </w:rPr>
      </w:pPr>
      <w:r>
        <w:rPr>
          <w:rFonts w:ascii="新宋体" w:hAnsi="新宋体" w:eastAsia="新宋体"/>
          <w:color w:val="auto"/>
        </w:rPr>
        <w:t xml:space="preserve">2. </w:t>
      </w:r>
      <w:r>
        <w:rPr>
          <w:rFonts w:hint="eastAsia" w:ascii="新宋体" w:hAnsi="新宋体" w:eastAsia="新宋体"/>
          <w:color w:val="auto"/>
        </w:rPr>
        <w:t>担保有效期自你方与承包人签订的合同生效之日起至你方签发或应签发工程接收证书之日止。</w:t>
      </w:r>
    </w:p>
    <w:p>
      <w:pPr>
        <w:spacing w:line="360" w:lineRule="auto"/>
        <w:ind w:firstLine="420" w:firstLineChars="200"/>
        <w:rPr>
          <w:rFonts w:ascii="新宋体" w:hAnsi="新宋体" w:eastAsia="新宋体"/>
          <w:color w:val="auto"/>
        </w:rPr>
      </w:pPr>
      <w:r>
        <w:rPr>
          <w:rFonts w:ascii="新宋体" w:hAnsi="新宋体" w:eastAsia="新宋体"/>
          <w:color w:val="auto"/>
        </w:rPr>
        <w:t xml:space="preserve">3. </w:t>
      </w:r>
      <w:r>
        <w:rPr>
          <w:rFonts w:hint="eastAsia" w:ascii="新宋体" w:hAnsi="新宋体" w:eastAsia="新宋体"/>
          <w:color w:val="auto"/>
        </w:rPr>
        <w:t>在本担保有效期内，因承包人违反合同约定的义务给你方造成经济损失时，我方在收到你方以书面形式提出的在担保金额内的赔偿要求后，在</w:t>
      </w:r>
      <w:r>
        <w:rPr>
          <w:rFonts w:ascii="新宋体" w:hAnsi="新宋体" w:eastAsia="新宋体"/>
          <w:color w:val="auto"/>
        </w:rPr>
        <w:t>7</w:t>
      </w:r>
      <w:r>
        <w:rPr>
          <w:rFonts w:hint="eastAsia" w:ascii="新宋体" w:hAnsi="新宋体" w:eastAsia="新宋体"/>
          <w:color w:val="auto"/>
        </w:rPr>
        <w:t>天内无条件支付。</w:t>
      </w:r>
    </w:p>
    <w:p>
      <w:pPr>
        <w:spacing w:line="360" w:lineRule="auto"/>
        <w:ind w:firstLine="420" w:firstLineChars="200"/>
        <w:rPr>
          <w:rFonts w:ascii="新宋体" w:hAnsi="新宋体" w:eastAsia="新宋体"/>
          <w:color w:val="auto"/>
        </w:rPr>
      </w:pPr>
      <w:r>
        <w:rPr>
          <w:rFonts w:ascii="新宋体" w:hAnsi="新宋体" w:eastAsia="新宋体"/>
          <w:color w:val="auto"/>
        </w:rPr>
        <w:t xml:space="preserve">4. </w:t>
      </w:r>
      <w:r>
        <w:rPr>
          <w:rFonts w:hint="eastAsia" w:ascii="新宋体" w:hAnsi="新宋体" w:eastAsia="新宋体"/>
          <w:color w:val="auto"/>
        </w:rPr>
        <w:t>你方和承包人按合同约定变更合同时，我方承担本担保规定的义务不变。</w:t>
      </w:r>
    </w:p>
    <w:p>
      <w:pPr>
        <w:spacing w:line="360" w:lineRule="auto"/>
        <w:ind w:firstLine="420" w:firstLineChars="200"/>
        <w:rPr>
          <w:rFonts w:ascii="新宋体" w:hAnsi="新宋体" w:eastAsia="新宋体"/>
          <w:color w:val="auto"/>
        </w:rPr>
      </w:pPr>
      <w:r>
        <w:rPr>
          <w:rFonts w:ascii="新宋体" w:hAnsi="新宋体" w:eastAsia="新宋体"/>
          <w:color w:val="auto"/>
        </w:rPr>
        <w:t xml:space="preserve">5. </w:t>
      </w:r>
      <w:r>
        <w:rPr>
          <w:rFonts w:hint="eastAsia" w:ascii="新宋体" w:hAnsi="新宋体" w:eastAsia="新宋体"/>
          <w:color w:val="auto"/>
        </w:rPr>
        <w:t>因本保函发生的纠纷，可由双方协商解决，协商不成的，任何一方均可提请</w:t>
      </w:r>
      <w:r>
        <w:rPr>
          <w:rFonts w:ascii="新宋体" w:hAnsi="新宋体" w:eastAsia="新宋体"/>
          <w:color w:val="auto"/>
          <w:u w:val="single"/>
        </w:rPr>
        <w:t xml:space="preserve">        </w:t>
      </w:r>
      <w:r>
        <w:rPr>
          <w:rFonts w:hint="eastAsia" w:ascii="新宋体" w:hAnsi="新宋体" w:eastAsia="新宋体"/>
          <w:color w:val="auto"/>
        </w:rPr>
        <w:t>仲裁委员会仲裁。</w:t>
      </w:r>
    </w:p>
    <w:p>
      <w:pPr>
        <w:spacing w:line="360" w:lineRule="auto"/>
        <w:ind w:firstLine="420" w:firstLineChars="200"/>
        <w:rPr>
          <w:rFonts w:ascii="新宋体" w:hAnsi="新宋体" w:eastAsia="新宋体"/>
          <w:color w:val="auto"/>
        </w:rPr>
      </w:pPr>
      <w:r>
        <w:rPr>
          <w:rFonts w:ascii="新宋体" w:hAnsi="新宋体" w:eastAsia="新宋体"/>
          <w:color w:val="auto"/>
        </w:rPr>
        <w:t xml:space="preserve">6. </w:t>
      </w:r>
      <w:r>
        <w:rPr>
          <w:rFonts w:hint="eastAsia" w:ascii="新宋体" w:hAnsi="新宋体" w:eastAsia="新宋体"/>
          <w:color w:val="auto"/>
        </w:rPr>
        <w:t>本保函自我方法定代表人（或其授权代理人）签字并加盖公章之日起生效。</w:t>
      </w:r>
    </w:p>
    <w:p>
      <w:pPr>
        <w:spacing w:line="360" w:lineRule="auto"/>
        <w:rPr>
          <w:rFonts w:ascii="新宋体" w:hAnsi="新宋体" w:eastAsia="新宋体"/>
          <w:color w:val="auto"/>
        </w:rPr>
      </w:pPr>
      <w:r>
        <w:rPr>
          <w:rFonts w:ascii="新宋体" w:hAnsi="新宋体" w:eastAsia="新宋体"/>
          <w:color w:val="auto"/>
        </w:rPr>
        <w:t xml:space="preserve"> </w:t>
      </w:r>
    </w:p>
    <w:p>
      <w:pPr>
        <w:spacing w:line="360" w:lineRule="auto"/>
        <w:rPr>
          <w:rFonts w:ascii="新宋体" w:hAnsi="新宋体" w:eastAsia="新宋体"/>
          <w:color w:val="auto"/>
        </w:rPr>
      </w:pPr>
      <w:r>
        <w:rPr>
          <w:rFonts w:hint="eastAsia" w:ascii="新宋体" w:hAnsi="新宋体" w:eastAsia="新宋体"/>
          <w:color w:val="auto"/>
        </w:rPr>
        <w:t>担</w:t>
      </w:r>
      <w:r>
        <w:rPr>
          <w:rFonts w:ascii="新宋体" w:hAnsi="新宋体" w:eastAsia="新宋体"/>
          <w:color w:val="auto"/>
        </w:rPr>
        <w:t xml:space="preserve"> </w:t>
      </w:r>
      <w:r>
        <w:rPr>
          <w:rFonts w:hint="eastAsia" w:ascii="新宋体" w:hAnsi="新宋体" w:eastAsia="新宋体"/>
          <w:color w:val="auto"/>
        </w:rPr>
        <w:t>保</w:t>
      </w:r>
      <w:r>
        <w:rPr>
          <w:rFonts w:ascii="新宋体" w:hAnsi="新宋体" w:eastAsia="新宋体"/>
          <w:color w:val="auto"/>
        </w:rPr>
        <w:t xml:space="preserve"> </w:t>
      </w:r>
      <w:r>
        <w:rPr>
          <w:rFonts w:hint="eastAsia" w:ascii="新宋体" w:hAnsi="新宋体" w:eastAsia="新宋体"/>
          <w:color w:val="auto"/>
        </w:rPr>
        <w:t>人：</w:t>
      </w:r>
      <w:r>
        <w:rPr>
          <w:rFonts w:ascii="新宋体" w:hAnsi="新宋体" w:eastAsia="新宋体"/>
          <w:color w:val="auto"/>
          <w:u w:val="single"/>
        </w:rPr>
        <w:t xml:space="preserve">                           </w:t>
      </w:r>
      <w:r>
        <w:rPr>
          <w:rFonts w:hint="eastAsia" w:ascii="新宋体" w:hAnsi="新宋体" w:eastAsia="新宋体"/>
          <w:color w:val="auto"/>
        </w:rPr>
        <w:t>（盖单位章）</w:t>
      </w:r>
    </w:p>
    <w:p>
      <w:pPr>
        <w:spacing w:line="360" w:lineRule="auto"/>
        <w:rPr>
          <w:rFonts w:ascii="新宋体" w:hAnsi="新宋体" w:eastAsia="新宋体"/>
          <w:color w:val="auto"/>
        </w:rPr>
      </w:pPr>
      <w:r>
        <w:rPr>
          <w:rFonts w:hint="eastAsia" w:ascii="新宋体" w:hAnsi="新宋体" w:eastAsia="新宋体"/>
          <w:color w:val="auto"/>
        </w:rPr>
        <w:t>法定代表人或其委托代理人：</w:t>
      </w:r>
      <w:r>
        <w:rPr>
          <w:rFonts w:ascii="新宋体" w:hAnsi="新宋体" w:eastAsia="新宋体"/>
          <w:color w:val="auto"/>
          <w:u w:val="single"/>
        </w:rPr>
        <w:t xml:space="preserve">               </w:t>
      </w:r>
      <w:r>
        <w:rPr>
          <w:rFonts w:hint="eastAsia" w:ascii="新宋体" w:hAnsi="新宋体" w:eastAsia="新宋体"/>
          <w:color w:val="auto"/>
        </w:rPr>
        <w:t>（签字）</w:t>
      </w:r>
    </w:p>
    <w:p>
      <w:pPr>
        <w:spacing w:line="360" w:lineRule="auto"/>
        <w:rPr>
          <w:rFonts w:ascii="新宋体" w:hAnsi="新宋体" w:eastAsia="新宋体"/>
          <w:color w:val="auto"/>
        </w:rPr>
      </w:pPr>
      <w:r>
        <w:rPr>
          <w:rFonts w:hint="eastAsia" w:ascii="新宋体" w:hAnsi="新宋体" w:eastAsia="新宋体"/>
          <w:color w:val="auto"/>
        </w:rPr>
        <w:t>地</w:t>
      </w:r>
      <w:r>
        <w:rPr>
          <w:rFonts w:ascii="新宋体" w:hAnsi="新宋体" w:eastAsia="新宋体"/>
          <w:color w:val="auto"/>
        </w:rPr>
        <w:t xml:space="preserve">    </w:t>
      </w:r>
      <w:r>
        <w:rPr>
          <w:rFonts w:hint="eastAsia" w:ascii="新宋体" w:hAnsi="新宋体" w:eastAsia="新宋体"/>
          <w:color w:val="auto"/>
        </w:rPr>
        <w:t>址：</w:t>
      </w:r>
      <w:r>
        <w:rPr>
          <w:rFonts w:ascii="新宋体" w:hAnsi="新宋体" w:eastAsia="新宋体"/>
          <w:color w:val="auto"/>
          <w:u w:val="single"/>
        </w:rPr>
        <w:t xml:space="preserve">                                      </w:t>
      </w:r>
    </w:p>
    <w:p>
      <w:pPr>
        <w:spacing w:line="360" w:lineRule="auto"/>
        <w:rPr>
          <w:rFonts w:ascii="新宋体" w:hAnsi="新宋体" w:eastAsia="新宋体"/>
          <w:color w:val="auto"/>
        </w:rPr>
      </w:pPr>
      <w:r>
        <w:rPr>
          <w:rFonts w:hint="eastAsia" w:ascii="新宋体" w:hAnsi="新宋体" w:eastAsia="新宋体"/>
          <w:color w:val="auto"/>
        </w:rPr>
        <w:t>邮政编码：</w:t>
      </w:r>
      <w:r>
        <w:rPr>
          <w:rFonts w:ascii="新宋体" w:hAnsi="新宋体" w:eastAsia="新宋体"/>
          <w:color w:val="auto"/>
          <w:u w:val="single"/>
        </w:rPr>
        <w:t xml:space="preserve">                                      </w:t>
      </w:r>
    </w:p>
    <w:p>
      <w:pPr>
        <w:spacing w:line="360" w:lineRule="auto"/>
        <w:rPr>
          <w:rFonts w:ascii="新宋体" w:hAnsi="新宋体" w:eastAsia="新宋体"/>
          <w:color w:val="auto"/>
          <w:u w:val="single"/>
        </w:rPr>
      </w:pPr>
      <w:r>
        <w:rPr>
          <w:rFonts w:hint="eastAsia" w:ascii="新宋体" w:hAnsi="新宋体" w:eastAsia="新宋体"/>
          <w:color w:val="auto"/>
        </w:rPr>
        <w:t>电</w:t>
      </w:r>
      <w:r>
        <w:rPr>
          <w:rFonts w:ascii="新宋体" w:hAnsi="新宋体" w:eastAsia="新宋体"/>
          <w:color w:val="auto"/>
        </w:rPr>
        <w:t xml:space="preserve">    </w:t>
      </w:r>
      <w:r>
        <w:rPr>
          <w:rFonts w:hint="eastAsia" w:ascii="新宋体" w:hAnsi="新宋体" w:eastAsia="新宋体"/>
          <w:color w:val="auto"/>
        </w:rPr>
        <w:t>话：</w:t>
      </w:r>
      <w:r>
        <w:rPr>
          <w:rFonts w:ascii="新宋体" w:hAnsi="新宋体" w:eastAsia="新宋体"/>
          <w:color w:val="auto"/>
          <w:u w:val="single"/>
        </w:rPr>
        <w:t xml:space="preserve">                                      </w:t>
      </w:r>
    </w:p>
    <w:p>
      <w:pPr>
        <w:spacing w:line="360" w:lineRule="auto"/>
        <w:rPr>
          <w:rFonts w:ascii="新宋体" w:hAnsi="新宋体" w:eastAsia="新宋体"/>
          <w:color w:val="auto"/>
        </w:rPr>
      </w:pPr>
      <w:r>
        <w:rPr>
          <w:rFonts w:hint="eastAsia" w:ascii="新宋体" w:hAnsi="新宋体" w:eastAsia="新宋体"/>
          <w:color w:val="auto"/>
        </w:rPr>
        <w:t>传</w:t>
      </w:r>
      <w:r>
        <w:rPr>
          <w:rFonts w:ascii="新宋体" w:hAnsi="新宋体" w:eastAsia="新宋体"/>
          <w:color w:val="auto"/>
        </w:rPr>
        <w:t xml:space="preserve">    </w:t>
      </w:r>
      <w:r>
        <w:rPr>
          <w:rFonts w:hint="eastAsia" w:ascii="新宋体" w:hAnsi="新宋体" w:eastAsia="新宋体"/>
          <w:color w:val="auto"/>
        </w:rPr>
        <w:t>真：</w:t>
      </w:r>
      <w:r>
        <w:rPr>
          <w:rFonts w:ascii="新宋体" w:hAnsi="新宋体" w:eastAsia="新宋体"/>
          <w:color w:val="auto"/>
          <w:u w:val="single"/>
        </w:rPr>
        <w:t xml:space="preserve">                                      </w:t>
      </w:r>
    </w:p>
    <w:p>
      <w:pPr>
        <w:spacing w:line="360" w:lineRule="auto"/>
        <w:ind w:left="1329" w:hanging="1329" w:hangingChars="633"/>
        <w:rPr>
          <w:rFonts w:ascii="新宋体" w:hAnsi="新宋体" w:eastAsia="新宋体"/>
          <w:color w:val="auto"/>
        </w:rPr>
      </w:pPr>
      <w:r>
        <w:rPr>
          <w:rFonts w:ascii="新宋体" w:hAnsi="新宋体" w:eastAsia="新宋体"/>
          <w:color w:val="auto"/>
        </w:rPr>
        <w:t xml:space="preserve">               </w:t>
      </w:r>
      <w:r>
        <w:rPr>
          <w:rFonts w:ascii="新宋体" w:hAnsi="新宋体" w:eastAsia="新宋体"/>
          <w:color w:val="auto"/>
          <w:u w:val="single"/>
        </w:rPr>
        <w:t xml:space="preserve">           </w:t>
      </w:r>
      <w:r>
        <w:rPr>
          <w:rFonts w:hint="eastAsia" w:ascii="新宋体" w:hAnsi="新宋体" w:eastAsia="新宋体"/>
          <w:color w:val="auto"/>
        </w:rPr>
        <w:t>年</w:t>
      </w:r>
      <w:r>
        <w:rPr>
          <w:rFonts w:ascii="新宋体" w:hAnsi="新宋体" w:eastAsia="新宋体"/>
          <w:color w:val="auto"/>
          <w:u w:val="single"/>
        </w:rPr>
        <w:t xml:space="preserve">        </w:t>
      </w:r>
      <w:r>
        <w:rPr>
          <w:rFonts w:hint="eastAsia" w:ascii="新宋体" w:hAnsi="新宋体" w:eastAsia="新宋体"/>
          <w:color w:val="auto"/>
        </w:rPr>
        <w:t>月</w:t>
      </w:r>
      <w:r>
        <w:rPr>
          <w:rFonts w:ascii="新宋体" w:hAnsi="新宋体" w:eastAsia="新宋体"/>
          <w:color w:val="auto"/>
          <w:u w:val="single"/>
        </w:rPr>
        <w:t xml:space="preserve">        </w:t>
      </w:r>
      <w:r>
        <w:rPr>
          <w:rFonts w:hint="eastAsia" w:ascii="新宋体" w:hAnsi="新宋体" w:eastAsia="新宋体"/>
          <w:color w:val="auto"/>
        </w:rPr>
        <w:t>日</w:t>
      </w:r>
    </w:p>
    <w:p>
      <w:pPr>
        <w:spacing w:line="360" w:lineRule="auto"/>
        <w:ind w:left="1329" w:hanging="1329" w:hangingChars="633"/>
        <w:rPr>
          <w:rFonts w:ascii="新宋体" w:hAnsi="新宋体" w:eastAsia="新宋体"/>
          <w:color w:val="auto"/>
        </w:rPr>
      </w:pPr>
      <w:r>
        <w:rPr>
          <w:rFonts w:ascii="新宋体" w:hAnsi="新宋体" w:eastAsia="新宋体"/>
          <w:color w:val="auto"/>
        </w:rPr>
        <w:t xml:space="preserve"> </w:t>
      </w:r>
    </w:p>
    <w:p>
      <w:pPr>
        <w:spacing w:line="300" w:lineRule="exact"/>
        <w:ind w:left="1329" w:hanging="1329" w:hangingChars="633"/>
        <w:rPr>
          <w:rFonts w:ascii="新宋体" w:hAnsi="新宋体" w:eastAsia="新宋体"/>
          <w:color w:val="auto"/>
        </w:rPr>
      </w:pPr>
      <w:r>
        <w:rPr>
          <w:rFonts w:ascii="新宋体" w:hAnsi="新宋体" w:eastAsia="新宋体"/>
          <w:color w:val="auto"/>
        </w:rPr>
        <w:t xml:space="preserve"> </w:t>
      </w:r>
    </w:p>
    <w:p>
      <w:pPr>
        <w:spacing w:line="300" w:lineRule="exact"/>
        <w:ind w:left="1329" w:hanging="1329" w:hangingChars="633"/>
        <w:rPr>
          <w:rFonts w:ascii="新宋体" w:hAnsi="新宋体" w:eastAsia="新宋体"/>
          <w:color w:val="auto"/>
        </w:rPr>
      </w:pPr>
      <w:r>
        <w:rPr>
          <w:rFonts w:ascii="新宋体" w:hAnsi="新宋体" w:eastAsia="新宋体"/>
          <w:color w:val="auto"/>
        </w:rPr>
        <w:t xml:space="preserve"> </w:t>
      </w:r>
    </w:p>
    <w:p>
      <w:pPr>
        <w:spacing w:line="300" w:lineRule="exact"/>
        <w:ind w:left="1329" w:hanging="1329" w:hangingChars="633"/>
        <w:rPr>
          <w:rFonts w:ascii="新宋体" w:hAnsi="新宋体" w:eastAsia="新宋体"/>
          <w:color w:val="auto"/>
        </w:rPr>
      </w:pPr>
      <w:r>
        <w:rPr>
          <w:rFonts w:ascii="新宋体" w:hAnsi="新宋体" w:eastAsia="新宋体"/>
          <w:color w:val="auto"/>
        </w:rPr>
        <w:t xml:space="preserve"> </w:t>
      </w:r>
    </w:p>
    <w:p>
      <w:pPr>
        <w:spacing w:line="300" w:lineRule="exact"/>
        <w:ind w:left="1329" w:hanging="1329" w:hangingChars="633"/>
        <w:rPr>
          <w:rFonts w:ascii="新宋体" w:hAnsi="新宋体" w:eastAsia="新宋体"/>
          <w:color w:val="auto"/>
        </w:rPr>
      </w:pPr>
      <w:r>
        <w:rPr>
          <w:rFonts w:ascii="新宋体" w:hAnsi="新宋体" w:eastAsia="新宋体"/>
          <w:color w:val="auto"/>
        </w:rPr>
        <w:t xml:space="preserve"> </w:t>
      </w:r>
    </w:p>
    <w:p>
      <w:pPr>
        <w:spacing w:line="300" w:lineRule="exact"/>
        <w:rPr>
          <w:rFonts w:ascii="新宋体" w:hAnsi="新宋体" w:eastAsia="新宋体"/>
          <w:color w:val="auto"/>
        </w:rPr>
      </w:pPr>
      <w:r>
        <w:rPr>
          <w:rFonts w:ascii="新宋体" w:hAnsi="新宋体" w:eastAsia="新宋体"/>
          <w:color w:val="auto"/>
        </w:rPr>
        <w:br w:type="page"/>
      </w:r>
      <w:r>
        <w:rPr>
          <w:rFonts w:hint="eastAsia" w:ascii="新宋体" w:hAnsi="新宋体" w:eastAsia="新宋体"/>
          <w:b/>
          <w:bCs/>
          <w:color w:val="auto"/>
        </w:rPr>
        <w:t>附</w:t>
      </w:r>
      <w:bookmarkStart w:id="798" w:name="_Toc296503232"/>
      <w:bookmarkEnd w:id="798"/>
      <w:bookmarkStart w:id="799" w:name="_Toc296944571"/>
      <w:bookmarkEnd w:id="799"/>
      <w:bookmarkStart w:id="800" w:name="_Toc296891060"/>
      <w:bookmarkEnd w:id="800"/>
      <w:bookmarkStart w:id="801" w:name="_Toc296891272"/>
      <w:bookmarkEnd w:id="801"/>
      <w:bookmarkStart w:id="802" w:name="_Toc296346733"/>
      <w:bookmarkEnd w:id="802"/>
      <w:bookmarkStart w:id="803" w:name="_Toc296347231"/>
      <w:bookmarkEnd w:id="803"/>
      <w:bookmarkStart w:id="804" w:name="_Toc267261702"/>
      <w:r>
        <w:rPr>
          <w:rFonts w:hint="eastAsia" w:ascii="新宋体" w:hAnsi="新宋体" w:eastAsia="新宋体"/>
          <w:b/>
          <w:bCs/>
          <w:color w:val="auto"/>
        </w:rPr>
        <w:t>件</w:t>
      </w:r>
      <w:r>
        <w:rPr>
          <w:rFonts w:ascii="新宋体" w:hAnsi="新宋体" w:eastAsia="新宋体"/>
          <w:b/>
          <w:bCs/>
          <w:color w:val="auto"/>
        </w:rPr>
        <w:t xml:space="preserve">9 </w:t>
      </w:r>
      <w:r>
        <w:rPr>
          <w:rFonts w:hint="eastAsia" w:ascii="新宋体" w:hAnsi="新宋体" w:eastAsia="新宋体"/>
          <w:b/>
          <w:bCs/>
          <w:color w:val="auto"/>
        </w:rPr>
        <w:t>：</w:t>
      </w:r>
      <w:bookmarkEnd w:id="804"/>
    </w:p>
    <w:p>
      <w:pPr>
        <w:spacing w:line="300" w:lineRule="exact"/>
        <w:jc w:val="center"/>
        <w:rPr>
          <w:rFonts w:ascii="新宋体" w:hAnsi="新宋体" w:eastAsia="新宋体"/>
          <w:color w:val="auto"/>
        </w:rPr>
      </w:pPr>
      <w:r>
        <w:rPr>
          <w:rFonts w:hint="eastAsia" w:ascii="新宋体" w:hAnsi="新宋体" w:eastAsia="新宋体"/>
          <w:color w:val="auto"/>
        </w:rPr>
        <w:t>预付款担保</w:t>
      </w:r>
    </w:p>
    <w:p>
      <w:pPr>
        <w:spacing w:line="300" w:lineRule="exact"/>
        <w:rPr>
          <w:rFonts w:ascii="新宋体" w:hAnsi="新宋体" w:eastAsia="新宋体"/>
          <w:color w:val="auto"/>
        </w:rPr>
      </w:pPr>
      <w:r>
        <w:rPr>
          <w:rFonts w:ascii="新宋体" w:hAnsi="新宋体" w:eastAsia="新宋体"/>
          <w:color w:val="auto"/>
          <w:u w:val="single"/>
        </w:rPr>
        <w:t xml:space="preserve">            </w:t>
      </w:r>
      <w:r>
        <w:rPr>
          <w:rFonts w:ascii="新宋体" w:hAnsi="新宋体" w:eastAsia="新宋体"/>
          <w:color w:val="auto"/>
          <w:u w:val="single"/>
        </w:rPr>
        <w:tab/>
      </w:r>
      <w:r>
        <w:rPr>
          <w:rFonts w:ascii="新宋体" w:hAnsi="新宋体" w:eastAsia="新宋体"/>
          <w:color w:val="auto"/>
          <w:u w:val="single"/>
        </w:rPr>
        <w:tab/>
      </w:r>
      <w:r>
        <w:rPr>
          <w:rFonts w:ascii="新宋体" w:hAnsi="新宋体" w:eastAsia="新宋体"/>
          <w:color w:val="auto"/>
          <w:u w:val="single"/>
        </w:rPr>
        <w:t xml:space="preserve"> </w:t>
      </w:r>
      <w:r>
        <w:rPr>
          <w:rFonts w:ascii="新宋体" w:hAnsi="新宋体" w:eastAsia="新宋体"/>
          <w:color w:val="auto"/>
        </w:rPr>
        <w:t xml:space="preserve"> </w:t>
      </w:r>
      <w:r>
        <w:rPr>
          <w:rFonts w:hint="eastAsia" w:ascii="新宋体" w:hAnsi="新宋体" w:eastAsia="新宋体"/>
          <w:color w:val="auto"/>
        </w:rPr>
        <w:t>（发包人名称）：</w:t>
      </w:r>
    </w:p>
    <w:p>
      <w:pPr>
        <w:spacing w:line="300" w:lineRule="exact"/>
        <w:rPr>
          <w:rFonts w:ascii="新宋体" w:hAnsi="新宋体" w:eastAsia="新宋体"/>
          <w:color w:val="auto"/>
        </w:rPr>
      </w:pPr>
      <w:r>
        <w:rPr>
          <w:rFonts w:ascii="新宋体" w:hAnsi="新宋体" w:eastAsia="新宋体"/>
          <w:color w:val="auto"/>
        </w:rPr>
        <w:t xml:space="preserve"> </w:t>
      </w:r>
    </w:p>
    <w:p>
      <w:pPr>
        <w:spacing w:line="360" w:lineRule="auto"/>
        <w:ind w:firstLine="420" w:firstLineChars="200"/>
        <w:rPr>
          <w:rFonts w:ascii="新宋体" w:hAnsi="新宋体" w:eastAsia="新宋体"/>
          <w:color w:val="auto"/>
        </w:rPr>
      </w:pPr>
      <w:r>
        <w:rPr>
          <w:rFonts w:hint="eastAsia" w:ascii="新宋体" w:hAnsi="新宋体" w:eastAsia="新宋体"/>
          <w:color w:val="auto"/>
        </w:rPr>
        <w:t>根据</w:t>
      </w:r>
      <w:r>
        <w:rPr>
          <w:rFonts w:ascii="新宋体" w:hAnsi="新宋体" w:eastAsia="新宋体"/>
          <w:color w:val="auto"/>
          <w:u w:val="single"/>
        </w:rPr>
        <w:t xml:space="preserve">                 </w:t>
      </w:r>
      <w:r>
        <w:rPr>
          <w:rFonts w:hint="eastAsia" w:ascii="新宋体" w:hAnsi="新宋体" w:eastAsia="新宋体"/>
          <w:color w:val="auto"/>
        </w:rPr>
        <w:t>（承包人名称）（以下称“承包人”）与</w:t>
      </w:r>
    </w:p>
    <w:p>
      <w:pPr>
        <w:spacing w:line="360" w:lineRule="auto"/>
        <w:outlineLvl w:val="0"/>
        <w:rPr>
          <w:rFonts w:ascii="新宋体" w:hAnsi="新宋体" w:eastAsia="新宋体"/>
          <w:color w:val="auto"/>
        </w:rPr>
      </w:pPr>
      <w:r>
        <w:rPr>
          <w:rFonts w:ascii="新宋体" w:hAnsi="新宋体" w:eastAsia="新宋体"/>
          <w:color w:val="auto"/>
          <w:u w:val="single"/>
        </w:rPr>
        <w:t xml:space="preserve">                        </w:t>
      </w:r>
      <w:r>
        <w:rPr>
          <w:rFonts w:hint="eastAsia" w:ascii="新宋体" w:hAnsi="新宋体" w:eastAsia="新宋体"/>
          <w:color w:val="auto"/>
        </w:rPr>
        <w:t>（发包人名称）（以下简称“发包人”）</w:t>
      </w:r>
    </w:p>
    <w:p>
      <w:pPr>
        <w:spacing w:line="360" w:lineRule="auto"/>
        <w:rPr>
          <w:rFonts w:ascii="新宋体" w:hAnsi="新宋体" w:eastAsia="新宋体"/>
          <w:color w:val="auto"/>
        </w:rPr>
      </w:pPr>
      <w:r>
        <w:rPr>
          <w:rFonts w:hint="eastAsia" w:ascii="新宋体" w:hAnsi="新宋体" w:eastAsia="新宋体"/>
          <w:color w:val="auto"/>
        </w:rPr>
        <w:t>于</w:t>
      </w:r>
      <w:r>
        <w:rPr>
          <w:rFonts w:ascii="新宋体" w:hAnsi="新宋体" w:eastAsia="新宋体"/>
          <w:color w:val="auto"/>
          <w:u w:val="single"/>
        </w:rPr>
        <w:t xml:space="preserve">     </w:t>
      </w:r>
      <w:r>
        <w:rPr>
          <w:rFonts w:hint="eastAsia" w:ascii="新宋体" w:hAnsi="新宋体" w:eastAsia="新宋体"/>
          <w:color w:val="auto"/>
        </w:rPr>
        <w:t>年</w:t>
      </w:r>
      <w:r>
        <w:rPr>
          <w:rFonts w:ascii="新宋体" w:hAnsi="新宋体" w:eastAsia="新宋体"/>
          <w:color w:val="auto"/>
          <w:u w:val="single"/>
        </w:rPr>
        <w:t xml:space="preserve">    </w:t>
      </w:r>
      <w:r>
        <w:rPr>
          <w:rFonts w:hint="eastAsia" w:ascii="新宋体" w:hAnsi="新宋体" w:eastAsia="新宋体"/>
          <w:color w:val="auto"/>
        </w:rPr>
        <w:t>月</w:t>
      </w:r>
      <w:r>
        <w:rPr>
          <w:rFonts w:ascii="新宋体" w:hAnsi="新宋体" w:eastAsia="新宋体"/>
          <w:color w:val="auto"/>
          <w:u w:val="single"/>
        </w:rPr>
        <w:t xml:space="preserve">    </w:t>
      </w:r>
      <w:r>
        <w:rPr>
          <w:rFonts w:hint="eastAsia" w:ascii="新宋体" w:hAnsi="新宋体" w:eastAsia="新宋体"/>
          <w:color w:val="auto"/>
        </w:rPr>
        <w:t>日签订的</w:t>
      </w:r>
      <w:r>
        <w:rPr>
          <w:rFonts w:ascii="新宋体" w:hAnsi="新宋体" w:eastAsia="新宋体"/>
          <w:color w:val="auto"/>
          <w:u w:val="single"/>
        </w:rPr>
        <w:t xml:space="preserve">                   </w:t>
      </w:r>
      <w:r>
        <w:rPr>
          <w:rFonts w:hint="eastAsia" w:ascii="新宋体" w:hAnsi="新宋体" w:eastAsia="新宋体"/>
          <w:color w:val="auto"/>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新宋体" w:hAnsi="新宋体" w:eastAsia="新宋体"/>
          <w:color w:val="auto"/>
        </w:rPr>
      </w:pPr>
      <w:r>
        <w:rPr>
          <w:rFonts w:ascii="新宋体" w:hAnsi="新宋体" w:eastAsia="新宋体"/>
          <w:color w:val="auto"/>
        </w:rPr>
        <w:t xml:space="preserve">1. </w:t>
      </w:r>
      <w:r>
        <w:rPr>
          <w:rFonts w:hint="eastAsia" w:ascii="新宋体" w:hAnsi="新宋体" w:eastAsia="新宋体"/>
          <w:color w:val="auto"/>
        </w:rPr>
        <w:t>担保金额人民币（大写）</w:t>
      </w:r>
      <w:r>
        <w:rPr>
          <w:rFonts w:ascii="新宋体" w:hAnsi="新宋体" w:eastAsia="新宋体"/>
          <w:color w:val="auto"/>
          <w:u w:val="single"/>
        </w:rPr>
        <w:t xml:space="preserve">                </w:t>
      </w:r>
      <w:r>
        <w:rPr>
          <w:rFonts w:hint="eastAsia" w:ascii="新宋体" w:hAnsi="新宋体" w:eastAsia="新宋体"/>
          <w:color w:val="auto"/>
        </w:rPr>
        <w:t>元（¥</w:t>
      </w:r>
      <w:r>
        <w:rPr>
          <w:rFonts w:ascii="新宋体" w:hAnsi="新宋体" w:eastAsia="新宋体"/>
          <w:color w:val="auto"/>
          <w:u w:val="single"/>
        </w:rPr>
        <w:t xml:space="preserve">             </w:t>
      </w:r>
      <w:r>
        <w:rPr>
          <w:rFonts w:hint="eastAsia" w:ascii="新宋体" w:hAnsi="新宋体" w:eastAsia="新宋体"/>
          <w:color w:val="auto"/>
        </w:rPr>
        <w:t>）。</w:t>
      </w:r>
    </w:p>
    <w:p>
      <w:pPr>
        <w:spacing w:line="360" w:lineRule="auto"/>
        <w:ind w:firstLine="420" w:firstLineChars="200"/>
        <w:rPr>
          <w:rFonts w:ascii="新宋体" w:hAnsi="新宋体" w:eastAsia="新宋体"/>
          <w:color w:val="auto"/>
        </w:rPr>
      </w:pPr>
      <w:r>
        <w:rPr>
          <w:rFonts w:ascii="新宋体" w:hAnsi="新宋体" w:eastAsia="新宋体"/>
          <w:color w:val="auto"/>
        </w:rPr>
        <w:t xml:space="preserve">2. </w:t>
      </w:r>
      <w:r>
        <w:rPr>
          <w:rFonts w:hint="eastAsia" w:ascii="新宋体" w:hAnsi="新宋体" w:eastAsia="新宋体"/>
          <w:color w:val="auto"/>
        </w:rPr>
        <w:t>担保有效期自预付款支付给承包人起生效，至你方签发的进度款支付证书说明已完全扣清止。</w:t>
      </w:r>
    </w:p>
    <w:p>
      <w:pPr>
        <w:spacing w:line="360" w:lineRule="auto"/>
        <w:ind w:firstLine="420" w:firstLineChars="200"/>
        <w:rPr>
          <w:rFonts w:ascii="新宋体" w:hAnsi="新宋体" w:eastAsia="新宋体"/>
          <w:color w:val="auto"/>
        </w:rPr>
      </w:pPr>
      <w:r>
        <w:rPr>
          <w:rFonts w:ascii="新宋体" w:hAnsi="新宋体" w:eastAsia="新宋体"/>
          <w:color w:val="auto"/>
        </w:rPr>
        <w:t xml:space="preserve">3. </w:t>
      </w:r>
      <w:r>
        <w:rPr>
          <w:rFonts w:hint="eastAsia" w:ascii="新宋体" w:hAnsi="新宋体" w:eastAsia="新宋体"/>
          <w:color w:val="auto"/>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新宋体" w:hAnsi="新宋体" w:eastAsia="新宋体"/>
          <w:color w:val="auto"/>
        </w:rPr>
      </w:pPr>
      <w:r>
        <w:rPr>
          <w:rFonts w:ascii="新宋体" w:hAnsi="新宋体" w:eastAsia="新宋体"/>
          <w:color w:val="auto"/>
        </w:rPr>
        <w:t xml:space="preserve">4. </w:t>
      </w:r>
      <w:r>
        <w:rPr>
          <w:rFonts w:hint="eastAsia" w:ascii="新宋体" w:hAnsi="新宋体" w:eastAsia="新宋体"/>
          <w:color w:val="auto"/>
        </w:rPr>
        <w:t>你方和承包人按合同约定变更合同时，我方承担本保函规定的义务不变。</w:t>
      </w:r>
    </w:p>
    <w:p>
      <w:pPr>
        <w:spacing w:line="360" w:lineRule="auto"/>
        <w:ind w:firstLine="420" w:firstLineChars="200"/>
        <w:jc w:val="left"/>
        <w:rPr>
          <w:rFonts w:ascii="新宋体" w:hAnsi="新宋体" w:eastAsia="新宋体"/>
          <w:color w:val="auto"/>
        </w:rPr>
      </w:pPr>
      <w:r>
        <w:rPr>
          <w:rFonts w:ascii="新宋体" w:hAnsi="新宋体" w:eastAsia="新宋体"/>
          <w:color w:val="auto"/>
        </w:rPr>
        <w:t xml:space="preserve">5. </w:t>
      </w:r>
      <w:r>
        <w:rPr>
          <w:rFonts w:hint="eastAsia" w:ascii="新宋体" w:hAnsi="新宋体" w:eastAsia="新宋体"/>
          <w:color w:val="auto"/>
        </w:rPr>
        <w:t>因本保函发生的纠纷，可由双方协商解决，协商不成的，任何一方均可提请</w:t>
      </w:r>
      <w:r>
        <w:rPr>
          <w:rFonts w:ascii="新宋体" w:hAnsi="新宋体" w:eastAsia="新宋体"/>
          <w:color w:val="auto"/>
          <w:u w:val="single"/>
        </w:rPr>
        <w:t xml:space="preserve">        </w:t>
      </w:r>
      <w:r>
        <w:rPr>
          <w:rFonts w:hint="eastAsia" w:ascii="新宋体" w:hAnsi="新宋体" w:eastAsia="新宋体"/>
          <w:color w:val="auto"/>
        </w:rPr>
        <w:t>仲裁委员会仲裁。</w:t>
      </w:r>
    </w:p>
    <w:p>
      <w:pPr>
        <w:spacing w:line="360" w:lineRule="auto"/>
        <w:ind w:firstLine="420" w:firstLineChars="200"/>
        <w:jc w:val="left"/>
        <w:rPr>
          <w:rFonts w:ascii="新宋体" w:hAnsi="新宋体" w:eastAsia="新宋体"/>
          <w:color w:val="auto"/>
        </w:rPr>
      </w:pPr>
      <w:r>
        <w:rPr>
          <w:rFonts w:ascii="新宋体" w:hAnsi="新宋体" w:eastAsia="新宋体"/>
          <w:color w:val="auto"/>
        </w:rPr>
        <w:t xml:space="preserve">6. </w:t>
      </w:r>
      <w:r>
        <w:rPr>
          <w:rFonts w:hint="eastAsia" w:ascii="新宋体" w:hAnsi="新宋体" w:eastAsia="新宋体"/>
          <w:color w:val="auto"/>
        </w:rPr>
        <w:t>本保函自我方法定代表人（或其授权代理人）签字并加盖公章之日起生效。</w:t>
      </w:r>
    </w:p>
    <w:p>
      <w:pPr>
        <w:spacing w:line="360" w:lineRule="auto"/>
        <w:rPr>
          <w:rFonts w:ascii="新宋体" w:hAnsi="新宋体" w:eastAsia="新宋体"/>
          <w:color w:val="auto"/>
        </w:rPr>
      </w:pPr>
      <w:r>
        <w:rPr>
          <w:rFonts w:ascii="新宋体" w:hAnsi="新宋体" w:eastAsia="新宋体"/>
          <w:color w:val="auto"/>
        </w:rPr>
        <w:t xml:space="preserve"> </w:t>
      </w:r>
    </w:p>
    <w:p>
      <w:pPr>
        <w:spacing w:line="360" w:lineRule="auto"/>
        <w:rPr>
          <w:rFonts w:ascii="新宋体" w:hAnsi="新宋体" w:eastAsia="新宋体"/>
          <w:color w:val="auto"/>
        </w:rPr>
      </w:pPr>
      <w:r>
        <w:rPr>
          <w:rFonts w:hint="eastAsia" w:ascii="新宋体" w:hAnsi="新宋体" w:eastAsia="新宋体"/>
          <w:color w:val="auto"/>
        </w:rPr>
        <w:t>担保人：</w:t>
      </w:r>
      <w:r>
        <w:rPr>
          <w:rFonts w:ascii="新宋体" w:hAnsi="新宋体" w:eastAsia="新宋体"/>
          <w:color w:val="auto"/>
          <w:u w:val="single"/>
        </w:rPr>
        <w:t xml:space="preserve">                          </w:t>
      </w:r>
      <w:r>
        <w:rPr>
          <w:rFonts w:hint="eastAsia" w:ascii="新宋体" w:hAnsi="新宋体" w:eastAsia="新宋体"/>
          <w:color w:val="auto"/>
        </w:rPr>
        <w:t>（盖单位章）</w:t>
      </w:r>
    </w:p>
    <w:p>
      <w:pPr>
        <w:spacing w:line="360" w:lineRule="auto"/>
        <w:rPr>
          <w:rFonts w:ascii="新宋体" w:hAnsi="新宋体" w:eastAsia="新宋体"/>
          <w:color w:val="auto"/>
        </w:rPr>
      </w:pPr>
      <w:r>
        <w:rPr>
          <w:rFonts w:hint="eastAsia" w:ascii="新宋体" w:hAnsi="新宋体" w:eastAsia="新宋体"/>
          <w:color w:val="auto"/>
        </w:rPr>
        <w:t>法定代表人或其委托代理人：</w:t>
      </w:r>
      <w:r>
        <w:rPr>
          <w:rFonts w:ascii="新宋体" w:hAnsi="新宋体" w:eastAsia="新宋体"/>
          <w:color w:val="auto"/>
          <w:u w:val="single"/>
        </w:rPr>
        <w:t xml:space="preserve">            </w:t>
      </w:r>
      <w:r>
        <w:rPr>
          <w:rFonts w:hint="eastAsia" w:ascii="新宋体" w:hAnsi="新宋体" w:eastAsia="新宋体"/>
          <w:color w:val="auto"/>
        </w:rPr>
        <w:t>（签字）</w:t>
      </w:r>
    </w:p>
    <w:p>
      <w:pPr>
        <w:spacing w:line="360" w:lineRule="auto"/>
        <w:rPr>
          <w:rFonts w:ascii="新宋体" w:hAnsi="新宋体" w:eastAsia="新宋体"/>
          <w:color w:val="auto"/>
        </w:rPr>
      </w:pPr>
      <w:r>
        <w:rPr>
          <w:rFonts w:hint="eastAsia" w:ascii="新宋体" w:hAnsi="新宋体" w:eastAsia="新宋体"/>
          <w:color w:val="auto"/>
        </w:rPr>
        <w:t>地</w:t>
      </w:r>
      <w:r>
        <w:rPr>
          <w:rFonts w:ascii="新宋体" w:hAnsi="新宋体" w:eastAsia="新宋体"/>
          <w:color w:val="auto"/>
        </w:rPr>
        <w:t xml:space="preserve">    </w:t>
      </w:r>
      <w:r>
        <w:rPr>
          <w:rFonts w:hint="eastAsia" w:ascii="新宋体" w:hAnsi="新宋体" w:eastAsia="新宋体"/>
          <w:color w:val="auto"/>
        </w:rPr>
        <w:t>址：</w:t>
      </w:r>
      <w:r>
        <w:rPr>
          <w:rFonts w:ascii="新宋体" w:hAnsi="新宋体" w:eastAsia="新宋体"/>
          <w:color w:val="auto"/>
          <w:u w:val="single"/>
        </w:rPr>
        <w:tab/>
      </w:r>
      <w:r>
        <w:rPr>
          <w:rFonts w:ascii="新宋体" w:hAnsi="新宋体" w:eastAsia="新宋体"/>
          <w:color w:val="auto"/>
          <w:u w:val="single"/>
        </w:rPr>
        <w:tab/>
      </w:r>
      <w:r>
        <w:rPr>
          <w:rFonts w:ascii="新宋体" w:hAnsi="新宋体" w:eastAsia="新宋体"/>
          <w:color w:val="auto"/>
          <w:u w:val="single"/>
        </w:rPr>
        <w:t xml:space="preserve">  </w:t>
      </w:r>
      <w:r>
        <w:rPr>
          <w:rFonts w:ascii="新宋体" w:hAnsi="新宋体" w:eastAsia="新宋体"/>
          <w:color w:val="auto"/>
          <w:u w:val="single"/>
        </w:rPr>
        <w:tab/>
      </w:r>
      <w:r>
        <w:rPr>
          <w:rFonts w:ascii="新宋体" w:hAnsi="新宋体" w:eastAsia="新宋体"/>
          <w:color w:val="auto"/>
          <w:u w:val="single"/>
        </w:rPr>
        <w:tab/>
      </w:r>
      <w:r>
        <w:rPr>
          <w:rFonts w:ascii="新宋体" w:hAnsi="新宋体" w:eastAsia="新宋体"/>
          <w:color w:val="auto"/>
          <w:u w:val="single"/>
        </w:rPr>
        <w:t xml:space="preserve">                   </w:t>
      </w:r>
      <w:r>
        <w:rPr>
          <w:rFonts w:ascii="新宋体" w:hAnsi="新宋体" w:eastAsia="新宋体"/>
          <w:color w:val="auto"/>
          <w:u w:val="single"/>
        </w:rPr>
        <w:tab/>
      </w:r>
      <w:r>
        <w:rPr>
          <w:rFonts w:ascii="新宋体" w:hAnsi="新宋体" w:eastAsia="新宋体"/>
          <w:color w:val="auto"/>
          <w:u w:val="single"/>
        </w:rPr>
        <w:tab/>
      </w:r>
      <w:r>
        <w:rPr>
          <w:rFonts w:ascii="新宋体" w:hAnsi="新宋体" w:eastAsia="新宋体"/>
          <w:color w:val="auto"/>
          <w:u w:val="single"/>
        </w:rPr>
        <w:tab/>
      </w:r>
    </w:p>
    <w:p>
      <w:pPr>
        <w:spacing w:line="360" w:lineRule="auto"/>
        <w:rPr>
          <w:rFonts w:ascii="新宋体" w:hAnsi="新宋体" w:eastAsia="新宋体"/>
          <w:color w:val="auto"/>
          <w:u w:val="single"/>
        </w:rPr>
      </w:pPr>
      <w:r>
        <w:rPr>
          <w:rFonts w:hint="eastAsia" w:ascii="新宋体" w:hAnsi="新宋体" w:eastAsia="新宋体"/>
          <w:color w:val="auto"/>
        </w:rPr>
        <w:t>邮政编码：</w:t>
      </w:r>
      <w:r>
        <w:rPr>
          <w:rFonts w:ascii="新宋体" w:hAnsi="新宋体" w:eastAsia="新宋体"/>
          <w:color w:val="auto"/>
          <w:u w:val="single"/>
        </w:rPr>
        <w:tab/>
      </w:r>
      <w:r>
        <w:rPr>
          <w:rFonts w:ascii="新宋体" w:hAnsi="新宋体" w:eastAsia="新宋体"/>
          <w:color w:val="auto"/>
          <w:u w:val="single"/>
        </w:rPr>
        <w:tab/>
      </w:r>
      <w:r>
        <w:rPr>
          <w:rFonts w:ascii="新宋体" w:hAnsi="新宋体" w:eastAsia="新宋体"/>
          <w:color w:val="auto"/>
          <w:u w:val="single"/>
        </w:rPr>
        <w:t xml:space="preserve">  </w:t>
      </w:r>
      <w:r>
        <w:rPr>
          <w:rFonts w:ascii="新宋体" w:hAnsi="新宋体" w:eastAsia="新宋体"/>
          <w:color w:val="auto"/>
          <w:u w:val="single"/>
        </w:rPr>
        <w:tab/>
      </w:r>
      <w:r>
        <w:rPr>
          <w:rFonts w:ascii="新宋体" w:hAnsi="新宋体" w:eastAsia="新宋体"/>
          <w:color w:val="auto"/>
          <w:u w:val="single"/>
        </w:rPr>
        <w:tab/>
      </w:r>
      <w:r>
        <w:rPr>
          <w:rFonts w:ascii="新宋体" w:hAnsi="新宋体" w:eastAsia="新宋体"/>
          <w:color w:val="auto"/>
          <w:u w:val="single"/>
        </w:rPr>
        <w:t xml:space="preserve">                   </w:t>
      </w:r>
      <w:r>
        <w:rPr>
          <w:rFonts w:ascii="新宋体" w:hAnsi="新宋体" w:eastAsia="新宋体"/>
          <w:color w:val="auto"/>
          <w:u w:val="single"/>
        </w:rPr>
        <w:tab/>
      </w:r>
      <w:r>
        <w:rPr>
          <w:rFonts w:ascii="新宋体" w:hAnsi="新宋体" w:eastAsia="新宋体"/>
          <w:color w:val="auto"/>
          <w:u w:val="single"/>
        </w:rPr>
        <w:tab/>
      </w:r>
      <w:r>
        <w:rPr>
          <w:rFonts w:ascii="新宋体" w:hAnsi="新宋体" w:eastAsia="新宋体"/>
          <w:color w:val="auto"/>
          <w:u w:val="single"/>
        </w:rPr>
        <w:tab/>
      </w:r>
    </w:p>
    <w:p>
      <w:pPr>
        <w:spacing w:line="360" w:lineRule="auto"/>
        <w:rPr>
          <w:rFonts w:ascii="新宋体" w:hAnsi="新宋体" w:eastAsia="新宋体"/>
          <w:color w:val="auto"/>
          <w:u w:val="single"/>
        </w:rPr>
      </w:pPr>
      <w:r>
        <w:rPr>
          <w:rFonts w:hint="eastAsia" w:ascii="新宋体" w:hAnsi="新宋体" w:eastAsia="新宋体"/>
          <w:color w:val="auto"/>
        </w:rPr>
        <w:t>电</w:t>
      </w:r>
      <w:r>
        <w:rPr>
          <w:rFonts w:ascii="新宋体" w:hAnsi="新宋体" w:eastAsia="新宋体"/>
          <w:color w:val="auto"/>
        </w:rPr>
        <w:t xml:space="preserve">    </w:t>
      </w:r>
      <w:r>
        <w:rPr>
          <w:rFonts w:hint="eastAsia" w:ascii="新宋体" w:hAnsi="新宋体" w:eastAsia="新宋体"/>
          <w:color w:val="auto"/>
        </w:rPr>
        <w:t>话：</w:t>
      </w:r>
      <w:r>
        <w:rPr>
          <w:rFonts w:ascii="新宋体" w:hAnsi="新宋体" w:eastAsia="新宋体"/>
          <w:color w:val="auto"/>
          <w:u w:val="single"/>
        </w:rPr>
        <w:tab/>
      </w:r>
      <w:r>
        <w:rPr>
          <w:rFonts w:ascii="新宋体" w:hAnsi="新宋体" w:eastAsia="新宋体"/>
          <w:color w:val="auto"/>
          <w:u w:val="single"/>
        </w:rPr>
        <w:tab/>
      </w:r>
      <w:r>
        <w:rPr>
          <w:rFonts w:ascii="新宋体" w:hAnsi="新宋体" w:eastAsia="新宋体"/>
          <w:color w:val="auto"/>
          <w:u w:val="single"/>
        </w:rPr>
        <w:t xml:space="preserve">  </w:t>
      </w:r>
      <w:r>
        <w:rPr>
          <w:rFonts w:ascii="新宋体" w:hAnsi="新宋体" w:eastAsia="新宋体"/>
          <w:color w:val="auto"/>
          <w:u w:val="single"/>
        </w:rPr>
        <w:tab/>
      </w:r>
      <w:r>
        <w:rPr>
          <w:rFonts w:ascii="新宋体" w:hAnsi="新宋体" w:eastAsia="新宋体"/>
          <w:color w:val="auto"/>
          <w:u w:val="single"/>
        </w:rPr>
        <w:tab/>
      </w:r>
      <w:r>
        <w:rPr>
          <w:rFonts w:ascii="新宋体" w:hAnsi="新宋体" w:eastAsia="新宋体"/>
          <w:color w:val="auto"/>
          <w:u w:val="single"/>
        </w:rPr>
        <w:t xml:space="preserve">                   </w:t>
      </w:r>
      <w:r>
        <w:rPr>
          <w:rFonts w:ascii="新宋体" w:hAnsi="新宋体" w:eastAsia="新宋体"/>
          <w:color w:val="auto"/>
          <w:u w:val="single"/>
        </w:rPr>
        <w:tab/>
      </w:r>
      <w:r>
        <w:rPr>
          <w:rFonts w:ascii="新宋体" w:hAnsi="新宋体" w:eastAsia="新宋体"/>
          <w:color w:val="auto"/>
          <w:u w:val="single"/>
        </w:rPr>
        <w:tab/>
      </w:r>
      <w:r>
        <w:rPr>
          <w:rFonts w:ascii="新宋体" w:hAnsi="新宋体" w:eastAsia="新宋体"/>
          <w:color w:val="auto"/>
          <w:u w:val="single"/>
        </w:rPr>
        <w:tab/>
      </w:r>
    </w:p>
    <w:p>
      <w:pPr>
        <w:spacing w:line="360" w:lineRule="auto"/>
        <w:rPr>
          <w:rFonts w:ascii="新宋体" w:hAnsi="新宋体" w:eastAsia="新宋体"/>
          <w:color w:val="auto"/>
          <w:u w:val="single"/>
        </w:rPr>
      </w:pPr>
      <w:r>
        <w:rPr>
          <w:rFonts w:hint="eastAsia" w:ascii="新宋体" w:hAnsi="新宋体" w:eastAsia="新宋体"/>
          <w:color w:val="auto"/>
        </w:rPr>
        <w:t>传</w:t>
      </w:r>
      <w:r>
        <w:rPr>
          <w:rFonts w:ascii="新宋体" w:hAnsi="新宋体" w:eastAsia="新宋体"/>
          <w:color w:val="auto"/>
        </w:rPr>
        <w:t xml:space="preserve">    </w:t>
      </w:r>
      <w:r>
        <w:rPr>
          <w:rFonts w:hint="eastAsia" w:ascii="新宋体" w:hAnsi="新宋体" w:eastAsia="新宋体"/>
          <w:color w:val="auto"/>
        </w:rPr>
        <w:t>真：</w:t>
      </w:r>
      <w:r>
        <w:rPr>
          <w:rFonts w:ascii="新宋体" w:hAnsi="新宋体" w:eastAsia="新宋体"/>
          <w:color w:val="auto"/>
          <w:u w:val="single"/>
        </w:rPr>
        <w:tab/>
      </w:r>
      <w:r>
        <w:rPr>
          <w:rFonts w:ascii="新宋体" w:hAnsi="新宋体" w:eastAsia="新宋体"/>
          <w:color w:val="auto"/>
          <w:u w:val="single"/>
        </w:rPr>
        <w:tab/>
      </w:r>
      <w:r>
        <w:rPr>
          <w:rFonts w:ascii="新宋体" w:hAnsi="新宋体" w:eastAsia="新宋体"/>
          <w:color w:val="auto"/>
          <w:u w:val="single"/>
        </w:rPr>
        <w:t xml:space="preserve">  </w:t>
      </w:r>
      <w:r>
        <w:rPr>
          <w:rFonts w:ascii="新宋体" w:hAnsi="新宋体" w:eastAsia="新宋体"/>
          <w:color w:val="auto"/>
          <w:u w:val="single"/>
        </w:rPr>
        <w:tab/>
      </w:r>
      <w:r>
        <w:rPr>
          <w:rFonts w:ascii="新宋体" w:hAnsi="新宋体" w:eastAsia="新宋体"/>
          <w:color w:val="auto"/>
          <w:u w:val="single"/>
        </w:rPr>
        <w:tab/>
      </w:r>
      <w:r>
        <w:rPr>
          <w:rFonts w:ascii="新宋体" w:hAnsi="新宋体" w:eastAsia="新宋体"/>
          <w:color w:val="auto"/>
          <w:u w:val="single"/>
        </w:rPr>
        <w:t xml:space="preserve">                   </w:t>
      </w:r>
      <w:r>
        <w:rPr>
          <w:rFonts w:ascii="新宋体" w:hAnsi="新宋体" w:eastAsia="新宋体"/>
          <w:color w:val="auto"/>
          <w:u w:val="single"/>
        </w:rPr>
        <w:tab/>
      </w:r>
      <w:r>
        <w:rPr>
          <w:rFonts w:ascii="新宋体" w:hAnsi="新宋体" w:eastAsia="新宋体"/>
          <w:color w:val="auto"/>
          <w:u w:val="single"/>
        </w:rPr>
        <w:tab/>
      </w:r>
      <w:r>
        <w:rPr>
          <w:rFonts w:ascii="新宋体" w:hAnsi="新宋体" w:eastAsia="新宋体"/>
          <w:color w:val="auto"/>
          <w:u w:val="single"/>
        </w:rPr>
        <w:tab/>
      </w:r>
    </w:p>
    <w:p>
      <w:pPr>
        <w:spacing w:line="360" w:lineRule="auto"/>
        <w:rPr>
          <w:rFonts w:ascii="新宋体" w:hAnsi="新宋体" w:eastAsia="新宋体"/>
          <w:color w:val="auto"/>
        </w:rPr>
      </w:pPr>
      <w:r>
        <w:rPr>
          <w:rFonts w:ascii="新宋体" w:hAnsi="新宋体" w:eastAsia="新宋体"/>
          <w:color w:val="auto"/>
        </w:rPr>
        <w:t xml:space="preserve">  </w:t>
      </w:r>
    </w:p>
    <w:p>
      <w:pPr>
        <w:spacing w:line="360" w:lineRule="auto"/>
        <w:rPr>
          <w:rFonts w:ascii="新宋体" w:hAnsi="新宋体" w:eastAsia="新宋体"/>
          <w:color w:val="auto"/>
          <w:u w:val="single"/>
        </w:rPr>
      </w:pPr>
      <w:r>
        <w:rPr>
          <w:rFonts w:ascii="新宋体" w:hAnsi="新宋体" w:eastAsia="新宋体"/>
          <w:color w:val="auto"/>
          <w:u w:val="single"/>
        </w:rPr>
        <w:t xml:space="preserve"> </w:t>
      </w:r>
    </w:p>
    <w:p>
      <w:pPr>
        <w:spacing w:line="360" w:lineRule="auto"/>
        <w:rPr>
          <w:rFonts w:ascii="新宋体" w:hAnsi="新宋体" w:eastAsia="新宋体"/>
          <w:color w:val="auto"/>
        </w:rPr>
      </w:pPr>
      <w:r>
        <w:rPr>
          <w:rFonts w:ascii="新宋体" w:hAnsi="新宋体" w:eastAsia="新宋体"/>
          <w:color w:val="auto"/>
        </w:rPr>
        <w:t xml:space="preserve">            </w:t>
      </w:r>
      <w:r>
        <w:rPr>
          <w:rFonts w:ascii="新宋体" w:hAnsi="新宋体" w:eastAsia="新宋体"/>
          <w:color w:val="auto"/>
          <w:u w:val="single"/>
        </w:rPr>
        <w:t xml:space="preserve">               </w:t>
      </w:r>
      <w:r>
        <w:rPr>
          <w:rFonts w:hint="eastAsia" w:ascii="新宋体" w:hAnsi="新宋体" w:eastAsia="新宋体"/>
          <w:color w:val="auto"/>
        </w:rPr>
        <w:t>年</w:t>
      </w:r>
      <w:r>
        <w:rPr>
          <w:rFonts w:ascii="新宋体" w:hAnsi="新宋体" w:eastAsia="新宋体"/>
          <w:color w:val="auto"/>
          <w:u w:val="single"/>
        </w:rPr>
        <w:t xml:space="preserve">      </w:t>
      </w:r>
      <w:r>
        <w:rPr>
          <w:rFonts w:hint="eastAsia" w:ascii="新宋体" w:hAnsi="新宋体" w:eastAsia="新宋体"/>
          <w:color w:val="auto"/>
        </w:rPr>
        <w:t>月</w:t>
      </w:r>
      <w:r>
        <w:rPr>
          <w:rFonts w:ascii="新宋体" w:hAnsi="新宋体" w:eastAsia="新宋体"/>
          <w:color w:val="auto"/>
          <w:u w:val="single"/>
        </w:rPr>
        <w:t xml:space="preserve">      </w:t>
      </w:r>
      <w:r>
        <w:rPr>
          <w:rFonts w:hint="eastAsia" w:ascii="新宋体" w:hAnsi="新宋体" w:eastAsia="新宋体"/>
          <w:color w:val="auto"/>
        </w:rPr>
        <w:t>日</w:t>
      </w:r>
    </w:p>
    <w:p>
      <w:pPr>
        <w:spacing w:line="300" w:lineRule="exact"/>
        <w:rPr>
          <w:rFonts w:ascii="新宋体" w:hAnsi="新宋体" w:eastAsia="新宋体"/>
          <w:color w:val="auto"/>
        </w:rPr>
      </w:pPr>
      <w:r>
        <w:rPr>
          <w:rFonts w:ascii="新宋体" w:hAnsi="新宋体" w:eastAsia="新宋体"/>
          <w:b/>
          <w:bCs/>
          <w:color w:val="auto"/>
        </w:rPr>
        <w:br w:type="page"/>
      </w:r>
      <w:r>
        <w:rPr>
          <w:rFonts w:hint="eastAsia" w:ascii="新宋体" w:hAnsi="新宋体" w:eastAsia="新宋体"/>
          <w:b/>
          <w:bCs/>
          <w:color w:val="auto"/>
        </w:rPr>
        <w:t>附</w:t>
      </w:r>
      <w:bookmarkStart w:id="805" w:name="_Toc296891273"/>
      <w:bookmarkEnd w:id="805"/>
      <w:bookmarkStart w:id="806" w:name="_Toc296346734"/>
      <w:bookmarkEnd w:id="806"/>
      <w:bookmarkStart w:id="807" w:name="_Toc296891061"/>
      <w:bookmarkEnd w:id="807"/>
      <w:bookmarkStart w:id="808" w:name="_Toc296503233"/>
      <w:bookmarkEnd w:id="808"/>
      <w:bookmarkStart w:id="809" w:name="_Toc296347232"/>
      <w:bookmarkEnd w:id="809"/>
      <w:bookmarkStart w:id="810" w:name="_Toc296944572"/>
      <w:r>
        <w:rPr>
          <w:rFonts w:hint="eastAsia" w:ascii="新宋体" w:hAnsi="新宋体" w:eastAsia="新宋体"/>
          <w:b/>
          <w:bCs/>
          <w:color w:val="auto"/>
        </w:rPr>
        <w:t>件</w:t>
      </w:r>
      <w:r>
        <w:rPr>
          <w:rFonts w:ascii="新宋体" w:hAnsi="新宋体" w:eastAsia="新宋体"/>
          <w:b/>
          <w:bCs/>
          <w:color w:val="auto"/>
        </w:rPr>
        <w:t xml:space="preserve">10:  </w:t>
      </w:r>
      <w:bookmarkEnd w:id="810"/>
    </w:p>
    <w:p>
      <w:pPr>
        <w:spacing w:line="300" w:lineRule="exact"/>
        <w:jc w:val="center"/>
        <w:rPr>
          <w:rFonts w:ascii="新宋体" w:hAnsi="新宋体" w:eastAsia="新宋体"/>
          <w:color w:val="auto"/>
        </w:rPr>
      </w:pPr>
      <w:r>
        <w:rPr>
          <w:rFonts w:hint="eastAsia" w:ascii="新宋体" w:hAnsi="新宋体" w:eastAsia="新宋体"/>
          <w:color w:val="auto"/>
        </w:rPr>
        <w:t>支付担保</w:t>
      </w:r>
    </w:p>
    <w:p>
      <w:pPr>
        <w:spacing w:line="300" w:lineRule="exact"/>
        <w:jc w:val="left"/>
        <w:rPr>
          <w:rFonts w:ascii="新宋体" w:hAnsi="新宋体" w:eastAsia="新宋体"/>
          <w:color w:val="auto"/>
        </w:rPr>
      </w:pPr>
      <w:r>
        <w:rPr>
          <w:rFonts w:ascii="新宋体" w:hAnsi="新宋体" w:eastAsia="新宋体"/>
          <w:color w:val="auto"/>
          <w:u w:val="single"/>
        </w:rPr>
        <w:t xml:space="preserve">             </w:t>
      </w:r>
      <w:r>
        <w:rPr>
          <w:rFonts w:hint="eastAsia" w:ascii="新宋体" w:hAnsi="新宋体" w:eastAsia="新宋体"/>
          <w:color w:val="auto"/>
        </w:rPr>
        <w:t>（承包人）：</w:t>
      </w:r>
    </w:p>
    <w:p>
      <w:pPr>
        <w:spacing w:line="300" w:lineRule="exact"/>
        <w:jc w:val="left"/>
        <w:rPr>
          <w:rFonts w:ascii="新宋体" w:hAnsi="新宋体" w:eastAsia="新宋体"/>
          <w:color w:val="auto"/>
        </w:rPr>
      </w:pPr>
      <w:r>
        <w:rPr>
          <w:rFonts w:ascii="新宋体" w:hAnsi="新宋体" w:eastAsia="新宋体"/>
          <w:color w:val="auto"/>
        </w:rPr>
        <w:t xml:space="preserve"> </w:t>
      </w:r>
    </w:p>
    <w:p>
      <w:pPr>
        <w:spacing w:line="312" w:lineRule="auto"/>
        <w:ind w:firstLine="420" w:firstLineChars="200"/>
        <w:jc w:val="left"/>
        <w:rPr>
          <w:rFonts w:ascii="新宋体" w:hAnsi="新宋体" w:eastAsia="新宋体"/>
          <w:color w:val="auto"/>
        </w:rPr>
      </w:pPr>
      <w:r>
        <w:rPr>
          <w:rFonts w:hint="eastAsia" w:ascii="新宋体" w:hAnsi="新宋体" w:eastAsia="新宋体"/>
          <w:color w:val="auto"/>
        </w:rPr>
        <w:t>鉴于你方作为承包人已经与</w:t>
      </w:r>
      <w:r>
        <w:rPr>
          <w:rFonts w:ascii="新宋体" w:hAnsi="新宋体" w:eastAsia="新宋体"/>
          <w:color w:val="auto"/>
          <w:u w:val="single"/>
        </w:rPr>
        <w:t xml:space="preserve">             </w:t>
      </w:r>
      <w:r>
        <w:rPr>
          <w:rFonts w:hint="eastAsia" w:ascii="新宋体" w:hAnsi="新宋体" w:eastAsia="新宋体"/>
          <w:color w:val="auto"/>
        </w:rPr>
        <w:t>（发包人名称）（以下称“发包人”）于</w:t>
      </w:r>
      <w:r>
        <w:rPr>
          <w:rFonts w:ascii="新宋体" w:hAnsi="新宋体" w:eastAsia="新宋体"/>
          <w:color w:val="auto"/>
          <w:u w:val="single"/>
        </w:rPr>
        <w:t xml:space="preserve">   </w:t>
      </w:r>
      <w:r>
        <w:rPr>
          <w:rFonts w:hint="eastAsia" w:ascii="新宋体" w:hAnsi="新宋体" w:eastAsia="新宋体"/>
          <w:color w:val="auto"/>
        </w:rPr>
        <w:t>年</w:t>
      </w:r>
      <w:r>
        <w:rPr>
          <w:rFonts w:ascii="新宋体" w:hAnsi="新宋体" w:eastAsia="新宋体"/>
          <w:color w:val="auto"/>
          <w:u w:val="single"/>
        </w:rPr>
        <w:t xml:space="preserve">   </w:t>
      </w:r>
      <w:r>
        <w:rPr>
          <w:rFonts w:hint="eastAsia" w:ascii="新宋体" w:hAnsi="新宋体" w:eastAsia="新宋体"/>
          <w:color w:val="auto"/>
        </w:rPr>
        <w:t>月</w:t>
      </w:r>
      <w:r>
        <w:rPr>
          <w:rFonts w:ascii="新宋体" w:hAnsi="新宋体" w:eastAsia="新宋体"/>
          <w:color w:val="auto"/>
          <w:u w:val="single"/>
        </w:rPr>
        <w:t xml:space="preserve">    </w:t>
      </w:r>
      <w:r>
        <w:rPr>
          <w:rFonts w:hint="eastAsia" w:ascii="新宋体" w:hAnsi="新宋体" w:eastAsia="新宋体"/>
          <w:color w:val="auto"/>
        </w:rPr>
        <w:t>日签订了</w:t>
      </w:r>
      <w:r>
        <w:rPr>
          <w:rFonts w:ascii="新宋体" w:hAnsi="新宋体" w:eastAsia="新宋体"/>
          <w:color w:val="auto"/>
          <w:u w:val="single"/>
        </w:rPr>
        <w:t xml:space="preserve">             </w:t>
      </w:r>
      <w:r>
        <w:rPr>
          <w:rFonts w:hint="eastAsia" w:ascii="新宋体" w:hAnsi="新宋体" w:eastAsia="新宋体"/>
          <w:color w:val="auto"/>
        </w:rPr>
        <w:t>（工程名称）《建设工程施工合同》（以下称“主合同”），应发包人的申请，我方愿就发包人履行主合同约定的工程款支付义务以保证的方式向你方提供如下担保：</w:t>
      </w:r>
    </w:p>
    <w:p>
      <w:pPr>
        <w:spacing w:line="312" w:lineRule="auto"/>
        <w:ind w:firstLine="420" w:firstLineChars="200"/>
        <w:jc w:val="left"/>
        <w:outlineLvl w:val="0"/>
        <w:rPr>
          <w:rFonts w:ascii="新宋体" w:hAnsi="新宋体" w:eastAsia="新宋体"/>
          <w:color w:val="auto"/>
        </w:rPr>
      </w:pPr>
      <w:r>
        <w:rPr>
          <w:rFonts w:hint="eastAsia" w:ascii="新宋体" w:hAnsi="新宋体" w:eastAsia="新宋体"/>
          <w:color w:val="auto"/>
        </w:rPr>
        <w:t>一、保证的范围及保证金额</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1. </w:t>
      </w:r>
      <w:r>
        <w:rPr>
          <w:rFonts w:hint="eastAsia" w:ascii="新宋体" w:hAnsi="新宋体" w:eastAsia="新宋体"/>
          <w:color w:val="auto"/>
        </w:rPr>
        <w:t>我方的保证范围是主合同约定的工程款。</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2. </w:t>
      </w:r>
      <w:r>
        <w:rPr>
          <w:rFonts w:hint="eastAsia" w:ascii="新宋体" w:hAnsi="新宋体" w:eastAsia="新宋体"/>
          <w:color w:val="auto"/>
        </w:rPr>
        <w:t>本保函所称主合同约定的工程款是指主合同约定的除工程质量保证金以外的合同价款。</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3. </w:t>
      </w:r>
      <w:r>
        <w:rPr>
          <w:rFonts w:hint="eastAsia" w:ascii="新宋体" w:hAnsi="新宋体" w:eastAsia="新宋体"/>
          <w:color w:val="auto"/>
        </w:rPr>
        <w:t>我方保证的金额是主合同约定的工程款的</w:t>
      </w:r>
      <w:r>
        <w:rPr>
          <w:rFonts w:ascii="新宋体" w:hAnsi="新宋体" w:eastAsia="新宋体"/>
          <w:color w:val="auto"/>
          <w:u w:val="single"/>
        </w:rPr>
        <w:t xml:space="preserve">      </w:t>
      </w:r>
      <w:r>
        <w:rPr>
          <w:rFonts w:ascii="新宋体" w:hAnsi="新宋体" w:eastAsia="新宋体"/>
          <w:color w:val="auto"/>
        </w:rPr>
        <w:t>%</w:t>
      </w:r>
      <w:r>
        <w:rPr>
          <w:rFonts w:hint="eastAsia" w:ascii="新宋体" w:hAnsi="新宋体" w:eastAsia="新宋体"/>
          <w:color w:val="auto"/>
        </w:rPr>
        <w:t>，数额最高不超过人民币元（大写：</w:t>
      </w:r>
      <w:r>
        <w:rPr>
          <w:rFonts w:ascii="新宋体" w:hAnsi="新宋体" w:eastAsia="新宋体"/>
          <w:color w:val="auto"/>
          <w:u w:val="single"/>
        </w:rPr>
        <w:t xml:space="preserve">        </w:t>
      </w:r>
      <w:r>
        <w:rPr>
          <w:rFonts w:hint="eastAsia" w:ascii="新宋体" w:hAnsi="新宋体" w:eastAsia="新宋体"/>
          <w:color w:val="auto"/>
        </w:rPr>
        <w:t>）。</w:t>
      </w:r>
    </w:p>
    <w:p>
      <w:pPr>
        <w:spacing w:line="312" w:lineRule="auto"/>
        <w:ind w:firstLine="420" w:firstLineChars="200"/>
        <w:jc w:val="left"/>
        <w:outlineLvl w:val="0"/>
        <w:rPr>
          <w:rFonts w:ascii="新宋体" w:hAnsi="新宋体" w:eastAsia="新宋体"/>
          <w:color w:val="auto"/>
        </w:rPr>
      </w:pPr>
      <w:r>
        <w:rPr>
          <w:rFonts w:hint="eastAsia" w:ascii="新宋体" w:hAnsi="新宋体" w:eastAsia="新宋体"/>
          <w:color w:val="auto"/>
        </w:rPr>
        <w:t>二、保证的方式及保证期间</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1. </w:t>
      </w:r>
      <w:r>
        <w:rPr>
          <w:rFonts w:hint="eastAsia" w:ascii="新宋体" w:hAnsi="新宋体" w:eastAsia="新宋体"/>
          <w:color w:val="auto"/>
        </w:rPr>
        <w:t>我方保证的方式为：连带责任保证。</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2. </w:t>
      </w:r>
      <w:r>
        <w:rPr>
          <w:rFonts w:hint="eastAsia" w:ascii="新宋体" w:hAnsi="新宋体" w:eastAsia="新宋体"/>
          <w:color w:val="auto"/>
        </w:rPr>
        <w:t>我方保证的期间为：自本合同生效之日起至主合同约定的工程款支付完毕之日后</w:t>
      </w:r>
      <w:r>
        <w:rPr>
          <w:rFonts w:ascii="新宋体" w:hAnsi="新宋体" w:eastAsia="新宋体"/>
          <w:color w:val="auto"/>
          <w:u w:val="single"/>
        </w:rPr>
        <w:t xml:space="preserve">    </w:t>
      </w:r>
      <w:r>
        <w:rPr>
          <w:rFonts w:hint="eastAsia" w:ascii="新宋体" w:hAnsi="新宋体" w:eastAsia="新宋体"/>
          <w:color w:val="auto"/>
        </w:rPr>
        <w:t>日内。</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3. </w:t>
      </w:r>
      <w:r>
        <w:rPr>
          <w:rFonts w:hint="eastAsia" w:ascii="新宋体" w:hAnsi="新宋体" w:eastAsia="新宋体"/>
          <w:color w:val="auto"/>
        </w:rPr>
        <w:t>你方与发包人协议变更工程款支付日期的，经我方书面同意后，保证期间按照变更后的支付日期做相应调整。</w:t>
      </w:r>
    </w:p>
    <w:p>
      <w:pPr>
        <w:spacing w:line="312" w:lineRule="auto"/>
        <w:ind w:firstLine="420" w:firstLineChars="200"/>
        <w:jc w:val="left"/>
        <w:outlineLvl w:val="0"/>
        <w:rPr>
          <w:rFonts w:ascii="新宋体" w:hAnsi="新宋体" w:eastAsia="新宋体"/>
          <w:color w:val="auto"/>
        </w:rPr>
      </w:pPr>
      <w:r>
        <w:rPr>
          <w:rFonts w:hint="eastAsia" w:ascii="新宋体" w:hAnsi="新宋体" w:eastAsia="新宋体"/>
          <w:color w:val="auto"/>
        </w:rPr>
        <w:t>三、承担保证责任的形式</w:t>
      </w:r>
    </w:p>
    <w:p>
      <w:pPr>
        <w:spacing w:line="312" w:lineRule="auto"/>
        <w:ind w:firstLine="420" w:firstLineChars="200"/>
        <w:jc w:val="left"/>
        <w:rPr>
          <w:rFonts w:ascii="新宋体" w:hAnsi="新宋体" w:eastAsia="新宋体"/>
          <w:color w:val="auto"/>
        </w:rPr>
      </w:pPr>
      <w:r>
        <w:rPr>
          <w:rFonts w:hint="eastAsia" w:ascii="新宋体" w:hAnsi="新宋体" w:eastAsia="新宋体"/>
          <w:color w:val="auto"/>
        </w:rPr>
        <w:t>我方承担保证责任的形式是代为支付。发包人未按主合同约定向你方支付工程款的，由我方在保证金额内代为支付。</w:t>
      </w:r>
    </w:p>
    <w:p>
      <w:pPr>
        <w:spacing w:line="312" w:lineRule="auto"/>
        <w:ind w:firstLine="420" w:firstLineChars="200"/>
        <w:jc w:val="left"/>
        <w:outlineLvl w:val="0"/>
        <w:rPr>
          <w:rFonts w:ascii="新宋体" w:hAnsi="新宋体" w:eastAsia="新宋体"/>
          <w:color w:val="auto"/>
        </w:rPr>
      </w:pPr>
      <w:r>
        <w:rPr>
          <w:rFonts w:hint="eastAsia" w:ascii="新宋体" w:hAnsi="新宋体" w:eastAsia="新宋体"/>
          <w:color w:val="auto"/>
        </w:rPr>
        <w:t>四、代偿的安排</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1. </w:t>
      </w:r>
      <w:r>
        <w:rPr>
          <w:rFonts w:hint="eastAsia" w:ascii="新宋体" w:hAnsi="新宋体" w:eastAsia="新宋体"/>
          <w:color w:val="auto"/>
        </w:rPr>
        <w:t>你方要求我方承担保证责任的，应向我方发出书面索赔通知及发包人未支付主合同约定工程款的证明材料。索赔通知应写明要求索赔的金额，支付款项应到达的账号。</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2. </w:t>
      </w:r>
      <w:r>
        <w:rPr>
          <w:rFonts w:hint="eastAsia" w:ascii="新宋体" w:hAnsi="新宋体" w:eastAsia="新宋体"/>
          <w:color w:val="auto"/>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3. </w:t>
      </w:r>
      <w:r>
        <w:rPr>
          <w:rFonts w:hint="eastAsia" w:ascii="新宋体" w:hAnsi="新宋体" w:eastAsia="新宋体"/>
          <w:color w:val="auto"/>
        </w:rPr>
        <w:t>我方收到你方的书面索赔通知及相应的证明材料后７天内无条件支付。</w:t>
      </w:r>
    </w:p>
    <w:p>
      <w:pPr>
        <w:spacing w:line="312" w:lineRule="auto"/>
        <w:ind w:firstLine="420" w:firstLineChars="200"/>
        <w:jc w:val="left"/>
        <w:outlineLvl w:val="0"/>
        <w:rPr>
          <w:rFonts w:ascii="新宋体" w:hAnsi="新宋体" w:eastAsia="新宋体"/>
          <w:color w:val="auto"/>
        </w:rPr>
      </w:pPr>
      <w:r>
        <w:rPr>
          <w:rFonts w:hint="eastAsia" w:ascii="新宋体" w:hAnsi="新宋体" w:eastAsia="新宋体"/>
          <w:color w:val="auto"/>
        </w:rPr>
        <w:t>五、保证责任的解除</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1. </w:t>
      </w:r>
      <w:r>
        <w:rPr>
          <w:rFonts w:hint="eastAsia" w:ascii="新宋体" w:hAnsi="新宋体" w:eastAsia="新宋体"/>
          <w:color w:val="auto"/>
        </w:rPr>
        <w:t>在本保函承诺的保证期间内，你方未书面向我方主张保证责任的，自保证期间届满次日起，我方保证责任解除。</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2. </w:t>
      </w:r>
      <w:r>
        <w:rPr>
          <w:rFonts w:hint="eastAsia" w:ascii="新宋体" w:hAnsi="新宋体" w:eastAsia="新宋体"/>
          <w:color w:val="auto"/>
        </w:rPr>
        <w:t>发包人按主合同约定履行了工程款的全部支付义务的，自本保函承诺的保证期间届满次日起，我方保证责任解除。</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3. </w:t>
      </w:r>
      <w:r>
        <w:rPr>
          <w:rFonts w:hint="eastAsia" w:ascii="新宋体" w:hAnsi="新宋体" w:eastAsia="新宋体"/>
          <w:color w:val="auto"/>
        </w:rPr>
        <w:t>我方按照本保函向你方履行保证责任所支付金额达到本保函保证金额时，自我方向你方支付（支付款项从我方账户划出）之日起，保证责任即解除。</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4. </w:t>
      </w:r>
      <w:r>
        <w:rPr>
          <w:rFonts w:hint="eastAsia" w:ascii="新宋体" w:hAnsi="新宋体" w:eastAsia="新宋体"/>
          <w:color w:val="auto"/>
        </w:rPr>
        <w:t>按照法律法规的规定或出现应解除我方保证责任的其他情形的，我方在本保函项下的保证责任亦解除。</w:t>
      </w:r>
    </w:p>
    <w:p>
      <w:pPr>
        <w:spacing w:line="312" w:lineRule="auto"/>
        <w:jc w:val="left"/>
        <w:rPr>
          <w:rFonts w:ascii="新宋体" w:hAnsi="新宋体" w:eastAsia="新宋体"/>
          <w:color w:val="auto"/>
        </w:rPr>
      </w:pPr>
      <w:r>
        <w:rPr>
          <w:rFonts w:ascii="新宋体" w:hAnsi="新宋体" w:eastAsia="新宋体"/>
          <w:color w:val="auto"/>
        </w:rPr>
        <w:t xml:space="preserve"> </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5. </w:t>
      </w:r>
      <w:r>
        <w:rPr>
          <w:rFonts w:hint="eastAsia" w:ascii="新宋体" w:hAnsi="新宋体" w:eastAsia="新宋体"/>
          <w:color w:val="auto"/>
        </w:rPr>
        <w:t>我方解除保证责任后，你方应自我方保证责任解除之日起</w:t>
      </w:r>
      <w:r>
        <w:rPr>
          <w:rFonts w:ascii="新宋体" w:hAnsi="新宋体" w:eastAsia="新宋体"/>
          <w:color w:val="auto"/>
          <w:u w:val="single"/>
        </w:rPr>
        <w:t xml:space="preserve">  </w:t>
      </w:r>
      <w:r>
        <w:rPr>
          <w:rFonts w:hint="eastAsia" w:ascii="新宋体" w:hAnsi="新宋体" w:eastAsia="新宋体"/>
          <w:color w:val="auto"/>
        </w:rPr>
        <w:t>个工作日内，将本保函原件返还我方。</w:t>
      </w:r>
    </w:p>
    <w:p>
      <w:pPr>
        <w:spacing w:line="312" w:lineRule="auto"/>
        <w:ind w:firstLine="420" w:firstLineChars="200"/>
        <w:jc w:val="left"/>
        <w:outlineLvl w:val="0"/>
        <w:rPr>
          <w:rFonts w:ascii="新宋体" w:hAnsi="新宋体" w:eastAsia="新宋体"/>
          <w:color w:val="auto"/>
        </w:rPr>
      </w:pPr>
      <w:r>
        <w:rPr>
          <w:rFonts w:hint="eastAsia" w:ascii="新宋体" w:hAnsi="新宋体" w:eastAsia="新宋体"/>
          <w:color w:val="auto"/>
        </w:rPr>
        <w:t>六、免责条款</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1. </w:t>
      </w:r>
      <w:r>
        <w:rPr>
          <w:rFonts w:hint="eastAsia" w:ascii="新宋体" w:hAnsi="新宋体" w:eastAsia="新宋体"/>
          <w:color w:val="auto"/>
        </w:rPr>
        <w:t>因你方违约致使发包人不能履行义务的，我方不承担保证责任。</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2. </w:t>
      </w:r>
      <w:r>
        <w:rPr>
          <w:rFonts w:hint="eastAsia" w:ascii="新宋体" w:hAnsi="新宋体" w:eastAsia="新宋体"/>
          <w:color w:val="auto"/>
        </w:rPr>
        <w:t>依照法律法规的规定或你方与发包人的另行约定，免除发包人部分或全部义务的，我方亦免除其相应的保证责任。</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3. </w:t>
      </w:r>
      <w:r>
        <w:rPr>
          <w:rFonts w:hint="eastAsia" w:ascii="新宋体" w:hAnsi="新宋体" w:eastAsia="新宋体"/>
          <w:color w:val="auto"/>
        </w:rPr>
        <w:t>你方与发包人协议变更主合同的，如加重发包人责任致使我方保证责任加重的，需征得我方书面同意，否则我方不再承担因此而加重部分的保证责任，但主合同第</w:t>
      </w:r>
      <w:r>
        <w:rPr>
          <w:rFonts w:ascii="新宋体" w:hAnsi="新宋体" w:eastAsia="新宋体"/>
          <w:color w:val="auto"/>
        </w:rPr>
        <w:t>10</w:t>
      </w:r>
      <w:r>
        <w:rPr>
          <w:rFonts w:hint="eastAsia" w:ascii="新宋体" w:hAnsi="新宋体" w:eastAsia="新宋体"/>
          <w:color w:val="auto"/>
        </w:rPr>
        <w:t>条〔变更〕约定的变更不受本款限制。</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4. </w:t>
      </w:r>
      <w:r>
        <w:rPr>
          <w:rFonts w:hint="eastAsia" w:ascii="新宋体" w:hAnsi="新宋体" w:eastAsia="新宋体"/>
          <w:color w:val="auto"/>
        </w:rPr>
        <w:t>因不可抗力造成发包人不能履行义务的，我方不承担保证责任。</w:t>
      </w:r>
    </w:p>
    <w:p>
      <w:pPr>
        <w:spacing w:line="312" w:lineRule="auto"/>
        <w:ind w:firstLine="420" w:firstLineChars="200"/>
        <w:jc w:val="left"/>
        <w:outlineLvl w:val="0"/>
        <w:rPr>
          <w:rFonts w:ascii="新宋体" w:hAnsi="新宋体" w:eastAsia="新宋体"/>
          <w:color w:val="auto"/>
        </w:rPr>
      </w:pPr>
      <w:r>
        <w:rPr>
          <w:rFonts w:hint="eastAsia" w:ascii="新宋体" w:hAnsi="新宋体" w:eastAsia="新宋体"/>
          <w:color w:val="auto"/>
        </w:rPr>
        <w:t>七、争议解决</w:t>
      </w:r>
    </w:p>
    <w:p>
      <w:pPr>
        <w:spacing w:line="312" w:lineRule="auto"/>
        <w:ind w:firstLine="420" w:firstLineChars="200"/>
        <w:rPr>
          <w:rFonts w:ascii="新宋体" w:hAnsi="新宋体" w:eastAsia="新宋体"/>
          <w:color w:val="auto"/>
        </w:rPr>
      </w:pPr>
      <w:r>
        <w:rPr>
          <w:rFonts w:hint="eastAsia" w:ascii="新宋体" w:hAnsi="新宋体" w:eastAsia="新宋体"/>
          <w:color w:val="auto"/>
        </w:rPr>
        <w:t>因本保函或本保函相关事项发生的纠纷，可由双方协商解决，协商不成的，按下列第</w:t>
      </w:r>
      <w:r>
        <w:rPr>
          <w:rFonts w:ascii="新宋体" w:hAnsi="新宋体" w:eastAsia="新宋体"/>
          <w:color w:val="auto"/>
          <w:u w:val="single"/>
        </w:rPr>
        <w:t xml:space="preserve">     </w:t>
      </w:r>
      <w:r>
        <w:rPr>
          <w:rFonts w:hint="eastAsia" w:ascii="新宋体" w:hAnsi="新宋体" w:eastAsia="新宋体"/>
          <w:color w:val="auto"/>
        </w:rPr>
        <w:t>种方式解决：</w:t>
      </w:r>
    </w:p>
    <w:p>
      <w:pPr>
        <w:spacing w:line="312" w:lineRule="auto"/>
        <w:ind w:firstLine="420" w:firstLineChars="200"/>
        <w:jc w:val="left"/>
        <w:rPr>
          <w:rFonts w:ascii="新宋体" w:hAnsi="新宋体" w:eastAsia="新宋体"/>
          <w:color w:val="auto"/>
        </w:rPr>
      </w:pPr>
      <w:r>
        <w:rPr>
          <w:rFonts w:hint="eastAsia" w:ascii="新宋体" w:hAnsi="新宋体" w:eastAsia="新宋体"/>
          <w:color w:val="auto"/>
        </w:rPr>
        <w:t>（</w:t>
      </w:r>
      <w:r>
        <w:rPr>
          <w:rFonts w:ascii="新宋体" w:hAnsi="新宋体" w:eastAsia="新宋体"/>
          <w:color w:val="auto"/>
        </w:rPr>
        <w:t>1</w:t>
      </w:r>
      <w:r>
        <w:rPr>
          <w:rFonts w:hint="eastAsia" w:ascii="新宋体" w:hAnsi="新宋体" w:eastAsia="新宋体"/>
          <w:color w:val="auto"/>
        </w:rPr>
        <w:t>）向</w:t>
      </w:r>
      <w:r>
        <w:rPr>
          <w:rFonts w:ascii="新宋体" w:hAnsi="新宋体" w:eastAsia="新宋体"/>
          <w:color w:val="auto"/>
          <w:u w:val="single"/>
        </w:rPr>
        <w:t xml:space="preserve">                     </w:t>
      </w:r>
      <w:r>
        <w:rPr>
          <w:rFonts w:hint="eastAsia" w:ascii="新宋体" w:hAnsi="新宋体" w:eastAsia="新宋体"/>
          <w:color w:val="auto"/>
        </w:rPr>
        <w:t>仲裁委员会申请仲裁；</w:t>
      </w:r>
    </w:p>
    <w:p>
      <w:pPr>
        <w:spacing w:line="312" w:lineRule="auto"/>
        <w:ind w:firstLine="420" w:firstLineChars="200"/>
        <w:jc w:val="left"/>
        <w:rPr>
          <w:rFonts w:ascii="新宋体" w:hAnsi="新宋体" w:eastAsia="新宋体"/>
          <w:color w:val="auto"/>
        </w:rPr>
      </w:pPr>
      <w:r>
        <w:rPr>
          <w:rFonts w:hint="eastAsia" w:ascii="新宋体" w:hAnsi="新宋体" w:eastAsia="新宋体"/>
          <w:color w:val="auto"/>
        </w:rPr>
        <w:t>（</w:t>
      </w:r>
      <w:r>
        <w:rPr>
          <w:rFonts w:ascii="新宋体" w:hAnsi="新宋体" w:eastAsia="新宋体"/>
          <w:color w:val="auto"/>
        </w:rPr>
        <w:t>2</w:t>
      </w:r>
      <w:r>
        <w:rPr>
          <w:rFonts w:hint="eastAsia" w:ascii="新宋体" w:hAnsi="新宋体" w:eastAsia="新宋体"/>
          <w:color w:val="auto"/>
        </w:rPr>
        <w:t>）向</w:t>
      </w:r>
      <w:r>
        <w:rPr>
          <w:rFonts w:ascii="新宋体" w:hAnsi="新宋体" w:eastAsia="新宋体"/>
          <w:color w:val="auto"/>
          <w:u w:val="single"/>
        </w:rPr>
        <w:t xml:space="preserve">                     </w:t>
      </w:r>
      <w:r>
        <w:rPr>
          <w:rFonts w:hint="eastAsia" w:ascii="新宋体" w:hAnsi="新宋体" w:eastAsia="新宋体"/>
          <w:color w:val="auto"/>
        </w:rPr>
        <w:t>人民法院起诉。</w:t>
      </w:r>
    </w:p>
    <w:p>
      <w:pPr>
        <w:spacing w:line="312" w:lineRule="auto"/>
        <w:ind w:firstLine="420" w:firstLineChars="200"/>
        <w:jc w:val="left"/>
        <w:outlineLvl w:val="0"/>
        <w:rPr>
          <w:rFonts w:ascii="新宋体" w:hAnsi="新宋体" w:eastAsia="新宋体"/>
          <w:color w:val="auto"/>
        </w:rPr>
      </w:pPr>
      <w:r>
        <w:rPr>
          <w:rFonts w:hint="eastAsia" w:ascii="新宋体" w:hAnsi="新宋体" w:eastAsia="新宋体"/>
          <w:color w:val="auto"/>
        </w:rPr>
        <w:t>八、保函的生效</w:t>
      </w:r>
    </w:p>
    <w:p>
      <w:pPr>
        <w:spacing w:line="312" w:lineRule="auto"/>
        <w:ind w:firstLine="420" w:firstLineChars="200"/>
        <w:jc w:val="left"/>
        <w:rPr>
          <w:rFonts w:ascii="新宋体" w:hAnsi="新宋体" w:eastAsia="新宋体"/>
          <w:color w:val="auto"/>
        </w:rPr>
      </w:pPr>
      <w:r>
        <w:rPr>
          <w:rFonts w:hint="eastAsia" w:ascii="新宋体" w:hAnsi="新宋体" w:eastAsia="新宋体"/>
          <w:color w:val="auto"/>
        </w:rPr>
        <w:t>本保函自我方法定代表人（或其授权代理人）签字并加盖公章之日起生效。</w:t>
      </w:r>
    </w:p>
    <w:p>
      <w:pPr>
        <w:spacing w:line="312" w:lineRule="auto"/>
        <w:ind w:firstLine="420" w:firstLineChars="200"/>
        <w:jc w:val="left"/>
        <w:rPr>
          <w:rFonts w:ascii="新宋体" w:hAnsi="新宋体" w:eastAsia="新宋体"/>
          <w:color w:val="auto"/>
        </w:rPr>
      </w:pPr>
      <w:r>
        <w:rPr>
          <w:rFonts w:ascii="新宋体" w:hAnsi="新宋体" w:eastAsia="新宋体"/>
          <w:color w:val="auto"/>
        </w:rPr>
        <w:t xml:space="preserve"> </w:t>
      </w:r>
    </w:p>
    <w:p>
      <w:pPr>
        <w:spacing w:line="312" w:lineRule="auto"/>
        <w:ind w:right="600"/>
        <w:jc w:val="left"/>
        <w:rPr>
          <w:rFonts w:ascii="新宋体" w:hAnsi="新宋体" w:eastAsia="新宋体"/>
          <w:color w:val="auto"/>
        </w:rPr>
      </w:pPr>
      <w:r>
        <w:rPr>
          <w:rFonts w:ascii="新宋体" w:hAnsi="新宋体" w:eastAsia="新宋体"/>
          <w:color w:val="auto"/>
        </w:rPr>
        <w:t xml:space="preserve"> </w:t>
      </w:r>
    </w:p>
    <w:p>
      <w:pPr>
        <w:spacing w:line="312" w:lineRule="auto"/>
        <w:ind w:right="600"/>
        <w:jc w:val="left"/>
        <w:rPr>
          <w:rFonts w:ascii="新宋体" w:hAnsi="新宋体" w:eastAsia="新宋体"/>
          <w:color w:val="auto"/>
        </w:rPr>
      </w:pPr>
      <w:r>
        <w:rPr>
          <w:rFonts w:hint="eastAsia" w:ascii="新宋体" w:hAnsi="新宋体" w:eastAsia="新宋体"/>
          <w:color w:val="auto"/>
        </w:rPr>
        <w:t>担保人：</w:t>
      </w:r>
      <w:r>
        <w:rPr>
          <w:rFonts w:ascii="新宋体" w:hAnsi="新宋体" w:eastAsia="新宋体"/>
          <w:color w:val="auto"/>
          <w:u w:val="single"/>
        </w:rPr>
        <w:t xml:space="preserve">                                   </w:t>
      </w:r>
      <w:r>
        <w:rPr>
          <w:rFonts w:hint="eastAsia" w:ascii="新宋体" w:hAnsi="新宋体" w:eastAsia="新宋体"/>
          <w:color w:val="auto"/>
        </w:rPr>
        <w:t>（盖章）</w:t>
      </w:r>
    </w:p>
    <w:p>
      <w:pPr>
        <w:spacing w:line="312" w:lineRule="auto"/>
        <w:ind w:right="1200"/>
        <w:rPr>
          <w:rFonts w:ascii="新宋体" w:hAnsi="新宋体" w:eastAsia="新宋体"/>
          <w:color w:val="auto"/>
        </w:rPr>
      </w:pPr>
      <w:r>
        <w:rPr>
          <w:rFonts w:hint="eastAsia" w:ascii="新宋体" w:hAnsi="新宋体" w:eastAsia="新宋体"/>
          <w:color w:val="auto"/>
        </w:rPr>
        <w:t>法定代表人或委托代理人：</w:t>
      </w:r>
      <w:r>
        <w:rPr>
          <w:rFonts w:ascii="新宋体" w:hAnsi="新宋体" w:eastAsia="新宋体"/>
          <w:color w:val="auto"/>
          <w:u w:val="single"/>
        </w:rPr>
        <w:t xml:space="preserve">                   </w:t>
      </w:r>
      <w:r>
        <w:rPr>
          <w:rFonts w:hint="eastAsia" w:ascii="新宋体" w:hAnsi="新宋体" w:eastAsia="新宋体"/>
          <w:color w:val="auto"/>
        </w:rPr>
        <w:t>（签字）</w:t>
      </w:r>
    </w:p>
    <w:p>
      <w:pPr>
        <w:spacing w:line="312" w:lineRule="auto"/>
        <w:jc w:val="left"/>
        <w:rPr>
          <w:rFonts w:ascii="新宋体" w:hAnsi="新宋体" w:eastAsia="新宋体"/>
          <w:color w:val="auto"/>
        </w:rPr>
      </w:pPr>
      <w:r>
        <w:rPr>
          <w:rFonts w:hint="eastAsia" w:ascii="新宋体" w:hAnsi="新宋体" w:eastAsia="新宋体"/>
          <w:color w:val="auto"/>
        </w:rPr>
        <w:t>地</w:t>
      </w:r>
      <w:r>
        <w:rPr>
          <w:rFonts w:ascii="新宋体" w:hAnsi="新宋体" w:eastAsia="新宋体"/>
          <w:color w:val="auto"/>
        </w:rPr>
        <w:t xml:space="preserve">    </w:t>
      </w:r>
      <w:r>
        <w:rPr>
          <w:rFonts w:hint="eastAsia" w:ascii="新宋体" w:hAnsi="新宋体" w:eastAsia="新宋体"/>
          <w:color w:val="auto"/>
        </w:rPr>
        <w:t>址：</w:t>
      </w:r>
      <w:r>
        <w:rPr>
          <w:rFonts w:ascii="新宋体" w:hAnsi="新宋体" w:eastAsia="新宋体"/>
          <w:color w:val="auto"/>
          <w:u w:val="single"/>
        </w:rPr>
        <w:t xml:space="preserve">                                        </w:t>
      </w:r>
    </w:p>
    <w:p>
      <w:pPr>
        <w:spacing w:line="312" w:lineRule="auto"/>
        <w:jc w:val="left"/>
        <w:rPr>
          <w:rFonts w:ascii="新宋体" w:hAnsi="新宋体" w:eastAsia="新宋体"/>
          <w:color w:val="auto"/>
        </w:rPr>
      </w:pPr>
      <w:r>
        <w:rPr>
          <w:rFonts w:hint="eastAsia" w:ascii="新宋体" w:hAnsi="新宋体" w:eastAsia="新宋体"/>
          <w:color w:val="auto"/>
        </w:rPr>
        <w:t>邮政编码：</w:t>
      </w:r>
      <w:r>
        <w:rPr>
          <w:rFonts w:ascii="新宋体" w:hAnsi="新宋体" w:eastAsia="新宋体"/>
          <w:color w:val="auto"/>
          <w:u w:val="single"/>
        </w:rPr>
        <w:t xml:space="preserve">                                        </w:t>
      </w:r>
    </w:p>
    <w:p>
      <w:pPr>
        <w:spacing w:line="312" w:lineRule="auto"/>
        <w:jc w:val="left"/>
        <w:rPr>
          <w:rFonts w:ascii="新宋体" w:hAnsi="新宋体" w:eastAsia="新宋体"/>
          <w:color w:val="auto"/>
        </w:rPr>
      </w:pPr>
      <w:r>
        <w:rPr>
          <w:rFonts w:hint="eastAsia" w:ascii="新宋体" w:hAnsi="新宋体" w:eastAsia="新宋体"/>
          <w:color w:val="auto"/>
        </w:rPr>
        <w:t>传</w:t>
      </w:r>
      <w:r>
        <w:rPr>
          <w:rFonts w:ascii="新宋体" w:hAnsi="新宋体" w:eastAsia="新宋体"/>
          <w:color w:val="auto"/>
        </w:rPr>
        <w:t xml:space="preserve">    </w:t>
      </w:r>
      <w:r>
        <w:rPr>
          <w:rFonts w:hint="eastAsia" w:ascii="新宋体" w:hAnsi="新宋体" w:eastAsia="新宋体"/>
          <w:color w:val="auto"/>
        </w:rPr>
        <w:t>真：</w:t>
      </w:r>
      <w:r>
        <w:rPr>
          <w:rFonts w:ascii="新宋体" w:hAnsi="新宋体" w:eastAsia="新宋体"/>
          <w:color w:val="auto"/>
          <w:u w:val="single"/>
        </w:rPr>
        <w:t xml:space="preserve">                                        </w:t>
      </w:r>
    </w:p>
    <w:p>
      <w:pPr>
        <w:spacing w:line="312" w:lineRule="auto"/>
        <w:ind w:right="150" w:firstLine="420" w:firstLineChars="200"/>
        <w:jc w:val="left"/>
        <w:rPr>
          <w:rFonts w:ascii="新宋体" w:hAnsi="新宋体" w:eastAsia="新宋体"/>
          <w:color w:val="auto"/>
          <w:u w:val="single"/>
        </w:rPr>
      </w:pPr>
    </w:p>
    <w:p>
      <w:pPr>
        <w:spacing w:line="312" w:lineRule="auto"/>
        <w:ind w:right="150" w:firstLine="420" w:firstLineChars="200"/>
        <w:jc w:val="left"/>
        <w:rPr>
          <w:rFonts w:ascii="新宋体" w:hAnsi="新宋体" w:eastAsia="新宋体"/>
          <w:color w:val="auto"/>
        </w:rPr>
      </w:pPr>
      <w:r>
        <w:rPr>
          <w:rFonts w:ascii="新宋体" w:hAnsi="新宋体" w:eastAsia="新宋体"/>
          <w:color w:val="auto"/>
        </w:rPr>
        <w:t xml:space="preserve">             </w:t>
      </w:r>
      <w:r>
        <w:rPr>
          <w:rFonts w:ascii="新宋体" w:hAnsi="新宋体" w:eastAsia="新宋体"/>
          <w:color w:val="auto"/>
          <w:u w:val="single"/>
        </w:rPr>
        <w:t xml:space="preserve">               </w:t>
      </w:r>
      <w:r>
        <w:rPr>
          <w:rFonts w:hint="eastAsia" w:ascii="新宋体" w:hAnsi="新宋体" w:eastAsia="新宋体"/>
          <w:color w:val="auto"/>
        </w:rPr>
        <w:t>年</w:t>
      </w:r>
      <w:r>
        <w:rPr>
          <w:rFonts w:ascii="新宋体" w:hAnsi="新宋体" w:eastAsia="新宋体"/>
          <w:color w:val="auto"/>
          <w:u w:val="single"/>
        </w:rPr>
        <w:t xml:space="preserve">      </w:t>
      </w:r>
      <w:r>
        <w:rPr>
          <w:rFonts w:hint="eastAsia" w:ascii="新宋体" w:hAnsi="新宋体" w:eastAsia="新宋体"/>
          <w:color w:val="auto"/>
        </w:rPr>
        <w:t>月</w:t>
      </w:r>
      <w:r>
        <w:rPr>
          <w:rFonts w:ascii="新宋体" w:hAnsi="新宋体" w:eastAsia="新宋体"/>
          <w:color w:val="auto"/>
          <w:u w:val="single"/>
        </w:rPr>
        <w:t xml:space="preserve">      </w:t>
      </w:r>
      <w:r>
        <w:rPr>
          <w:rFonts w:hint="eastAsia" w:ascii="新宋体" w:hAnsi="新宋体" w:eastAsia="新宋体"/>
          <w:color w:val="auto"/>
        </w:rPr>
        <w:t>日</w:t>
      </w:r>
    </w:p>
    <w:p>
      <w:pPr>
        <w:spacing w:line="300" w:lineRule="exact"/>
        <w:rPr>
          <w:rFonts w:ascii="新宋体" w:hAnsi="新宋体" w:eastAsia="新宋体"/>
          <w:color w:val="auto"/>
        </w:rPr>
      </w:pPr>
      <w:r>
        <w:rPr>
          <w:rFonts w:ascii="新宋体" w:hAnsi="新宋体" w:eastAsia="新宋体"/>
          <w:color w:val="auto"/>
        </w:rPr>
        <w:br w:type="page"/>
      </w:r>
      <w:r>
        <w:rPr>
          <w:rFonts w:hint="eastAsia" w:ascii="新宋体" w:hAnsi="新宋体" w:eastAsia="新宋体"/>
          <w:b/>
          <w:bCs/>
          <w:color w:val="auto"/>
        </w:rPr>
        <w:t>附件</w:t>
      </w:r>
      <w:r>
        <w:rPr>
          <w:rFonts w:ascii="新宋体" w:hAnsi="新宋体" w:eastAsia="新宋体"/>
          <w:b/>
          <w:bCs/>
          <w:color w:val="auto"/>
        </w:rPr>
        <w:t>11</w:t>
      </w:r>
      <w:r>
        <w:rPr>
          <w:rFonts w:hint="eastAsia" w:ascii="新宋体" w:hAnsi="新宋体" w:eastAsia="新宋体"/>
          <w:b/>
          <w:bCs/>
          <w:color w:val="auto"/>
        </w:rPr>
        <w:t>：</w:t>
      </w:r>
    </w:p>
    <w:p>
      <w:pPr>
        <w:spacing w:line="300" w:lineRule="exact"/>
        <w:jc w:val="center"/>
        <w:outlineLvl w:val="0"/>
        <w:rPr>
          <w:rFonts w:ascii="新宋体" w:hAnsi="新宋体" w:eastAsia="新宋体"/>
          <w:color w:val="auto"/>
        </w:rPr>
      </w:pPr>
      <w:r>
        <w:rPr>
          <w:rFonts w:ascii="新宋体" w:hAnsi="新宋体" w:eastAsia="新宋体"/>
          <w:color w:val="auto"/>
        </w:rPr>
        <w:t>11-1</w:t>
      </w:r>
      <w:r>
        <w:rPr>
          <w:rFonts w:hint="eastAsia" w:ascii="新宋体" w:hAnsi="新宋体" w:eastAsia="新宋体"/>
          <w:color w:val="auto"/>
        </w:rPr>
        <w:t>：材料暂估价表</w:t>
      </w:r>
    </w:p>
    <w:tbl>
      <w:tblPr>
        <w:tblStyle w:val="15"/>
        <w:tblW w:w="8460" w:type="dxa"/>
        <w:tblInd w:w="135" w:type="dxa"/>
        <w:tblLayout w:type="fixed"/>
        <w:tblCellMar>
          <w:top w:w="0" w:type="dxa"/>
          <w:left w:w="28" w:type="dxa"/>
          <w:bottom w:w="0" w:type="dxa"/>
          <w:right w:w="28" w:type="dxa"/>
        </w:tblCellMar>
      </w:tblPr>
      <w:tblGrid>
        <w:gridCol w:w="926"/>
        <w:gridCol w:w="1850"/>
        <w:gridCol w:w="793"/>
        <w:gridCol w:w="722"/>
        <w:gridCol w:w="1261"/>
        <w:gridCol w:w="1322"/>
        <w:gridCol w:w="1586"/>
      </w:tblGrid>
      <w:tr>
        <w:tblPrEx>
          <w:tblLayout w:type="fixed"/>
          <w:tblCellMar>
            <w:top w:w="0" w:type="dxa"/>
            <w:left w:w="28" w:type="dxa"/>
            <w:bottom w:w="0" w:type="dxa"/>
            <w:right w:w="28" w:type="dxa"/>
          </w:tblCellMar>
        </w:tblPrEx>
        <w:trPr>
          <w:trHeight w:val="315" w:hRule="atLeast"/>
        </w:trPr>
        <w:tc>
          <w:tcPr>
            <w:tcW w:w="926" w:type="dxa"/>
            <w:tcBorders>
              <w:top w:val="single" w:color="auto" w:sz="12" w:space="0"/>
              <w:left w:val="single" w:color="auto" w:sz="12" w:space="0"/>
              <w:bottom w:val="double" w:color="auto" w:sz="2" w:space="0"/>
              <w:right w:val="single" w:color="auto" w:sz="6"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序号</w:t>
            </w:r>
          </w:p>
        </w:tc>
        <w:tc>
          <w:tcPr>
            <w:tcW w:w="1850" w:type="dxa"/>
            <w:tcBorders>
              <w:top w:val="single" w:color="auto" w:sz="12" w:space="0"/>
              <w:left w:val="single" w:color="auto" w:sz="6" w:space="0"/>
              <w:bottom w:val="double" w:color="auto" w:sz="2" w:space="0"/>
              <w:right w:val="single" w:color="auto" w:sz="6"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名称</w:t>
            </w:r>
          </w:p>
        </w:tc>
        <w:tc>
          <w:tcPr>
            <w:tcW w:w="793" w:type="dxa"/>
            <w:tcBorders>
              <w:top w:val="single" w:color="auto" w:sz="12" w:space="0"/>
              <w:left w:val="single" w:color="auto" w:sz="6" w:space="0"/>
              <w:bottom w:val="double" w:color="auto" w:sz="2" w:space="0"/>
              <w:right w:val="single" w:color="auto" w:sz="6"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单位</w:t>
            </w:r>
          </w:p>
        </w:tc>
        <w:tc>
          <w:tcPr>
            <w:tcW w:w="722" w:type="dxa"/>
            <w:tcBorders>
              <w:top w:val="single" w:color="auto" w:sz="12" w:space="0"/>
              <w:left w:val="single" w:color="auto" w:sz="6" w:space="0"/>
              <w:bottom w:val="double" w:color="auto" w:sz="2" w:space="0"/>
              <w:right w:val="single" w:color="auto" w:sz="6"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数量</w:t>
            </w:r>
          </w:p>
        </w:tc>
        <w:tc>
          <w:tcPr>
            <w:tcW w:w="1261" w:type="dxa"/>
            <w:tcBorders>
              <w:top w:val="single" w:color="auto" w:sz="12" w:space="0"/>
              <w:left w:val="single" w:color="auto" w:sz="6" w:space="0"/>
              <w:bottom w:val="double" w:color="auto" w:sz="2" w:space="0"/>
              <w:right w:val="single" w:color="auto" w:sz="6"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单价（元）</w:t>
            </w:r>
          </w:p>
        </w:tc>
        <w:tc>
          <w:tcPr>
            <w:tcW w:w="1322" w:type="dxa"/>
            <w:tcBorders>
              <w:top w:val="single" w:color="auto" w:sz="12" w:space="0"/>
              <w:left w:val="single" w:color="auto" w:sz="6" w:space="0"/>
              <w:bottom w:val="double" w:color="auto" w:sz="2" w:space="0"/>
              <w:right w:val="single" w:color="auto" w:sz="6"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合价（元）</w:t>
            </w:r>
          </w:p>
        </w:tc>
        <w:tc>
          <w:tcPr>
            <w:tcW w:w="1586" w:type="dxa"/>
            <w:tcBorders>
              <w:top w:val="single" w:color="auto" w:sz="12" w:space="0"/>
              <w:left w:val="single" w:color="auto" w:sz="6" w:space="0"/>
              <w:bottom w:val="double" w:color="auto" w:sz="2" w:space="0"/>
              <w:right w:val="single" w:color="auto" w:sz="12"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备注</w:t>
            </w:r>
          </w:p>
        </w:tc>
      </w:tr>
      <w:tr>
        <w:tblPrEx>
          <w:tblLayout w:type="fixed"/>
          <w:tblCellMar>
            <w:top w:w="0" w:type="dxa"/>
            <w:left w:w="28" w:type="dxa"/>
            <w:bottom w:w="0" w:type="dxa"/>
            <w:right w:w="28" w:type="dxa"/>
          </w:tblCellMar>
        </w:tblPrEx>
        <w:trPr>
          <w:trHeight w:val="330" w:hRule="atLeast"/>
        </w:trPr>
        <w:tc>
          <w:tcPr>
            <w:tcW w:w="926" w:type="dxa"/>
            <w:tcBorders>
              <w:top w:val="double" w:color="auto" w:sz="2"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double" w:color="auto" w:sz="2"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double" w:color="auto" w:sz="2"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double" w:color="auto" w:sz="2"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double" w:color="auto" w:sz="2"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double" w:color="auto" w:sz="2"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double" w:color="auto" w:sz="2"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nil"/>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nil"/>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nil"/>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nil"/>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nil"/>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nil"/>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nil"/>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01" w:hRule="atLeast"/>
        </w:trPr>
        <w:tc>
          <w:tcPr>
            <w:tcW w:w="926"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30" w:hRule="atLeast"/>
        </w:trPr>
        <w:tc>
          <w:tcPr>
            <w:tcW w:w="926" w:type="dxa"/>
            <w:tcBorders>
              <w:top w:val="single" w:color="auto" w:sz="6" w:space="0"/>
              <w:left w:val="single" w:color="auto" w:sz="12" w:space="0"/>
              <w:bottom w:val="single" w:color="auto" w:sz="12"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0" w:type="dxa"/>
            <w:tcBorders>
              <w:top w:val="single" w:color="auto" w:sz="6" w:space="0"/>
              <w:left w:val="single" w:color="auto" w:sz="6" w:space="0"/>
              <w:bottom w:val="single" w:color="auto" w:sz="12"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3" w:type="dxa"/>
            <w:tcBorders>
              <w:top w:val="single" w:color="auto" w:sz="6" w:space="0"/>
              <w:left w:val="single" w:color="auto" w:sz="6" w:space="0"/>
              <w:bottom w:val="single" w:color="auto" w:sz="12"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2" w:type="dxa"/>
            <w:tcBorders>
              <w:top w:val="single" w:color="auto" w:sz="6" w:space="0"/>
              <w:left w:val="single" w:color="auto" w:sz="6" w:space="0"/>
              <w:bottom w:val="single" w:color="auto" w:sz="12"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1" w:type="dxa"/>
            <w:tcBorders>
              <w:top w:val="single" w:color="auto" w:sz="6" w:space="0"/>
              <w:left w:val="single" w:color="auto" w:sz="6" w:space="0"/>
              <w:bottom w:val="single" w:color="auto" w:sz="12"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2" w:type="dxa"/>
            <w:tcBorders>
              <w:top w:val="single" w:color="auto" w:sz="6" w:space="0"/>
              <w:left w:val="single" w:color="auto" w:sz="6" w:space="0"/>
              <w:bottom w:val="single" w:color="auto" w:sz="12"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86" w:type="dxa"/>
            <w:tcBorders>
              <w:top w:val="single" w:color="auto" w:sz="6" w:space="0"/>
              <w:left w:val="single" w:color="auto" w:sz="6" w:space="0"/>
              <w:bottom w:val="single" w:color="auto" w:sz="12"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bl>
    <w:p>
      <w:pPr>
        <w:spacing w:line="300" w:lineRule="exact"/>
        <w:rPr>
          <w:rFonts w:ascii="新宋体" w:hAnsi="新宋体" w:eastAsia="新宋体"/>
          <w:color w:val="auto"/>
        </w:rPr>
      </w:pPr>
      <w:r>
        <w:rPr>
          <w:rFonts w:ascii="新宋体" w:hAnsi="新宋体" w:eastAsia="新宋体"/>
          <w:color w:val="auto"/>
        </w:rPr>
        <w:t xml:space="preserve"> </w:t>
      </w:r>
    </w:p>
    <w:p>
      <w:pPr>
        <w:spacing w:line="300" w:lineRule="exact"/>
        <w:jc w:val="center"/>
        <w:rPr>
          <w:rFonts w:ascii="新宋体" w:hAnsi="新宋体" w:eastAsia="新宋体"/>
          <w:color w:val="auto"/>
        </w:rPr>
      </w:pPr>
      <w:r>
        <w:rPr>
          <w:rFonts w:ascii="新宋体" w:hAnsi="新宋体" w:eastAsia="新宋体"/>
          <w:color w:val="auto"/>
        </w:rPr>
        <w:br w:type="page"/>
      </w:r>
      <w:r>
        <w:rPr>
          <w:rFonts w:ascii="新宋体" w:hAnsi="新宋体" w:eastAsia="新宋体"/>
          <w:color w:val="auto"/>
        </w:rPr>
        <w:t>11-2</w:t>
      </w:r>
      <w:r>
        <w:rPr>
          <w:rFonts w:hint="eastAsia" w:ascii="新宋体" w:hAnsi="新宋体" w:eastAsia="新宋体"/>
          <w:color w:val="auto"/>
        </w:rPr>
        <w:t>：工程设备暂估价表</w:t>
      </w:r>
    </w:p>
    <w:tbl>
      <w:tblPr>
        <w:tblStyle w:val="15"/>
        <w:tblW w:w="8500" w:type="dxa"/>
        <w:tblInd w:w="-34" w:type="dxa"/>
        <w:tblLayout w:type="fixed"/>
        <w:tblCellMar>
          <w:top w:w="0" w:type="dxa"/>
          <w:left w:w="28" w:type="dxa"/>
          <w:bottom w:w="0" w:type="dxa"/>
          <w:right w:w="28" w:type="dxa"/>
        </w:tblCellMar>
      </w:tblPr>
      <w:tblGrid>
        <w:gridCol w:w="930"/>
        <w:gridCol w:w="1859"/>
        <w:gridCol w:w="797"/>
        <w:gridCol w:w="725"/>
        <w:gridCol w:w="1267"/>
        <w:gridCol w:w="1328"/>
        <w:gridCol w:w="1594"/>
      </w:tblGrid>
      <w:tr>
        <w:tblPrEx>
          <w:tblLayout w:type="fixed"/>
          <w:tblCellMar>
            <w:top w:w="0" w:type="dxa"/>
            <w:left w:w="28" w:type="dxa"/>
            <w:bottom w:w="0" w:type="dxa"/>
            <w:right w:w="28" w:type="dxa"/>
          </w:tblCellMar>
        </w:tblPrEx>
        <w:trPr>
          <w:trHeight w:val="512" w:hRule="atLeast"/>
        </w:trPr>
        <w:tc>
          <w:tcPr>
            <w:tcW w:w="930" w:type="dxa"/>
            <w:tcBorders>
              <w:top w:val="single" w:color="auto" w:sz="12" w:space="0"/>
              <w:left w:val="single" w:color="auto" w:sz="12" w:space="0"/>
              <w:bottom w:val="double" w:color="auto" w:sz="2" w:space="0"/>
              <w:right w:val="single" w:color="auto" w:sz="6"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序号</w:t>
            </w:r>
          </w:p>
        </w:tc>
        <w:tc>
          <w:tcPr>
            <w:tcW w:w="1859" w:type="dxa"/>
            <w:tcBorders>
              <w:top w:val="single" w:color="auto" w:sz="12" w:space="0"/>
              <w:left w:val="single" w:color="auto" w:sz="6" w:space="0"/>
              <w:bottom w:val="double" w:color="auto" w:sz="2" w:space="0"/>
              <w:right w:val="single" w:color="auto" w:sz="6"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名称</w:t>
            </w:r>
          </w:p>
        </w:tc>
        <w:tc>
          <w:tcPr>
            <w:tcW w:w="797" w:type="dxa"/>
            <w:tcBorders>
              <w:top w:val="single" w:color="auto" w:sz="12" w:space="0"/>
              <w:left w:val="single" w:color="auto" w:sz="6" w:space="0"/>
              <w:bottom w:val="double" w:color="auto" w:sz="2" w:space="0"/>
              <w:right w:val="single" w:color="auto" w:sz="6"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单位</w:t>
            </w:r>
          </w:p>
        </w:tc>
        <w:tc>
          <w:tcPr>
            <w:tcW w:w="725" w:type="dxa"/>
            <w:tcBorders>
              <w:top w:val="single" w:color="auto" w:sz="12" w:space="0"/>
              <w:left w:val="single" w:color="auto" w:sz="6" w:space="0"/>
              <w:bottom w:val="double" w:color="auto" w:sz="2" w:space="0"/>
              <w:right w:val="single" w:color="auto" w:sz="6"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数量</w:t>
            </w:r>
          </w:p>
        </w:tc>
        <w:tc>
          <w:tcPr>
            <w:tcW w:w="1267" w:type="dxa"/>
            <w:tcBorders>
              <w:top w:val="single" w:color="auto" w:sz="12" w:space="0"/>
              <w:left w:val="single" w:color="auto" w:sz="6" w:space="0"/>
              <w:bottom w:val="double" w:color="auto" w:sz="2" w:space="0"/>
              <w:right w:val="single" w:color="auto" w:sz="6"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单价（元）</w:t>
            </w:r>
          </w:p>
        </w:tc>
        <w:tc>
          <w:tcPr>
            <w:tcW w:w="1328" w:type="dxa"/>
            <w:tcBorders>
              <w:top w:val="single" w:color="auto" w:sz="12" w:space="0"/>
              <w:left w:val="single" w:color="auto" w:sz="6" w:space="0"/>
              <w:bottom w:val="double" w:color="auto" w:sz="2" w:space="0"/>
              <w:right w:val="single" w:color="auto" w:sz="6"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合价（元）</w:t>
            </w:r>
          </w:p>
        </w:tc>
        <w:tc>
          <w:tcPr>
            <w:tcW w:w="1594" w:type="dxa"/>
            <w:tcBorders>
              <w:top w:val="single" w:color="auto" w:sz="12" w:space="0"/>
              <w:left w:val="single" w:color="auto" w:sz="6" w:space="0"/>
              <w:bottom w:val="double" w:color="auto" w:sz="2" w:space="0"/>
              <w:right w:val="single" w:color="auto" w:sz="12"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备注</w:t>
            </w:r>
          </w:p>
        </w:tc>
      </w:tr>
      <w:tr>
        <w:tblPrEx>
          <w:tblLayout w:type="fixed"/>
          <w:tblCellMar>
            <w:top w:w="0" w:type="dxa"/>
            <w:left w:w="28" w:type="dxa"/>
            <w:bottom w:w="0" w:type="dxa"/>
            <w:right w:w="28" w:type="dxa"/>
          </w:tblCellMar>
        </w:tblPrEx>
        <w:trPr>
          <w:trHeight w:val="346" w:hRule="atLeast"/>
        </w:trPr>
        <w:tc>
          <w:tcPr>
            <w:tcW w:w="930" w:type="dxa"/>
            <w:tcBorders>
              <w:top w:val="double" w:color="auto" w:sz="2"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double" w:color="auto" w:sz="2"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double" w:color="auto" w:sz="2"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double" w:color="auto" w:sz="2"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double" w:color="auto" w:sz="2"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double" w:color="auto" w:sz="2"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double" w:color="auto" w:sz="2"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nil"/>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nil"/>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nil"/>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nil"/>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nil"/>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nil"/>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nil"/>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6" w:hRule="atLeast"/>
        </w:trPr>
        <w:tc>
          <w:tcPr>
            <w:tcW w:w="930"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6" w:hRule="atLeast"/>
        </w:trPr>
        <w:tc>
          <w:tcPr>
            <w:tcW w:w="930" w:type="dxa"/>
            <w:tcBorders>
              <w:top w:val="single" w:color="auto" w:sz="6" w:space="0"/>
              <w:left w:val="single" w:color="auto" w:sz="12" w:space="0"/>
              <w:bottom w:val="single" w:color="auto" w:sz="12"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859" w:type="dxa"/>
            <w:tcBorders>
              <w:top w:val="single" w:color="auto" w:sz="6" w:space="0"/>
              <w:left w:val="single" w:color="auto" w:sz="6" w:space="0"/>
              <w:bottom w:val="single" w:color="auto" w:sz="12"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97" w:type="dxa"/>
            <w:tcBorders>
              <w:top w:val="single" w:color="auto" w:sz="6" w:space="0"/>
              <w:left w:val="single" w:color="auto" w:sz="6" w:space="0"/>
              <w:bottom w:val="single" w:color="auto" w:sz="12"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725" w:type="dxa"/>
            <w:tcBorders>
              <w:top w:val="single" w:color="auto" w:sz="6" w:space="0"/>
              <w:left w:val="single" w:color="auto" w:sz="6" w:space="0"/>
              <w:bottom w:val="single" w:color="auto" w:sz="12"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67" w:type="dxa"/>
            <w:tcBorders>
              <w:top w:val="single" w:color="auto" w:sz="6" w:space="0"/>
              <w:left w:val="single" w:color="auto" w:sz="6" w:space="0"/>
              <w:bottom w:val="single" w:color="auto" w:sz="12"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328" w:type="dxa"/>
            <w:tcBorders>
              <w:top w:val="single" w:color="auto" w:sz="6" w:space="0"/>
              <w:left w:val="single" w:color="auto" w:sz="6" w:space="0"/>
              <w:bottom w:val="single" w:color="auto" w:sz="12"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594" w:type="dxa"/>
            <w:tcBorders>
              <w:top w:val="single" w:color="auto" w:sz="6" w:space="0"/>
              <w:left w:val="single" w:color="auto" w:sz="6" w:space="0"/>
              <w:bottom w:val="single" w:color="auto" w:sz="12"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bl>
    <w:p>
      <w:pPr>
        <w:spacing w:line="300" w:lineRule="exact"/>
        <w:rPr>
          <w:rFonts w:ascii="新宋体" w:hAnsi="新宋体" w:eastAsia="新宋体"/>
          <w:color w:val="auto"/>
        </w:rPr>
      </w:pPr>
      <w:r>
        <w:rPr>
          <w:rFonts w:ascii="新宋体" w:hAnsi="新宋体" w:eastAsia="新宋体"/>
          <w:color w:val="auto"/>
        </w:rPr>
        <w:t xml:space="preserve"> </w:t>
      </w:r>
    </w:p>
    <w:p>
      <w:pPr>
        <w:spacing w:line="300" w:lineRule="exact"/>
        <w:jc w:val="center"/>
        <w:rPr>
          <w:rFonts w:ascii="新宋体" w:hAnsi="新宋体" w:eastAsia="新宋体"/>
          <w:color w:val="auto"/>
        </w:rPr>
      </w:pPr>
      <w:r>
        <w:rPr>
          <w:rFonts w:ascii="新宋体" w:hAnsi="新宋体" w:eastAsia="新宋体"/>
          <w:color w:val="auto"/>
        </w:rPr>
        <w:br w:type="page"/>
      </w:r>
      <w:r>
        <w:rPr>
          <w:rFonts w:ascii="新宋体" w:hAnsi="新宋体" w:eastAsia="新宋体"/>
          <w:color w:val="auto"/>
        </w:rPr>
        <w:t>11-3</w:t>
      </w:r>
      <w:r>
        <w:rPr>
          <w:rFonts w:hint="eastAsia" w:ascii="新宋体" w:hAnsi="新宋体" w:eastAsia="新宋体"/>
          <w:color w:val="auto"/>
        </w:rPr>
        <w:t>：专业工程暂估价表</w:t>
      </w:r>
    </w:p>
    <w:tbl>
      <w:tblPr>
        <w:tblStyle w:val="15"/>
        <w:tblW w:w="8440" w:type="dxa"/>
        <w:tblInd w:w="80" w:type="dxa"/>
        <w:tblLayout w:type="fixed"/>
        <w:tblCellMar>
          <w:top w:w="0" w:type="dxa"/>
          <w:left w:w="28" w:type="dxa"/>
          <w:bottom w:w="0" w:type="dxa"/>
          <w:right w:w="28" w:type="dxa"/>
        </w:tblCellMar>
      </w:tblPr>
      <w:tblGrid>
        <w:gridCol w:w="841"/>
        <w:gridCol w:w="1900"/>
        <w:gridCol w:w="4478"/>
        <w:gridCol w:w="1221"/>
      </w:tblGrid>
      <w:tr>
        <w:tblPrEx>
          <w:tblLayout w:type="fixed"/>
          <w:tblCellMar>
            <w:top w:w="0" w:type="dxa"/>
            <w:left w:w="28" w:type="dxa"/>
            <w:bottom w:w="0" w:type="dxa"/>
            <w:right w:w="28" w:type="dxa"/>
          </w:tblCellMar>
        </w:tblPrEx>
        <w:trPr>
          <w:trHeight w:val="325" w:hRule="atLeast"/>
        </w:trPr>
        <w:tc>
          <w:tcPr>
            <w:tcW w:w="841" w:type="dxa"/>
            <w:tcBorders>
              <w:top w:val="single" w:color="auto" w:sz="12" w:space="0"/>
              <w:left w:val="single" w:color="auto" w:sz="12" w:space="0"/>
              <w:bottom w:val="double" w:color="auto" w:sz="2" w:space="0"/>
              <w:right w:val="single" w:color="auto" w:sz="6"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序号</w:t>
            </w:r>
          </w:p>
        </w:tc>
        <w:tc>
          <w:tcPr>
            <w:tcW w:w="1900" w:type="dxa"/>
            <w:tcBorders>
              <w:top w:val="single" w:color="auto" w:sz="12" w:space="0"/>
              <w:left w:val="single" w:color="auto" w:sz="6" w:space="0"/>
              <w:bottom w:val="double" w:color="auto" w:sz="2" w:space="0"/>
              <w:right w:val="single" w:color="auto" w:sz="6"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专业工程名称</w:t>
            </w:r>
          </w:p>
        </w:tc>
        <w:tc>
          <w:tcPr>
            <w:tcW w:w="4478" w:type="dxa"/>
            <w:tcBorders>
              <w:top w:val="single" w:color="auto" w:sz="12" w:space="0"/>
              <w:left w:val="single" w:color="auto" w:sz="6" w:space="0"/>
              <w:bottom w:val="double" w:color="auto" w:sz="2" w:space="0"/>
              <w:right w:val="single" w:color="auto" w:sz="6"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工程内容</w:t>
            </w:r>
          </w:p>
        </w:tc>
        <w:tc>
          <w:tcPr>
            <w:tcW w:w="1221" w:type="dxa"/>
            <w:tcBorders>
              <w:top w:val="single" w:color="auto" w:sz="12" w:space="0"/>
              <w:left w:val="single" w:color="auto" w:sz="6" w:space="0"/>
              <w:bottom w:val="double" w:color="auto" w:sz="2" w:space="0"/>
              <w:right w:val="single" w:color="auto" w:sz="12"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金额</w:t>
            </w:r>
          </w:p>
        </w:tc>
      </w:tr>
      <w:tr>
        <w:tblPrEx>
          <w:tblLayout w:type="fixed"/>
          <w:tblCellMar>
            <w:top w:w="0" w:type="dxa"/>
            <w:left w:w="28" w:type="dxa"/>
            <w:bottom w:w="0" w:type="dxa"/>
            <w:right w:w="28" w:type="dxa"/>
          </w:tblCellMar>
        </w:tblPrEx>
        <w:trPr>
          <w:trHeight w:val="340" w:hRule="atLeast"/>
        </w:trPr>
        <w:tc>
          <w:tcPr>
            <w:tcW w:w="841" w:type="dxa"/>
            <w:tcBorders>
              <w:top w:val="double" w:color="auto" w:sz="2"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double" w:color="auto" w:sz="2"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double" w:color="auto" w:sz="2"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double" w:color="auto" w:sz="2"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nil"/>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nil"/>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nil"/>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nil"/>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nil"/>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nil"/>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nil"/>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nil"/>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11" w:hRule="atLeast"/>
        </w:trPr>
        <w:tc>
          <w:tcPr>
            <w:tcW w:w="841" w:type="dxa"/>
            <w:tcBorders>
              <w:top w:val="single" w:color="auto" w:sz="6" w:space="0"/>
              <w:left w:val="single" w:color="auto" w:sz="12"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900"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4478" w:type="dxa"/>
            <w:tcBorders>
              <w:top w:val="single" w:color="auto" w:sz="6" w:space="0"/>
              <w:left w:val="single" w:color="auto" w:sz="6" w:space="0"/>
              <w:bottom w:val="single" w:color="auto" w:sz="6" w:space="0"/>
              <w:right w:val="single" w:color="auto" w:sz="6" w:space="0"/>
            </w:tcBorders>
            <w:noWrap w:val="0"/>
            <w:vAlign w:val="top"/>
          </w:tcPr>
          <w:p>
            <w:pPr>
              <w:pStyle w:val="3"/>
              <w:keepNext/>
              <w:spacing w:line="300" w:lineRule="exact"/>
              <w:ind w:left="63" w:right="63"/>
              <w:rPr>
                <w:rFonts w:ascii="新宋体" w:hAnsi="新宋体" w:eastAsia="新宋体"/>
                <w:color w:val="auto"/>
              </w:rPr>
            </w:pPr>
          </w:p>
        </w:tc>
        <w:tc>
          <w:tcPr>
            <w:tcW w:w="1221" w:type="dxa"/>
            <w:tcBorders>
              <w:top w:val="single" w:color="auto" w:sz="6" w:space="0"/>
              <w:left w:val="single" w:color="auto" w:sz="6" w:space="0"/>
              <w:bottom w:val="single" w:color="auto" w:sz="6" w:space="0"/>
              <w:right w:val="single" w:color="auto" w:sz="12" w:space="0"/>
            </w:tcBorders>
            <w:noWrap w:val="0"/>
            <w:vAlign w:val="top"/>
          </w:tcPr>
          <w:p>
            <w:pPr>
              <w:pStyle w:val="3"/>
              <w:keepNext/>
              <w:spacing w:line="300" w:lineRule="exact"/>
              <w:ind w:left="63" w:right="63"/>
              <w:rPr>
                <w:rFonts w:ascii="新宋体" w:hAnsi="新宋体" w:eastAsia="新宋体"/>
                <w:color w:val="auto"/>
              </w:rPr>
            </w:pPr>
          </w:p>
        </w:tc>
      </w:tr>
      <w:tr>
        <w:tblPrEx>
          <w:tblLayout w:type="fixed"/>
          <w:tblCellMar>
            <w:top w:w="0" w:type="dxa"/>
            <w:left w:w="28" w:type="dxa"/>
            <w:bottom w:w="0" w:type="dxa"/>
            <w:right w:w="28" w:type="dxa"/>
          </w:tblCellMar>
        </w:tblPrEx>
        <w:trPr>
          <w:trHeight w:val="340" w:hRule="atLeast"/>
        </w:trPr>
        <w:tc>
          <w:tcPr>
            <w:tcW w:w="8440" w:type="dxa"/>
            <w:gridSpan w:val="4"/>
            <w:tcBorders>
              <w:top w:val="single" w:color="auto" w:sz="6" w:space="0"/>
              <w:left w:val="single" w:color="auto" w:sz="12" w:space="0"/>
              <w:bottom w:val="single" w:color="auto" w:sz="12" w:space="0"/>
              <w:right w:val="single" w:color="auto" w:sz="12" w:space="0"/>
            </w:tcBorders>
            <w:noWrap w:val="0"/>
            <w:vAlign w:val="top"/>
          </w:tcPr>
          <w:p>
            <w:pPr>
              <w:pStyle w:val="3"/>
              <w:keepNext/>
              <w:spacing w:line="300" w:lineRule="exact"/>
              <w:ind w:left="63" w:right="63"/>
              <w:rPr>
                <w:rFonts w:ascii="新宋体" w:hAnsi="新宋体" w:eastAsia="新宋体"/>
                <w:color w:val="auto"/>
              </w:rPr>
            </w:pPr>
            <w:r>
              <w:rPr>
                <w:rFonts w:hint="eastAsia" w:ascii="新宋体" w:hAnsi="新宋体" w:eastAsia="新宋体"/>
                <w:color w:val="auto"/>
              </w:rPr>
              <w:t>小计：</w:t>
            </w:r>
          </w:p>
        </w:tc>
      </w:tr>
    </w:tbl>
    <w:p>
      <w:pPr>
        <w:spacing w:line="360" w:lineRule="auto"/>
        <w:rPr>
          <w:rFonts w:ascii="宋体"/>
          <w:color w:val="auto"/>
          <w:sz w:val="36"/>
          <w:szCs w:val="36"/>
        </w:rPr>
      </w:pPr>
      <w:r>
        <w:rPr>
          <w:rFonts w:ascii="宋体" w:hAnsi="宋体"/>
          <w:color w:val="auto"/>
          <w:sz w:val="24"/>
          <w:szCs w:val="24"/>
        </w:rPr>
        <w:t xml:space="preserve"> </w:t>
      </w: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p>
    <w:p>
      <w:pPr>
        <w:pStyle w:val="2"/>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rPr>
      </w:pPr>
    </w:p>
    <w:p>
      <w:pPr>
        <w:pStyle w:val="4"/>
        <w:jc w:val="center"/>
        <w:rPr>
          <w:b/>
          <w:bCs/>
          <w:sz w:val="32"/>
          <w:szCs w:val="32"/>
        </w:rPr>
      </w:pPr>
      <w:bookmarkStart w:id="811" w:name="_Toc28537"/>
      <w:bookmarkEnd w:id="811"/>
      <w:bookmarkStart w:id="812" w:name="_Toc2841"/>
      <w:bookmarkEnd w:id="812"/>
      <w:bookmarkStart w:id="813" w:name="_Toc11731"/>
      <w:bookmarkEnd w:id="813"/>
      <w:bookmarkStart w:id="814" w:name="_Toc20507"/>
      <w:bookmarkEnd w:id="814"/>
      <w:bookmarkStart w:id="815" w:name="_Toc283382018"/>
      <w:bookmarkEnd w:id="815"/>
      <w:bookmarkStart w:id="816" w:name="_Toc370458204"/>
      <w:bookmarkEnd w:id="816"/>
      <w:bookmarkStart w:id="817" w:name="_Toc503873702"/>
      <w:bookmarkStart w:id="818" w:name="_Toc18953"/>
      <w:r>
        <w:rPr>
          <w:rFonts w:hint="eastAsia"/>
          <w:b/>
          <w:bCs/>
          <w:sz w:val="32"/>
          <w:szCs w:val="32"/>
        </w:rPr>
        <w:t>第五章  工程量清单</w:t>
      </w:r>
      <w:bookmarkEnd w:id="817"/>
      <w:bookmarkEnd w:id="818"/>
    </w:p>
    <w:p>
      <w:pPr>
        <w:keepNext/>
        <w:autoSpaceDE w:val="0"/>
        <w:autoSpaceDN w:val="0"/>
        <w:spacing w:line="360" w:lineRule="auto"/>
        <w:jc w:val="center"/>
        <w:outlineLvl w:val="2"/>
        <w:rPr>
          <w:rFonts w:ascii="宋体" w:hAnsi="宋体"/>
          <w:color w:val="000000"/>
          <w:kern w:val="0"/>
          <w:sz w:val="24"/>
          <w:szCs w:val="24"/>
        </w:rPr>
      </w:pPr>
      <w:bookmarkStart w:id="819" w:name="_Toc370458205"/>
      <w:bookmarkEnd w:id="819"/>
      <w:bookmarkStart w:id="820" w:name="_Toc283382019"/>
      <w:bookmarkEnd w:id="820"/>
      <w:bookmarkStart w:id="821" w:name="_Toc503433987"/>
      <w:bookmarkStart w:id="822" w:name="_Toc503873703"/>
    </w:p>
    <w:p>
      <w:pPr>
        <w:keepNext/>
        <w:keepLines w:val="0"/>
        <w:pageBreakBefore w:val="0"/>
        <w:widowControl w:val="0"/>
        <w:kinsoku/>
        <w:wordWrap/>
        <w:overflowPunct/>
        <w:topLinePunct w:val="0"/>
        <w:autoSpaceDE w:val="0"/>
        <w:autoSpaceDN w:val="0"/>
        <w:bidi w:val="0"/>
        <w:adjustRightInd/>
        <w:snapToGrid/>
        <w:spacing w:line="420" w:lineRule="exact"/>
        <w:jc w:val="left"/>
        <w:textAlignment w:val="auto"/>
        <w:outlineLvl w:val="2"/>
        <w:rPr>
          <w:rFonts w:ascii="宋体" w:hAnsi="宋体"/>
          <w:color w:val="000000"/>
          <w:sz w:val="24"/>
          <w:szCs w:val="24"/>
        </w:rPr>
      </w:pPr>
      <w:r>
        <w:rPr>
          <w:rFonts w:hint="eastAsia" w:ascii="宋体" w:hAnsi="宋体"/>
          <w:b/>
          <w:bCs/>
          <w:color w:val="000000"/>
          <w:kern w:val="0"/>
          <w:sz w:val="24"/>
          <w:szCs w:val="24"/>
        </w:rPr>
        <w:t>一、工程量清单说明</w:t>
      </w:r>
      <w:bookmarkEnd w:id="821"/>
      <w:bookmarkEnd w:id="822"/>
    </w:p>
    <w:p>
      <w:pPr>
        <w:keepLines w:val="0"/>
        <w:pageBreakBefore w:val="0"/>
        <w:widowControl w:val="0"/>
        <w:kinsoku/>
        <w:wordWrap/>
        <w:overflowPunct/>
        <w:topLinePunct w:val="0"/>
        <w:bidi w:val="0"/>
        <w:adjustRightInd/>
        <w:snapToGrid/>
        <w:spacing w:line="420" w:lineRule="exact"/>
        <w:ind w:firstLine="440" w:firstLineChars="200"/>
        <w:textAlignment w:val="auto"/>
        <w:rPr>
          <w:rFonts w:ascii="宋体" w:hAnsi="宋体"/>
          <w:color w:val="000000"/>
          <w:sz w:val="22"/>
          <w:szCs w:val="22"/>
        </w:rPr>
      </w:pPr>
      <w:r>
        <w:rPr>
          <w:rFonts w:hint="eastAsia" w:ascii="宋体" w:hAnsi="宋体"/>
          <w:color w:val="000000"/>
          <w:sz w:val="22"/>
          <w:szCs w:val="22"/>
        </w:rPr>
        <w:t>1.1  工程量清单应与招标文件和图纸及图集一起参照阅读。</w:t>
      </w:r>
    </w:p>
    <w:p>
      <w:pPr>
        <w:keepLines w:val="0"/>
        <w:pageBreakBefore w:val="0"/>
        <w:widowControl w:val="0"/>
        <w:kinsoku/>
        <w:wordWrap/>
        <w:overflowPunct/>
        <w:topLinePunct w:val="0"/>
        <w:bidi w:val="0"/>
        <w:adjustRightInd/>
        <w:snapToGrid/>
        <w:spacing w:line="420" w:lineRule="exact"/>
        <w:ind w:firstLine="440" w:firstLineChars="200"/>
        <w:textAlignment w:val="auto"/>
        <w:rPr>
          <w:rFonts w:ascii="宋体" w:hAnsi="宋体"/>
          <w:color w:val="000000"/>
          <w:sz w:val="22"/>
          <w:szCs w:val="22"/>
        </w:rPr>
      </w:pPr>
      <w:r>
        <w:rPr>
          <w:rFonts w:hint="eastAsia" w:ascii="宋体" w:hAnsi="宋体"/>
          <w:color w:val="000000"/>
          <w:sz w:val="22"/>
          <w:szCs w:val="22"/>
        </w:rPr>
        <w:t>1.2  工程量清单中的工程量除给出的数量外，未给出的部分已包含在已给出的工程量清单中。</w:t>
      </w:r>
    </w:p>
    <w:p>
      <w:pPr>
        <w:keepLines w:val="0"/>
        <w:pageBreakBefore w:val="0"/>
        <w:widowControl w:val="0"/>
        <w:kinsoku/>
        <w:wordWrap/>
        <w:overflowPunct/>
        <w:topLinePunct w:val="0"/>
        <w:bidi w:val="0"/>
        <w:adjustRightInd/>
        <w:snapToGrid/>
        <w:spacing w:line="420" w:lineRule="exact"/>
        <w:ind w:firstLine="440" w:firstLineChars="200"/>
        <w:textAlignment w:val="auto"/>
        <w:rPr>
          <w:rFonts w:ascii="宋体" w:hAnsi="宋体"/>
          <w:color w:val="000000"/>
          <w:sz w:val="22"/>
          <w:szCs w:val="22"/>
        </w:rPr>
      </w:pPr>
      <w:r>
        <w:rPr>
          <w:rFonts w:hint="eastAsia" w:ascii="宋体" w:hAnsi="宋体"/>
          <w:color w:val="000000"/>
          <w:sz w:val="22"/>
          <w:szCs w:val="22"/>
        </w:rPr>
        <w:t>1.3  除合同另有规定外，工程量清单中的综合单价和合价包括由承包人承担的直接费、间接费、其它费用、税金等全部费用和要求获得的利润以及应由承包人承担的义务、责任和风险所发生的一切费用。</w:t>
      </w:r>
    </w:p>
    <w:p>
      <w:pPr>
        <w:keepLines w:val="0"/>
        <w:pageBreakBefore w:val="0"/>
        <w:widowControl w:val="0"/>
        <w:kinsoku/>
        <w:wordWrap/>
        <w:overflowPunct/>
        <w:topLinePunct w:val="0"/>
        <w:bidi w:val="0"/>
        <w:adjustRightInd/>
        <w:snapToGrid/>
        <w:spacing w:line="420" w:lineRule="exact"/>
        <w:ind w:firstLine="440" w:firstLineChars="200"/>
        <w:textAlignment w:val="auto"/>
        <w:rPr>
          <w:rFonts w:ascii="宋体" w:hAnsi="宋体"/>
          <w:color w:val="000000"/>
          <w:sz w:val="22"/>
          <w:szCs w:val="22"/>
        </w:rPr>
      </w:pPr>
      <w:r>
        <w:rPr>
          <w:rFonts w:hint="eastAsia" w:ascii="宋体" w:hAnsi="宋体"/>
          <w:color w:val="000000"/>
          <w:sz w:val="22"/>
          <w:szCs w:val="22"/>
        </w:rPr>
        <w:t>1.4  符合合同规定的全部费用和利润都应包括在工程量清单所列的项目中，合同规定应由承包人承担而在工程量清单中未详细列出的项目，其费用和利润应认为已包括在其它有关项目的综合单价和合价中。</w:t>
      </w:r>
    </w:p>
    <w:p>
      <w:pPr>
        <w:keepLines w:val="0"/>
        <w:pageBreakBefore w:val="0"/>
        <w:widowControl w:val="0"/>
        <w:kinsoku/>
        <w:wordWrap/>
        <w:overflowPunct/>
        <w:topLinePunct w:val="0"/>
        <w:bidi w:val="0"/>
        <w:adjustRightInd/>
        <w:snapToGrid/>
        <w:spacing w:line="420" w:lineRule="exact"/>
        <w:ind w:firstLine="440" w:firstLineChars="200"/>
        <w:textAlignment w:val="auto"/>
        <w:rPr>
          <w:rFonts w:ascii="宋体" w:hAnsi="宋体"/>
          <w:color w:val="000000"/>
          <w:sz w:val="22"/>
          <w:szCs w:val="22"/>
        </w:rPr>
      </w:pPr>
      <w:r>
        <w:rPr>
          <w:rFonts w:hint="eastAsia" w:ascii="宋体" w:hAnsi="宋体"/>
          <w:color w:val="000000"/>
          <w:sz w:val="22"/>
          <w:szCs w:val="22"/>
        </w:rPr>
        <w:t>1.5  工</w:t>
      </w:r>
      <w:r>
        <w:rPr>
          <w:rFonts w:hint="eastAsia" w:ascii="宋体" w:hAnsi="宋体"/>
          <w:color w:val="000000"/>
          <w:spacing w:val="-4"/>
          <w:sz w:val="22"/>
          <w:szCs w:val="22"/>
        </w:rPr>
        <w:t>程量清单中的“综合单价”和“合价”栏均应由投标人填报，投标人还应填清单计价汇总表。报价货币为人民币。若投标人对某些项目未填报综合单价和合价，则应认为已包括在其它项目的综合单价和合价以及投标总报价内。</w:t>
      </w:r>
    </w:p>
    <w:p>
      <w:pPr>
        <w:keepLines w:val="0"/>
        <w:pageBreakBefore w:val="0"/>
        <w:widowControl w:val="0"/>
        <w:kinsoku/>
        <w:wordWrap/>
        <w:overflowPunct/>
        <w:topLinePunct w:val="0"/>
        <w:bidi w:val="0"/>
        <w:adjustRightInd/>
        <w:snapToGrid/>
        <w:spacing w:line="420" w:lineRule="exact"/>
        <w:ind w:firstLine="440" w:firstLineChars="200"/>
        <w:textAlignment w:val="auto"/>
        <w:rPr>
          <w:rFonts w:ascii="宋体" w:hAnsi="宋体"/>
          <w:color w:val="000000"/>
          <w:sz w:val="22"/>
          <w:szCs w:val="22"/>
        </w:rPr>
      </w:pPr>
      <w:r>
        <w:rPr>
          <w:rFonts w:hint="eastAsia" w:ascii="宋体" w:hAnsi="宋体"/>
          <w:color w:val="000000"/>
          <w:sz w:val="22"/>
          <w:szCs w:val="22"/>
        </w:rPr>
        <w:t>1.6  工程量清单中各项目的工作内容和要求及其计量和支付的规定详见招标文件有关部分。</w:t>
      </w:r>
    </w:p>
    <w:p>
      <w:pPr>
        <w:keepLines w:val="0"/>
        <w:pageBreakBefore w:val="0"/>
        <w:widowControl w:val="0"/>
        <w:kinsoku/>
        <w:wordWrap/>
        <w:overflowPunct/>
        <w:topLinePunct w:val="0"/>
        <w:bidi w:val="0"/>
        <w:adjustRightInd/>
        <w:snapToGrid/>
        <w:spacing w:line="420" w:lineRule="exact"/>
        <w:ind w:firstLine="440" w:firstLineChars="200"/>
        <w:textAlignment w:val="auto"/>
        <w:rPr>
          <w:rFonts w:ascii="宋体" w:hAnsi="宋体"/>
          <w:color w:val="000000"/>
          <w:sz w:val="22"/>
          <w:szCs w:val="22"/>
        </w:rPr>
      </w:pPr>
      <w:r>
        <w:rPr>
          <w:rFonts w:hint="eastAsia" w:ascii="宋体" w:hAnsi="宋体"/>
          <w:color w:val="000000"/>
          <w:sz w:val="22"/>
          <w:szCs w:val="22"/>
        </w:rPr>
        <w:t>1.7  工程量清单中有计算或汇总中的算术错误时，应按以下原则改正：</w:t>
      </w:r>
    </w:p>
    <w:p>
      <w:pPr>
        <w:keepLines w:val="0"/>
        <w:pageBreakBefore w:val="0"/>
        <w:widowControl w:val="0"/>
        <w:kinsoku/>
        <w:wordWrap/>
        <w:overflowPunct/>
        <w:topLinePunct w:val="0"/>
        <w:bidi w:val="0"/>
        <w:adjustRightInd/>
        <w:snapToGrid/>
        <w:spacing w:line="420" w:lineRule="exact"/>
        <w:ind w:firstLine="440" w:firstLineChars="200"/>
        <w:textAlignment w:val="auto"/>
        <w:rPr>
          <w:rFonts w:ascii="宋体" w:hAnsi="宋体"/>
          <w:color w:val="000000"/>
          <w:sz w:val="22"/>
          <w:szCs w:val="22"/>
        </w:rPr>
      </w:pPr>
      <w:r>
        <w:rPr>
          <w:rFonts w:hint="eastAsia" w:ascii="宋体" w:hAnsi="宋体"/>
          <w:color w:val="000000"/>
          <w:sz w:val="22"/>
          <w:szCs w:val="22"/>
        </w:rPr>
        <w:t>1.7.1  工程量清单中任一项目的综合单价乘其工程量的乘积与该项目的合价不吻合时，应以综合单价为准，改正合价。但经合同双方共同核对后认为综合单价有明显的小数点错位时，则应以合价为准，改正综合单价。</w:t>
      </w:r>
    </w:p>
    <w:p>
      <w:pPr>
        <w:keepLines w:val="0"/>
        <w:pageBreakBefore w:val="0"/>
        <w:widowControl w:val="0"/>
        <w:kinsoku/>
        <w:wordWrap/>
        <w:overflowPunct/>
        <w:topLinePunct w:val="0"/>
        <w:bidi w:val="0"/>
        <w:adjustRightInd/>
        <w:snapToGrid/>
        <w:spacing w:line="420" w:lineRule="exact"/>
        <w:ind w:firstLine="440" w:firstLineChars="200"/>
        <w:textAlignment w:val="auto"/>
        <w:rPr>
          <w:rFonts w:ascii="宋体" w:hAnsi="宋体"/>
          <w:color w:val="000000"/>
          <w:sz w:val="22"/>
          <w:szCs w:val="22"/>
        </w:rPr>
      </w:pPr>
      <w:r>
        <w:rPr>
          <w:rFonts w:hint="eastAsia" w:ascii="宋体" w:hAnsi="宋体"/>
          <w:color w:val="000000"/>
          <w:sz w:val="22"/>
          <w:szCs w:val="22"/>
        </w:rPr>
        <w:t xml:space="preserve">1.7.2  若投标报价汇总表中的金额与相应的各分组工程量清单中的合计金额不吻合时，应以修正算术错误后的各分组工程量清单中的合计金额为准，改正投标报价汇总表中相应部分的金额和投标总报价。 </w:t>
      </w:r>
    </w:p>
    <w:p>
      <w:pPr>
        <w:keepLines w:val="0"/>
        <w:pageBreakBefore w:val="0"/>
        <w:widowControl w:val="0"/>
        <w:kinsoku/>
        <w:wordWrap/>
        <w:overflowPunct/>
        <w:topLinePunct w:val="0"/>
        <w:bidi w:val="0"/>
        <w:adjustRightInd/>
        <w:snapToGrid/>
        <w:spacing w:line="420" w:lineRule="exact"/>
        <w:ind w:firstLine="440" w:firstLineChars="200"/>
        <w:textAlignment w:val="auto"/>
        <w:rPr>
          <w:rFonts w:ascii="宋体" w:hAnsi="宋体"/>
          <w:color w:val="000000"/>
          <w:sz w:val="22"/>
          <w:szCs w:val="22"/>
        </w:rPr>
      </w:pPr>
      <w:r>
        <w:rPr>
          <w:rFonts w:hint="eastAsia" w:ascii="宋体" w:hAnsi="宋体"/>
          <w:color w:val="000000"/>
          <w:sz w:val="22"/>
          <w:szCs w:val="22"/>
        </w:rPr>
        <w:t>1.8投标报价应以工程量清单为准并参考招标人所提供的图纸。已标价工程量清单的封面投标报价总表上加盖本单位公章并由两名造价人员签字并加盖执业专用章。</w:t>
      </w:r>
    </w:p>
    <w:p>
      <w:pPr>
        <w:keepNext/>
        <w:keepLines w:val="0"/>
        <w:pageBreakBefore w:val="0"/>
        <w:widowControl w:val="0"/>
        <w:kinsoku/>
        <w:wordWrap/>
        <w:overflowPunct/>
        <w:topLinePunct w:val="0"/>
        <w:autoSpaceDE w:val="0"/>
        <w:autoSpaceDN w:val="0"/>
        <w:bidi w:val="0"/>
        <w:adjustRightInd/>
        <w:snapToGrid/>
        <w:spacing w:line="420" w:lineRule="exact"/>
        <w:jc w:val="both"/>
        <w:textAlignment w:val="auto"/>
        <w:outlineLvl w:val="2"/>
        <w:rPr>
          <w:b/>
          <w:bCs/>
          <w:sz w:val="24"/>
          <w:szCs w:val="24"/>
        </w:rPr>
      </w:pPr>
      <w:bookmarkStart w:id="823" w:name="_Toc13952"/>
      <w:bookmarkEnd w:id="823"/>
      <w:bookmarkStart w:id="824" w:name="_Toc12064"/>
      <w:bookmarkEnd w:id="824"/>
      <w:bookmarkStart w:id="825" w:name="_Toc3764"/>
      <w:bookmarkEnd w:id="825"/>
      <w:bookmarkStart w:id="826" w:name="_Toc11857"/>
      <w:bookmarkEnd w:id="826"/>
      <w:bookmarkStart w:id="827" w:name="_Toc370458208"/>
      <w:bookmarkEnd w:id="827"/>
      <w:bookmarkStart w:id="828" w:name="_Toc26429"/>
      <w:r>
        <w:rPr>
          <w:rFonts w:hint="eastAsia" w:ascii="宋体" w:hAnsi="宋体"/>
          <w:b/>
          <w:bCs/>
          <w:color w:val="000000"/>
          <w:kern w:val="0"/>
          <w:sz w:val="24"/>
          <w:szCs w:val="24"/>
        </w:rPr>
        <w:t>二、工程量清单下载</w:t>
      </w:r>
    </w:p>
    <w:p>
      <w:pPr>
        <w:keepLines w:val="0"/>
        <w:pageBreakBefore w:val="0"/>
        <w:widowControl w:val="0"/>
        <w:kinsoku/>
        <w:wordWrap/>
        <w:overflowPunct/>
        <w:topLinePunct w:val="0"/>
        <w:bidi w:val="0"/>
        <w:adjustRightInd/>
        <w:snapToGrid/>
        <w:spacing w:line="420" w:lineRule="exact"/>
        <w:ind w:firstLine="420" w:firstLineChars="200"/>
        <w:jc w:val="both"/>
        <w:textAlignment w:val="auto"/>
        <w:rPr>
          <w:u w:val="none"/>
        </w:rPr>
      </w:pPr>
      <w:r>
        <w:rPr>
          <w:rFonts w:hint="eastAsia"/>
          <w:u w:val="none"/>
        </w:rPr>
        <w:t>工程量清单在【全国公共资源交易平台（河南省</w:t>
      </w:r>
      <w:r>
        <w:rPr>
          <w:u w:val="none"/>
        </w:rPr>
        <w:t>•</w:t>
      </w:r>
      <w:r>
        <w:rPr>
          <w:rFonts w:hint="eastAsia"/>
          <w:u w:val="none"/>
        </w:rPr>
        <w:t>许昌市）】上自行下载。</w:t>
      </w:r>
    </w:p>
    <w:p>
      <w:pPr>
        <w:pStyle w:val="2"/>
        <w:ind w:firstLine="210"/>
      </w:pPr>
    </w:p>
    <w:p>
      <w:pPr>
        <w:pStyle w:val="2"/>
        <w:ind w:firstLine="210"/>
      </w:pPr>
    </w:p>
    <w:p>
      <w:pPr>
        <w:spacing w:line="360" w:lineRule="auto"/>
        <w:jc w:val="center"/>
        <w:rPr>
          <w:rFonts w:hint="eastAsia" w:ascii="宋体" w:hAnsi="宋体"/>
          <w:b/>
          <w:bCs/>
          <w:color w:val="000000"/>
          <w:sz w:val="30"/>
          <w:szCs w:val="30"/>
        </w:rPr>
      </w:pPr>
      <w:bookmarkStart w:id="829" w:name="_Toc503433988"/>
    </w:p>
    <w:p>
      <w:pPr>
        <w:spacing w:line="360" w:lineRule="auto"/>
        <w:jc w:val="center"/>
        <w:rPr>
          <w:rFonts w:hint="eastAsia" w:ascii="宋体" w:hAnsi="宋体"/>
          <w:b/>
          <w:bCs/>
          <w:color w:val="000000"/>
          <w:sz w:val="30"/>
          <w:szCs w:val="30"/>
        </w:rPr>
      </w:pPr>
    </w:p>
    <w:p>
      <w:pPr>
        <w:spacing w:line="360" w:lineRule="auto"/>
        <w:jc w:val="center"/>
        <w:rPr>
          <w:rFonts w:ascii="宋体" w:hAnsi="宋体"/>
          <w:color w:val="000000"/>
          <w:sz w:val="24"/>
          <w:szCs w:val="24"/>
        </w:rPr>
      </w:pPr>
      <w:r>
        <w:rPr>
          <w:rFonts w:hint="eastAsia" w:ascii="宋体" w:hAnsi="宋体"/>
          <w:b/>
          <w:bCs/>
          <w:color w:val="000000"/>
          <w:sz w:val="30"/>
          <w:szCs w:val="30"/>
        </w:rPr>
        <w:t>单价分析表（格式）</w:t>
      </w:r>
      <w:bookmarkEnd w:id="829"/>
    </w:p>
    <w:p>
      <w:pPr>
        <w:spacing w:line="360" w:lineRule="auto"/>
        <w:ind w:firstLine="420" w:firstLineChars="200"/>
        <w:rPr>
          <w:rFonts w:ascii="宋体" w:hAnsi="宋体"/>
          <w:color w:val="000000"/>
          <w:sz w:val="21"/>
          <w:szCs w:val="21"/>
        </w:rPr>
      </w:pPr>
      <w:r>
        <w:rPr>
          <w:rFonts w:hint="eastAsia" w:ascii="宋体" w:hAnsi="宋体"/>
          <w:color w:val="000000"/>
          <w:sz w:val="21"/>
          <w:szCs w:val="21"/>
        </w:rPr>
        <w:t>定额编号：</w:t>
      </w:r>
    </w:p>
    <w:p>
      <w:pPr>
        <w:spacing w:line="360" w:lineRule="auto"/>
        <w:ind w:firstLine="420" w:firstLineChars="200"/>
        <w:rPr>
          <w:rFonts w:ascii="宋体" w:hAnsi="宋体"/>
          <w:color w:val="000000"/>
          <w:sz w:val="21"/>
          <w:szCs w:val="21"/>
        </w:rPr>
      </w:pPr>
      <w:r>
        <w:rPr>
          <w:rFonts w:hint="eastAsia" w:ascii="宋体" w:hAnsi="宋体"/>
          <w:color w:val="000000"/>
          <w:sz w:val="21"/>
          <w:szCs w:val="21"/>
        </w:rPr>
        <w:t>项目名称、标段：</w:t>
      </w:r>
    </w:p>
    <w:p>
      <w:pPr>
        <w:spacing w:line="360" w:lineRule="auto"/>
        <w:ind w:firstLine="420" w:firstLineChars="200"/>
        <w:rPr>
          <w:rFonts w:ascii="宋体" w:hAnsi="宋体"/>
          <w:color w:val="000000"/>
          <w:sz w:val="21"/>
          <w:szCs w:val="21"/>
        </w:rPr>
      </w:pPr>
      <w:r>
        <w:rPr>
          <w:rFonts w:hint="eastAsia" w:ascii="宋体" w:hAnsi="宋体"/>
          <w:color w:val="000000"/>
          <w:sz w:val="21"/>
          <w:szCs w:val="21"/>
        </w:rPr>
        <w:t>工作内容：</w:t>
      </w:r>
    </w:p>
    <w:p>
      <w:pPr>
        <w:spacing w:line="360" w:lineRule="auto"/>
        <w:ind w:firstLine="420" w:firstLineChars="200"/>
        <w:rPr>
          <w:rFonts w:ascii="宋体" w:hAnsi="宋体"/>
          <w:color w:val="000000"/>
          <w:sz w:val="21"/>
          <w:szCs w:val="21"/>
          <w:u w:val="single"/>
        </w:rPr>
      </w:pPr>
      <w:r>
        <w:rPr>
          <w:rFonts w:hint="eastAsia" w:ascii="宋体" w:hAnsi="宋体"/>
          <w:color w:val="000000"/>
          <w:sz w:val="21"/>
          <w:szCs w:val="21"/>
        </w:rPr>
        <w:t>单    价：</w:t>
      </w:r>
    </w:p>
    <w:tbl>
      <w:tblPr>
        <w:tblStyle w:val="15"/>
        <w:tblW w:w="9510" w:type="dxa"/>
        <w:jc w:val="center"/>
        <w:tblInd w:w="0" w:type="dxa"/>
        <w:tblLayout w:type="fixed"/>
        <w:tblCellMar>
          <w:top w:w="0" w:type="dxa"/>
          <w:left w:w="0" w:type="dxa"/>
          <w:bottom w:w="0" w:type="dxa"/>
          <w:right w:w="0" w:type="dxa"/>
        </w:tblCellMar>
      </w:tblPr>
      <w:tblGrid>
        <w:gridCol w:w="981"/>
        <w:gridCol w:w="1413"/>
        <w:gridCol w:w="885"/>
        <w:gridCol w:w="1115"/>
        <w:gridCol w:w="1686"/>
        <w:gridCol w:w="1469"/>
        <w:gridCol w:w="1961"/>
      </w:tblGrid>
      <w:tr>
        <w:tblPrEx>
          <w:tblLayout w:type="fixed"/>
          <w:tblCellMar>
            <w:top w:w="0" w:type="dxa"/>
            <w:left w:w="0" w:type="dxa"/>
            <w:bottom w:w="0" w:type="dxa"/>
            <w:right w:w="0" w:type="dxa"/>
          </w:tblCellMar>
        </w:tblPrEx>
        <w:trPr>
          <w:trHeight w:val="403" w:hRule="atLeast"/>
          <w:jc w:val="center"/>
        </w:trPr>
        <w:tc>
          <w:tcPr>
            <w:tcW w:w="9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1"/>
                <w:szCs w:val="21"/>
              </w:rPr>
            </w:pPr>
            <w:r>
              <w:rPr>
                <w:rFonts w:hint="eastAsia" w:ascii="宋体" w:hAnsi="宋体"/>
                <w:color w:val="000000"/>
                <w:sz w:val="21"/>
                <w:szCs w:val="21"/>
              </w:rPr>
              <w:t>编号</w:t>
            </w:r>
          </w:p>
        </w:tc>
        <w:tc>
          <w:tcPr>
            <w:tcW w:w="14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1"/>
                <w:szCs w:val="21"/>
              </w:rPr>
            </w:pPr>
            <w:r>
              <w:rPr>
                <w:rFonts w:hint="eastAsia" w:ascii="宋体" w:hAnsi="宋体"/>
                <w:color w:val="000000"/>
                <w:sz w:val="21"/>
                <w:szCs w:val="21"/>
              </w:rPr>
              <w:t>名称及规格</w:t>
            </w:r>
          </w:p>
        </w:tc>
        <w:tc>
          <w:tcPr>
            <w:tcW w:w="8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1"/>
                <w:szCs w:val="21"/>
              </w:rPr>
            </w:pPr>
            <w:r>
              <w:rPr>
                <w:rFonts w:hint="eastAsia" w:ascii="宋体" w:hAnsi="宋体"/>
                <w:color w:val="000000"/>
                <w:sz w:val="21"/>
                <w:szCs w:val="21"/>
              </w:rPr>
              <w:t>单位</w:t>
            </w:r>
          </w:p>
        </w:tc>
        <w:tc>
          <w:tcPr>
            <w:tcW w:w="11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1"/>
                <w:szCs w:val="21"/>
              </w:rPr>
            </w:pPr>
            <w:r>
              <w:rPr>
                <w:rFonts w:hint="eastAsia" w:ascii="宋体" w:hAnsi="宋体"/>
                <w:color w:val="000000"/>
                <w:sz w:val="21"/>
                <w:szCs w:val="21"/>
              </w:rPr>
              <w:t>数量</w:t>
            </w:r>
          </w:p>
        </w:tc>
        <w:tc>
          <w:tcPr>
            <w:tcW w:w="16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1"/>
                <w:szCs w:val="21"/>
              </w:rPr>
            </w:pPr>
            <w:r>
              <w:rPr>
                <w:rFonts w:hint="eastAsia" w:ascii="宋体" w:hAnsi="宋体"/>
                <w:color w:val="000000"/>
                <w:sz w:val="21"/>
                <w:szCs w:val="21"/>
              </w:rPr>
              <w:t>单价（元）</w:t>
            </w:r>
          </w:p>
        </w:tc>
        <w:tc>
          <w:tcPr>
            <w:tcW w:w="14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1"/>
                <w:szCs w:val="21"/>
              </w:rPr>
            </w:pPr>
            <w:r>
              <w:rPr>
                <w:rFonts w:hint="eastAsia" w:ascii="宋体" w:hAnsi="宋体"/>
                <w:color w:val="000000"/>
                <w:sz w:val="21"/>
                <w:szCs w:val="21"/>
              </w:rPr>
              <w:t>合价（元）</w:t>
            </w:r>
          </w:p>
        </w:tc>
        <w:tc>
          <w:tcPr>
            <w:tcW w:w="19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1"/>
                <w:szCs w:val="21"/>
              </w:rPr>
            </w:pPr>
            <w:r>
              <w:rPr>
                <w:rFonts w:hint="eastAsia" w:ascii="宋体" w:hAnsi="宋体"/>
                <w:color w:val="000000"/>
                <w:sz w:val="21"/>
                <w:szCs w:val="21"/>
              </w:rPr>
              <w:t>备注</w:t>
            </w: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bl>
    <w:p>
      <w:pPr>
        <w:spacing w:line="360" w:lineRule="auto"/>
        <w:ind w:firstLine="1800" w:firstLineChars="750"/>
        <w:rPr>
          <w:rFonts w:ascii="宋体" w:hAnsi="宋体"/>
          <w:color w:val="000000"/>
          <w:sz w:val="24"/>
          <w:szCs w:val="24"/>
        </w:rPr>
      </w:pPr>
    </w:p>
    <w:p>
      <w:pPr>
        <w:spacing w:line="360" w:lineRule="auto"/>
        <w:ind w:firstLine="4725" w:firstLineChars="2250"/>
        <w:rPr>
          <w:rFonts w:ascii="宋体" w:hAnsi="宋体"/>
          <w:color w:val="000000"/>
          <w:sz w:val="21"/>
          <w:szCs w:val="21"/>
        </w:rPr>
      </w:pPr>
      <w:r>
        <w:rPr>
          <w:rFonts w:hint="eastAsia" w:ascii="宋体" w:hAnsi="宋体"/>
          <w:color w:val="000000"/>
          <w:sz w:val="21"/>
          <w:szCs w:val="21"/>
        </w:rPr>
        <w:t>投标人：（盖章）</w:t>
      </w:r>
    </w:p>
    <w:p>
      <w:pPr>
        <w:wordWrap w:val="0"/>
        <w:spacing w:line="360" w:lineRule="auto"/>
        <w:ind w:right="120" w:firstLine="3780" w:firstLineChars="1800"/>
        <w:jc w:val="right"/>
        <w:rPr>
          <w:rFonts w:ascii="宋体" w:hAnsi="宋体"/>
          <w:color w:val="000000"/>
          <w:sz w:val="21"/>
          <w:szCs w:val="21"/>
        </w:rPr>
      </w:pPr>
      <w:r>
        <w:rPr>
          <w:rFonts w:hint="eastAsia" w:ascii="宋体" w:hAnsi="宋体"/>
          <w:color w:val="000000"/>
          <w:sz w:val="21"/>
          <w:szCs w:val="21"/>
        </w:rPr>
        <w:t xml:space="preserve">年   月  日  </w:t>
      </w:r>
    </w:p>
    <w:p>
      <w:pPr>
        <w:spacing w:line="360" w:lineRule="auto"/>
        <w:ind w:right="600"/>
        <w:rPr>
          <w:rFonts w:ascii="宋体" w:hAnsi="宋体"/>
          <w:color w:val="000000"/>
          <w:sz w:val="21"/>
          <w:szCs w:val="21"/>
        </w:rPr>
      </w:pPr>
      <w:r>
        <w:rPr>
          <w:rFonts w:hint="eastAsia" w:ascii="宋体" w:hAnsi="宋体"/>
          <w:color w:val="000000"/>
          <w:sz w:val="21"/>
          <w:szCs w:val="21"/>
        </w:rPr>
        <w:t>注：本表格式仅供参考，各投标人可自行设计格式。</w:t>
      </w:r>
      <w:r>
        <w:rPr>
          <w:rFonts w:hint="eastAsia" w:ascii="宋体" w:hAnsi="宋体"/>
          <w:color w:val="000000"/>
          <w:sz w:val="21"/>
          <w:szCs w:val="21"/>
        </w:rPr>
        <w:br w:type="page"/>
      </w:r>
    </w:p>
    <w:p>
      <w:pPr>
        <w:pStyle w:val="2"/>
        <w:ind w:left="0" w:leftChars="0" w:firstLine="0" w:firstLineChars="0"/>
        <w:rPr>
          <w:sz w:val="36"/>
          <w:szCs w:val="36"/>
        </w:rPr>
      </w:pPr>
    </w:p>
    <w:p>
      <w:pPr>
        <w:pStyle w:val="4"/>
        <w:jc w:val="center"/>
        <w:rPr>
          <w:b/>
          <w:bCs/>
          <w:sz w:val="36"/>
          <w:szCs w:val="36"/>
        </w:rPr>
      </w:pPr>
      <w:bookmarkStart w:id="830" w:name="_Toc503873704"/>
      <w:r>
        <w:rPr>
          <w:rFonts w:hint="eastAsia"/>
          <w:b/>
          <w:bCs/>
          <w:sz w:val="36"/>
          <w:szCs w:val="36"/>
        </w:rPr>
        <w:t>第六章  图纸</w:t>
      </w:r>
      <w:bookmarkEnd w:id="828"/>
    </w:p>
    <w:bookmarkEnd w:id="830"/>
    <w:p>
      <w:pPr>
        <w:spacing w:line="360" w:lineRule="auto"/>
        <w:jc w:val="center"/>
        <w:rPr>
          <w:b/>
          <w:bCs/>
          <w:sz w:val="24"/>
          <w:szCs w:val="24"/>
        </w:rPr>
      </w:pPr>
    </w:p>
    <w:p>
      <w:pPr>
        <w:spacing w:line="360" w:lineRule="auto"/>
        <w:jc w:val="center"/>
        <w:rPr>
          <w:rFonts w:ascii="宋体" w:hAnsi="宋体"/>
          <w:color w:val="000000"/>
          <w:sz w:val="36"/>
          <w:szCs w:val="36"/>
        </w:rPr>
      </w:pPr>
      <w:r>
        <w:rPr>
          <w:rFonts w:hint="eastAsia"/>
          <w:b/>
          <w:bCs/>
          <w:sz w:val="21"/>
          <w:szCs w:val="21"/>
          <w:lang w:eastAsia="zh-CN"/>
        </w:rPr>
        <w:t>本项目无图纸</w:t>
      </w:r>
      <w:r>
        <w:rPr>
          <w:rFonts w:hint="eastAsia" w:ascii="宋体" w:hAnsi="宋体"/>
          <w:color w:val="000000"/>
          <w:sz w:val="28"/>
          <w:szCs w:val="28"/>
        </w:rPr>
        <w:br w:type="page"/>
      </w:r>
    </w:p>
    <w:p>
      <w:pPr>
        <w:pStyle w:val="4"/>
        <w:jc w:val="center"/>
        <w:rPr>
          <w:rFonts w:ascii="宋体" w:hAnsi="宋体"/>
          <w:color w:val="000000"/>
          <w:sz w:val="24"/>
          <w:szCs w:val="24"/>
        </w:rPr>
      </w:pPr>
      <w:bookmarkStart w:id="831" w:name="_Toc1603"/>
      <w:bookmarkEnd w:id="831"/>
      <w:bookmarkStart w:id="832" w:name="_Toc11811"/>
      <w:bookmarkEnd w:id="832"/>
      <w:bookmarkStart w:id="833" w:name="_Toc11893"/>
      <w:bookmarkEnd w:id="833"/>
      <w:bookmarkStart w:id="834" w:name="_Toc30383"/>
      <w:bookmarkEnd w:id="834"/>
      <w:bookmarkStart w:id="835" w:name="_Toc370458210"/>
      <w:bookmarkEnd w:id="835"/>
      <w:bookmarkStart w:id="836" w:name="_Toc503873706"/>
      <w:bookmarkStart w:id="837" w:name="_Toc25620"/>
      <w:r>
        <w:rPr>
          <w:rFonts w:hint="eastAsia"/>
          <w:b/>
          <w:bCs/>
          <w:sz w:val="36"/>
          <w:szCs w:val="36"/>
        </w:rPr>
        <w:t>第七章  技术标准和要求</w:t>
      </w:r>
      <w:bookmarkEnd w:id="836"/>
      <w:bookmarkEnd w:id="837"/>
    </w:p>
    <w:p>
      <w:pPr>
        <w:keepNext w:val="0"/>
        <w:keepLines w:val="0"/>
        <w:pageBreakBefore w:val="0"/>
        <w:widowControl w:val="0"/>
        <w:kinsoku/>
        <w:wordWrap/>
        <w:topLinePunct w:val="0"/>
        <w:bidi w:val="0"/>
        <w:snapToGrid/>
        <w:spacing w:line="360" w:lineRule="exact"/>
        <w:textAlignment w:val="auto"/>
        <w:rPr>
          <w:rFonts w:hint="eastAsia" w:ascii="宋体" w:hAnsi="宋体" w:eastAsia="宋体" w:cs="宋体"/>
          <w:color w:val="auto"/>
        </w:rPr>
      </w:pPr>
      <w:bookmarkStart w:id="838" w:name="_Toc503873708"/>
      <w:bookmarkStart w:id="839" w:name="_Toc28455"/>
      <w:r>
        <w:rPr>
          <w:rFonts w:hint="eastAsia" w:ascii="宋体" w:hAnsi="宋体" w:eastAsia="宋体" w:cs="宋体"/>
          <w:color w:val="auto"/>
        </w:rPr>
        <w:t>一、关于工程技术规范的一般说明</w:t>
      </w:r>
    </w:p>
    <w:p>
      <w:pPr>
        <w:keepNext w:val="0"/>
        <w:keepLines w:val="0"/>
        <w:pageBreakBefore w:val="0"/>
        <w:widowControl w:val="0"/>
        <w:kinsoku/>
        <w:wordWrap/>
        <w:overflowPunct w:val="0"/>
        <w:topLinePunct w:val="0"/>
        <w:bidi w:val="0"/>
        <w:snapToGrid/>
        <w:spacing w:line="36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除非设计文件中另有特别注明,本工程适用中华人民共和国现行有效的国家规范、规程和标准。设计图纸和其他设计文件中的有关文字说明是本工程技术规范的组成部分。对于涉及新技术、新工艺和新材料的工作,相应厂家使用说明或操作说明等的内容,或适用的国外同类标准的内容-也是本工程技术规范的组成部分。</w:t>
      </w:r>
    </w:p>
    <w:p>
      <w:pPr>
        <w:keepNext w:val="0"/>
        <w:keepLines w:val="0"/>
        <w:pageBreakBefore w:val="0"/>
        <w:widowControl w:val="0"/>
        <w:kinsoku/>
        <w:wordWrap/>
        <w:overflowPunct w:val="0"/>
        <w:topLinePunct w:val="0"/>
        <w:bidi w:val="0"/>
        <w:snapToGrid/>
        <w:spacing w:line="36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本合同文件中约定的任何承包人应予遵照执行的规范、规程和标准都指他们各自的最新版本。如果在任何规范、规程和标准之间出现相互矛盾之处或存有任何疑问之处,承包人应书面请求监理工程师予以澄清；除非监理工程师有特别的指示,承包人应按照其中要求最严格的标准执行。材料、施工工艺和本工程都应依照相关规范、规程和标准的最新版本或把最新版本的要求当作对承包人工作的最起码要求,而执行更高的标准。</w:t>
      </w:r>
      <w:bookmarkStart w:id="840" w:name="_Toc42079438"/>
      <w:bookmarkEnd w:id="840"/>
      <w:bookmarkStart w:id="841" w:name="_Toc45031842"/>
      <w:bookmarkEnd w:id="841"/>
    </w:p>
    <w:p>
      <w:pPr>
        <w:keepNext w:val="0"/>
        <w:keepLines w:val="0"/>
        <w:pageBreakBefore w:val="0"/>
        <w:widowControl w:val="0"/>
        <w:kinsoku/>
        <w:wordWrap/>
        <w:topLinePunct w:val="0"/>
        <w:bidi w:val="0"/>
        <w:snapToGrid/>
        <w:spacing w:line="360" w:lineRule="exact"/>
        <w:textAlignment w:val="auto"/>
        <w:rPr>
          <w:rFonts w:hint="eastAsia" w:ascii="宋体" w:hAnsi="宋体" w:eastAsia="宋体" w:cs="宋体"/>
          <w:color w:val="auto"/>
        </w:rPr>
      </w:pPr>
      <w:r>
        <w:rPr>
          <w:rFonts w:hint="eastAsia" w:ascii="宋体" w:hAnsi="宋体" w:eastAsia="宋体" w:cs="宋体"/>
          <w:color w:val="auto"/>
        </w:rPr>
        <w:t>二、施工、验收规范按国家现行施工及验收规范执行。</w:t>
      </w:r>
    </w:p>
    <w:p>
      <w:pPr>
        <w:keepNext w:val="0"/>
        <w:keepLines w:val="0"/>
        <w:pageBreakBefore w:val="0"/>
        <w:widowControl w:val="0"/>
        <w:kinsoku/>
        <w:wordWrap/>
        <w:topLinePunct w:val="0"/>
        <w:bidi w:val="0"/>
        <w:snapToGrid/>
        <w:spacing w:line="360" w:lineRule="exact"/>
        <w:textAlignment w:val="auto"/>
        <w:rPr>
          <w:rFonts w:hint="eastAsia" w:ascii="宋体" w:hAnsi="宋体" w:eastAsia="宋体" w:cs="宋体"/>
          <w:color w:val="auto"/>
        </w:rPr>
      </w:pPr>
      <w:r>
        <w:rPr>
          <w:rFonts w:hint="eastAsia" w:ascii="宋体" w:hAnsi="宋体" w:eastAsia="宋体" w:cs="宋体"/>
          <w:color w:val="auto"/>
        </w:rPr>
        <w:t>三、本合同必须遵照执行的技术规范包含（但不限于）以下文件：</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 有关法律、法规</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（1）《中华人民共和国宪法》；</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（2）《中华人民共和国土地管理法》；</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（3）《中华人民共和国土地管理法实施条例》；</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（4）《基本农田保护条例》；</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（5）《中华人民共和国农业法》；</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（6）《中华人民共和国森林法》；</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（7）《中华人民共和国环境保护法》</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 国家有关规定和文件</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（1）《关于进一步加快土地整治项目库建设的意见》豫国土资发 [2010]121号；</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（2）《河南省土地整治项目库管理暂行办法》豫国土资发 [2010]116号；</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（3）《关于进一步加强农村工作提高农业综合生产能力若干政策的意见》中发[2005]1号；</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（4）《国务院关于深化改革严格土地管理的决定》国发[2004]28号;</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（5）《关于加强和改进土地开发整理工作的通知》国土资发[2005]29号</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（6）《2005年国家投资土地开发整理项目指南》国土资发[2005]79号</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（7）《关于设立土地整理项目区的通知》国土资发[1999]50号；</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（8）《新增建设用地土地有偿使用费收缴使用管理办法》；</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（9）《土地整理项目资金管理办法》等。</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（10）《河南省国土资源厅关于组织落实2008年度土地整理复垦开发项目的通知》豫国土资发[2009]3号。</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3. 土地整理标准和规范</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（1）《土地整理项目规划设计规范》（TD/1012-2000）；</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（2）《道路工程制图标准》（GB50162-1992）；</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（3）《灌溉与排水工程设计设计规范》（GB50288-1999）；</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（4）《水利水电工程制图标准》（SL73-1995）；</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（5）《公路桥涵设计通用规范》（JT/J021-1989）；</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（6）《机井技术规范》（SL256—2000）；</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（7）《节水灌溉工程技术规范》（GB/T50363—2006）；</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（8）《水土保持综合治理规划通则》（GBT/T15772-1995）；</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4 地方性文件及有关计划、规划</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（1）河南省《土地管理法》实施办法;</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（2）河南省人民政府贯彻国务院关于深化改革严格土地管理决定的意见》豫政[2004]80号</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以上规范如有变化，以最新发布的为准。</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四、其他技术条款：</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1. 发包人提供的图纸</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1.1 施工图纸的提供期限</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用于本工程项目的有关施工图纸，应在该项目工程施工前5 天提供给承包人。</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1.2 设计修改</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（1）承包人在收到监理人提供的图纸和文件后，应进行详细阅读和检查，若发现错误或表达不清楚时，应在收到图纸和文件后的7—14 天内书面通知监理人。若监理人确认需要做出修改或补充时，亦应在收到书面通知后7—14 天内将修改补充后的图纸和文件提供给承包人。</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（2）监理人发出施工图纸后，需要对某些工程设计进行局部修改和补充时，应在该部分开始施工7—14 天前及时签发设计图，其中涉及变更的应按合同规定办理，对不属于变更范畴的设计修改，承包人不得要求增加额外付款。</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3）由于受永久设备供货或其它不可预见因素的影响，发包人无法按预定计划提供施工图纸时，应由监理人与承包人共同研究临时措施，适时调整部分工程的施工进度，其增加的费用或造成的工期延误，应按合同规定办理。</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1.3 图纸的份数</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监理人应向承包人提供 4 套图纸（包括设计修改图）。承包人可根据施工需要向监理人提出增加图纸的份数，并为此支付费用。监理人发出的图纸均应盖有现场监理机构的公章，无监理人盖章的图纸，均为无效图纸。</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2. 承包人提交的图纸和文件</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2.1 图纸和文件的提交计划</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承包人应在签署协议后7 天内，将承包人项目经理签署的承包人图纸和文件的提交计划报送监理人审批，监理人应在收到该提交计划后28 天内批复承包人。提交计划应说明图纸文件名称和提交时间以及由承包人负责的施工图纸和文件。</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承包人提供给监理人的所有图纸、文件、影像资料等费用，均应包括在承包人的各项目报价中。</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2.2 施工总进度计划</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（1）承包人应在收到开工通知后的 2 天内，按合同的规定，编制本工程施工总进度计划，报监理人审批。监理人应在收到后 2 天内批复承包人。经监理人批准的施工总进度计划是控制本项目工程进度的依据。</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（2）承包人编制的施工总进度应满足合同关于工程开工日及全部工程、单位工程和分部工程完工日期的规定。施工总进度计划编制应有以下各项数据和内容。</w:t>
      </w:r>
    </w:p>
    <w:p>
      <w:pPr>
        <w:keepNext w:val="0"/>
        <w:keepLines w:val="0"/>
        <w:pageBreakBefore w:val="0"/>
        <w:widowControl w:val="0"/>
        <w:kinsoku/>
        <w:wordWrap/>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color w:val="auto"/>
          <w:kern w:val="0"/>
        </w:rPr>
      </w:pPr>
      <w:r>
        <w:rPr>
          <w:rFonts w:hint="eastAsia" w:ascii="宋体" w:hAnsi="宋体" w:eastAsia="宋体" w:cs="宋体"/>
          <w:color w:val="auto"/>
          <w:kern w:val="0"/>
        </w:rPr>
        <w:t>1）作业和相应节点编号；</w:t>
      </w:r>
    </w:p>
    <w:p>
      <w:pPr>
        <w:keepNext w:val="0"/>
        <w:keepLines w:val="0"/>
        <w:pageBreakBefore w:val="0"/>
        <w:widowControl w:val="0"/>
        <w:kinsoku/>
        <w:wordWrap/>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color w:val="auto"/>
          <w:kern w:val="0"/>
        </w:rPr>
      </w:pPr>
      <w:r>
        <w:rPr>
          <w:rFonts w:hint="eastAsia" w:ascii="宋体" w:hAnsi="宋体" w:eastAsia="宋体" w:cs="宋体"/>
          <w:color w:val="auto"/>
          <w:kern w:val="0"/>
        </w:rPr>
        <w:t>2）持续时间；</w:t>
      </w:r>
    </w:p>
    <w:p>
      <w:pPr>
        <w:keepNext w:val="0"/>
        <w:keepLines w:val="0"/>
        <w:pageBreakBefore w:val="0"/>
        <w:widowControl w:val="0"/>
        <w:kinsoku/>
        <w:wordWrap/>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color w:val="auto"/>
          <w:kern w:val="0"/>
        </w:rPr>
      </w:pPr>
      <w:r>
        <w:rPr>
          <w:rFonts w:hint="eastAsia" w:ascii="宋体" w:hAnsi="宋体" w:eastAsia="宋体" w:cs="宋体"/>
          <w:color w:val="auto"/>
          <w:kern w:val="0"/>
        </w:rPr>
        <w:t>3）最早开工及最早完工日期；</w:t>
      </w:r>
    </w:p>
    <w:p>
      <w:pPr>
        <w:keepNext w:val="0"/>
        <w:keepLines w:val="0"/>
        <w:pageBreakBefore w:val="0"/>
        <w:widowControl w:val="0"/>
        <w:kinsoku/>
        <w:wordWrap/>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color w:val="auto"/>
          <w:kern w:val="0"/>
        </w:rPr>
      </w:pPr>
      <w:r>
        <w:rPr>
          <w:rFonts w:hint="eastAsia" w:ascii="宋体" w:hAnsi="宋体" w:eastAsia="宋体" w:cs="宋体"/>
          <w:color w:val="auto"/>
          <w:kern w:val="0"/>
        </w:rPr>
        <w:t>4）最迟开工及最迟完工日期；</w:t>
      </w:r>
    </w:p>
    <w:p>
      <w:pPr>
        <w:keepNext w:val="0"/>
        <w:keepLines w:val="0"/>
        <w:pageBreakBefore w:val="0"/>
        <w:widowControl w:val="0"/>
        <w:kinsoku/>
        <w:wordWrap/>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color w:val="auto"/>
          <w:kern w:val="0"/>
        </w:rPr>
      </w:pPr>
      <w:r>
        <w:rPr>
          <w:rFonts w:hint="eastAsia" w:ascii="宋体" w:hAnsi="宋体" w:eastAsia="宋体" w:cs="宋体"/>
          <w:color w:val="auto"/>
          <w:kern w:val="0"/>
        </w:rPr>
        <w:t>5）附需要资料和说明。</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2.3 施工总布置设计</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（1）承包人应在收到开工通知后 2 天内，将本项目工程的施工总布置设计文件，报送监理人审批。监理人应在签收后 2 天内批复承包人。</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（2）承包人提交的施工总布置设计文件，应包括施工总平面布置图、主要剖面图和设计说明书。</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（3）承包人应做好环境保护规划，采取必要的措施，保护临时设施周围开挖后的河道、冲沟和边坡。</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2.4 临时设施设计</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（1）承包人应按施工总进度计划的安排，在临时设施开始施工前 2 天，将临时设施的设计文件报送监理人审批。监理人应在每项设计文件签收后 2 天内批复承包人。</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（2）承包人提交的临时设施设计应包括临时设施的平面图、主要剖面图和设计说明书。</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2.5 施工方法和措施</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（1）承包人应在收到开工通知后的 2 天内，按合同规定的内容提交主要工程建筑物的施工方法和措施。</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监理人认为有必要时，承包人应在规定的期限内，按监理人指示，提交单位工程的施工方法和措施，报送监理人审批。单位工程施工方法和措施的内容包括施工布置、施工工艺、施工程序、主要施工材料及设备和劳动力、质量检验和安全保证措施、施工进度计划等。</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2.6 施工图纸</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（1）按合同规定由承包人负责设计的工程项目，应按监理人指示，在该工程项目开始施工前 2 天，由承包人提交该项目的结构总图、设计依据、计算和试验成果以及监理人认为需要提交审查的其它图纸和文件，报送监理人审批。</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按合同规定，由发包人负责设计的工程项目，应由监理人按规定提供施工图纸给承包人，承包人则应按发包人提供的施工图纸绘制详细单体工程图，承包人的施工图纸以及按技术条款其它规定由承包人提交的图纸和文件，均应在每项工程开始施工前2 天报送监理人审批。</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（3）若承包人根据其施工的需要，要求对发包人提供的施工图做出局部修改时，须经监理人批准。</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2.7 图纸和文件的审批</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（1）除合同另有规定外，凡需经监理人审批的图纸和文件，监理人应在收到承包人提交的各项图纸和文件后2 天内批复承包人，逾期不批复，则视为已经监理批准。其审批意见包括：</w:t>
      </w:r>
    </w:p>
    <w:p>
      <w:pPr>
        <w:keepNext w:val="0"/>
        <w:keepLines w:val="0"/>
        <w:pageBreakBefore w:val="0"/>
        <w:widowControl w:val="0"/>
        <w:kinsoku/>
        <w:wordWrap/>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color w:val="auto"/>
          <w:kern w:val="0"/>
        </w:rPr>
      </w:pPr>
      <w:r>
        <w:rPr>
          <w:rFonts w:hint="eastAsia" w:ascii="宋体" w:hAnsi="宋体" w:eastAsia="宋体" w:cs="宋体"/>
          <w:color w:val="auto"/>
          <w:kern w:val="0"/>
        </w:rPr>
        <w:t>1）同意按此执行；</w:t>
      </w:r>
    </w:p>
    <w:p>
      <w:pPr>
        <w:keepNext w:val="0"/>
        <w:keepLines w:val="0"/>
        <w:pageBreakBefore w:val="0"/>
        <w:widowControl w:val="0"/>
        <w:kinsoku/>
        <w:wordWrap/>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color w:val="auto"/>
          <w:kern w:val="0"/>
        </w:rPr>
      </w:pPr>
      <w:r>
        <w:rPr>
          <w:rFonts w:hint="eastAsia" w:ascii="宋体" w:hAnsi="宋体" w:eastAsia="宋体" w:cs="宋体"/>
          <w:color w:val="auto"/>
          <w:kern w:val="0"/>
        </w:rPr>
        <w:t>2）按修改意见执行；</w:t>
      </w:r>
    </w:p>
    <w:p>
      <w:pPr>
        <w:keepNext w:val="0"/>
        <w:keepLines w:val="0"/>
        <w:pageBreakBefore w:val="0"/>
        <w:widowControl w:val="0"/>
        <w:kinsoku/>
        <w:wordWrap/>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color w:val="auto"/>
          <w:kern w:val="0"/>
        </w:rPr>
      </w:pPr>
      <w:r>
        <w:rPr>
          <w:rFonts w:hint="eastAsia" w:ascii="宋体" w:hAnsi="宋体" w:eastAsia="宋体" w:cs="宋体"/>
          <w:color w:val="auto"/>
          <w:kern w:val="0"/>
        </w:rPr>
        <w:t>3）修改后重新递交；</w:t>
      </w:r>
    </w:p>
    <w:p>
      <w:pPr>
        <w:keepNext w:val="0"/>
        <w:keepLines w:val="0"/>
        <w:pageBreakBefore w:val="0"/>
        <w:widowControl w:val="0"/>
        <w:kinsoku/>
        <w:wordWrap/>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color w:val="auto"/>
          <w:kern w:val="0"/>
        </w:rPr>
      </w:pPr>
      <w:r>
        <w:rPr>
          <w:rFonts w:hint="eastAsia" w:ascii="宋体" w:hAnsi="宋体" w:eastAsia="宋体" w:cs="宋体"/>
          <w:color w:val="auto"/>
          <w:kern w:val="0"/>
        </w:rPr>
        <w:t>4）不予批准。</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（2）凡标有“按修改意见执行”或“修改后重新递交”的图纸和文件，应由承包人在收到批复件后 2 天内做出相应修改，并重新提交监理人批复。所有修改都应在修改的图纸和文件上标明编号、日期以及说明修改范围和内容，承包人应在图纸的标题附近留有一块空白框供监理人批注及建立档案编目用。</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（3）凡合同规定须经监理人批准的图纸和文件，必须由承包人项目经理签署。</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3.承包人提供的设备</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3.1 承包人提供的施工设备</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（1）承包人应在协议书签订后 2 天内提交一份为完成本项目各项工作所需要的施工设备清单，报送监理人审批，监理人应在收到施工设备清单后的 2 天内批复承包人。</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（2）承包人报送的施工设备清单的内容应包括：</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1）设备的名称、生产厂家、型号、规格、主要性能、数量和预计进场时间；</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2）新购置主要设备订货协议的复印件；</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3）旧施工设备的购置时间、残值、运行和检修记录以及维修保养证书等；</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4）租赁设备的购置时间、租赁期限、租赁价格、运行检修记录以及维修保养证书等。</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（3）承包人配置的旧施工设备（包括租赁的旧设备），应由监理人进行检查，并经试运行，确认其符合技术要求后方可使用。监理人有权向承包人索取必要的设备订货及租赁设备资料和有关图纸。</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（4）不论承包人采用何种方式取得的施工设备，都应对施工设备运输和使用过程中造成的损失和损坏负全部责任，监理人一旦发现承包人使用的施工设备影响工程进度和质量时，承包人应按合同规定进行更换。</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（5）施工设备的保险由承包人办理，保险单副本应提交监理人。</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4. 进度计划的实施</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4.1 年进度计划</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承包人应在下一年度开始前28 天向监理人报送年度计划，其内容和要求包括：</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（1）按合同计划要求，列出计划完成的年工程数量及其施工面貌、材料用量和劳动力安排。</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（2）列出该年施工所需的机具、设备、材料的数量和需要采购的计划。</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（3）提出招标人提供施工图纸的计划要求。</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（4）列出该年施工的各工程项目的试检验和验收计划，并说明工程试验和验收应完成的各项准备工作。</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4.2 季、月进度计划</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监理人认为有必要时，要求承包人报送季、月进度计划，其内容和要求包括：</w:t>
      </w:r>
    </w:p>
    <w:p>
      <w:pPr>
        <w:keepNext w:val="0"/>
        <w:keepLines w:val="0"/>
        <w:pageBreakBefore w:val="0"/>
        <w:widowControl w:val="0"/>
        <w:kinsoku/>
        <w:wordWrap/>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color w:val="auto"/>
          <w:kern w:val="0"/>
        </w:rPr>
      </w:pPr>
      <w:r>
        <w:rPr>
          <w:rFonts w:hint="eastAsia" w:ascii="宋体" w:hAnsi="宋体" w:eastAsia="宋体" w:cs="宋体"/>
          <w:color w:val="auto"/>
          <w:kern w:val="0"/>
        </w:rPr>
        <w:t>（1）按合同进度计划，列出计划完成季、月工程量及施工面貌、材料用量和劳动力安排；</w:t>
      </w:r>
    </w:p>
    <w:p>
      <w:pPr>
        <w:keepNext w:val="0"/>
        <w:keepLines w:val="0"/>
        <w:pageBreakBefore w:val="0"/>
        <w:widowControl w:val="0"/>
        <w:kinsoku/>
        <w:wordWrap/>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color w:val="auto"/>
          <w:kern w:val="0"/>
        </w:rPr>
      </w:pPr>
      <w:r>
        <w:rPr>
          <w:rFonts w:hint="eastAsia" w:ascii="宋体" w:hAnsi="宋体" w:eastAsia="宋体" w:cs="宋体"/>
          <w:color w:val="auto"/>
          <w:kern w:val="0"/>
        </w:rPr>
        <w:t>（2）列出该季、月所需施工设备数量及材料计划；</w:t>
      </w:r>
    </w:p>
    <w:p>
      <w:pPr>
        <w:keepNext w:val="0"/>
        <w:keepLines w:val="0"/>
        <w:pageBreakBefore w:val="0"/>
        <w:widowControl w:val="0"/>
        <w:kinsoku/>
        <w:wordWrap/>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color w:val="auto"/>
          <w:kern w:val="0"/>
        </w:rPr>
      </w:pPr>
      <w:r>
        <w:rPr>
          <w:rFonts w:hint="eastAsia" w:ascii="宋体" w:hAnsi="宋体" w:eastAsia="宋体" w:cs="宋体"/>
          <w:color w:val="auto"/>
          <w:kern w:val="0"/>
        </w:rPr>
        <w:t>（3）列出该季、月招标人应提供的施工图纸目标等。</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4.3 月进度报告</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（1）承包人应在每月底按批准的格式，向监理人提交月进度实施报告，其内容包括：</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1）月完成工程量和累计完成工程量（包括永久工程和临时工程）；</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2）月完成的工程面貌简图；</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3）现场施工设备的投运数量和运行状况；</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4）劳动力数量（本月及预计未来三个月劳动力数量）；</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5）当前影响施工进度的因素和采取的改进措施；</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6）进度计划调整及其说明；</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7）质量事故和质量缺陷记录以及处理结果；</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8）安全事故以及人员伤亡和财产损失记录。</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（2）月进度报告应附有一组充分显示工程施工面貌与实际进度相对应的定点摄影照片。</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4.4 进度会议</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监理人应在每周的某一日和每月末定期召开周、月进度会议，检查承包人的合同进度计划执行情况和工程质量状况，协调解决工程施工中发生的工程变更、质量缺陷处理、支付结算等问题以及与其他承包人的相互干扰和矛盾。</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（2）承包人应在周、月进度会议上按规定的格式提交周、月进度报表，进度报表的内容包括</w:t>
      </w:r>
    </w:p>
    <w:p>
      <w:pPr>
        <w:keepNext w:val="0"/>
        <w:keepLines w:val="0"/>
        <w:pageBreakBefore w:val="0"/>
        <w:widowControl w:val="0"/>
        <w:kinsoku/>
        <w:wordWrap/>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color w:val="auto"/>
          <w:kern w:val="0"/>
        </w:rPr>
      </w:pPr>
      <w:r>
        <w:rPr>
          <w:rFonts w:hint="eastAsia" w:ascii="宋体" w:hAnsi="宋体" w:eastAsia="宋体" w:cs="宋体"/>
          <w:color w:val="auto"/>
          <w:kern w:val="0"/>
        </w:rPr>
        <w:t>1）上周（或上月）之前合同进度计划要求和实际完成的累计工程量统计；</w:t>
      </w:r>
    </w:p>
    <w:p>
      <w:pPr>
        <w:keepNext w:val="0"/>
        <w:keepLines w:val="0"/>
        <w:pageBreakBefore w:val="0"/>
        <w:widowControl w:val="0"/>
        <w:kinsoku/>
        <w:wordWrap/>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color w:val="auto"/>
          <w:kern w:val="0"/>
        </w:rPr>
      </w:pPr>
      <w:r>
        <w:rPr>
          <w:rFonts w:hint="eastAsia" w:ascii="宋体" w:hAnsi="宋体" w:eastAsia="宋体" w:cs="宋体"/>
          <w:color w:val="auto"/>
          <w:kern w:val="0"/>
        </w:rPr>
        <w:t>2）本周（或本月）实际完成的工程量统计；</w:t>
      </w:r>
    </w:p>
    <w:p>
      <w:pPr>
        <w:keepNext w:val="0"/>
        <w:keepLines w:val="0"/>
        <w:pageBreakBefore w:val="0"/>
        <w:widowControl w:val="0"/>
        <w:kinsoku/>
        <w:wordWrap/>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color w:val="auto"/>
          <w:kern w:val="0"/>
        </w:rPr>
      </w:pPr>
      <w:r>
        <w:rPr>
          <w:rFonts w:hint="eastAsia" w:ascii="宋体" w:hAnsi="宋体" w:eastAsia="宋体" w:cs="宋体"/>
          <w:color w:val="auto"/>
          <w:kern w:val="0"/>
        </w:rPr>
        <w:t>3）下周（或下月）计划完成的工程量；</w:t>
      </w:r>
    </w:p>
    <w:p>
      <w:pPr>
        <w:keepNext w:val="0"/>
        <w:keepLines w:val="0"/>
        <w:pageBreakBefore w:val="0"/>
        <w:widowControl w:val="0"/>
        <w:kinsoku/>
        <w:wordWrap/>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color w:val="auto"/>
          <w:kern w:val="0"/>
        </w:rPr>
      </w:pPr>
      <w:r>
        <w:rPr>
          <w:rFonts w:hint="eastAsia" w:ascii="宋体" w:hAnsi="宋体" w:eastAsia="宋体" w:cs="宋体"/>
          <w:color w:val="auto"/>
          <w:kern w:val="0"/>
        </w:rPr>
        <w:t>4）工程质量情况；</w:t>
      </w:r>
    </w:p>
    <w:p>
      <w:pPr>
        <w:keepNext w:val="0"/>
        <w:keepLines w:val="0"/>
        <w:pageBreakBefore w:val="0"/>
        <w:widowControl w:val="0"/>
        <w:kinsoku/>
        <w:wordWrap/>
        <w:topLinePunct w:val="0"/>
        <w:autoSpaceDE w:val="0"/>
        <w:autoSpaceDN w:val="0"/>
        <w:bidi w:val="0"/>
        <w:adjustRightInd w:val="0"/>
        <w:snapToGrid/>
        <w:spacing w:line="360" w:lineRule="exact"/>
        <w:ind w:firstLine="210" w:firstLineChars="100"/>
        <w:jc w:val="left"/>
        <w:textAlignment w:val="auto"/>
        <w:rPr>
          <w:rFonts w:hint="eastAsia" w:ascii="宋体" w:hAnsi="宋体" w:eastAsia="宋体" w:cs="宋体"/>
          <w:color w:val="auto"/>
          <w:kern w:val="0"/>
        </w:rPr>
      </w:pPr>
      <w:r>
        <w:rPr>
          <w:rFonts w:hint="eastAsia" w:ascii="宋体" w:hAnsi="宋体" w:eastAsia="宋体" w:cs="宋体"/>
          <w:color w:val="auto"/>
          <w:kern w:val="0"/>
        </w:rPr>
        <w:t>5）要求监理人协调的主要问题。</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4.5 进度计划的调整和修订</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在工程实施过程中，不论何种原因引起的工期延误，承包人应及时做出调整，并在月进度报告中提出调整后的进度计划及其说明。若进度计划的调整需要修改关键路线或改变关键工程的完工日期，承包人应按合同规定，提交修订的进度计划报送监理人审批。</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5. 工程质量的检查和检验</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5.1 承包人的质量自检</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承包人应按合同的规定，建立完善质量管理体制，严格履行合同规定的质量检查职责。承包人应赋予质检人员对工程使用的材料和工程的所有部位及其施工工艺过程进行全面质量检查和随机抽样检验的权力。当发现不合格时，承包人质检人员应有责任及时纠正。</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（2）承包人应按合同规定，详细作好质量检查记录，编写质量检查报告，承包人应定期和监理人提交质量自检报告。</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5.2 监理人的质量检查</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（1）监理人有权按照合同的规定，对工程的所有部位及其任何一项工艺、材料和工程设</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备进行检查和检验。</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监理人检验工程材料的性能指标和检查工程质量时，有权要求承包人按合同规定的数量，提供试验用的材料样品和现场钻取试件，承包人还应按监理人的指示为质量检查进行需补充的试验检验工作。检查和检验的时间、地点和费用，应按合同规定办理。</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（3）监理人为检查工程设备质量所需要检测设备性能，当监理人提出要求时，承包人应予提供测试设备，并协助监理人进行测试工作。</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（4）监理人为检查检验工程和工程设备质量的需要，可要求承包人提供材料质量证明书和设备出厂合格证，材料试验和设备检测成果、施工和安装记录、质量自检报表等作为工程和工程设备验收的依据。</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6. 施工安全保护</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6.1 承包人的安全保护责任</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（1）承包人必须按合同规定履行其安全保护职责。</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（2）承包人应加强对职工进行施工安全教育。</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（3）承包人必须遵守国家颁布的有关安全规程。若承包人责任区内发生重大安全事故时，承包人应立即通报招标人，并在事故发生后 24h 内向发包人提交事故情况的书面报告。</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（4）承包人应加强对危险作业的安全检查。</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7. 环境</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7.1 遵守环境保护的法律、法规和规章</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承包人必须遵守国家有关环境保护的法律、法规和规章，并按合同规定，做好施工区的环境保护工作，防止由于工程施工造成施工区附近地区的环境污染和破坏。</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8 现场施工测量</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8.1 测量基准</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（1）监理人应按合同规定，在发出开工通知前 7 天，向承包人提供测量基准点、基准线和水准点及其基本资料和数据。</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（2）承包人接收监理人提供的测量基准后，应与监理人共同校测基准点（线）的测量精度，并复核其资料和数据的准确性。</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（3）承包人应以监理人提供的测量基准点（线）为基准，按国家测绘标准和本工程施工精度要求，测设用于工程施工的控制网，并应在收到工程通知后 42 天内，将施工控制网资料报送监理人审批。</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8.2 施工测量</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（1）承包人应负责工程施工所需的全部施工测量放线工作。</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承包人应按本技术条款的规定，提交计量测量资料报送监理人审核。监理人可以使用承包人的施工控制网自行进行检查放样测量，亦可要求承包人在监理人直接监督下进行复核对照测量。若经双方协商同意，承包人可邀请监理人的测量人员联合进行计量测量，经双方核签的测量成果，可直接用于计量付款。</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（3）承包人应负责保护好测量基准点、基准线和水准点及自行增设的控制网点，并提供通向网点的道路和护栏杆。测量网点的缺失和损坏应由承包人负责修复。</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9. 工程量计量方法</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9.1 说明</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（1）本项目的工程量应按合同规定进行计量。</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（2）所有工程项目的计量方法应符合本技术条款的规定，承包人应自供一切计量设备和用具，并保证计量设备和用具符合国家度量衡标准的精度要求。</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（3）凡超出施工图纸和本技术条款规定的计量范围以外的长度、面积或体积，均不予计量或计算。</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（4）实物工程量的计量，应由承包人应用标准的计量设备进行称量或计算，并经监理人签认后，列入承包人的每月工程量报表。</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9.2 重量计量的计算</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（1）凡以重量计量的材料，应由承包人合格称量人员使用经国家计量监督部门检验合格的称量器，在规定的地点进行称量。</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钢材的计量应按施工图纸所示的净值计量。钢筋应按监理人批准的钢筋下料表，以直径和长度计算，不计入钢筋损耗和架设定位的附加钢筋量；预应力钢绞线、预应力钢筋和预应力钢丝的工程量，按锚固长度与工作长度之和计算重量；钢板和型钢钢材按制定件的成型净尺寸和使用钢材规格的标准单位重量计算其工程量，不计其下料损耗量和施工安装等所需的附加钢材用量。施工附加量均不单独计算而应包括在有关钢筋、钢材和预应力钢材等各自的单价中。</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9.3 面积计量的计算</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结构面积的计算，应按施工图纸所示结构物尺寸线或监理人指示在现场实际量测的结构物净尺寸线进行计算。</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9.4 体积计量的计算</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结构物体积计量的计算。应按施工图纸所示轮廓线内的实际工程量或按监理人指示在现场量测的净尺寸线进行计算。经监理人批准，大体积混凝土中所设体积小于0.1m3的孔洞、排水管、预埋管和凹槽等工程量不予扣除，按施工图纸和指示要求对临时孔洞进行回填的工程不重复计算。</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（2）混凝土工程的计算，应按监理人签认的已完工程的净尺寸计算；土石方填筑工程量的计量，应按完工验收时实测的工程量进行最终计算。</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9.5 长度计量的计算</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所有以延长米计算的结构物，除施工图纸另有规定，应该平均于结构物位置的纵向轴线或基础方向的长度计量。</w:t>
      </w:r>
    </w:p>
    <w:p>
      <w:pPr>
        <w:keepNext w:val="0"/>
        <w:keepLines w:val="0"/>
        <w:pageBreakBefore w:val="0"/>
        <w:widowControl w:val="0"/>
        <w:kinsoku/>
        <w:wordWrap/>
        <w:topLinePunct w:val="0"/>
        <w:autoSpaceDE w:val="0"/>
        <w:autoSpaceDN w:val="0"/>
        <w:bidi w:val="0"/>
        <w:adjustRightInd w:val="0"/>
        <w:snapToGrid/>
        <w:spacing w:line="360" w:lineRule="exact"/>
        <w:jc w:val="left"/>
        <w:textAlignment w:val="auto"/>
        <w:rPr>
          <w:rFonts w:hint="eastAsia" w:ascii="宋体" w:hAnsi="宋体" w:eastAsia="宋体" w:cs="宋体"/>
          <w:color w:val="auto"/>
          <w:kern w:val="0"/>
        </w:rPr>
      </w:pPr>
      <w:r>
        <w:rPr>
          <w:rFonts w:hint="eastAsia" w:ascii="宋体" w:hAnsi="宋体" w:eastAsia="宋体" w:cs="宋体"/>
          <w:color w:val="auto"/>
          <w:kern w:val="0"/>
        </w:rPr>
        <w:t>10 技术标准的规程规定</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（1）除本技术条款另有规定外，承包人施工所用的材料、设备、施工工艺和工程质量的检验和验收应符合本技术条款中引用的国家和行业颁布的技术标准和规程规定的技术要求。</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（2）当本技术条款的内容与所有引用的标准和规程规范的规定有矛盾时，应以本技术条款的规定或监理人批示为准。</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（3）技术条款中有关工程等级、防洪标准和工程鉴定标准等涉及工程安全的规定，必须严格遵守国家和行业工程标准，遇有矛盾时应由监理单位按国家和行业标准的规定进行修正，涉及变更的应按合同规定。</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（4）在施工过程中，监理人为保证工程质量和施工进度的要求，有权指示承包人或批准承包人采用新技术和新工艺并增补和个性技术条款的内容。其增补和自发的内容涉及变更时，应按合同规定办理。</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（5）本项目引用的技术标准和规程规范，分别列在各章的技术条款内。</w:t>
      </w:r>
    </w:p>
    <w:p>
      <w:pPr>
        <w:keepNext w:val="0"/>
        <w:keepLines w:val="0"/>
        <w:pageBreakBefore w:val="0"/>
        <w:widowControl w:val="0"/>
        <w:kinsoku/>
        <w:wordWrap/>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（6）本项目技术条款中引用的标准和规程规范在本项目出版时均有效，所有标准和规程规范都会被修订，故使用本项目范本编制工程技术条款中，应执行其最新版本。</w:t>
      </w:r>
    </w:p>
    <w:p>
      <w:pPr>
        <w:keepNext w:val="0"/>
        <w:keepLines w:val="0"/>
        <w:pageBreakBefore w:val="0"/>
        <w:widowControl w:val="0"/>
        <w:kinsoku/>
        <w:wordWrap/>
        <w:topLinePunct w:val="0"/>
        <w:bidi w:val="0"/>
        <w:snapToGrid/>
        <w:spacing w:line="36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承包人在执行本合同时，所有材料、设备、施工技术及施工工艺除应满足本技术条款外，还应遵照水利部和国家基本建设委员会、交通部等部门颁发的有关现行技术规范、规程及标准等执行。</w:t>
      </w:r>
    </w:p>
    <w:p>
      <w:pPr>
        <w:rPr>
          <w:rFonts w:hint="eastAsia"/>
        </w:rPr>
      </w:pPr>
    </w:p>
    <w:p>
      <w:pPr>
        <w:rPr>
          <w:rFonts w:hint="eastAsia"/>
        </w:rPr>
      </w:pPr>
    </w:p>
    <w:p>
      <w:pPr>
        <w:rPr>
          <w:rFonts w:hint="eastAsia"/>
        </w:rPr>
      </w:pPr>
    </w:p>
    <w:p>
      <w:pPr>
        <w:rPr>
          <w:rFonts w:hint="eastAsia"/>
        </w:rPr>
      </w:pPr>
    </w:p>
    <w:p>
      <w:pPr>
        <w:rPr>
          <w:rFonts w:hint="eastAsia"/>
        </w:rPr>
      </w:pPr>
    </w:p>
    <w:p>
      <w:pPr>
        <w:pStyle w:val="4"/>
        <w:jc w:val="center"/>
        <w:rPr>
          <w:rFonts w:hint="eastAsia"/>
          <w:b/>
          <w:bCs/>
          <w:sz w:val="36"/>
          <w:szCs w:val="36"/>
        </w:rPr>
      </w:pPr>
    </w:p>
    <w:p>
      <w:pPr>
        <w:pStyle w:val="4"/>
        <w:jc w:val="center"/>
        <w:rPr>
          <w:rFonts w:hint="eastAsia"/>
          <w:b/>
          <w:bCs/>
          <w:sz w:val="36"/>
          <w:szCs w:val="36"/>
        </w:rPr>
      </w:pPr>
    </w:p>
    <w:p>
      <w:pPr>
        <w:rPr>
          <w:rFonts w:hint="eastAsia"/>
          <w:b/>
          <w:bCs/>
          <w:sz w:val="36"/>
          <w:szCs w:val="36"/>
        </w:rPr>
      </w:pPr>
    </w:p>
    <w:p>
      <w:pPr>
        <w:pStyle w:val="2"/>
        <w:rPr>
          <w:rFonts w:hint="eastAsia"/>
        </w:rPr>
      </w:pPr>
    </w:p>
    <w:p>
      <w:pPr>
        <w:pStyle w:val="4"/>
        <w:jc w:val="center"/>
        <w:rPr>
          <w:b/>
          <w:bCs/>
          <w:sz w:val="36"/>
          <w:szCs w:val="36"/>
        </w:rPr>
      </w:pPr>
      <w:r>
        <w:rPr>
          <w:rFonts w:hint="eastAsia"/>
          <w:b/>
          <w:bCs/>
          <w:sz w:val="36"/>
          <w:szCs w:val="36"/>
        </w:rPr>
        <w:t>第八章  投标文件格式</w:t>
      </w:r>
      <w:bookmarkEnd w:id="838"/>
      <w:bookmarkEnd w:id="839"/>
    </w:p>
    <w:p>
      <w:pPr>
        <w:spacing w:line="360" w:lineRule="auto"/>
        <w:jc w:val="right"/>
        <w:rPr>
          <w:rFonts w:hint="eastAsia" w:ascii="宋体" w:hAnsi="宋体"/>
          <w:b/>
          <w:bCs/>
          <w:sz w:val="32"/>
          <w:szCs w:val="32"/>
        </w:rPr>
      </w:pPr>
      <w:bookmarkStart w:id="842" w:name="_Toc27986"/>
      <w:bookmarkEnd w:id="842"/>
      <w:bookmarkStart w:id="843" w:name="_Toc4477"/>
      <w:bookmarkEnd w:id="843"/>
      <w:bookmarkStart w:id="844" w:name="_Toc32026"/>
      <w:bookmarkEnd w:id="844"/>
      <w:bookmarkStart w:id="845" w:name="_Toc14602"/>
      <w:bookmarkEnd w:id="845"/>
      <w:bookmarkStart w:id="846" w:name="_Toc3160"/>
    </w:p>
    <w:p>
      <w:pPr>
        <w:spacing w:line="360" w:lineRule="auto"/>
        <w:jc w:val="right"/>
        <w:rPr>
          <w:rFonts w:ascii="宋体" w:hAnsi="宋体"/>
          <w:sz w:val="44"/>
          <w:szCs w:val="44"/>
        </w:rPr>
      </w:pPr>
      <w:r>
        <w:rPr>
          <w:rFonts w:hint="eastAsia" w:ascii="宋体" w:hAnsi="宋体"/>
          <w:b/>
          <w:bCs/>
          <w:sz w:val="32"/>
          <w:szCs w:val="32"/>
        </w:rPr>
        <w:t>（正本/副本）</w:t>
      </w:r>
      <w:bookmarkEnd w:id="846"/>
    </w:p>
    <w:p>
      <w:pPr>
        <w:spacing w:line="360" w:lineRule="auto"/>
        <w:jc w:val="center"/>
        <w:rPr>
          <w:rFonts w:ascii="宋体" w:hAnsi="宋体"/>
          <w:b/>
          <w:bCs/>
          <w:color w:val="000000"/>
          <w:sz w:val="32"/>
          <w:szCs w:val="32"/>
          <w:u w:val="single"/>
        </w:rPr>
      </w:pPr>
    </w:p>
    <w:p>
      <w:pPr>
        <w:widowControl/>
        <w:spacing w:line="400" w:lineRule="exact"/>
        <w:ind w:right="-153"/>
        <w:jc w:val="center"/>
        <w:rPr>
          <w:rFonts w:ascii="宋体" w:hAnsi="宋体"/>
          <w:b/>
          <w:bCs/>
          <w:color w:val="000000"/>
          <w:kern w:val="0"/>
          <w:sz w:val="36"/>
          <w:szCs w:val="36"/>
        </w:rPr>
      </w:pPr>
      <w:bookmarkStart w:id="847" w:name="_Toc6503"/>
      <w:bookmarkEnd w:id="847"/>
      <w:bookmarkStart w:id="848" w:name="_Toc32627"/>
      <w:bookmarkEnd w:id="848"/>
      <w:bookmarkStart w:id="849" w:name="_Toc20953"/>
      <w:bookmarkEnd w:id="849"/>
      <w:bookmarkStart w:id="850" w:name="_Toc32359"/>
      <w:bookmarkEnd w:id="850"/>
      <w:r>
        <w:rPr>
          <w:rFonts w:hint="eastAsia" w:ascii="宋体" w:hAnsi="宋体"/>
          <w:b/>
          <w:bCs/>
          <w:color w:val="000000"/>
          <w:kern w:val="0"/>
          <w:sz w:val="36"/>
          <w:szCs w:val="36"/>
          <w:u w:val="single"/>
        </w:rPr>
        <w:t>　　　　　　　　项目名称、标段</w:t>
      </w:r>
    </w:p>
    <w:p>
      <w:pPr>
        <w:spacing w:line="360" w:lineRule="auto"/>
        <w:jc w:val="center"/>
        <w:rPr>
          <w:rFonts w:ascii="宋体" w:hAnsi="宋体"/>
          <w:b/>
          <w:bCs/>
          <w:color w:val="000000"/>
          <w:sz w:val="44"/>
          <w:szCs w:val="44"/>
        </w:rPr>
      </w:pPr>
    </w:p>
    <w:p>
      <w:pPr>
        <w:spacing w:line="360" w:lineRule="auto"/>
        <w:jc w:val="center"/>
        <w:rPr>
          <w:rFonts w:ascii="宋体" w:hAnsi="宋体"/>
          <w:b/>
          <w:bCs/>
          <w:color w:val="000000"/>
          <w:sz w:val="44"/>
          <w:szCs w:val="44"/>
        </w:rPr>
      </w:pPr>
    </w:p>
    <w:p>
      <w:pPr>
        <w:spacing w:line="360" w:lineRule="auto"/>
        <w:rPr>
          <w:rFonts w:ascii="宋体" w:hAnsi="宋体"/>
          <w:b/>
          <w:bCs/>
          <w:color w:val="000000"/>
          <w:sz w:val="44"/>
          <w:szCs w:val="44"/>
        </w:rPr>
      </w:pPr>
    </w:p>
    <w:p>
      <w:pPr>
        <w:spacing w:line="360" w:lineRule="auto"/>
        <w:jc w:val="center"/>
        <w:rPr>
          <w:rFonts w:ascii="宋体" w:hAnsi="宋体"/>
          <w:b/>
          <w:bCs/>
          <w:color w:val="000000"/>
          <w:sz w:val="72"/>
          <w:szCs w:val="72"/>
        </w:rPr>
      </w:pPr>
      <w:bookmarkStart w:id="851" w:name="_Toc27123"/>
      <w:bookmarkEnd w:id="851"/>
      <w:bookmarkStart w:id="852" w:name="_Toc5730"/>
      <w:bookmarkEnd w:id="852"/>
      <w:bookmarkStart w:id="853" w:name="_Toc9641"/>
      <w:bookmarkEnd w:id="853"/>
      <w:bookmarkStart w:id="854" w:name="_Toc23194"/>
      <w:bookmarkEnd w:id="854"/>
      <w:bookmarkStart w:id="855" w:name="_Toc6133"/>
      <w:r>
        <w:rPr>
          <w:rFonts w:hint="eastAsia" w:ascii="宋体" w:hAnsi="宋体"/>
          <w:b/>
          <w:bCs/>
          <w:color w:val="000000"/>
          <w:sz w:val="72"/>
          <w:szCs w:val="72"/>
        </w:rPr>
        <w:t>投　标　文　件</w:t>
      </w:r>
      <w:bookmarkEnd w:id="855"/>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pStyle w:val="2"/>
        <w:ind w:firstLine="281"/>
        <w:rPr>
          <w:rFonts w:ascii="宋体" w:hAnsi="宋体"/>
          <w:b/>
          <w:bCs/>
          <w:color w:val="000000"/>
          <w:sz w:val="28"/>
          <w:szCs w:val="28"/>
        </w:rPr>
      </w:pPr>
    </w:p>
    <w:p>
      <w:pPr>
        <w:pStyle w:val="2"/>
        <w:ind w:firstLine="281"/>
        <w:rPr>
          <w:rFonts w:ascii="宋体" w:hAnsi="宋体"/>
          <w:b/>
          <w:bCs/>
          <w:color w:val="000000"/>
          <w:sz w:val="28"/>
          <w:szCs w:val="28"/>
        </w:rPr>
      </w:pPr>
    </w:p>
    <w:p>
      <w:pPr>
        <w:spacing w:line="360" w:lineRule="auto"/>
        <w:rPr>
          <w:rFonts w:ascii="宋体" w:hAnsi="宋体"/>
          <w:b/>
          <w:bCs/>
          <w:color w:val="000000"/>
          <w:sz w:val="28"/>
          <w:szCs w:val="28"/>
        </w:rPr>
      </w:pPr>
    </w:p>
    <w:p>
      <w:pPr>
        <w:rPr>
          <w:sz w:val="28"/>
          <w:szCs w:val="28"/>
          <w:u w:val="single"/>
        </w:rPr>
      </w:pPr>
      <w:bookmarkStart w:id="856" w:name="_Toc8270"/>
      <w:bookmarkEnd w:id="856"/>
      <w:bookmarkStart w:id="857" w:name="_Toc184635137"/>
      <w:bookmarkEnd w:id="857"/>
      <w:bookmarkStart w:id="858" w:name="_Toc26971"/>
      <w:bookmarkEnd w:id="858"/>
      <w:bookmarkStart w:id="859" w:name="_Toc20608"/>
      <w:bookmarkEnd w:id="859"/>
      <w:bookmarkStart w:id="860" w:name="_Toc23444"/>
      <w:bookmarkEnd w:id="860"/>
      <w:bookmarkStart w:id="861" w:name="_Toc27204"/>
      <w:bookmarkEnd w:id="861"/>
      <w:bookmarkStart w:id="862" w:name="_Toc283382024"/>
      <w:r>
        <w:rPr>
          <w:rFonts w:hint="eastAsia" w:ascii="宋体" w:hAnsi="宋体"/>
          <w:b/>
          <w:bCs/>
          <w:color w:val="000000"/>
          <w:sz w:val="32"/>
          <w:szCs w:val="32"/>
        </w:rPr>
        <w:t xml:space="preserve">           </w:t>
      </w:r>
      <w:r>
        <w:rPr>
          <w:rFonts w:hint="eastAsia" w:ascii="宋体" w:hAnsi="宋体"/>
          <w:b/>
          <w:bCs/>
          <w:color w:val="000000"/>
          <w:sz w:val="28"/>
          <w:szCs w:val="28"/>
        </w:rPr>
        <w:t xml:space="preserve"> 投 标 人：</w:t>
      </w:r>
      <w:bookmarkEnd w:id="862"/>
      <w:r>
        <w:rPr>
          <w:rFonts w:hint="eastAsia" w:ascii="宋体" w:hAnsi="宋体"/>
          <w:b/>
          <w:bCs/>
          <w:color w:val="000000"/>
          <w:sz w:val="28"/>
          <w:szCs w:val="28"/>
          <w:u w:val="single"/>
        </w:rPr>
        <w:t xml:space="preserve">            （加盖单位公章）</w:t>
      </w:r>
    </w:p>
    <w:p>
      <w:pPr>
        <w:ind w:firstLine="1891" w:firstLineChars="600"/>
        <w:jc w:val="both"/>
        <w:rPr>
          <w:sz w:val="28"/>
          <w:szCs w:val="28"/>
          <w:u w:val="single"/>
        </w:rPr>
      </w:pPr>
      <w:bookmarkStart w:id="863" w:name="_Toc10402"/>
      <w:bookmarkEnd w:id="863"/>
      <w:bookmarkStart w:id="864" w:name="_Toc169"/>
      <w:bookmarkEnd w:id="864"/>
      <w:bookmarkStart w:id="865" w:name="_Toc16795"/>
      <w:bookmarkEnd w:id="865"/>
      <w:bookmarkStart w:id="866" w:name="_Toc27381"/>
      <w:bookmarkEnd w:id="866"/>
      <w:bookmarkStart w:id="867" w:name="_Toc5352"/>
      <w:r>
        <w:rPr>
          <w:rFonts w:hint="eastAsia" w:ascii="宋体" w:hAnsi="宋体"/>
          <w:b/>
          <w:bCs/>
          <w:color w:val="000000"/>
          <w:spacing w:val="17"/>
          <w:kern w:val="0"/>
          <w:sz w:val="28"/>
          <w:szCs w:val="28"/>
        </w:rPr>
        <w:t>法定代表</w:t>
      </w:r>
      <w:bookmarkEnd w:id="867"/>
      <w:r>
        <w:rPr>
          <w:rFonts w:hint="eastAsia" w:ascii="宋体" w:hAnsi="宋体"/>
          <w:b/>
          <w:bCs/>
          <w:color w:val="000000"/>
          <w:spacing w:val="2"/>
          <w:kern w:val="0"/>
          <w:sz w:val="28"/>
          <w:szCs w:val="28"/>
        </w:rPr>
        <w:t>人或其委托代理人</w:t>
      </w:r>
      <w:r>
        <w:rPr>
          <w:rFonts w:hint="eastAsia" w:ascii="宋体" w:hAnsi="宋体"/>
          <w:b/>
          <w:bCs/>
          <w:color w:val="000000"/>
          <w:sz w:val="28"/>
          <w:szCs w:val="28"/>
        </w:rPr>
        <w:t>：</w:t>
      </w:r>
      <w:r>
        <w:rPr>
          <w:rFonts w:hint="eastAsia" w:ascii="宋体" w:hAnsi="宋体"/>
          <w:b/>
          <w:bCs/>
          <w:color w:val="000000"/>
          <w:sz w:val="28"/>
          <w:szCs w:val="28"/>
          <w:u w:val="single"/>
        </w:rPr>
        <w:t xml:space="preserve">  （签字） </w:t>
      </w:r>
    </w:p>
    <w:p>
      <w:pPr>
        <w:ind w:firstLine="829" w:firstLineChars="295"/>
        <w:rPr>
          <w:sz w:val="28"/>
          <w:szCs w:val="28"/>
        </w:rPr>
      </w:pPr>
      <w:bookmarkStart w:id="868" w:name="_Toc11611"/>
      <w:bookmarkEnd w:id="868"/>
      <w:bookmarkStart w:id="869" w:name="_Toc4834"/>
      <w:bookmarkEnd w:id="869"/>
      <w:bookmarkStart w:id="870" w:name="_Toc5831"/>
      <w:bookmarkEnd w:id="870"/>
      <w:bookmarkStart w:id="871" w:name="_Toc27104"/>
      <w:bookmarkEnd w:id="871"/>
      <w:bookmarkStart w:id="872" w:name="_Toc1710"/>
      <w:r>
        <w:rPr>
          <w:rFonts w:hint="eastAsia" w:ascii="宋体" w:hAnsi="宋体"/>
          <w:b/>
          <w:bCs/>
          <w:color w:val="000000"/>
          <w:sz w:val="28"/>
          <w:szCs w:val="28"/>
        </w:rPr>
        <w:t xml:space="preserve">     </w:t>
      </w:r>
      <w:r>
        <w:rPr>
          <w:rFonts w:hint="eastAsia" w:ascii="宋体" w:hAnsi="宋体"/>
          <w:b/>
          <w:bCs/>
          <w:color w:val="000000"/>
          <w:sz w:val="28"/>
          <w:szCs w:val="28"/>
          <w:lang w:val="en-US" w:eastAsia="zh-CN"/>
        </w:rPr>
        <w:t xml:space="preserve"> </w:t>
      </w:r>
      <w:r>
        <w:rPr>
          <w:rFonts w:hint="eastAsia" w:ascii="宋体" w:hAnsi="宋体"/>
          <w:b/>
          <w:bCs/>
          <w:color w:val="000000"/>
          <w:sz w:val="28"/>
          <w:szCs w:val="28"/>
        </w:rPr>
        <w:t xml:space="preserve"> 日     期:</w:t>
      </w:r>
      <w:r>
        <w:rPr>
          <w:rFonts w:hint="eastAsia" w:ascii="宋体" w:hAnsi="宋体"/>
          <w:b/>
          <w:bCs/>
          <w:color w:val="000000"/>
          <w:sz w:val="28"/>
          <w:szCs w:val="28"/>
          <w:u w:val="single"/>
        </w:rPr>
        <w:t xml:space="preserve">        </w:t>
      </w:r>
      <w:bookmarkEnd w:id="872"/>
      <w:r>
        <w:rPr>
          <w:rFonts w:hint="eastAsia" w:ascii="宋体" w:hAnsi="宋体"/>
          <w:b/>
          <w:bCs/>
          <w:color w:val="000000"/>
          <w:sz w:val="28"/>
          <w:szCs w:val="28"/>
        </w:rPr>
        <w:t>年</w:t>
      </w:r>
      <w:r>
        <w:rPr>
          <w:rFonts w:hint="eastAsia" w:ascii="宋体" w:hAnsi="宋体"/>
          <w:b/>
          <w:bCs/>
          <w:color w:val="000000"/>
          <w:sz w:val="28"/>
          <w:szCs w:val="28"/>
          <w:u w:val="single"/>
        </w:rPr>
        <w:t xml:space="preserve">     </w:t>
      </w:r>
      <w:r>
        <w:rPr>
          <w:rFonts w:hint="eastAsia" w:ascii="宋体" w:hAnsi="宋体"/>
          <w:b/>
          <w:bCs/>
          <w:color w:val="000000"/>
          <w:sz w:val="28"/>
          <w:szCs w:val="28"/>
        </w:rPr>
        <w:t>月</w:t>
      </w:r>
      <w:r>
        <w:rPr>
          <w:rFonts w:hint="eastAsia" w:ascii="宋体" w:hAnsi="宋体"/>
          <w:b/>
          <w:bCs/>
          <w:color w:val="000000"/>
          <w:sz w:val="28"/>
          <w:szCs w:val="28"/>
          <w:u w:val="single"/>
        </w:rPr>
        <w:t xml:space="preserve">     </w:t>
      </w:r>
      <w:r>
        <w:rPr>
          <w:rFonts w:hint="eastAsia" w:ascii="宋体" w:hAnsi="宋体"/>
          <w:b/>
          <w:bCs/>
          <w:color w:val="000000"/>
          <w:sz w:val="28"/>
          <w:szCs w:val="28"/>
        </w:rPr>
        <w:t>日</w:t>
      </w:r>
    </w:p>
    <w:p>
      <w:pPr>
        <w:spacing w:line="360" w:lineRule="auto"/>
        <w:jc w:val="center"/>
        <w:rPr>
          <w:rFonts w:ascii="宋体" w:hAnsi="宋体"/>
          <w:color w:val="000000"/>
          <w:sz w:val="28"/>
          <w:szCs w:val="28"/>
        </w:rPr>
      </w:pPr>
      <w:r>
        <w:rPr>
          <w:rFonts w:hint="eastAsia" w:ascii="宋体" w:hAnsi="宋体"/>
          <w:color w:val="000000"/>
          <w:sz w:val="28"/>
          <w:szCs w:val="28"/>
        </w:rPr>
        <w:br w:type="page"/>
      </w:r>
      <w:bookmarkStart w:id="873" w:name="_Toc23304"/>
      <w:bookmarkEnd w:id="873"/>
      <w:bookmarkStart w:id="874" w:name="_Toc18632"/>
      <w:bookmarkEnd w:id="874"/>
      <w:bookmarkStart w:id="875" w:name="_Toc29523"/>
      <w:bookmarkEnd w:id="875"/>
      <w:bookmarkStart w:id="876" w:name="_Toc20881"/>
      <w:bookmarkEnd w:id="876"/>
      <w:bookmarkStart w:id="877" w:name="_Toc6407"/>
    </w:p>
    <w:p>
      <w:pPr>
        <w:spacing w:line="360" w:lineRule="auto"/>
        <w:jc w:val="center"/>
        <w:rPr>
          <w:rFonts w:ascii="宋体" w:hAnsi="宋体"/>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目    录</w:t>
      </w:r>
      <w:bookmarkEnd w:id="877"/>
    </w:p>
    <w:p>
      <w:pPr>
        <w:spacing w:line="360" w:lineRule="auto"/>
        <w:ind w:firstLine="480" w:firstLineChars="200"/>
        <w:rPr>
          <w:rFonts w:ascii="宋体" w:hAnsi="宋体"/>
          <w:color w:val="000000"/>
          <w:sz w:val="24"/>
          <w:szCs w:val="24"/>
        </w:rPr>
      </w:pPr>
    </w:p>
    <w:p>
      <w:pPr>
        <w:spacing w:line="360" w:lineRule="auto"/>
        <w:ind w:firstLine="420" w:firstLineChars="200"/>
        <w:rPr>
          <w:rFonts w:ascii="宋体" w:hAnsi="宋体"/>
          <w:color w:val="000000"/>
        </w:rPr>
      </w:pPr>
      <w:r>
        <w:rPr>
          <w:rFonts w:hint="eastAsia" w:ascii="宋体" w:hAnsi="宋体"/>
          <w:color w:val="000000"/>
        </w:rPr>
        <w:t>一、投标函及投标函附录</w:t>
      </w:r>
    </w:p>
    <w:p>
      <w:pPr>
        <w:spacing w:line="360" w:lineRule="auto"/>
        <w:ind w:firstLine="420" w:firstLineChars="200"/>
        <w:rPr>
          <w:rFonts w:ascii="宋体" w:hAnsi="宋体"/>
          <w:color w:val="000000"/>
        </w:rPr>
      </w:pPr>
      <w:r>
        <w:rPr>
          <w:rFonts w:hint="eastAsia" w:ascii="宋体" w:hAnsi="宋体"/>
          <w:color w:val="000000"/>
        </w:rPr>
        <w:t>二、法定代表人身份证明</w:t>
      </w:r>
    </w:p>
    <w:p>
      <w:pPr>
        <w:spacing w:line="360" w:lineRule="auto"/>
        <w:ind w:firstLine="420" w:firstLineChars="200"/>
        <w:rPr>
          <w:rFonts w:ascii="宋体" w:hAnsi="宋体"/>
          <w:color w:val="000000"/>
        </w:rPr>
      </w:pPr>
      <w:r>
        <w:rPr>
          <w:rFonts w:hint="eastAsia" w:ascii="宋体" w:hAnsi="宋体"/>
          <w:color w:val="000000"/>
        </w:rPr>
        <w:t>三、授权委托书</w:t>
      </w:r>
    </w:p>
    <w:p>
      <w:pPr>
        <w:spacing w:line="360" w:lineRule="auto"/>
        <w:ind w:firstLine="420" w:firstLineChars="200"/>
        <w:rPr>
          <w:rFonts w:ascii="宋体" w:hAnsi="宋体"/>
          <w:color w:val="000000"/>
        </w:rPr>
      </w:pPr>
      <w:r>
        <w:rPr>
          <w:rFonts w:hint="eastAsia" w:ascii="宋体" w:hAnsi="宋体"/>
          <w:color w:val="000000"/>
        </w:rPr>
        <w:t>四、投标保证金</w:t>
      </w:r>
    </w:p>
    <w:p>
      <w:pPr>
        <w:spacing w:line="360" w:lineRule="auto"/>
        <w:ind w:firstLine="420" w:firstLineChars="200"/>
        <w:rPr>
          <w:rFonts w:ascii="宋体" w:hAnsi="宋体"/>
          <w:color w:val="000000"/>
        </w:rPr>
      </w:pPr>
      <w:r>
        <w:rPr>
          <w:rFonts w:hint="eastAsia" w:ascii="宋体" w:hAnsi="宋体"/>
          <w:color w:val="000000"/>
        </w:rPr>
        <w:t>五、己标价工程量清单</w:t>
      </w:r>
    </w:p>
    <w:p>
      <w:pPr>
        <w:spacing w:line="360" w:lineRule="auto"/>
        <w:ind w:firstLine="420" w:firstLineChars="200"/>
        <w:rPr>
          <w:rFonts w:ascii="宋体" w:hAnsi="宋体"/>
          <w:color w:val="000000"/>
        </w:rPr>
      </w:pPr>
      <w:r>
        <w:rPr>
          <w:rFonts w:hint="eastAsia" w:ascii="宋体" w:hAnsi="宋体"/>
          <w:color w:val="000000"/>
        </w:rPr>
        <w:t>六、施工组织设计</w:t>
      </w:r>
    </w:p>
    <w:p>
      <w:pPr>
        <w:spacing w:line="360" w:lineRule="auto"/>
        <w:ind w:firstLine="420" w:firstLineChars="200"/>
        <w:rPr>
          <w:rFonts w:ascii="宋体" w:hAnsi="宋体"/>
          <w:color w:val="000000"/>
        </w:rPr>
      </w:pPr>
      <w:r>
        <w:rPr>
          <w:rFonts w:hint="eastAsia" w:ascii="宋体" w:hAnsi="宋体"/>
          <w:color w:val="000000"/>
        </w:rPr>
        <w:t>七、项目管理机构</w:t>
      </w:r>
    </w:p>
    <w:p>
      <w:pPr>
        <w:spacing w:line="360" w:lineRule="auto"/>
        <w:ind w:firstLine="420" w:firstLineChars="200"/>
        <w:rPr>
          <w:rFonts w:ascii="宋体" w:hAnsi="宋体"/>
          <w:color w:val="000000"/>
        </w:rPr>
      </w:pPr>
      <w:r>
        <w:rPr>
          <w:rFonts w:hint="eastAsia" w:ascii="宋体" w:hAnsi="宋体"/>
          <w:color w:val="000000"/>
        </w:rPr>
        <w:t>八、资格审查资料</w:t>
      </w:r>
    </w:p>
    <w:p>
      <w:pPr>
        <w:spacing w:line="360" w:lineRule="auto"/>
        <w:ind w:firstLine="420" w:firstLineChars="200"/>
        <w:rPr>
          <w:rFonts w:ascii="宋体" w:hAnsi="宋体"/>
          <w:color w:val="000000"/>
        </w:rPr>
      </w:pPr>
      <w:r>
        <w:rPr>
          <w:rFonts w:hint="eastAsia" w:ascii="宋体" w:hAnsi="宋体"/>
          <w:color w:val="000000"/>
        </w:rPr>
        <w:t>九、投标人应提供的其他材料</w:t>
      </w:r>
    </w:p>
    <w:p>
      <w:pPr>
        <w:spacing w:line="360" w:lineRule="auto"/>
        <w:ind w:firstLine="480" w:firstLineChars="200"/>
        <w:rPr>
          <w:rFonts w:ascii="宋体" w:hAnsi="宋体"/>
          <w:color w:val="000000"/>
          <w:sz w:val="24"/>
          <w:szCs w:val="24"/>
        </w:rPr>
      </w:pPr>
    </w:p>
    <w:p>
      <w:pPr>
        <w:spacing w:line="360" w:lineRule="auto"/>
        <w:jc w:val="center"/>
        <w:rPr>
          <w:rFonts w:ascii="宋体" w:hAnsi="宋体"/>
          <w:color w:val="000000"/>
          <w:sz w:val="24"/>
          <w:szCs w:val="24"/>
        </w:rPr>
      </w:pPr>
    </w:p>
    <w:p>
      <w:pPr>
        <w:widowControl/>
        <w:spacing w:line="360" w:lineRule="auto"/>
        <w:jc w:val="left"/>
        <w:rPr>
          <w:rFonts w:ascii="宋体" w:hAnsi="宋体" w:cs="宋体"/>
          <w:b/>
          <w:bCs/>
          <w:color w:val="000000"/>
          <w:kern w:val="0"/>
          <w:sz w:val="32"/>
          <w:szCs w:val="32"/>
        </w:rPr>
        <w:sectPr>
          <w:headerReference r:id="rId5" w:type="default"/>
          <w:footerReference r:id="rId6" w:type="default"/>
          <w:pgSz w:w="11906" w:h="16838"/>
          <w:pgMar w:top="1418" w:right="1134" w:bottom="1418" w:left="1134" w:header="720" w:footer="720" w:gutter="0"/>
          <w:pgNumType w:fmt="decimal"/>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878" w:name="_Toc370458213"/>
      <w:bookmarkEnd w:id="878"/>
      <w:bookmarkStart w:id="879" w:name="_Toc18409"/>
      <w:bookmarkEnd w:id="879"/>
      <w:bookmarkStart w:id="880" w:name="_Toc741"/>
      <w:bookmarkEnd w:id="880"/>
      <w:bookmarkStart w:id="881" w:name="_Toc365311688"/>
      <w:bookmarkEnd w:id="881"/>
      <w:bookmarkStart w:id="882" w:name="_Toc18130"/>
      <w:bookmarkEnd w:id="882"/>
      <w:bookmarkStart w:id="883" w:name="_Toc7141"/>
      <w:bookmarkEnd w:id="883"/>
      <w:bookmarkStart w:id="884" w:name="_Toc7213"/>
      <w:bookmarkStart w:id="885" w:name="_Toc503873709"/>
      <w:bookmarkStart w:id="886" w:name="_Toc503433994"/>
      <w:r>
        <w:rPr>
          <w:rFonts w:hint="eastAsia" w:ascii="宋体" w:hAnsi="宋体"/>
          <w:b/>
          <w:bCs/>
          <w:color w:val="000000"/>
          <w:kern w:val="0"/>
          <w:sz w:val="32"/>
          <w:szCs w:val="32"/>
        </w:rPr>
        <w:t>一、投标函及投标函附录</w:t>
      </w:r>
      <w:bookmarkEnd w:id="884"/>
      <w:bookmarkEnd w:id="885"/>
      <w:bookmarkEnd w:id="886"/>
    </w:p>
    <w:p>
      <w:pPr>
        <w:spacing w:line="360" w:lineRule="auto"/>
        <w:jc w:val="center"/>
        <w:outlineLvl w:val="3"/>
        <w:rPr>
          <w:rFonts w:ascii="宋体" w:hAnsi="宋体"/>
          <w:b/>
          <w:bCs/>
          <w:color w:val="000000"/>
          <w:sz w:val="30"/>
          <w:szCs w:val="30"/>
        </w:rPr>
      </w:pPr>
      <w:bookmarkStart w:id="887" w:name="_Toc370458214"/>
      <w:bookmarkEnd w:id="887"/>
      <w:r>
        <w:rPr>
          <w:rFonts w:hint="eastAsia" w:ascii="宋体" w:hAnsi="宋体"/>
          <w:b/>
          <w:bCs/>
          <w:color w:val="000000"/>
          <w:sz w:val="30"/>
          <w:szCs w:val="30"/>
        </w:rPr>
        <w:t>（一）投标函</w:t>
      </w:r>
    </w:p>
    <w:p>
      <w:pPr>
        <w:spacing w:line="360" w:lineRule="auto"/>
        <w:rPr>
          <w:rFonts w:hint="default" w:eastAsia="宋体"/>
          <w:u w:val="single"/>
          <w:lang w:val="en-US" w:eastAsia="zh-CN"/>
        </w:rPr>
      </w:pPr>
      <w:r>
        <w:rPr>
          <w:rFonts w:hint="eastAsia" w:ascii="宋体" w:hAnsi="宋体"/>
          <w:color w:val="000000"/>
        </w:rPr>
        <w:t>致：</w:t>
      </w:r>
      <w:r>
        <w:rPr>
          <w:rFonts w:hint="eastAsia" w:ascii="宋体" w:hAnsi="宋体"/>
          <w:color w:val="000000"/>
          <w:lang w:val="en-US" w:eastAsia="zh-CN"/>
        </w:rPr>
        <w:t xml:space="preserve"> </w:t>
      </w:r>
      <w:r>
        <w:rPr>
          <w:rFonts w:hint="eastAsia" w:ascii="宋体" w:hAnsi="宋体"/>
          <w:color w:val="000000"/>
          <w:u w:val="single"/>
          <w:lang w:val="en-US" w:eastAsia="zh-CN"/>
        </w:rPr>
        <w:t xml:space="preserve">                                </w:t>
      </w:r>
    </w:p>
    <w:p>
      <w:pPr>
        <w:spacing w:line="360" w:lineRule="auto"/>
        <w:ind w:firstLine="420" w:firstLineChars="200"/>
        <w:jc w:val="left"/>
        <w:rPr>
          <w:rFonts w:ascii="宋体" w:hAnsi="宋体" w:cs="仿宋_GB2312"/>
          <w:kern w:val="0"/>
        </w:rPr>
      </w:pPr>
      <w:r>
        <w:rPr>
          <w:rFonts w:hint="eastAsia" w:ascii="宋体" w:hAnsi="宋体"/>
          <w:color w:val="000000"/>
        </w:rPr>
        <w:t>经考察现场并研究该工程的招标文件、图纸和其他有关文件后，我方</w:t>
      </w:r>
      <w:r>
        <w:rPr>
          <w:rFonts w:hint="eastAsia" w:ascii="宋体" w:hAnsi="宋体" w:cs="仿宋_GB2312"/>
          <w:kern w:val="0"/>
        </w:rPr>
        <w:t>愿意以人民币</w:t>
      </w:r>
      <w:r>
        <w:rPr>
          <w:rFonts w:hint="eastAsia" w:ascii="宋体" w:hAnsi="宋体" w:cs="仿宋_GB2312"/>
          <w:kern w:val="0"/>
          <w:u w:val="single"/>
          <w:lang w:val="en-US" w:eastAsia="zh-CN"/>
        </w:rPr>
        <w:t xml:space="preserve">    </w:t>
      </w:r>
      <w:r>
        <w:rPr>
          <w:rFonts w:hint="eastAsia" w:ascii="宋体" w:hAnsi="宋体" w:cs="仿宋_GB2312"/>
          <w:kern w:val="0"/>
          <w:u w:val="single"/>
        </w:rPr>
        <w:t>（大写）（</w:t>
      </w:r>
      <w:r>
        <w:rPr>
          <w:rFonts w:hint="eastAsia" w:ascii="宋体" w:hAnsi="宋体" w:cs="TimesNewRomanPSMT"/>
          <w:kern w:val="0"/>
          <w:u w:val="single"/>
        </w:rPr>
        <w:t>¥</w:t>
      </w:r>
      <w:r>
        <w:rPr>
          <w:rFonts w:hint="eastAsia" w:ascii="宋体" w:hAnsi="宋体" w:cs="TimesNewRomanPSMT"/>
          <w:kern w:val="0"/>
          <w:u w:val="single"/>
          <w:lang w:val="en-US" w:eastAsia="zh-CN"/>
        </w:rPr>
        <w:t xml:space="preserve">       </w:t>
      </w:r>
      <w:r>
        <w:rPr>
          <w:rFonts w:hint="eastAsia" w:ascii="宋体" w:hAnsi="宋体" w:cs="仿宋_GB2312"/>
          <w:kern w:val="0"/>
          <w:u w:val="single"/>
        </w:rPr>
        <w:t>）</w:t>
      </w:r>
      <w:r>
        <w:rPr>
          <w:rFonts w:hint="eastAsia" w:ascii="宋体" w:hAnsi="宋体" w:cs="仿宋_GB2312"/>
          <w:kern w:val="0"/>
        </w:rPr>
        <w:t>元的投标报价，工期</w:t>
      </w:r>
      <w:r>
        <w:rPr>
          <w:rFonts w:hint="eastAsia" w:ascii="宋体" w:hAnsi="宋体" w:cs="仿宋_GB2312"/>
          <w:kern w:val="0"/>
          <w:u w:val="single"/>
          <w:lang w:val="en-US" w:eastAsia="zh-CN"/>
        </w:rPr>
        <w:t xml:space="preserve">     </w:t>
      </w:r>
      <w:r>
        <w:rPr>
          <w:rFonts w:hint="eastAsia" w:ascii="宋体" w:hAnsi="宋体" w:cs="仿宋_GB2312"/>
          <w:kern w:val="0"/>
        </w:rPr>
        <w:t>日历天，按合同约定实施和完成承包工程，修补工程中的任何缺陷，工程质量达到</w:t>
      </w:r>
      <w:r>
        <w:rPr>
          <w:rFonts w:hint="eastAsia" w:ascii="宋体" w:hAnsi="宋体" w:cs="仿宋_GB2312"/>
          <w:kern w:val="0"/>
          <w:u w:val="single"/>
          <w:lang w:val="en-US" w:eastAsia="zh-CN"/>
        </w:rPr>
        <w:t xml:space="preserve">     </w:t>
      </w:r>
      <w:r>
        <w:rPr>
          <w:rFonts w:hint="eastAsia" w:ascii="宋体" w:hAnsi="宋体" w:cs="仿宋_GB2312"/>
          <w:kern w:val="0"/>
        </w:rPr>
        <w:t>。</w:t>
      </w:r>
    </w:p>
    <w:p>
      <w:pPr>
        <w:spacing w:line="360" w:lineRule="auto"/>
        <w:ind w:firstLine="420" w:firstLineChars="200"/>
        <w:jc w:val="left"/>
        <w:rPr>
          <w:rFonts w:ascii="宋体" w:hAnsi="宋体"/>
          <w:color w:val="000000"/>
        </w:rPr>
      </w:pPr>
      <w:r>
        <w:rPr>
          <w:rFonts w:hint="eastAsia" w:ascii="宋体" w:hAnsi="宋体"/>
          <w:color w:val="000000"/>
        </w:rPr>
        <w:t>l.如我方中标，我方保证按投标文件中所报的工程质量和施工工期完成和交付全部工程。</w:t>
      </w:r>
    </w:p>
    <w:p>
      <w:pPr>
        <w:spacing w:line="360" w:lineRule="auto"/>
        <w:ind w:firstLine="420" w:firstLineChars="200"/>
        <w:jc w:val="left"/>
        <w:rPr>
          <w:rFonts w:ascii="宋体" w:hAnsi="宋体"/>
          <w:color w:val="000000"/>
        </w:rPr>
      </w:pPr>
      <w:r>
        <w:rPr>
          <w:rFonts w:hint="eastAsia" w:ascii="宋体" w:hAnsi="宋体"/>
          <w:color w:val="000000"/>
        </w:rPr>
        <w:t>2.我们已经详细审核了全部招标文件的内容，包括补充(答疑)文件(如果有的话)和参考资料，我们完全理解并同意放弃对这方面有不明或误解的权利。</w:t>
      </w:r>
    </w:p>
    <w:p>
      <w:pPr>
        <w:spacing w:line="360" w:lineRule="auto"/>
        <w:ind w:firstLine="420" w:firstLineChars="200"/>
        <w:jc w:val="left"/>
        <w:rPr>
          <w:rFonts w:ascii="宋体" w:hAnsi="宋体"/>
          <w:color w:val="000000"/>
        </w:rPr>
      </w:pPr>
      <w:r>
        <w:rPr>
          <w:rFonts w:hint="eastAsia" w:ascii="宋体" w:hAnsi="宋体"/>
          <w:color w:val="000000"/>
        </w:rPr>
        <w:t>3.如我方中标，我方将按招标文件中规定的数额或比例向招标人提交履约保证金。</w:t>
      </w:r>
    </w:p>
    <w:p>
      <w:pPr>
        <w:spacing w:line="360" w:lineRule="auto"/>
        <w:ind w:firstLine="420" w:firstLineChars="200"/>
        <w:jc w:val="left"/>
        <w:rPr>
          <w:rFonts w:ascii="宋体" w:hAnsi="宋体"/>
          <w:color w:val="000000"/>
        </w:rPr>
      </w:pPr>
      <w:r>
        <w:rPr>
          <w:rFonts w:hint="eastAsia" w:ascii="宋体" w:hAnsi="宋体"/>
          <w:color w:val="000000"/>
        </w:rPr>
        <w:t>4.在签署合同之前，中标通知书和本投标文件将构成约束我们双方的契约。</w:t>
      </w:r>
    </w:p>
    <w:p>
      <w:pPr>
        <w:spacing w:line="360" w:lineRule="auto"/>
        <w:ind w:firstLine="420" w:firstLineChars="200"/>
        <w:jc w:val="left"/>
        <w:rPr>
          <w:rFonts w:ascii="宋体" w:hAnsi="宋体"/>
          <w:color w:val="000000"/>
        </w:rPr>
      </w:pPr>
      <w:r>
        <w:rPr>
          <w:rFonts w:hint="eastAsia" w:ascii="宋体" w:hAnsi="宋体"/>
          <w:color w:val="000000"/>
        </w:rPr>
        <w:t>5.我们完全理解招标人不一定接受最低价的投标。</w:t>
      </w:r>
    </w:p>
    <w:p>
      <w:pPr>
        <w:spacing w:line="360" w:lineRule="auto"/>
        <w:ind w:firstLine="420" w:firstLineChars="200"/>
        <w:jc w:val="left"/>
        <w:rPr>
          <w:rFonts w:ascii="宋体" w:hAnsi="宋体"/>
          <w:color w:val="000000"/>
        </w:rPr>
      </w:pPr>
      <w:r>
        <w:rPr>
          <w:rFonts w:hint="eastAsia" w:ascii="宋体" w:hAnsi="宋体"/>
          <w:color w:val="000000"/>
        </w:rPr>
        <w:t>6.我们愿按《中华人民共和国合同法》履行自己的全部责任。同时愿遵守招标人在合同期内所制定的各项规章制度。</w:t>
      </w:r>
    </w:p>
    <w:p>
      <w:pPr>
        <w:spacing w:line="360" w:lineRule="auto"/>
        <w:ind w:firstLine="420" w:firstLineChars="200"/>
        <w:jc w:val="left"/>
        <w:rPr>
          <w:rFonts w:ascii="宋体" w:hAnsi="宋体"/>
          <w:color w:val="000000"/>
        </w:rPr>
      </w:pPr>
      <w:r>
        <w:rPr>
          <w:rFonts w:hint="eastAsia" w:ascii="宋体" w:hAnsi="宋体"/>
          <w:color w:val="000000"/>
        </w:rPr>
        <w:t>7.如我方中标，愿按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向招标代理人支付招标代理服务费。</w:t>
      </w:r>
    </w:p>
    <w:p>
      <w:pPr>
        <w:spacing w:line="360" w:lineRule="auto"/>
        <w:ind w:firstLine="420" w:firstLineChars="200"/>
        <w:jc w:val="left"/>
        <w:rPr>
          <w:rFonts w:ascii="宋体" w:hAnsi="宋体"/>
          <w:color w:val="000000"/>
        </w:rPr>
      </w:pPr>
      <w:r>
        <w:rPr>
          <w:rFonts w:hint="eastAsia" w:ascii="宋体" w:hAnsi="宋体"/>
          <w:color w:val="000000"/>
        </w:rPr>
        <w:t>8、</w:t>
      </w:r>
      <w:r>
        <w:rPr>
          <w:rFonts w:hint="eastAsia" w:ascii="宋体" w:hAnsi="宋体"/>
        </w:rPr>
        <w:t>有关招投标活动的一切函件往来除采用其他方式外可发至我方常用办公邮箱</w:t>
      </w:r>
      <w:r>
        <w:rPr>
          <w:rFonts w:hint="eastAsia" w:ascii="宋体" w:hAnsi="宋体"/>
          <w:u w:val="single"/>
          <w:lang w:val="en-US" w:eastAsia="zh-CN"/>
        </w:rPr>
        <w:t xml:space="preserve">                </w:t>
      </w:r>
      <w:r>
        <w:rPr>
          <w:rFonts w:hint="eastAsia" w:ascii="宋体" w:hAnsi="宋体"/>
        </w:rPr>
        <w:t>，凡发至此邮箱的文件均视为我方已收到而不需要贵方另行通知。</w:t>
      </w:r>
    </w:p>
    <w:p>
      <w:pPr>
        <w:spacing w:line="360" w:lineRule="auto"/>
        <w:ind w:firstLine="420" w:firstLineChars="200"/>
        <w:jc w:val="left"/>
        <w:rPr>
          <w:rFonts w:ascii="宋体" w:hAnsi="宋体"/>
          <w:color w:val="000000"/>
        </w:rPr>
      </w:pPr>
      <w:r>
        <w:rPr>
          <w:rFonts w:hint="eastAsia" w:ascii="宋体" w:hAnsi="宋体"/>
          <w:color w:val="000000"/>
        </w:rPr>
        <w:t>9、</w:t>
      </w:r>
      <w:r>
        <w:rPr>
          <w:rFonts w:hint="eastAsia" w:ascii="宋体" w:hAnsi="宋体"/>
          <w:color w:val="000000"/>
          <w:u w:val="single"/>
          <w:lang w:val="en-US" w:eastAsia="zh-CN"/>
        </w:rPr>
        <w:t xml:space="preserve">                       </w:t>
      </w:r>
      <w:r>
        <w:rPr>
          <w:rFonts w:hint="eastAsia" w:ascii="宋体" w:hAnsi="宋体"/>
          <w:color w:val="000000"/>
        </w:rPr>
        <w:t>（其他补充说明）。</w:t>
      </w:r>
    </w:p>
    <w:p>
      <w:pPr>
        <w:spacing w:line="360" w:lineRule="auto"/>
        <w:ind w:firstLine="3150" w:firstLineChars="1500"/>
        <w:jc w:val="left"/>
        <w:rPr>
          <w:rFonts w:ascii="宋体" w:hAnsi="宋体"/>
          <w:color w:val="000000"/>
        </w:rPr>
      </w:pPr>
    </w:p>
    <w:p>
      <w:pPr>
        <w:spacing w:line="360" w:lineRule="auto"/>
        <w:ind w:firstLine="3150" w:firstLineChars="1500"/>
        <w:rPr>
          <w:rFonts w:ascii="宋体" w:hAnsi="宋体"/>
          <w:color w:val="000000"/>
        </w:rPr>
      </w:pPr>
    </w:p>
    <w:p>
      <w:pPr>
        <w:spacing w:line="360" w:lineRule="auto"/>
        <w:ind w:firstLine="4305" w:firstLineChars="2050"/>
        <w:rPr>
          <w:rFonts w:ascii="宋体" w:hAnsi="宋体"/>
          <w:color w:val="000000"/>
          <w:u w:val="single"/>
        </w:rPr>
      </w:pPr>
      <w:r>
        <w:rPr>
          <w:rFonts w:hint="eastAsia" w:ascii="宋体" w:hAnsi="宋体"/>
          <w:color w:val="000000"/>
        </w:rPr>
        <w:t>投标人名称(加盖单位公章)：</w:t>
      </w:r>
    </w:p>
    <w:p>
      <w:pPr>
        <w:spacing w:line="360" w:lineRule="auto"/>
        <w:ind w:firstLine="4305" w:firstLineChars="2050"/>
        <w:rPr>
          <w:rFonts w:ascii="宋体" w:hAnsi="宋体"/>
          <w:color w:val="000000"/>
          <w:u w:val="single"/>
        </w:rPr>
      </w:pPr>
      <w:r>
        <w:rPr>
          <w:rFonts w:hint="eastAsia" w:ascii="宋体" w:hAnsi="宋体"/>
          <w:color w:val="000000"/>
        </w:rPr>
        <w:t>法定代表人或委托代理人(签字)：</w:t>
      </w:r>
    </w:p>
    <w:p>
      <w:pPr>
        <w:spacing w:line="360" w:lineRule="auto"/>
        <w:ind w:firstLine="4305" w:firstLineChars="2050"/>
        <w:rPr>
          <w:rFonts w:ascii="宋体" w:hAnsi="宋体"/>
          <w:color w:val="000000"/>
        </w:rPr>
      </w:pPr>
      <w:r>
        <w:rPr>
          <w:rFonts w:hint="eastAsia" w:ascii="宋体" w:hAnsi="宋体"/>
          <w:color w:val="000000"/>
        </w:rPr>
        <w:t>日     期：</w:t>
      </w:r>
      <w:r>
        <w:rPr>
          <w:rFonts w:hint="eastAsia" w:ascii="宋体" w:hAnsi="宋体"/>
          <w:color w:val="000000"/>
          <w:lang w:val="en-US" w:eastAsia="zh-CN"/>
        </w:rPr>
        <w:t xml:space="preserve">      </w:t>
      </w:r>
      <w:r>
        <w:rPr>
          <w:rFonts w:hint="eastAsia" w:ascii="宋体" w:hAnsi="宋体"/>
          <w:color w:val="000000"/>
        </w:rPr>
        <w:t>年</w:t>
      </w:r>
      <w:r>
        <w:rPr>
          <w:rFonts w:hint="eastAsia" w:ascii="宋体" w:hAnsi="宋体"/>
          <w:color w:val="000000"/>
          <w:lang w:val="en-US" w:eastAsia="zh-CN"/>
        </w:rPr>
        <w:t xml:space="preserve">   </w:t>
      </w:r>
      <w:r>
        <w:rPr>
          <w:rFonts w:hint="eastAsia" w:ascii="宋体" w:hAnsi="宋体"/>
          <w:color w:val="000000"/>
        </w:rPr>
        <w:t>月</w:t>
      </w:r>
      <w:r>
        <w:rPr>
          <w:rFonts w:hint="eastAsia" w:ascii="宋体" w:hAnsi="宋体"/>
          <w:color w:val="000000"/>
          <w:lang w:val="en-US" w:eastAsia="zh-CN"/>
        </w:rPr>
        <w:t xml:space="preserve">  </w:t>
      </w:r>
      <w:r>
        <w:rPr>
          <w:rFonts w:hint="eastAsia" w:ascii="宋体" w:hAnsi="宋体"/>
          <w:color w:val="000000"/>
        </w:rPr>
        <w:t>日</w:t>
      </w:r>
    </w:p>
    <w:p>
      <w:pPr>
        <w:spacing w:line="360" w:lineRule="auto"/>
        <w:jc w:val="center"/>
        <w:outlineLvl w:val="3"/>
        <w:rPr>
          <w:rFonts w:ascii="宋体" w:hAnsi="宋体"/>
          <w:color w:val="000000"/>
          <w:sz w:val="24"/>
          <w:szCs w:val="24"/>
        </w:rPr>
      </w:pPr>
      <w:r>
        <w:rPr>
          <w:rFonts w:hint="eastAsia" w:ascii="宋体" w:hAnsi="宋体"/>
          <w:color w:val="000000"/>
        </w:rPr>
        <w:br w:type="page"/>
      </w:r>
      <w:bookmarkStart w:id="888" w:name="_Toc370458215"/>
      <w:bookmarkEnd w:id="888"/>
      <w:r>
        <w:rPr>
          <w:rFonts w:hint="eastAsia" w:ascii="宋体" w:hAnsi="宋体"/>
          <w:b/>
          <w:bCs/>
          <w:color w:val="000000"/>
          <w:sz w:val="30"/>
          <w:szCs w:val="30"/>
        </w:rPr>
        <w:t xml:space="preserve">（二）投标函附录   </w:t>
      </w:r>
    </w:p>
    <w:tbl>
      <w:tblPr>
        <w:tblStyle w:val="15"/>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2085"/>
        <w:gridCol w:w="736"/>
        <w:gridCol w:w="1350"/>
        <w:gridCol w:w="78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2380" w:type="dxa"/>
            <w:vAlign w:val="center"/>
          </w:tcPr>
          <w:p>
            <w:pPr>
              <w:jc w:val="center"/>
              <w:rPr>
                <w:rFonts w:hint="eastAsia" w:ascii="新宋体" w:eastAsia="宋体"/>
                <w:sz w:val="21"/>
                <w:szCs w:val="21"/>
                <w:lang w:val="en-US" w:eastAsia="zh-CN"/>
              </w:rPr>
            </w:pPr>
            <w:r>
              <w:rPr>
                <w:rFonts w:hint="eastAsia" w:hAnsi="宋体" w:cs="宋体"/>
                <w:sz w:val="21"/>
                <w:szCs w:val="21"/>
              </w:rPr>
              <w:t>项目名称</w:t>
            </w:r>
            <w:bookmarkStart w:id="986" w:name="_GoBack"/>
            <w:bookmarkEnd w:id="986"/>
          </w:p>
        </w:tc>
        <w:tc>
          <w:tcPr>
            <w:tcW w:w="6860"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2380" w:type="dxa"/>
            <w:vAlign w:val="center"/>
          </w:tcPr>
          <w:p>
            <w:pPr>
              <w:jc w:val="center"/>
              <w:rPr>
                <w:rFonts w:ascii="新宋体" w:eastAsia="新宋体"/>
                <w:sz w:val="21"/>
                <w:szCs w:val="21"/>
              </w:rPr>
            </w:pPr>
            <w:r>
              <w:rPr>
                <w:rFonts w:hint="eastAsia" w:hAnsi="宋体" w:cs="宋体"/>
                <w:sz w:val="21"/>
                <w:szCs w:val="21"/>
              </w:rPr>
              <w:t>投标人</w:t>
            </w:r>
          </w:p>
        </w:tc>
        <w:tc>
          <w:tcPr>
            <w:tcW w:w="6860"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2380" w:type="dxa"/>
            <w:vAlign w:val="center"/>
          </w:tcPr>
          <w:p>
            <w:pPr>
              <w:jc w:val="center"/>
              <w:rPr>
                <w:rFonts w:hint="eastAsia" w:hAnsi="宋体" w:eastAsia="宋体" w:cs="宋体"/>
                <w:sz w:val="21"/>
                <w:szCs w:val="21"/>
                <w:lang w:val="en-US" w:eastAsia="zh-CN"/>
              </w:rPr>
            </w:pPr>
            <w:r>
              <w:rPr>
                <w:rFonts w:hint="eastAsia" w:hAnsi="宋体" w:cs="宋体"/>
                <w:sz w:val="21"/>
                <w:szCs w:val="21"/>
                <w:lang w:val="en-US" w:eastAsia="zh-CN"/>
              </w:rPr>
              <w:t>标段</w:t>
            </w:r>
          </w:p>
        </w:tc>
        <w:tc>
          <w:tcPr>
            <w:tcW w:w="6860"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380" w:type="dxa"/>
            <w:vAlign w:val="center"/>
          </w:tcPr>
          <w:p>
            <w:pPr>
              <w:jc w:val="center"/>
              <w:rPr>
                <w:rFonts w:ascii="新宋体" w:eastAsia="新宋体"/>
                <w:sz w:val="21"/>
                <w:szCs w:val="21"/>
              </w:rPr>
            </w:pPr>
            <w:r>
              <w:rPr>
                <w:rFonts w:hint="eastAsia" w:hAnsi="宋体" w:cs="宋体"/>
                <w:sz w:val="21"/>
                <w:szCs w:val="21"/>
              </w:rPr>
              <w:t>项目经理</w:t>
            </w:r>
          </w:p>
        </w:tc>
        <w:tc>
          <w:tcPr>
            <w:tcW w:w="2085" w:type="dxa"/>
            <w:vAlign w:val="center"/>
          </w:tcPr>
          <w:p>
            <w:pPr>
              <w:jc w:val="center"/>
              <w:rPr>
                <w:rFonts w:ascii="新宋体" w:eastAsia="新宋体"/>
                <w:sz w:val="21"/>
                <w:szCs w:val="21"/>
              </w:rPr>
            </w:pPr>
          </w:p>
        </w:tc>
        <w:tc>
          <w:tcPr>
            <w:tcW w:w="736" w:type="dxa"/>
            <w:vAlign w:val="center"/>
          </w:tcPr>
          <w:p>
            <w:pPr>
              <w:jc w:val="center"/>
              <w:rPr>
                <w:rFonts w:ascii="新宋体" w:eastAsia="新宋体"/>
                <w:sz w:val="21"/>
                <w:szCs w:val="21"/>
              </w:rPr>
            </w:pPr>
            <w:r>
              <w:rPr>
                <w:rFonts w:hint="eastAsia" w:hAnsi="宋体" w:cs="宋体"/>
                <w:sz w:val="21"/>
                <w:szCs w:val="21"/>
              </w:rPr>
              <w:t>级别</w:t>
            </w:r>
          </w:p>
        </w:tc>
        <w:tc>
          <w:tcPr>
            <w:tcW w:w="1350" w:type="dxa"/>
            <w:vAlign w:val="center"/>
          </w:tcPr>
          <w:p>
            <w:pPr>
              <w:jc w:val="center"/>
              <w:rPr>
                <w:rFonts w:ascii="新宋体" w:eastAsia="新宋体"/>
                <w:sz w:val="21"/>
                <w:szCs w:val="21"/>
              </w:rPr>
            </w:pPr>
          </w:p>
        </w:tc>
        <w:tc>
          <w:tcPr>
            <w:tcW w:w="788" w:type="dxa"/>
            <w:vAlign w:val="center"/>
          </w:tcPr>
          <w:p>
            <w:pPr>
              <w:jc w:val="center"/>
              <w:rPr>
                <w:rFonts w:ascii="新宋体" w:eastAsia="新宋体"/>
                <w:sz w:val="21"/>
                <w:szCs w:val="21"/>
              </w:rPr>
            </w:pPr>
            <w:r>
              <w:rPr>
                <w:rFonts w:hint="eastAsia" w:hAnsi="宋体" w:cs="宋体"/>
                <w:sz w:val="21"/>
                <w:szCs w:val="21"/>
              </w:rPr>
              <w:t>证书编号</w:t>
            </w:r>
          </w:p>
        </w:tc>
        <w:tc>
          <w:tcPr>
            <w:tcW w:w="1901"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380" w:type="dxa"/>
            <w:vAlign w:val="center"/>
          </w:tcPr>
          <w:p>
            <w:pPr>
              <w:jc w:val="center"/>
              <w:rPr>
                <w:rFonts w:ascii="新宋体" w:eastAsia="新宋体"/>
                <w:sz w:val="21"/>
                <w:szCs w:val="21"/>
              </w:rPr>
            </w:pPr>
            <w:r>
              <w:rPr>
                <w:rFonts w:hint="eastAsia" w:hAnsi="宋体" w:cs="宋体"/>
                <w:sz w:val="21"/>
                <w:szCs w:val="21"/>
              </w:rPr>
              <w:t>技术负责人</w:t>
            </w:r>
          </w:p>
        </w:tc>
        <w:tc>
          <w:tcPr>
            <w:tcW w:w="2085" w:type="dxa"/>
            <w:vAlign w:val="center"/>
          </w:tcPr>
          <w:p>
            <w:pPr>
              <w:jc w:val="center"/>
              <w:rPr>
                <w:rFonts w:ascii="新宋体" w:eastAsia="新宋体"/>
                <w:sz w:val="21"/>
                <w:szCs w:val="21"/>
              </w:rPr>
            </w:pPr>
          </w:p>
        </w:tc>
        <w:tc>
          <w:tcPr>
            <w:tcW w:w="736" w:type="dxa"/>
            <w:vAlign w:val="center"/>
          </w:tcPr>
          <w:p>
            <w:pPr>
              <w:jc w:val="center"/>
              <w:rPr>
                <w:rFonts w:ascii="新宋体" w:eastAsia="新宋体"/>
                <w:sz w:val="21"/>
                <w:szCs w:val="21"/>
              </w:rPr>
            </w:pPr>
            <w:r>
              <w:rPr>
                <w:rFonts w:hint="eastAsia" w:hAnsi="宋体" w:cs="宋体"/>
                <w:sz w:val="21"/>
                <w:szCs w:val="21"/>
              </w:rPr>
              <w:t>级别</w:t>
            </w:r>
          </w:p>
        </w:tc>
        <w:tc>
          <w:tcPr>
            <w:tcW w:w="1350" w:type="dxa"/>
            <w:vAlign w:val="center"/>
          </w:tcPr>
          <w:p>
            <w:pPr>
              <w:jc w:val="center"/>
              <w:rPr>
                <w:rFonts w:ascii="新宋体" w:eastAsia="新宋体"/>
                <w:sz w:val="21"/>
                <w:szCs w:val="21"/>
              </w:rPr>
            </w:pPr>
          </w:p>
        </w:tc>
        <w:tc>
          <w:tcPr>
            <w:tcW w:w="788" w:type="dxa"/>
            <w:vAlign w:val="center"/>
          </w:tcPr>
          <w:p>
            <w:pPr>
              <w:jc w:val="center"/>
              <w:rPr>
                <w:rFonts w:ascii="新宋体" w:eastAsia="新宋体"/>
                <w:sz w:val="21"/>
                <w:szCs w:val="21"/>
              </w:rPr>
            </w:pPr>
            <w:r>
              <w:rPr>
                <w:rFonts w:hint="eastAsia" w:hAnsi="宋体" w:cs="宋体"/>
                <w:sz w:val="21"/>
                <w:szCs w:val="21"/>
              </w:rPr>
              <w:t>证书编号</w:t>
            </w:r>
          </w:p>
        </w:tc>
        <w:tc>
          <w:tcPr>
            <w:tcW w:w="1901"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2380" w:type="dxa"/>
            <w:vAlign w:val="center"/>
          </w:tcPr>
          <w:p>
            <w:pPr>
              <w:jc w:val="center"/>
              <w:rPr>
                <w:rFonts w:ascii="新宋体" w:eastAsia="新宋体"/>
                <w:sz w:val="21"/>
                <w:szCs w:val="21"/>
              </w:rPr>
            </w:pPr>
            <w:r>
              <w:rPr>
                <w:rFonts w:hint="eastAsia" w:hAnsi="宋体" w:cs="宋体"/>
                <w:sz w:val="21"/>
                <w:szCs w:val="21"/>
              </w:rPr>
              <w:t>投标报价</w:t>
            </w:r>
          </w:p>
        </w:tc>
        <w:tc>
          <w:tcPr>
            <w:tcW w:w="4171" w:type="dxa"/>
            <w:gridSpan w:val="3"/>
            <w:vAlign w:val="center"/>
          </w:tcPr>
          <w:p>
            <w:pPr>
              <w:rPr>
                <w:rFonts w:ascii="新宋体" w:eastAsia="新宋体"/>
                <w:sz w:val="21"/>
                <w:szCs w:val="21"/>
              </w:rPr>
            </w:pPr>
            <w:r>
              <w:rPr>
                <w:rFonts w:hint="eastAsia" w:hAnsi="宋体" w:cs="宋体"/>
                <w:sz w:val="21"/>
                <w:szCs w:val="21"/>
              </w:rPr>
              <w:t>（大写）</w:t>
            </w:r>
          </w:p>
        </w:tc>
        <w:tc>
          <w:tcPr>
            <w:tcW w:w="2689" w:type="dxa"/>
            <w:gridSpan w:val="2"/>
            <w:vAlign w:val="center"/>
          </w:tcPr>
          <w:p>
            <w:pPr>
              <w:rPr>
                <w:rFonts w:ascii="新宋体" w:eastAsia="新宋体"/>
                <w:sz w:val="21"/>
                <w:szCs w:val="21"/>
              </w:rPr>
            </w:pPr>
            <w:r>
              <w:rPr>
                <w:rFonts w:hint="eastAsia" w:hAnsi="宋体" w:cs="宋体"/>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380" w:type="dxa"/>
            <w:vAlign w:val="center"/>
          </w:tcPr>
          <w:p>
            <w:pPr>
              <w:jc w:val="center"/>
              <w:rPr>
                <w:rFonts w:ascii="新宋体" w:eastAsia="新宋体"/>
                <w:sz w:val="21"/>
                <w:szCs w:val="21"/>
              </w:rPr>
            </w:pPr>
            <w:r>
              <w:rPr>
                <w:rFonts w:hint="eastAsia" w:hAnsi="宋体" w:cs="宋体"/>
                <w:sz w:val="21"/>
                <w:szCs w:val="21"/>
              </w:rPr>
              <w:t>投标质量</w:t>
            </w:r>
          </w:p>
        </w:tc>
        <w:tc>
          <w:tcPr>
            <w:tcW w:w="6860"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2380" w:type="dxa"/>
            <w:vAlign w:val="center"/>
          </w:tcPr>
          <w:p>
            <w:pPr>
              <w:jc w:val="center"/>
              <w:rPr>
                <w:rFonts w:ascii="新宋体" w:eastAsia="新宋体"/>
                <w:sz w:val="21"/>
                <w:szCs w:val="21"/>
              </w:rPr>
            </w:pPr>
            <w:r>
              <w:rPr>
                <w:rFonts w:hint="eastAsia" w:hAnsi="宋体" w:cs="宋体"/>
                <w:sz w:val="21"/>
                <w:szCs w:val="21"/>
              </w:rPr>
              <w:t>投标工期</w:t>
            </w:r>
          </w:p>
        </w:tc>
        <w:tc>
          <w:tcPr>
            <w:tcW w:w="6860" w:type="dxa"/>
            <w:gridSpan w:val="5"/>
            <w:vAlign w:val="center"/>
          </w:tcPr>
          <w:p>
            <w:pPr>
              <w:jc w:val="center"/>
              <w:rPr>
                <w:rFonts w:ascii="新宋体" w:eastAsia="新宋体"/>
                <w:sz w:val="21"/>
                <w:szCs w:val="21"/>
              </w:rPr>
            </w:pPr>
            <w:r>
              <w:rPr>
                <w:rFonts w:hint="eastAsia" w:hAnsi="宋体" w:cs="宋体"/>
                <w:sz w:val="21"/>
                <w:szCs w:val="21"/>
                <w:u w:val="single"/>
                <w:lang w:val="en-US" w:eastAsia="zh-CN"/>
              </w:rPr>
              <w:t xml:space="preserve">               </w:t>
            </w:r>
            <w:r>
              <w:rPr>
                <w:rFonts w:hint="eastAsia" w:hAnsi="宋体" w:cs="宋体"/>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2380" w:type="dxa"/>
            <w:vAlign w:val="center"/>
          </w:tcPr>
          <w:p>
            <w:pPr>
              <w:jc w:val="center"/>
              <w:rPr>
                <w:rFonts w:ascii="新宋体" w:eastAsia="新宋体"/>
                <w:sz w:val="21"/>
                <w:szCs w:val="21"/>
              </w:rPr>
            </w:pPr>
            <w:r>
              <w:rPr>
                <w:rFonts w:hint="eastAsia" w:hAnsi="宋体" w:cs="宋体"/>
                <w:sz w:val="21"/>
                <w:szCs w:val="21"/>
              </w:rPr>
              <w:t>投标有效期</w:t>
            </w:r>
          </w:p>
        </w:tc>
        <w:tc>
          <w:tcPr>
            <w:tcW w:w="6860"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jc w:val="center"/>
        </w:trPr>
        <w:tc>
          <w:tcPr>
            <w:tcW w:w="9240" w:type="dxa"/>
            <w:gridSpan w:val="6"/>
          </w:tcPr>
          <w:p>
            <w:pPr>
              <w:rPr>
                <w:rFonts w:hAnsi="宋体" w:cs="宋体"/>
                <w:sz w:val="21"/>
                <w:szCs w:val="21"/>
              </w:rPr>
            </w:pPr>
            <w:r>
              <w:rPr>
                <w:rFonts w:hint="eastAsia" w:hAnsi="宋体" w:cs="宋体"/>
                <w:sz w:val="21"/>
                <w:szCs w:val="21"/>
              </w:rPr>
              <w:t>备注：</w:t>
            </w:r>
          </w:p>
          <w:p>
            <w:pPr>
              <w:rPr>
                <w:rFonts w:hAnsi="宋体" w:cs="宋体"/>
                <w:sz w:val="21"/>
                <w:szCs w:val="21"/>
              </w:rPr>
            </w:pPr>
          </w:p>
          <w:p>
            <w:pPr>
              <w:rPr>
                <w:rFonts w:hAnsi="宋体" w:cs="宋体"/>
                <w:sz w:val="21"/>
                <w:szCs w:val="21"/>
              </w:rPr>
            </w:pPr>
          </w:p>
          <w:p>
            <w:pPr>
              <w:rPr>
                <w:rFonts w:hAnsi="宋体" w:cs="宋体"/>
                <w:sz w:val="21"/>
                <w:szCs w:val="21"/>
              </w:rPr>
            </w:pPr>
          </w:p>
          <w:p>
            <w:pPr>
              <w:rPr>
                <w:rFonts w:hAnsi="宋体" w:cs="宋体"/>
                <w:sz w:val="21"/>
                <w:szCs w:val="21"/>
              </w:rPr>
            </w:pPr>
          </w:p>
          <w:p>
            <w:pPr>
              <w:pStyle w:val="14"/>
              <w:spacing w:line="360" w:lineRule="atLeast"/>
              <w:rPr>
                <w:rFonts w:ascii="新宋体" w:eastAsia="新宋体"/>
                <w:kern w:val="2"/>
                <w:sz w:val="21"/>
                <w:szCs w:val="21"/>
              </w:rPr>
            </w:pPr>
          </w:p>
        </w:tc>
      </w:tr>
    </w:tbl>
    <w:p>
      <w:pPr>
        <w:spacing w:line="360" w:lineRule="auto"/>
        <w:ind w:firstLine="4200" w:firstLineChars="2000"/>
        <w:jc w:val="left"/>
        <w:rPr>
          <w:rFonts w:ascii="宋体" w:hAnsi="宋体"/>
          <w:color w:val="000000"/>
          <w:sz w:val="21"/>
          <w:szCs w:val="21"/>
        </w:rPr>
      </w:pPr>
    </w:p>
    <w:p>
      <w:pPr>
        <w:spacing w:line="360" w:lineRule="auto"/>
        <w:ind w:firstLine="4200" w:firstLineChars="2000"/>
        <w:jc w:val="left"/>
        <w:rPr>
          <w:rFonts w:ascii="宋体" w:hAnsi="宋体"/>
          <w:color w:val="000000"/>
          <w:sz w:val="21"/>
          <w:szCs w:val="21"/>
          <w:u w:val="single"/>
        </w:rPr>
      </w:pPr>
      <w:r>
        <w:rPr>
          <w:rFonts w:hint="eastAsia" w:ascii="宋体" w:hAnsi="宋体"/>
          <w:color w:val="000000"/>
          <w:sz w:val="21"/>
          <w:szCs w:val="21"/>
        </w:rPr>
        <w:t>投标人名称(加盖单位公章)：</w:t>
      </w:r>
      <w:r>
        <w:rPr>
          <w:rFonts w:hint="eastAsia" w:hAnsi="宋体" w:cs="宋体"/>
          <w:sz w:val="21"/>
          <w:szCs w:val="21"/>
          <w:u w:val="single"/>
          <w:lang w:val="en-US" w:eastAsia="zh-CN"/>
        </w:rPr>
        <w:t xml:space="preserve">               </w:t>
      </w:r>
    </w:p>
    <w:p>
      <w:pPr>
        <w:spacing w:line="360" w:lineRule="auto"/>
        <w:ind w:firstLine="4200" w:firstLineChars="2000"/>
        <w:jc w:val="left"/>
        <w:rPr>
          <w:rFonts w:ascii="宋体" w:hAnsi="宋体"/>
          <w:color w:val="000000"/>
          <w:sz w:val="21"/>
          <w:szCs w:val="21"/>
          <w:u w:val="single"/>
        </w:rPr>
      </w:pPr>
      <w:r>
        <w:rPr>
          <w:rFonts w:hint="eastAsia" w:ascii="宋体" w:hAnsi="宋体"/>
          <w:color w:val="000000"/>
          <w:sz w:val="21"/>
          <w:szCs w:val="21"/>
        </w:rPr>
        <w:t>法定代表人或委托代理人(签字)：</w:t>
      </w:r>
      <w:r>
        <w:rPr>
          <w:rFonts w:hint="eastAsia" w:hAnsi="宋体" w:cs="宋体"/>
          <w:sz w:val="21"/>
          <w:szCs w:val="21"/>
          <w:u w:val="single"/>
          <w:lang w:val="en-US" w:eastAsia="zh-CN"/>
        </w:rPr>
        <w:t xml:space="preserve">               </w:t>
      </w:r>
    </w:p>
    <w:p>
      <w:pPr>
        <w:spacing w:line="360" w:lineRule="auto"/>
        <w:ind w:firstLine="6510" w:firstLineChars="3100"/>
        <w:jc w:val="left"/>
        <w:rPr>
          <w:rFonts w:ascii="宋体" w:hAnsi="宋体"/>
          <w:color w:val="000000"/>
          <w:sz w:val="21"/>
          <w:szCs w:val="21"/>
        </w:rPr>
      </w:pPr>
      <w:r>
        <w:rPr>
          <w:rFonts w:hint="eastAsia" w:ascii="宋体" w:hAnsi="宋体"/>
          <w:color w:val="000000"/>
          <w:sz w:val="21"/>
          <w:szCs w:val="21"/>
        </w:rPr>
        <w:t>年</w:t>
      </w:r>
      <w:r>
        <w:rPr>
          <w:rFonts w:hint="eastAsia" w:ascii="宋体" w:hAnsi="宋体"/>
          <w:color w:val="000000"/>
          <w:sz w:val="21"/>
          <w:szCs w:val="21"/>
          <w:lang w:val="en-US" w:eastAsia="zh-CN"/>
        </w:rPr>
        <w:t xml:space="preserve">   </w:t>
      </w:r>
      <w:r>
        <w:rPr>
          <w:rFonts w:hint="eastAsia" w:ascii="宋体" w:hAnsi="宋体"/>
          <w:color w:val="000000"/>
          <w:sz w:val="21"/>
          <w:szCs w:val="21"/>
        </w:rPr>
        <w:t>月</w:t>
      </w:r>
      <w:r>
        <w:rPr>
          <w:rFonts w:hint="eastAsia" w:ascii="宋体" w:hAnsi="宋体"/>
          <w:color w:val="000000"/>
          <w:sz w:val="21"/>
          <w:szCs w:val="21"/>
          <w:lang w:val="en-US" w:eastAsia="zh-CN"/>
        </w:rPr>
        <w:t xml:space="preserve">    </w:t>
      </w:r>
      <w:r>
        <w:rPr>
          <w:rFonts w:hint="eastAsia" w:ascii="宋体" w:hAnsi="宋体"/>
          <w:color w:val="000000"/>
          <w:sz w:val="21"/>
          <w:szCs w:val="21"/>
        </w:rPr>
        <w:t>日</w:t>
      </w: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pgNumType w:fmt="decimal"/>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889" w:name="_Toc283382026"/>
      <w:bookmarkEnd w:id="889"/>
      <w:bookmarkStart w:id="890" w:name="_Toc22240"/>
      <w:bookmarkEnd w:id="890"/>
      <w:bookmarkStart w:id="891" w:name="_Toc184635139"/>
      <w:bookmarkEnd w:id="891"/>
      <w:bookmarkStart w:id="892" w:name="_Toc13109"/>
      <w:bookmarkEnd w:id="892"/>
      <w:bookmarkStart w:id="893" w:name="_Toc365311689"/>
      <w:bookmarkEnd w:id="893"/>
      <w:bookmarkStart w:id="894" w:name="_Toc370458216"/>
      <w:bookmarkEnd w:id="894"/>
      <w:bookmarkStart w:id="895" w:name="_Toc2915"/>
      <w:bookmarkEnd w:id="895"/>
      <w:bookmarkStart w:id="896" w:name="_Toc16999"/>
      <w:bookmarkEnd w:id="896"/>
      <w:bookmarkStart w:id="897" w:name="_Toc503873710"/>
      <w:bookmarkStart w:id="898" w:name="_Toc20633"/>
      <w:bookmarkStart w:id="899" w:name="_Toc503433995"/>
      <w:r>
        <w:rPr>
          <w:rFonts w:hint="eastAsia" w:ascii="宋体" w:hAnsi="宋体"/>
          <w:b/>
          <w:bCs/>
          <w:color w:val="000000"/>
          <w:kern w:val="0"/>
          <w:sz w:val="32"/>
          <w:szCs w:val="32"/>
        </w:rPr>
        <w:t>二、法定代表人身份证明</w:t>
      </w:r>
      <w:bookmarkEnd w:id="897"/>
      <w:bookmarkEnd w:id="898"/>
      <w:bookmarkEnd w:id="899"/>
    </w:p>
    <w:p>
      <w:pPr>
        <w:spacing w:line="360" w:lineRule="auto"/>
        <w:rPr>
          <w:rFonts w:ascii="宋体" w:hAnsi="宋体"/>
          <w:color w:val="000000"/>
          <w:sz w:val="24"/>
          <w:szCs w:val="24"/>
        </w:rPr>
      </w:pPr>
    </w:p>
    <w:p>
      <w:pPr>
        <w:ind w:firstLine="420" w:firstLineChars="200"/>
      </w:pPr>
      <w:r>
        <w:rPr>
          <w:rFonts w:hint="eastAsia" w:ascii="宋体" w:hAnsi="宋体"/>
          <w:color w:val="000000"/>
        </w:rPr>
        <w:t>投标人名称：</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单位性质：</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地    址：</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成立时间：</w:t>
      </w:r>
      <w:r>
        <w:rPr>
          <w:rFonts w:hint="eastAsia" w:hAnsi="宋体" w:cs="宋体"/>
          <w:sz w:val="24"/>
          <w:u w:val="single"/>
          <w:lang w:val="en-US" w:eastAsia="zh-CN"/>
        </w:rPr>
        <w:t xml:space="preserve">           </w:t>
      </w:r>
      <w:r>
        <w:rPr>
          <w:rFonts w:hint="eastAsia" w:ascii="宋体" w:hAnsi="宋体"/>
          <w:color w:val="000000"/>
        </w:rPr>
        <w:t>年</w:t>
      </w:r>
      <w:r>
        <w:rPr>
          <w:rFonts w:hint="eastAsia" w:hAnsi="宋体" w:cs="宋体"/>
          <w:sz w:val="24"/>
          <w:u w:val="single"/>
          <w:lang w:val="en-US" w:eastAsia="zh-CN"/>
        </w:rPr>
        <w:t xml:space="preserve">        </w:t>
      </w:r>
      <w:r>
        <w:rPr>
          <w:rFonts w:hint="eastAsia" w:ascii="宋体" w:hAnsi="宋体"/>
          <w:color w:val="000000"/>
        </w:rPr>
        <w:t>月</w:t>
      </w:r>
      <w:r>
        <w:rPr>
          <w:rFonts w:hint="eastAsia" w:hAnsi="宋体" w:cs="宋体"/>
          <w:sz w:val="24"/>
          <w:u w:val="single"/>
          <w:lang w:val="en-US" w:eastAsia="zh-CN"/>
        </w:rPr>
        <w:t xml:space="preserve">        </w:t>
      </w:r>
      <w:r>
        <w:rPr>
          <w:rFonts w:hint="eastAsia" w:ascii="宋体" w:hAnsi="宋体"/>
          <w:color w:val="000000"/>
        </w:rPr>
        <w:t>日</w:t>
      </w:r>
    </w:p>
    <w:p>
      <w:pPr>
        <w:spacing w:line="360" w:lineRule="auto"/>
        <w:ind w:firstLine="420" w:firstLineChars="200"/>
        <w:rPr>
          <w:rFonts w:ascii="宋体" w:hAnsi="宋体"/>
          <w:b/>
          <w:color w:val="000000"/>
        </w:rPr>
      </w:pPr>
      <w:r>
        <w:rPr>
          <w:rFonts w:hint="eastAsia" w:ascii="宋体" w:hAnsi="宋体"/>
          <w:color w:val="000000"/>
        </w:rPr>
        <w:t>经营期限：</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姓    名：</w:t>
      </w:r>
      <w:r>
        <w:rPr>
          <w:rFonts w:hint="eastAsia" w:hAnsi="宋体" w:cs="宋体"/>
          <w:sz w:val="24"/>
          <w:u w:val="single"/>
          <w:lang w:val="en-US" w:eastAsia="zh-CN"/>
        </w:rPr>
        <w:t xml:space="preserve">           </w:t>
      </w:r>
      <w:r>
        <w:rPr>
          <w:rFonts w:hint="eastAsia" w:ascii="宋体" w:hAnsi="宋体"/>
          <w:color w:val="000000"/>
        </w:rPr>
        <w:t>性别：</w:t>
      </w:r>
      <w:r>
        <w:rPr>
          <w:rFonts w:hint="eastAsia" w:hAnsi="宋体" w:cs="宋体"/>
          <w:sz w:val="24"/>
          <w:u w:val="single"/>
          <w:lang w:val="en-US" w:eastAsia="zh-CN"/>
        </w:rPr>
        <w:t xml:space="preserve">        </w:t>
      </w:r>
      <w:r>
        <w:rPr>
          <w:rFonts w:hint="eastAsia" w:ascii="宋体" w:hAnsi="宋体"/>
          <w:color w:val="000000"/>
        </w:rPr>
        <w:t>年龄：</w:t>
      </w:r>
      <w:r>
        <w:rPr>
          <w:rFonts w:hint="eastAsia" w:hAnsi="宋体" w:cs="宋体"/>
          <w:sz w:val="24"/>
          <w:u w:val="single"/>
          <w:lang w:val="en-US" w:eastAsia="zh-CN"/>
        </w:rPr>
        <w:t xml:space="preserve">       </w:t>
      </w:r>
      <w:r>
        <w:rPr>
          <w:rFonts w:hint="eastAsia" w:ascii="宋体" w:hAnsi="宋体"/>
          <w:color w:val="000000"/>
        </w:rPr>
        <w:t>职务：</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系</w:t>
      </w:r>
      <w:r>
        <w:rPr>
          <w:rFonts w:hint="eastAsia" w:hAnsi="宋体" w:cs="宋体"/>
          <w:sz w:val="24"/>
          <w:u w:val="single"/>
          <w:lang w:val="en-US" w:eastAsia="zh-CN"/>
        </w:rPr>
        <w:t xml:space="preserve">               </w:t>
      </w:r>
      <w:r>
        <w:rPr>
          <w:rFonts w:hint="eastAsia" w:ascii="宋体" w:hAnsi="宋体"/>
          <w:color w:val="000000"/>
        </w:rPr>
        <w:t>（投标人名称）的法定代表人。</w:t>
      </w:r>
    </w:p>
    <w:p>
      <w:pPr>
        <w:spacing w:line="360" w:lineRule="auto"/>
        <w:ind w:firstLine="840" w:firstLineChars="400"/>
        <w:rPr>
          <w:rFonts w:ascii="宋体" w:hAnsi="宋体"/>
          <w:color w:val="000000"/>
        </w:rPr>
      </w:pPr>
      <w:r>
        <w:rPr>
          <w:rFonts w:hint="eastAsia" w:ascii="宋体" w:hAnsi="宋体"/>
          <w:color w:val="000000"/>
        </w:rPr>
        <w:t>特此证明。</w:t>
      </w:r>
    </w:p>
    <w:p>
      <w:pPr>
        <w:spacing w:line="360" w:lineRule="auto"/>
        <w:ind w:firstLine="420" w:firstLineChars="200"/>
        <w:rPr>
          <w:rFonts w:ascii="宋体" w:hAnsi="宋体"/>
          <w:color w:val="000000"/>
        </w:rPr>
      </w:pPr>
    </w:p>
    <w:p>
      <w:pPr>
        <w:spacing w:line="360" w:lineRule="auto"/>
        <w:ind w:firstLine="420" w:firstLineChars="200"/>
        <w:rPr>
          <w:rFonts w:ascii="宋体" w:hAnsi="宋体"/>
          <w:color w:val="000000"/>
        </w:rPr>
      </w:pPr>
    </w:p>
    <w:p>
      <w:pPr>
        <w:spacing w:line="360" w:lineRule="auto"/>
        <w:ind w:firstLine="420" w:firstLineChars="200"/>
        <w:rPr>
          <w:rFonts w:ascii="宋体" w:hAnsi="宋体"/>
          <w:color w:val="000000"/>
        </w:rPr>
      </w:pPr>
    </w:p>
    <w:p>
      <w:pPr>
        <w:spacing w:line="360" w:lineRule="auto"/>
        <w:ind w:firstLine="3990" w:firstLineChars="1900"/>
        <w:rPr>
          <w:rFonts w:ascii="宋体" w:hAnsi="宋体"/>
          <w:color w:val="000000"/>
        </w:rPr>
      </w:pPr>
      <w:r>
        <w:rPr>
          <w:rFonts w:hint="eastAsia" w:ascii="宋体" w:hAnsi="宋体"/>
          <w:color w:val="000000"/>
        </w:rPr>
        <w:t>投标人：（加盖单位公章）</w:t>
      </w:r>
    </w:p>
    <w:p>
      <w:pPr>
        <w:spacing w:line="360" w:lineRule="auto"/>
        <w:ind w:firstLine="4515" w:firstLineChars="2150"/>
        <w:rPr>
          <w:rFonts w:ascii="宋体" w:hAnsi="宋体"/>
          <w:color w:val="000000"/>
          <w:u w:val="single"/>
        </w:rPr>
      </w:pPr>
    </w:p>
    <w:p>
      <w:pPr>
        <w:spacing w:line="360" w:lineRule="auto"/>
        <w:ind w:firstLine="5880" w:firstLineChars="2800"/>
        <w:rPr>
          <w:rFonts w:ascii="宋体" w:hAnsi="宋体"/>
          <w:color w:val="000000"/>
        </w:rPr>
      </w:pPr>
      <w:r>
        <w:rPr>
          <w:rFonts w:hint="eastAsia" w:ascii="宋体" w:hAnsi="宋体"/>
          <w:color w:val="000000"/>
        </w:rPr>
        <w:t>年</w:t>
      </w:r>
      <w:r>
        <w:rPr>
          <w:rFonts w:hint="eastAsia" w:ascii="宋体" w:hAnsi="宋体"/>
          <w:color w:val="000000"/>
          <w:lang w:val="en-US" w:eastAsia="zh-CN"/>
        </w:rPr>
        <w:t xml:space="preserve">     </w:t>
      </w:r>
      <w:r>
        <w:rPr>
          <w:rFonts w:hint="eastAsia" w:ascii="宋体" w:hAnsi="宋体"/>
          <w:color w:val="000000"/>
        </w:rPr>
        <w:t>月</w:t>
      </w:r>
      <w:r>
        <w:rPr>
          <w:rFonts w:hint="eastAsia" w:ascii="宋体" w:hAnsi="宋体"/>
          <w:color w:val="000000"/>
          <w:lang w:val="en-US" w:eastAsia="zh-CN"/>
        </w:rPr>
        <w:t xml:space="preserve">   </w:t>
      </w:r>
      <w:r>
        <w:rPr>
          <w:rFonts w:hint="eastAsia" w:ascii="宋体" w:hAnsi="宋体"/>
          <w:color w:val="000000"/>
        </w:rPr>
        <w:t>日</w:t>
      </w: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pgNumType w:fmt="decimal"/>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900" w:name="_Toc8395"/>
      <w:bookmarkEnd w:id="900"/>
      <w:bookmarkStart w:id="901" w:name="_Toc184635140"/>
      <w:bookmarkEnd w:id="901"/>
      <w:bookmarkStart w:id="902" w:name="_Toc6108"/>
      <w:bookmarkEnd w:id="902"/>
      <w:bookmarkStart w:id="903" w:name="_Toc283382027"/>
      <w:bookmarkEnd w:id="903"/>
      <w:bookmarkStart w:id="904" w:name="_Toc15754"/>
      <w:bookmarkEnd w:id="904"/>
      <w:bookmarkStart w:id="905" w:name="_Toc365311690"/>
      <w:bookmarkEnd w:id="905"/>
      <w:bookmarkStart w:id="906" w:name="_Toc370458217"/>
      <w:bookmarkEnd w:id="906"/>
      <w:bookmarkStart w:id="907" w:name="_Toc29748"/>
      <w:bookmarkEnd w:id="907"/>
      <w:bookmarkStart w:id="908" w:name="_Toc29800"/>
      <w:bookmarkStart w:id="909" w:name="_Toc503433996"/>
      <w:bookmarkStart w:id="910" w:name="_Toc503873711"/>
      <w:r>
        <w:rPr>
          <w:rFonts w:hint="eastAsia" w:ascii="宋体" w:hAnsi="宋体"/>
          <w:b/>
          <w:bCs/>
          <w:color w:val="000000"/>
          <w:kern w:val="0"/>
          <w:sz w:val="32"/>
          <w:szCs w:val="32"/>
        </w:rPr>
        <w:t>三、授权委托书</w:t>
      </w:r>
      <w:bookmarkEnd w:id="908"/>
      <w:bookmarkEnd w:id="909"/>
      <w:bookmarkEnd w:id="910"/>
    </w:p>
    <w:p>
      <w:pPr>
        <w:spacing w:line="360" w:lineRule="auto"/>
        <w:rPr>
          <w:rFonts w:ascii="宋体" w:hAnsi="宋体"/>
          <w:color w:val="000000"/>
          <w:sz w:val="24"/>
          <w:szCs w:val="24"/>
        </w:rPr>
      </w:pPr>
    </w:p>
    <w:p>
      <w:pPr>
        <w:spacing w:line="360" w:lineRule="auto"/>
        <w:ind w:firstLine="420" w:firstLineChars="200"/>
        <w:jc w:val="left"/>
        <w:rPr>
          <w:rFonts w:ascii="宋体" w:hAnsi="宋体"/>
          <w:color w:val="000000"/>
          <w:sz w:val="21"/>
          <w:szCs w:val="21"/>
        </w:rPr>
      </w:pPr>
      <w:r>
        <w:rPr>
          <w:rFonts w:hint="eastAsia" w:ascii="宋体" w:hAnsi="宋体"/>
          <w:color w:val="000000"/>
          <w:sz w:val="21"/>
          <w:szCs w:val="21"/>
        </w:rPr>
        <w:t>本人</w:t>
      </w:r>
      <w:r>
        <w:rPr>
          <w:rFonts w:hint="eastAsia" w:hAnsi="宋体" w:cs="宋体"/>
          <w:sz w:val="21"/>
          <w:szCs w:val="21"/>
          <w:u w:val="single"/>
          <w:lang w:val="en-US" w:eastAsia="zh-CN"/>
        </w:rPr>
        <w:t xml:space="preserve">       </w:t>
      </w:r>
      <w:r>
        <w:rPr>
          <w:rFonts w:hint="eastAsia" w:ascii="宋体" w:hAnsi="宋体"/>
          <w:color w:val="000000"/>
          <w:sz w:val="21"/>
          <w:szCs w:val="21"/>
        </w:rPr>
        <w:t>（姓名）系</w:t>
      </w:r>
      <w:r>
        <w:rPr>
          <w:rFonts w:hint="eastAsia" w:hAnsi="宋体" w:cs="宋体"/>
          <w:sz w:val="21"/>
          <w:szCs w:val="21"/>
          <w:u w:val="single"/>
          <w:lang w:val="en-US" w:eastAsia="zh-CN"/>
        </w:rPr>
        <w:t xml:space="preserve">           </w:t>
      </w:r>
      <w:r>
        <w:rPr>
          <w:rFonts w:hint="eastAsia" w:ascii="宋体" w:hAnsi="宋体"/>
          <w:color w:val="000000"/>
          <w:sz w:val="21"/>
          <w:szCs w:val="21"/>
        </w:rPr>
        <w:t>（投标人名称）的法定代表人，现委托</w:t>
      </w:r>
      <w:r>
        <w:rPr>
          <w:rFonts w:hint="eastAsia" w:hAnsi="宋体" w:cs="宋体"/>
          <w:sz w:val="21"/>
          <w:szCs w:val="21"/>
          <w:u w:val="single"/>
          <w:lang w:val="en-US" w:eastAsia="zh-CN"/>
        </w:rPr>
        <w:t xml:space="preserve">     </w:t>
      </w:r>
      <w:r>
        <w:rPr>
          <w:rFonts w:hint="eastAsia" w:ascii="宋体" w:hAnsi="宋体"/>
          <w:color w:val="000000"/>
          <w:sz w:val="21"/>
          <w:szCs w:val="21"/>
        </w:rPr>
        <w:t>（姓名）为我方代理人。代理人根据授权，以我方名义签署、澄清、说明、补正、递交、撤回、修改</w:t>
      </w:r>
      <w:r>
        <w:rPr>
          <w:rFonts w:hint="eastAsia" w:hAnsi="宋体" w:cs="宋体"/>
          <w:sz w:val="21"/>
          <w:szCs w:val="21"/>
          <w:u w:val="single"/>
          <w:lang w:val="en-US" w:eastAsia="zh-CN"/>
        </w:rPr>
        <w:t xml:space="preserve">       </w:t>
      </w:r>
      <w:r>
        <w:rPr>
          <w:rFonts w:hint="eastAsia" w:ascii="宋体" w:hAnsi="宋体"/>
          <w:b/>
          <w:bCs/>
          <w:color w:val="000000"/>
          <w:sz w:val="21"/>
          <w:szCs w:val="21"/>
        </w:rPr>
        <w:t>（项目名称</w:t>
      </w:r>
      <w:r>
        <w:rPr>
          <w:rFonts w:hint="eastAsia" w:ascii="宋体" w:hAnsi="宋体"/>
          <w:b/>
          <w:bCs/>
          <w:color w:val="000000"/>
          <w:sz w:val="21"/>
          <w:szCs w:val="21"/>
          <w:lang w:eastAsia="zh-CN"/>
        </w:rPr>
        <w:t>、</w:t>
      </w:r>
      <w:r>
        <w:rPr>
          <w:rFonts w:hint="eastAsia" w:ascii="宋体" w:hAnsi="宋体"/>
          <w:b/>
          <w:bCs/>
          <w:color w:val="000000"/>
          <w:sz w:val="21"/>
          <w:szCs w:val="21"/>
          <w:lang w:val="en-US" w:eastAsia="zh-CN"/>
        </w:rPr>
        <w:t>标段</w:t>
      </w:r>
      <w:r>
        <w:rPr>
          <w:rFonts w:hint="eastAsia" w:ascii="宋体" w:hAnsi="宋体"/>
          <w:b/>
          <w:bCs/>
          <w:color w:val="000000"/>
          <w:sz w:val="21"/>
          <w:szCs w:val="21"/>
        </w:rPr>
        <w:t>）</w:t>
      </w:r>
      <w:r>
        <w:rPr>
          <w:rFonts w:hint="eastAsia" w:ascii="宋体" w:hAnsi="宋体"/>
          <w:color w:val="000000"/>
          <w:sz w:val="21"/>
          <w:szCs w:val="21"/>
        </w:rPr>
        <w:t>投标文件、签订合同和处理有关事宜，其法律后果由我方承担。</w:t>
      </w:r>
    </w:p>
    <w:p>
      <w:pPr>
        <w:spacing w:line="360" w:lineRule="auto"/>
        <w:ind w:firstLine="420" w:firstLineChars="200"/>
        <w:rPr>
          <w:rFonts w:hint="default" w:ascii="宋体" w:hAnsi="宋体"/>
          <w:color w:val="000000"/>
          <w:sz w:val="21"/>
          <w:szCs w:val="21"/>
          <w:lang w:val="en-US"/>
        </w:rPr>
      </w:pPr>
      <w:r>
        <w:rPr>
          <w:rFonts w:hint="eastAsia" w:ascii="宋体" w:hAnsi="宋体"/>
          <w:color w:val="000000"/>
          <w:sz w:val="21"/>
          <w:szCs w:val="21"/>
        </w:rPr>
        <w:t>委托起止日期：</w:t>
      </w:r>
      <w:r>
        <w:rPr>
          <w:rFonts w:hint="eastAsia" w:hAnsi="宋体" w:cs="宋体"/>
          <w:sz w:val="21"/>
          <w:szCs w:val="21"/>
          <w:u w:val="single"/>
          <w:lang w:val="en-US" w:eastAsia="zh-CN"/>
        </w:rPr>
        <w:t xml:space="preserve">                   </w:t>
      </w:r>
    </w:p>
    <w:p>
      <w:pPr>
        <w:spacing w:line="360" w:lineRule="auto"/>
        <w:ind w:firstLine="420" w:firstLineChars="200"/>
        <w:rPr>
          <w:rFonts w:ascii="宋体" w:hAnsi="宋体"/>
          <w:color w:val="000000"/>
          <w:sz w:val="21"/>
          <w:szCs w:val="21"/>
        </w:rPr>
      </w:pPr>
      <w:r>
        <w:rPr>
          <w:rFonts w:hint="eastAsia" w:ascii="宋体" w:hAnsi="宋体"/>
          <w:color w:val="000000"/>
          <w:sz w:val="21"/>
          <w:szCs w:val="21"/>
        </w:rPr>
        <w:t>代理人无转委托权。</w:t>
      </w:r>
    </w:p>
    <w:p>
      <w:pPr>
        <w:spacing w:line="360" w:lineRule="auto"/>
        <w:ind w:firstLine="420" w:firstLineChars="200"/>
        <w:rPr>
          <w:rFonts w:ascii="宋体" w:hAnsi="宋体"/>
          <w:color w:val="000000"/>
          <w:sz w:val="21"/>
          <w:szCs w:val="21"/>
        </w:rPr>
      </w:pPr>
      <w:r>
        <w:rPr>
          <w:rFonts w:hint="eastAsia" w:ascii="宋体" w:hAnsi="宋体"/>
          <w:color w:val="000000"/>
          <w:sz w:val="21"/>
          <w:szCs w:val="21"/>
        </w:rPr>
        <w:t>附：法定代表人身份证明、委托代理人身份证</w:t>
      </w:r>
    </w:p>
    <w:p>
      <w:pPr>
        <w:spacing w:line="360" w:lineRule="auto"/>
        <w:ind w:firstLine="420" w:firstLineChars="200"/>
        <w:rPr>
          <w:rFonts w:ascii="宋体" w:hAnsi="宋体"/>
          <w:color w:val="000000"/>
          <w:sz w:val="21"/>
          <w:szCs w:val="21"/>
        </w:rPr>
      </w:pPr>
    </w:p>
    <w:p>
      <w:pPr>
        <w:spacing w:line="360" w:lineRule="auto"/>
        <w:ind w:firstLine="2520" w:firstLineChars="1200"/>
        <w:rPr>
          <w:rFonts w:ascii="宋体" w:hAnsi="宋体"/>
          <w:color w:val="000000"/>
          <w:sz w:val="21"/>
          <w:szCs w:val="21"/>
        </w:rPr>
      </w:pPr>
    </w:p>
    <w:p>
      <w:pPr>
        <w:spacing w:line="360" w:lineRule="auto"/>
        <w:ind w:firstLine="3700" w:firstLineChars="1762"/>
        <w:rPr>
          <w:rFonts w:ascii="宋体" w:hAnsi="宋体"/>
          <w:color w:val="000000"/>
          <w:sz w:val="21"/>
          <w:szCs w:val="21"/>
        </w:rPr>
      </w:pPr>
      <w:r>
        <w:rPr>
          <w:rFonts w:hint="eastAsia" w:ascii="宋体" w:hAnsi="宋体"/>
          <w:color w:val="000000"/>
          <w:sz w:val="21"/>
          <w:szCs w:val="21"/>
        </w:rPr>
        <w:t>投  标  人：</w:t>
      </w:r>
      <w:r>
        <w:rPr>
          <w:rFonts w:hint="eastAsia" w:hAnsi="宋体" w:cs="宋体"/>
          <w:sz w:val="21"/>
          <w:szCs w:val="21"/>
          <w:u w:val="single"/>
          <w:lang w:val="en-US" w:eastAsia="zh-CN"/>
        </w:rPr>
        <w:t xml:space="preserve">               </w:t>
      </w:r>
      <w:r>
        <w:rPr>
          <w:rFonts w:hint="eastAsia" w:ascii="宋体" w:hAnsi="宋体"/>
          <w:color w:val="000000"/>
          <w:sz w:val="21"/>
          <w:szCs w:val="21"/>
        </w:rPr>
        <w:t>（加盖单位公章）</w:t>
      </w:r>
    </w:p>
    <w:p>
      <w:pPr>
        <w:spacing w:line="360" w:lineRule="auto"/>
        <w:ind w:firstLine="3700" w:firstLineChars="1762"/>
        <w:rPr>
          <w:rFonts w:ascii="宋体" w:hAnsi="宋体"/>
          <w:color w:val="000000"/>
          <w:sz w:val="21"/>
          <w:szCs w:val="21"/>
        </w:rPr>
      </w:pPr>
      <w:r>
        <w:rPr>
          <w:rFonts w:hint="eastAsia" w:ascii="宋体" w:hAnsi="宋体"/>
          <w:color w:val="000000"/>
          <w:sz w:val="21"/>
          <w:szCs w:val="21"/>
        </w:rPr>
        <w:t>法定代表人：</w:t>
      </w:r>
      <w:r>
        <w:rPr>
          <w:rFonts w:hint="eastAsia" w:hAnsi="宋体" w:cs="宋体"/>
          <w:sz w:val="21"/>
          <w:szCs w:val="21"/>
          <w:u w:val="single"/>
          <w:lang w:val="en-US" w:eastAsia="zh-CN"/>
        </w:rPr>
        <w:t xml:space="preserve">               </w:t>
      </w:r>
      <w:r>
        <w:rPr>
          <w:rFonts w:hint="eastAsia" w:ascii="宋体" w:hAnsi="宋体"/>
          <w:color w:val="000000"/>
          <w:sz w:val="21"/>
          <w:szCs w:val="21"/>
        </w:rPr>
        <w:t>（签字）</w:t>
      </w:r>
    </w:p>
    <w:p>
      <w:pPr>
        <w:spacing w:line="360" w:lineRule="auto"/>
        <w:ind w:firstLine="3675" w:firstLineChars="1750"/>
        <w:rPr>
          <w:rFonts w:ascii="宋体" w:hAnsi="宋体"/>
          <w:color w:val="000000"/>
          <w:sz w:val="21"/>
          <w:szCs w:val="21"/>
        </w:rPr>
      </w:pPr>
      <w:r>
        <w:rPr>
          <w:rFonts w:hint="eastAsia" w:ascii="宋体" w:hAnsi="宋体"/>
          <w:color w:val="000000"/>
          <w:sz w:val="21"/>
          <w:szCs w:val="21"/>
        </w:rPr>
        <w:t>身份证号码：</w:t>
      </w:r>
      <w:r>
        <w:rPr>
          <w:rFonts w:hint="eastAsia" w:hAnsi="宋体" w:cs="宋体"/>
          <w:sz w:val="21"/>
          <w:szCs w:val="21"/>
          <w:u w:val="single"/>
          <w:lang w:val="en-US" w:eastAsia="zh-CN"/>
        </w:rPr>
        <w:t xml:space="preserve">               </w:t>
      </w:r>
    </w:p>
    <w:p>
      <w:pPr>
        <w:spacing w:line="360" w:lineRule="auto"/>
        <w:ind w:firstLine="3675" w:firstLineChars="1750"/>
        <w:rPr>
          <w:rFonts w:ascii="宋体" w:hAnsi="宋体"/>
          <w:color w:val="000000"/>
          <w:sz w:val="21"/>
          <w:szCs w:val="21"/>
        </w:rPr>
      </w:pPr>
      <w:r>
        <w:rPr>
          <w:rFonts w:hint="eastAsia" w:ascii="宋体" w:hAnsi="宋体"/>
          <w:color w:val="000000"/>
          <w:sz w:val="21"/>
          <w:szCs w:val="21"/>
        </w:rPr>
        <w:t>委托代理人：</w:t>
      </w:r>
      <w:r>
        <w:rPr>
          <w:rFonts w:hint="eastAsia" w:hAnsi="宋体" w:cs="宋体"/>
          <w:sz w:val="21"/>
          <w:szCs w:val="21"/>
          <w:u w:val="single"/>
          <w:lang w:val="en-US" w:eastAsia="zh-CN"/>
        </w:rPr>
        <w:t xml:space="preserve">               </w:t>
      </w:r>
      <w:r>
        <w:rPr>
          <w:rFonts w:hint="eastAsia" w:ascii="宋体" w:hAnsi="宋体"/>
          <w:color w:val="000000"/>
          <w:sz w:val="21"/>
          <w:szCs w:val="21"/>
        </w:rPr>
        <w:t>（签字）</w:t>
      </w:r>
    </w:p>
    <w:p>
      <w:pPr>
        <w:spacing w:line="360" w:lineRule="auto"/>
        <w:ind w:firstLine="3675" w:firstLineChars="1750"/>
        <w:rPr>
          <w:rFonts w:ascii="宋体" w:hAnsi="宋体"/>
          <w:color w:val="000000"/>
          <w:sz w:val="21"/>
          <w:szCs w:val="21"/>
        </w:rPr>
      </w:pPr>
      <w:r>
        <w:rPr>
          <w:rFonts w:hint="eastAsia" w:ascii="宋体" w:hAnsi="宋体"/>
          <w:color w:val="000000"/>
          <w:sz w:val="21"/>
          <w:szCs w:val="21"/>
        </w:rPr>
        <w:t>身份证号码：</w:t>
      </w:r>
      <w:r>
        <w:rPr>
          <w:rFonts w:hint="eastAsia" w:hAnsi="宋体" w:cs="宋体"/>
          <w:sz w:val="21"/>
          <w:szCs w:val="21"/>
          <w:u w:val="single"/>
          <w:lang w:val="en-US" w:eastAsia="zh-CN"/>
        </w:rPr>
        <w:t xml:space="preserve">               </w:t>
      </w:r>
    </w:p>
    <w:p>
      <w:pPr>
        <w:spacing w:line="360" w:lineRule="auto"/>
        <w:ind w:firstLine="3675" w:firstLineChars="1750"/>
        <w:rPr>
          <w:rFonts w:ascii="宋体" w:hAnsi="宋体"/>
          <w:color w:val="000000"/>
          <w:sz w:val="21"/>
          <w:szCs w:val="21"/>
          <w:u w:val="single"/>
        </w:rPr>
      </w:pPr>
    </w:p>
    <w:p>
      <w:pPr>
        <w:spacing w:line="360" w:lineRule="auto"/>
        <w:ind w:firstLine="6090" w:firstLineChars="2900"/>
        <w:rPr>
          <w:rFonts w:ascii="宋体" w:hAnsi="宋体"/>
          <w:color w:val="000000"/>
          <w:sz w:val="21"/>
          <w:szCs w:val="21"/>
        </w:rPr>
      </w:pPr>
      <w:r>
        <w:rPr>
          <w:rFonts w:hint="eastAsia" w:ascii="宋体" w:hAnsi="宋体"/>
          <w:color w:val="000000"/>
          <w:sz w:val="21"/>
          <w:szCs w:val="21"/>
        </w:rPr>
        <w:t>年</w:t>
      </w:r>
      <w:r>
        <w:rPr>
          <w:rFonts w:hint="eastAsia" w:ascii="宋体" w:hAnsi="宋体"/>
          <w:color w:val="000000"/>
          <w:sz w:val="21"/>
          <w:szCs w:val="21"/>
          <w:lang w:val="en-US" w:eastAsia="zh-CN"/>
        </w:rPr>
        <w:t xml:space="preserve">      </w:t>
      </w:r>
      <w:r>
        <w:rPr>
          <w:rFonts w:hint="eastAsia" w:ascii="宋体" w:hAnsi="宋体"/>
          <w:color w:val="000000"/>
          <w:sz w:val="21"/>
          <w:szCs w:val="21"/>
        </w:rPr>
        <w:t>月</w:t>
      </w:r>
      <w:r>
        <w:rPr>
          <w:rFonts w:hint="eastAsia" w:ascii="宋体" w:hAnsi="宋体"/>
          <w:color w:val="000000"/>
          <w:sz w:val="21"/>
          <w:szCs w:val="21"/>
          <w:lang w:val="en-US" w:eastAsia="zh-CN"/>
        </w:rPr>
        <w:t xml:space="preserve">     </w:t>
      </w:r>
      <w:r>
        <w:rPr>
          <w:rFonts w:hint="eastAsia" w:ascii="宋体" w:hAnsi="宋体"/>
          <w:color w:val="000000"/>
          <w:sz w:val="21"/>
          <w:szCs w:val="21"/>
        </w:rPr>
        <w:t>日</w:t>
      </w:r>
    </w:p>
    <w:p>
      <w:pPr>
        <w:widowControl/>
        <w:spacing w:line="360" w:lineRule="auto"/>
        <w:jc w:val="left"/>
        <w:rPr>
          <w:rFonts w:ascii="宋体" w:hAnsi="宋体" w:cs="宋体"/>
          <w:b/>
          <w:bCs/>
          <w:color w:val="000000"/>
          <w:kern w:val="0"/>
          <w:sz w:val="21"/>
          <w:szCs w:val="21"/>
        </w:rPr>
        <w:sectPr>
          <w:pgSz w:w="11906" w:h="16838"/>
          <w:pgMar w:top="1418" w:right="1134" w:bottom="1418" w:left="1134" w:header="720" w:footer="720" w:gutter="0"/>
          <w:pgNumType w:fmt="decimal"/>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911" w:name="_Toc12720"/>
      <w:bookmarkEnd w:id="911"/>
      <w:bookmarkStart w:id="912" w:name="_Toc19970"/>
      <w:bookmarkEnd w:id="912"/>
      <w:bookmarkStart w:id="913" w:name="_Toc10428"/>
      <w:bookmarkEnd w:id="913"/>
      <w:bookmarkStart w:id="914" w:name="_Toc184635142"/>
      <w:bookmarkEnd w:id="914"/>
      <w:bookmarkStart w:id="915" w:name="_Toc25002"/>
      <w:bookmarkEnd w:id="915"/>
      <w:bookmarkStart w:id="916" w:name="_Toc370458218"/>
      <w:bookmarkEnd w:id="916"/>
      <w:bookmarkStart w:id="917" w:name="_Toc365311691"/>
      <w:bookmarkEnd w:id="917"/>
      <w:bookmarkStart w:id="918" w:name="_Toc283382029"/>
      <w:bookmarkEnd w:id="918"/>
      <w:bookmarkStart w:id="919" w:name="_Toc503433997"/>
      <w:bookmarkStart w:id="920" w:name="_Toc5555"/>
      <w:bookmarkStart w:id="921" w:name="_Toc503873712"/>
    </w:p>
    <w:p>
      <w:pPr>
        <w:keepNext/>
        <w:autoSpaceDE w:val="0"/>
        <w:autoSpaceDN w:val="0"/>
        <w:spacing w:line="360" w:lineRule="auto"/>
        <w:jc w:val="center"/>
        <w:outlineLvl w:val="2"/>
        <w:rPr>
          <w:rFonts w:ascii="宋体" w:hAnsi="宋体"/>
          <w:b/>
          <w:bCs/>
          <w:color w:val="000000"/>
          <w:kern w:val="0"/>
          <w:sz w:val="32"/>
          <w:szCs w:val="32"/>
        </w:rPr>
      </w:pPr>
      <w:r>
        <w:rPr>
          <w:rFonts w:hint="eastAsia" w:ascii="宋体" w:hAnsi="宋体"/>
          <w:b/>
          <w:bCs/>
          <w:color w:val="000000"/>
          <w:kern w:val="0"/>
          <w:sz w:val="32"/>
          <w:szCs w:val="32"/>
        </w:rPr>
        <w:t>四、投标保证金</w:t>
      </w:r>
      <w:bookmarkEnd w:id="919"/>
      <w:bookmarkEnd w:id="920"/>
      <w:bookmarkEnd w:id="921"/>
    </w:p>
    <w:p>
      <w:pPr>
        <w:autoSpaceDE w:val="0"/>
        <w:autoSpaceDN w:val="0"/>
        <w:adjustRightInd w:val="0"/>
        <w:spacing w:line="420" w:lineRule="exact"/>
        <w:jc w:val="center"/>
        <w:rPr>
          <w:rFonts w:hint="eastAsia" w:cs="仿宋_GB2312"/>
        </w:rPr>
      </w:pPr>
      <w:r>
        <w:rPr>
          <w:rFonts w:hint="eastAsia" w:cs="仿宋_GB2312"/>
        </w:rPr>
        <w:t>（附许昌</w:t>
      </w:r>
      <w:r>
        <w:rPr>
          <w:rFonts w:hint="eastAsia"/>
          <w:lang w:val="zh-CN"/>
        </w:rPr>
        <w:t>公共资源交易中心保证金缴纳回执及企业基本账户开户许可证复印件</w:t>
      </w:r>
      <w:r>
        <w:rPr>
          <w:rFonts w:hint="eastAsia" w:cs="仿宋_GB2312"/>
        </w:rPr>
        <w:t>）</w:t>
      </w:r>
    </w:p>
    <w:p>
      <w:pPr>
        <w:pStyle w:val="2"/>
        <w:rPr>
          <w:rFonts w:hint="eastAsia" w:cs="仿宋_GB2312"/>
        </w:rPr>
      </w:pPr>
    </w:p>
    <w:p>
      <w:pPr>
        <w:pStyle w:val="2"/>
        <w:rPr>
          <w:rFonts w:hint="eastAsia" w:cs="仿宋_GB2312"/>
        </w:rPr>
      </w:pPr>
    </w:p>
    <w:p>
      <w:pPr>
        <w:pStyle w:val="2"/>
        <w:rPr>
          <w:rFonts w:hint="eastAsia" w:cs="仿宋_GB2312"/>
        </w:rPr>
      </w:pPr>
    </w:p>
    <w:p>
      <w:pPr>
        <w:pStyle w:val="2"/>
        <w:rPr>
          <w:rFonts w:hint="eastAsia" w:cs="仿宋_GB2312"/>
        </w:rPr>
      </w:pPr>
    </w:p>
    <w:p>
      <w:pPr>
        <w:pStyle w:val="2"/>
        <w:rPr>
          <w:rFonts w:hint="eastAsia" w:cs="仿宋_GB2312"/>
        </w:rPr>
      </w:pPr>
    </w:p>
    <w:p>
      <w:pPr>
        <w:pStyle w:val="2"/>
        <w:rPr>
          <w:rFonts w:hint="eastAsia" w:cs="仿宋_GB2312"/>
        </w:rPr>
      </w:pPr>
    </w:p>
    <w:p>
      <w:pPr>
        <w:pStyle w:val="2"/>
        <w:rPr>
          <w:rFonts w:hint="eastAsia" w:cs="仿宋_GB2312"/>
        </w:rPr>
      </w:pPr>
    </w:p>
    <w:p>
      <w:pPr>
        <w:pStyle w:val="2"/>
        <w:rPr>
          <w:rFonts w:hint="eastAsia" w:cs="仿宋_GB2312"/>
        </w:rPr>
      </w:pPr>
    </w:p>
    <w:p>
      <w:pPr>
        <w:pStyle w:val="2"/>
        <w:rPr>
          <w:rFonts w:hint="eastAsia" w:cs="仿宋_GB2312"/>
        </w:rPr>
      </w:pPr>
    </w:p>
    <w:p>
      <w:pPr>
        <w:pStyle w:val="2"/>
        <w:rPr>
          <w:rFonts w:hint="eastAsia" w:cs="仿宋_GB2312"/>
        </w:rPr>
      </w:pPr>
    </w:p>
    <w:p>
      <w:pPr>
        <w:keepNext/>
        <w:autoSpaceDE w:val="0"/>
        <w:autoSpaceDN w:val="0"/>
        <w:spacing w:line="360" w:lineRule="auto"/>
        <w:jc w:val="center"/>
        <w:outlineLvl w:val="2"/>
        <w:rPr>
          <w:rFonts w:ascii="宋体" w:hAnsi="宋体" w:cs="宋体"/>
          <w:b/>
          <w:bCs/>
          <w:color w:val="000000"/>
          <w:kern w:val="0"/>
          <w:sz w:val="32"/>
          <w:szCs w:val="32"/>
        </w:rPr>
        <w:sectPr>
          <w:pgSz w:w="11906" w:h="16838"/>
          <w:pgMar w:top="1418" w:right="1134" w:bottom="1418" w:left="1134" w:header="720" w:footer="720" w:gutter="0"/>
          <w:pgNumType w:fmt="decimal"/>
          <w:cols w:space="720" w:num="1"/>
          <w:docGrid w:type="lines" w:linePitch="312" w:charSpace="0"/>
        </w:sectPr>
      </w:pPr>
      <w:r>
        <w:rPr>
          <w:rFonts w:hint="eastAsia" w:ascii="宋体" w:hAnsi="宋体"/>
          <w:b/>
          <w:bCs/>
          <w:color w:val="000000"/>
          <w:kern w:val="0"/>
          <w:sz w:val="32"/>
          <w:szCs w:val="32"/>
        </w:rPr>
        <w:t>五、已标价工程量清单</w:t>
      </w:r>
      <w:bookmarkStart w:id="922" w:name="_Toc184635143"/>
      <w:bookmarkEnd w:id="922"/>
      <w:bookmarkStart w:id="923" w:name="_Toc16768"/>
      <w:bookmarkEnd w:id="923"/>
      <w:bookmarkStart w:id="924" w:name="_Toc283382030"/>
      <w:bookmarkEnd w:id="924"/>
      <w:bookmarkStart w:id="925" w:name="_Toc365311692"/>
      <w:bookmarkEnd w:id="925"/>
      <w:bookmarkStart w:id="926" w:name="_Toc370458219"/>
      <w:bookmarkEnd w:id="926"/>
      <w:bookmarkStart w:id="927" w:name="_Toc20510"/>
      <w:bookmarkEnd w:id="927"/>
      <w:bookmarkStart w:id="928" w:name="_Toc32516"/>
      <w:bookmarkEnd w:id="928"/>
      <w:bookmarkStart w:id="929" w:name="_Toc28811"/>
      <w:bookmarkEnd w:id="929"/>
    </w:p>
    <w:p>
      <w:pPr>
        <w:keepNext/>
        <w:autoSpaceDE w:val="0"/>
        <w:autoSpaceDN w:val="0"/>
        <w:spacing w:line="360" w:lineRule="auto"/>
        <w:jc w:val="center"/>
        <w:outlineLvl w:val="2"/>
        <w:rPr>
          <w:rFonts w:ascii="宋体" w:hAnsi="宋体"/>
          <w:b/>
          <w:bCs/>
          <w:color w:val="000000"/>
          <w:kern w:val="0"/>
          <w:sz w:val="32"/>
          <w:szCs w:val="32"/>
        </w:rPr>
      </w:pPr>
      <w:bookmarkStart w:id="930" w:name="_Toc22430"/>
      <w:bookmarkEnd w:id="930"/>
      <w:bookmarkStart w:id="931" w:name="_Toc370458220"/>
      <w:bookmarkEnd w:id="931"/>
      <w:bookmarkStart w:id="932" w:name="_Toc12319"/>
      <w:bookmarkEnd w:id="932"/>
      <w:bookmarkStart w:id="933" w:name="_Toc365311693"/>
      <w:bookmarkEnd w:id="933"/>
      <w:bookmarkStart w:id="934" w:name="_Toc283382031"/>
      <w:bookmarkEnd w:id="934"/>
      <w:bookmarkStart w:id="935" w:name="_Toc29428"/>
      <w:bookmarkEnd w:id="935"/>
      <w:bookmarkStart w:id="936" w:name="_Toc184635144"/>
      <w:bookmarkEnd w:id="936"/>
      <w:bookmarkStart w:id="937" w:name="_Toc2745"/>
      <w:bookmarkEnd w:id="937"/>
      <w:bookmarkStart w:id="938" w:name="_Toc503873714"/>
      <w:bookmarkStart w:id="939" w:name="_Toc23207"/>
      <w:bookmarkStart w:id="940" w:name="_Toc503433999"/>
      <w:r>
        <w:rPr>
          <w:rFonts w:hint="eastAsia" w:ascii="宋体" w:hAnsi="宋体"/>
          <w:b/>
          <w:bCs/>
          <w:color w:val="000000"/>
          <w:kern w:val="0"/>
          <w:sz w:val="32"/>
          <w:szCs w:val="32"/>
        </w:rPr>
        <w:t>六、施工组织设计</w:t>
      </w:r>
      <w:bookmarkEnd w:id="938"/>
      <w:bookmarkEnd w:id="939"/>
      <w:bookmarkEnd w:id="940"/>
    </w:p>
    <w:p>
      <w:pPr>
        <w:spacing w:line="360" w:lineRule="auto"/>
        <w:ind w:firstLine="420" w:firstLineChars="200"/>
        <w:jc w:val="left"/>
        <w:rPr>
          <w:rFonts w:hint="eastAsia" w:ascii="宋体" w:hAnsi="宋体"/>
          <w:color w:val="000000"/>
        </w:rPr>
      </w:pPr>
    </w:p>
    <w:p>
      <w:pPr>
        <w:spacing w:line="360" w:lineRule="auto"/>
        <w:ind w:firstLine="420" w:firstLineChars="200"/>
        <w:jc w:val="left"/>
        <w:rPr>
          <w:rFonts w:ascii="宋体" w:hAnsi="宋体"/>
          <w:color w:val="000000"/>
        </w:rPr>
      </w:pPr>
      <w:r>
        <w:rPr>
          <w:rFonts w:hint="eastAsia" w:ascii="宋体" w:hAnsi="宋体"/>
          <w:color w:val="000000"/>
        </w:rPr>
        <w:t>1.施工方案与技术措施</w:t>
      </w:r>
    </w:p>
    <w:p>
      <w:pPr>
        <w:spacing w:line="360" w:lineRule="auto"/>
        <w:ind w:firstLine="420" w:firstLineChars="200"/>
        <w:jc w:val="left"/>
        <w:rPr>
          <w:rFonts w:ascii="宋体" w:hAnsi="宋体"/>
          <w:color w:val="000000"/>
        </w:rPr>
      </w:pPr>
      <w:r>
        <w:rPr>
          <w:rFonts w:hint="eastAsia" w:ascii="宋体" w:hAnsi="宋体"/>
          <w:color w:val="000000"/>
        </w:rPr>
        <w:t>2.质量管理体系与措施</w:t>
      </w:r>
    </w:p>
    <w:p>
      <w:pPr>
        <w:spacing w:line="360" w:lineRule="auto"/>
        <w:ind w:firstLine="420" w:firstLineChars="200"/>
        <w:jc w:val="left"/>
        <w:rPr>
          <w:rFonts w:ascii="宋体" w:hAnsi="宋体"/>
          <w:color w:val="000000"/>
        </w:rPr>
      </w:pPr>
      <w:r>
        <w:rPr>
          <w:rFonts w:hint="eastAsia" w:ascii="宋体" w:hAnsi="宋体"/>
          <w:color w:val="000000"/>
        </w:rPr>
        <w:t>3.工程进度计划与措施及网络图</w:t>
      </w:r>
    </w:p>
    <w:p>
      <w:pPr>
        <w:spacing w:line="360" w:lineRule="auto"/>
        <w:ind w:firstLine="420" w:firstLineChars="200"/>
        <w:jc w:val="left"/>
        <w:rPr>
          <w:rFonts w:ascii="宋体" w:hAnsi="宋体"/>
          <w:color w:val="000000"/>
        </w:rPr>
      </w:pPr>
      <w:r>
        <w:rPr>
          <w:rFonts w:hint="eastAsia" w:ascii="宋体" w:hAnsi="宋体"/>
          <w:color w:val="000000"/>
        </w:rPr>
        <w:t>4.安全管理、文明、环境保护体系与措施</w:t>
      </w:r>
    </w:p>
    <w:p>
      <w:pPr>
        <w:spacing w:line="360" w:lineRule="auto"/>
        <w:ind w:firstLine="420" w:firstLineChars="200"/>
        <w:jc w:val="left"/>
        <w:rPr>
          <w:rFonts w:ascii="宋体" w:hAnsi="宋体"/>
          <w:color w:val="000000"/>
        </w:rPr>
      </w:pPr>
      <w:r>
        <w:rPr>
          <w:rFonts w:hint="eastAsia" w:ascii="宋体" w:hAnsi="宋体"/>
          <w:color w:val="000000"/>
        </w:rPr>
        <w:t>5.成本控制措施</w:t>
      </w:r>
    </w:p>
    <w:p>
      <w:pPr>
        <w:spacing w:line="360" w:lineRule="auto"/>
        <w:ind w:firstLine="420" w:firstLineChars="200"/>
        <w:jc w:val="left"/>
        <w:rPr>
          <w:rFonts w:ascii="宋体" w:hAnsi="宋体"/>
          <w:color w:val="000000"/>
        </w:rPr>
      </w:pPr>
      <w:r>
        <w:rPr>
          <w:rFonts w:hint="eastAsia" w:ascii="宋体" w:hAnsi="宋体"/>
          <w:color w:val="000000"/>
        </w:rPr>
        <w:t>6.组织机构及人力资源配备计划</w:t>
      </w:r>
    </w:p>
    <w:p>
      <w:pPr>
        <w:spacing w:line="360" w:lineRule="auto"/>
        <w:ind w:firstLine="420" w:firstLineChars="200"/>
        <w:jc w:val="left"/>
        <w:rPr>
          <w:rFonts w:ascii="宋体" w:hAnsi="宋体"/>
          <w:color w:val="000000"/>
        </w:rPr>
      </w:pPr>
      <w:r>
        <w:rPr>
          <w:rFonts w:hint="eastAsia" w:ascii="宋体" w:hAnsi="宋体"/>
          <w:color w:val="000000"/>
        </w:rPr>
        <w:t>7.施工设备及试验、检测仪器配备</w:t>
      </w:r>
    </w:p>
    <w:p>
      <w:pPr>
        <w:spacing w:line="360" w:lineRule="auto"/>
        <w:ind w:firstLine="420" w:firstLineChars="200"/>
        <w:jc w:val="left"/>
        <w:rPr>
          <w:rFonts w:ascii="宋体" w:hAnsi="宋体"/>
          <w:color w:val="000000"/>
        </w:rPr>
      </w:pPr>
      <w:r>
        <w:rPr>
          <w:rFonts w:hint="eastAsia" w:ascii="宋体" w:hAnsi="宋体"/>
          <w:color w:val="000000"/>
        </w:rPr>
        <w:t>8.施工环境协调及其他措施</w:t>
      </w:r>
    </w:p>
    <w:p>
      <w:pPr>
        <w:spacing w:line="360" w:lineRule="auto"/>
        <w:ind w:firstLine="420" w:firstLineChars="200"/>
        <w:jc w:val="left"/>
        <w:rPr>
          <w:rFonts w:ascii="宋体" w:hAnsi="宋体"/>
          <w:color w:val="000000"/>
        </w:rPr>
      </w:pPr>
      <w:r>
        <w:rPr>
          <w:rFonts w:hint="eastAsia" w:ascii="宋体" w:hAnsi="宋体"/>
          <w:color w:val="000000"/>
        </w:rPr>
        <w:t>9.施工总平面图</w:t>
      </w:r>
    </w:p>
    <w:p>
      <w:pPr>
        <w:spacing w:line="360" w:lineRule="auto"/>
        <w:rPr>
          <w:rFonts w:ascii="宋体" w:hAnsi="宋体"/>
          <w:color w:val="000000"/>
          <w:sz w:val="24"/>
          <w:szCs w:val="24"/>
        </w:rPr>
      </w:pPr>
    </w:p>
    <w:p>
      <w:pPr>
        <w:spacing w:line="360" w:lineRule="auto"/>
        <w:rPr>
          <w:rFonts w:ascii="宋体" w:hAnsi="宋体"/>
          <w:b/>
          <w:bCs/>
          <w:color w:val="000000"/>
          <w:sz w:val="24"/>
          <w:szCs w:val="24"/>
        </w:rPr>
      </w:pPr>
      <w:r>
        <w:rPr>
          <w:rFonts w:hint="eastAsia" w:ascii="宋体" w:hAnsi="宋体"/>
          <w:b/>
          <w:bCs/>
          <w:color w:val="000000"/>
          <w:sz w:val="24"/>
          <w:szCs w:val="24"/>
        </w:rPr>
        <w:t>编制要求：</w:t>
      </w:r>
    </w:p>
    <w:p>
      <w:pPr>
        <w:spacing w:line="360" w:lineRule="auto"/>
        <w:ind w:firstLine="420" w:firstLineChars="200"/>
        <w:rPr>
          <w:rFonts w:ascii="宋体" w:hAnsi="宋体"/>
          <w:color w:val="000000"/>
        </w:rPr>
      </w:pPr>
      <w:r>
        <w:rPr>
          <w:rFonts w:hint="eastAsia" w:ascii="宋体" w:hAnsi="宋体"/>
          <w:color w:val="000000"/>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360" w:lineRule="auto"/>
        <w:ind w:firstLine="420" w:firstLineChars="200"/>
        <w:rPr>
          <w:rFonts w:ascii="宋体" w:hAnsi="宋体"/>
          <w:color w:val="000000"/>
        </w:rPr>
      </w:pPr>
      <w:r>
        <w:rPr>
          <w:rFonts w:hint="eastAsia" w:ascii="宋体" w:hAnsi="宋体"/>
          <w:color w:val="000000"/>
        </w:rPr>
        <w:t>2.施工组织设计除采用文字表述外可附下列图表，图表及格式要求附后。</w:t>
      </w:r>
    </w:p>
    <w:p>
      <w:pPr>
        <w:spacing w:line="360" w:lineRule="auto"/>
        <w:ind w:firstLine="420" w:firstLineChars="200"/>
        <w:rPr>
          <w:rFonts w:ascii="宋体" w:hAnsi="宋体"/>
          <w:color w:val="000000"/>
        </w:rPr>
      </w:pPr>
      <w:r>
        <w:rPr>
          <w:rFonts w:hint="eastAsia" w:ascii="宋体" w:hAnsi="宋体"/>
          <w:color w:val="000000"/>
        </w:rPr>
        <w:t>附表一  拟投入本标段的主要施工设备表</w:t>
      </w:r>
    </w:p>
    <w:p>
      <w:pPr>
        <w:spacing w:line="360" w:lineRule="auto"/>
        <w:ind w:firstLine="420" w:firstLineChars="200"/>
        <w:rPr>
          <w:rFonts w:ascii="宋体" w:hAnsi="宋体"/>
          <w:color w:val="000000"/>
        </w:rPr>
      </w:pPr>
      <w:r>
        <w:rPr>
          <w:rFonts w:hint="eastAsia" w:ascii="宋体" w:hAnsi="宋体"/>
          <w:color w:val="000000"/>
        </w:rPr>
        <w:t>附表二  拟配备本标段的试验和检测仪器设备表</w:t>
      </w:r>
    </w:p>
    <w:p>
      <w:pPr>
        <w:spacing w:line="360" w:lineRule="auto"/>
        <w:ind w:firstLine="420" w:firstLineChars="200"/>
        <w:rPr>
          <w:rFonts w:ascii="宋体" w:hAnsi="宋体"/>
          <w:color w:val="000000"/>
        </w:rPr>
      </w:pPr>
      <w:r>
        <w:rPr>
          <w:rFonts w:hint="eastAsia" w:ascii="宋体" w:hAnsi="宋体"/>
          <w:color w:val="000000"/>
        </w:rPr>
        <w:t>附表三  劳动力计划表</w:t>
      </w:r>
    </w:p>
    <w:p>
      <w:pPr>
        <w:spacing w:line="360" w:lineRule="auto"/>
        <w:ind w:firstLine="420" w:firstLineChars="200"/>
        <w:rPr>
          <w:rFonts w:ascii="宋体" w:hAnsi="宋体"/>
          <w:color w:val="000000"/>
        </w:rPr>
      </w:pPr>
      <w:r>
        <w:rPr>
          <w:rFonts w:hint="eastAsia" w:ascii="宋体" w:hAnsi="宋体"/>
          <w:color w:val="000000"/>
        </w:rPr>
        <w:t>附表四  计划开、竣工日期和施工进度网络图</w:t>
      </w:r>
    </w:p>
    <w:p>
      <w:pPr>
        <w:spacing w:line="360" w:lineRule="auto"/>
        <w:ind w:firstLine="420" w:firstLineChars="200"/>
      </w:pPr>
      <w:r>
        <w:rPr>
          <w:rFonts w:hint="eastAsia" w:ascii="宋体" w:hAnsi="宋体"/>
          <w:color w:val="000000"/>
        </w:rPr>
        <w:t>附表五  施工总平面图</w:t>
      </w:r>
    </w:p>
    <w:p>
      <w:pPr>
        <w:widowControl/>
        <w:spacing w:line="360" w:lineRule="auto"/>
        <w:jc w:val="left"/>
        <w:rPr>
          <w:rFonts w:ascii="宋体" w:hAnsi="宋体" w:cs="宋体"/>
          <w:b/>
          <w:bCs/>
          <w:color w:val="000000"/>
          <w:sz w:val="24"/>
          <w:szCs w:val="24"/>
        </w:rPr>
        <w:sectPr>
          <w:pgSz w:w="11906" w:h="16838"/>
          <w:pgMar w:top="1418" w:right="1134" w:bottom="1418" w:left="1134" w:header="720" w:footer="720" w:gutter="0"/>
          <w:pgNumType w:fmt="decimal"/>
          <w:cols w:space="720" w:num="1"/>
          <w:docGrid w:type="lines" w:linePitch="312" w:charSpace="0"/>
        </w:sectPr>
      </w:pPr>
    </w:p>
    <w:p>
      <w:pPr>
        <w:spacing w:line="360" w:lineRule="auto"/>
        <w:rPr>
          <w:rFonts w:ascii="宋体" w:hAnsi="宋体"/>
          <w:b/>
          <w:bCs/>
          <w:color w:val="000000"/>
          <w:sz w:val="24"/>
          <w:szCs w:val="24"/>
        </w:rPr>
      </w:pPr>
      <w:r>
        <w:rPr>
          <w:rFonts w:hint="eastAsia" w:ascii="宋体" w:hAnsi="宋体"/>
          <w:b/>
          <w:bCs/>
          <w:color w:val="000000"/>
          <w:sz w:val="24"/>
          <w:szCs w:val="24"/>
        </w:rPr>
        <w:t>附表一：拟投入本项目的主要施工设备表</w:t>
      </w:r>
    </w:p>
    <w:tbl>
      <w:tblPr>
        <w:tblStyle w:val="15"/>
        <w:tblW w:w="9805" w:type="dxa"/>
        <w:jc w:val="center"/>
        <w:tblInd w:w="108" w:type="dxa"/>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Layout w:type="fixed"/>
          <w:tblCellMar>
            <w:top w:w="0" w:type="dxa"/>
            <w:left w:w="108" w:type="dxa"/>
            <w:bottom w:w="0" w:type="dxa"/>
            <w:right w:w="108" w:type="dxa"/>
          </w:tblCellMar>
        </w:tblPrEx>
        <w:trPr>
          <w:trHeight w:val="91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rPr>
            </w:pPr>
            <w:r>
              <w:rPr>
                <w:rFonts w:hint="eastAsia" w:ascii="宋体" w:hAnsi="宋体"/>
                <w:color w:val="000000"/>
              </w:rPr>
              <w:t>序号</w:t>
            </w:r>
          </w:p>
        </w:tc>
        <w:tc>
          <w:tcPr>
            <w:tcW w:w="1185"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olor w:val="000000"/>
              </w:rPr>
            </w:pPr>
            <w:r>
              <w:rPr>
                <w:rFonts w:hint="eastAsia" w:ascii="宋体" w:hAnsi="宋体"/>
                <w:color w:val="000000"/>
              </w:rPr>
              <w:t>设备名称</w:t>
            </w:r>
          </w:p>
        </w:tc>
        <w:tc>
          <w:tcPr>
            <w:tcW w:w="795"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olor w:val="000000"/>
              </w:rPr>
            </w:pPr>
            <w:r>
              <w:rPr>
                <w:rFonts w:hint="eastAsia" w:ascii="宋体" w:hAnsi="宋体"/>
                <w:color w:val="000000"/>
              </w:rPr>
              <w:t>型号</w:t>
            </w:r>
          </w:p>
          <w:p>
            <w:pPr>
              <w:spacing w:line="240" w:lineRule="auto"/>
              <w:jc w:val="center"/>
              <w:rPr>
                <w:rFonts w:ascii="宋体" w:hAnsi="宋体"/>
                <w:color w:val="000000"/>
              </w:rPr>
            </w:pPr>
            <w:r>
              <w:rPr>
                <w:rFonts w:hint="eastAsia" w:ascii="宋体" w:hAnsi="宋体"/>
                <w:color w:val="000000"/>
              </w:rPr>
              <w:t>规格</w:t>
            </w:r>
          </w:p>
        </w:tc>
        <w:tc>
          <w:tcPr>
            <w:tcW w:w="816"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olor w:val="000000"/>
              </w:rPr>
            </w:pPr>
            <w:r>
              <w:rPr>
                <w:rFonts w:hint="eastAsia" w:ascii="宋体" w:hAnsi="宋体"/>
                <w:color w:val="000000"/>
              </w:rPr>
              <w:t>数量</w:t>
            </w:r>
          </w:p>
        </w:tc>
        <w:tc>
          <w:tcPr>
            <w:tcW w:w="816"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olor w:val="000000"/>
              </w:rPr>
            </w:pPr>
            <w:r>
              <w:rPr>
                <w:rFonts w:hint="eastAsia" w:ascii="宋体" w:hAnsi="宋体"/>
                <w:color w:val="000000"/>
              </w:rPr>
              <w:t>国别</w:t>
            </w:r>
          </w:p>
          <w:p>
            <w:pPr>
              <w:spacing w:line="240" w:lineRule="auto"/>
              <w:jc w:val="center"/>
              <w:rPr>
                <w:rFonts w:ascii="宋体" w:hAnsi="宋体"/>
                <w:color w:val="000000"/>
              </w:rPr>
            </w:pPr>
            <w:r>
              <w:rPr>
                <w:rFonts w:hint="eastAsia" w:ascii="宋体" w:hAnsi="宋体"/>
                <w:color w:val="000000"/>
              </w:rPr>
              <w:t>产地</w:t>
            </w:r>
          </w:p>
        </w:tc>
        <w:tc>
          <w:tcPr>
            <w:tcW w:w="1080"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olor w:val="000000"/>
              </w:rPr>
            </w:pPr>
            <w:r>
              <w:rPr>
                <w:rFonts w:hint="eastAsia" w:ascii="宋体" w:hAnsi="宋体"/>
                <w:color w:val="000000"/>
              </w:rPr>
              <w:t>制造</w:t>
            </w:r>
          </w:p>
          <w:p>
            <w:pPr>
              <w:spacing w:line="240" w:lineRule="auto"/>
              <w:jc w:val="center"/>
              <w:rPr>
                <w:rFonts w:ascii="宋体" w:hAnsi="宋体"/>
                <w:color w:val="000000"/>
              </w:rPr>
            </w:pPr>
            <w:r>
              <w:rPr>
                <w:rFonts w:hint="eastAsia" w:ascii="宋体" w:hAnsi="宋体"/>
                <w:color w:val="000000"/>
              </w:rPr>
              <w:t>年份</w:t>
            </w:r>
          </w:p>
        </w:tc>
        <w:tc>
          <w:tcPr>
            <w:tcW w:w="1260"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olor w:val="000000"/>
              </w:rPr>
            </w:pPr>
            <w:r>
              <w:rPr>
                <w:rFonts w:hint="eastAsia" w:ascii="宋体" w:hAnsi="宋体"/>
                <w:color w:val="000000"/>
              </w:rPr>
              <w:t>额定功率</w:t>
            </w:r>
          </w:p>
          <w:p>
            <w:pPr>
              <w:spacing w:line="240" w:lineRule="auto"/>
              <w:jc w:val="center"/>
              <w:rPr>
                <w:rFonts w:ascii="宋体" w:hAnsi="宋体"/>
                <w:color w:val="000000"/>
              </w:rPr>
            </w:pPr>
            <w:r>
              <w:rPr>
                <w:rFonts w:hint="eastAsia" w:ascii="宋体" w:hAnsi="宋体"/>
                <w:color w:val="000000"/>
              </w:rPr>
              <w:t>( KW )</w:t>
            </w:r>
          </w:p>
        </w:tc>
        <w:tc>
          <w:tcPr>
            <w:tcW w:w="973"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olor w:val="000000"/>
              </w:rPr>
            </w:pPr>
            <w:r>
              <w:rPr>
                <w:rFonts w:hint="eastAsia" w:ascii="宋体" w:hAnsi="宋体"/>
                <w:color w:val="000000"/>
              </w:rPr>
              <w:t>生产</w:t>
            </w:r>
          </w:p>
          <w:p>
            <w:pPr>
              <w:spacing w:line="240" w:lineRule="auto"/>
              <w:jc w:val="center"/>
              <w:rPr>
                <w:rFonts w:ascii="宋体" w:hAnsi="宋体"/>
                <w:color w:val="000000"/>
              </w:rPr>
            </w:pPr>
            <w:r>
              <w:rPr>
                <w:rFonts w:hint="eastAsia" w:ascii="宋体" w:hAnsi="宋体"/>
                <w:color w:val="000000"/>
              </w:rPr>
              <w:t>能力</w:t>
            </w:r>
          </w:p>
        </w:tc>
        <w:tc>
          <w:tcPr>
            <w:tcW w:w="1080"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olor w:val="000000"/>
              </w:rPr>
            </w:pPr>
            <w:r>
              <w:rPr>
                <w:rFonts w:hint="eastAsia" w:ascii="宋体" w:hAnsi="宋体"/>
                <w:color w:val="000000"/>
              </w:rPr>
              <w:t>用于施</w:t>
            </w:r>
          </w:p>
          <w:p>
            <w:pPr>
              <w:spacing w:line="240" w:lineRule="auto"/>
              <w:jc w:val="center"/>
              <w:rPr>
                <w:rFonts w:ascii="宋体" w:hAnsi="宋体"/>
                <w:color w:val="000000"/>
              </w:rPr>
            </w:pPr>
            <w:r>
              <w:rPr>
                <w:rFonts w:hint="eastAsia" w:ascii="宋体" w:hAnsi="宋体"/>
                <w:color w:val="000000"/>
              </w:rPr>
              <w:t>工部位</w:t>
            </w:r>
          </w:p>
        </w:tc>
        <w:tc>
          <w:tcPr>
            <w:tcW w:w="1080"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olor w:val="000000"/>
              </w:rPr>
            </w:pPr>
            <w:r>
              <w:rPr>
                <w:rFonts w:hint="eastAsia" w:ascii="宋体" w:hAnsi="宋体"/>
                <w:color w:val="000000"/>
              </w:rPr>
              <w:t>备注</w:t>
            </w: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ind w:firstLine="480" w:firstLineChars="200"/>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bl>
    <w:p>
      <w:pPr>
        <w:spacing w:line="360" w:lineRule="auto"/>
        <w:rPr>
          <w:rFonts w:ascii="宋体" w:hAnsi="宋体"/>
          <w:b/>
          <w:bCs/>
          <w:color w:val="000000"/>
          <w:sz w:val="24"/>
          <w:szCs w:val="24"/>
        </w:rPr>
      </w:pPr>
    </w:p>
    <w:p>
      <w:pPr>
        <w:spacing w:line="360" w:lineRule="auto"/>
        <w:rPr>
          <w:rFonts w:ascii="宋体" w:hAnsi="宋体"/>
          <w:b/>
          <w:bCs/>
          <w:color w:val="000000"/>
          <w:sz w:val="24"/>
          <w:szCs w:val="24"/>
        </w:rPr>
      </w:pPr>
    </w:p>
    <w:p>
      <w:pPr>
        <w:spacing w:line="360" w:lineRule="auto"/>
        <w:rPr>
          <w:rFonts w:ascii="宋体" w:hAnsi="宋体"/>
          <w:b/>
          <w:bCs/>
          <w:color w:val="000000"/>
          <w:sz w:val="24"/>
          <w:szCs w:val="24"/>
        </w:rPr>
      </w:pPr>
      <w:r>
        <w:rPr>
          <w:rFonts w:hint="eastAsia" w:ascii="宋体" w:hAnsi="宋体"/>
          <w:b/>
          <w:bCs/>
          <w:color w:val="000000"/>
          <w:sz w:val="24"/>
          <w:szCs w:val="24"/>
        </w:rPr>
        <w:t>附表二：拟配备本项目的试验和检测仪器设备表</w:t>
      </w:r>
    </w:p>
    <w:tbl>
      <w:tblPr>
        <w:tblStyle w:val="15"/>
        <w:tblW w:w="9694" w:type="dxa"/>
        <w:jc w:val="center"/>
        <w:tblInd w:w="80" w:type="dxa"/>
        <w:tblLayout w:type="fixed"/>
        <w:tblCellMar>
          <w:top w:w="0" w:type="dxa"/>
          <w:left w:w="28" w:type="dxa"/>
          <w:bottom w:w="0" w:type="dxa"/>
          <w:right w:w="28" w:type="dxa"/>
        </w:tblCellMar>
      </w:tblPr>
      <w:tblGrid>
        <w:gridCol w:w="583"/>
        <w:gridCol w:w="1629"/>
        <w:gridCol w:w="1105"/>
        <w:gridCol w:w="584"/>
        <w:gridCol w:w="1105"/>
        <w:gridCol w:w="1105"/>
        <w:gridCol w:w="1710"/>
        <w:gridCol w:w="1030"/>
        <w:gridCol w:w="843"/>
      </w:tblGrid>
      <w:tr>
        <w:tblPrEx>
          <w:tblLayout w:type="fixed"/>
          <w:tblCellMar>
            <w:top w:w="0" w:type="dxa"/>
            <w:left w:w="28" w:type="dxa"/>
            <w:bottom w:w="0" w:type="dxa"/>
            <w:right w:w="28" w:type="dxa"/>
          </w:tblCellMar>
        </w:tblPrEx>
        <w:trPr>
          <w:trHeight w:val="800" w:hRule="atLeast"/>
          <w:jc w:val="center"/>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序号</w:t>
            </w:r>
          </w:p>
        </w:tc>
        <w:tc>
          <w:tcPr>
            <w:tcW w:w="1629"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仪器设备名称</w:t>
            </w:r>
          </w:p>
        </w:tc>
        <w:tc>
          <w:tcPr>
            <w:tcW w:w="1105"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型号规格</w:t>
            </w:r>
          </w:p>
        </w:tc>
        <w:tc>
          <w:tcPr>
            <w:tcW w:w="584"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数量</w:t>
            </w:r>
          </w:p>
        </w:tc>
        <w:tc>
          <w:tcPr>
            <w:tcW w:w="1105"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国别产地</w:t>
            </w:r>
          </w:p>
        </w:tc>
        <w:tc>
          <w:tcPr>
            <w:tcW w:w="1105"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制造年份</w:t>
            </w:r>
          </w:p>
        </w:tc>
        <w:tc>
          <w:tcPr>
            <w:tcW w:w="1710"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己使用台时数</w:t>
            </w:r>
          </w:p>
        </w:tc>
        <w:tc>
          <w:tcPr>
            <w:tcW w:w="1030"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用途</w:t>
            </w:r>
          </w:p>
        </w:tc>
        <w:tc>
          <w:tcPr>
            <w:tcW w:w="843"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备注</w:t>
            </w:r>
          </w:p>
        </w:tc>
      </w:tr>
      <w:tr>
        <w:tblPrEx>
          <w:tblLayout w:type="fixed"/>
          <w:tblCellMar>
            <w:top w:w="0" w:type="dxa"/>
            <w:left w:w="28" w:type="dxa"/>
            <w:bottom w:w="0" w:type="dxa"/>
            <w:right w:w="28" w:type="dxa"/>
          </w:tblCellMar>
        </w:tblPrEx>
        <w:trPr>
          <w:trHeight w:val="493" w:hRule="atLeast"/>
          <w:jc w:val="center"/>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493" w:hRule="atLeast"/>
          <w:jc w:val="center"/>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493" w:hRule="atLeast"/>
          <w:jc w:val="center"/>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493" w:hRule="atLeast"/>
          <w:jc w:val="center"/>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493" w:hRule="atLeast"/>
          <w:jc w:val="center"/>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493" w:hRule="atLeast"/>
          <w:jc w:val="center"/>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493" w:hRule="atLeast"/>
          <w:jc w:val="center"/>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493" w:hRule="atLeast"/>
          <w:jc w:val="center"/>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493" w:hRule="atLeast"/>
          <w:jc w:val="center"/>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493" w:hRule="atLeast"/>
          <w:jc w:val="center"/>
        </w:trPr>
        <w:tc>
          <w:tcPr>
            <w:tcW w:w="583" w:type="dxa"/>
            <w:tcBorders>
              <w:top w:val="inset" w:color="auto" w:sz="6" w:space="0"/>
              <w:left w:val="inset" w:color="auto" w:sz="6" w:space="0"/>
              <w:bottom w:val="inset" w:color="auto" w:sz="6" w:space="0"/>
              <w:right w:val="inset" w:color="auto" w:sz="6" w:space="0"/>
            </w:tcBorders>
            <w:vAlign w:val="center"/>
          </w:tcPr>
          <w:p>
            <w:pPr>
              <w:pStyle w:val="2"/>
              <w:ind w:left="0" w:leftChars="0" w:firstLine="0" w:firstLineChars="0"/>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bl>
    <w:p>
      <w:pPr>
        <w:spacing w:line="360" w:lineRule="auto"/>
        <w:ind w:firstLine="480" w:firstLineChars="200"/>
        <w:rPr>
          <w:rFonts w:ascii="宋体" w:hAnsi="宋体"/>
          <w:color w:val="000000"/>
          <w:sz w:val="24"/>
          <w:szCs w:val="24"/>
        </w:rPr>
      </w:pPr>
    </w:p>
    <w:p>
      <w:pPr>
        <w:widowControl/>
        <w:spacing w:line="360" w:lineRule="auto"/>
        <w:jc w:val="left"/>
        <w:rPr>
          <w:rFonts w:ascii="宋体" w:hAnsi="宋体" w:cs="宋体"/>
          <w:b/>
          <w:bCs/>
          <w:color w:val="000000"/>
          <w:sz w:val="24"/>
          <w:szCs w:val="24"/>
        </w:rPr>
        <w:sectPr>
          <w:pgSz w:w="11906" w:h="16838"/>
          <w:pgMar w:top="1418" w:right="1134" w:bottom="1418" w:left="1134" w:header="720" w:footer="720" w:gutter="0"/>
          <w:pgNumType w:fmt="decimal"/>
          <w:cols w:space="720" w:num="1"/>
          <w:docGrid w:type="lines" w:linePitch="312" w:charSpace="0"/>
        </w:sectPr>
      </w:pPr>
    </w:p>
    <w:p>
      <w:pPr>
        <w:spacing w:line="360" w:lineRule="auto"/>
        <w:rPr>
          <w:rFonts w:ascii="宋体" w:hAnsi="宋体"/>
          <w:b/>
          <w:bCs/>
          <w:color w:val="000000"/>
          <w:sz w:val="24"/>
          <w:szCs w:val="24"/>
        </w:rPr>
      </w:pPr>
      <w:r>
        <w:rPr>
          <w:rFonts w:hint="eastAsia" w:ascii="宋体" w:hAnsi="宋体"/>
          <w:b/>
          <w:bCs/>
          <w:color w:val="000000"/>
          <w:sz w:val="24"/>
          <w:szCs w:val="24"/>
        </w:rPr>
        <w:t>附表三：劳动力计划表</w:t>
      </w:r>
    </w:p>
    <w:p>
      <w:pPr>
        <w:spacing w:line="360" w:lineRule="auto"/>
        <w:jc w:val="right"/>
        <w:rPr>
          <w:rFonts w:ascii="宋体" w:hAnsi="宋体"/>
          <w:color w:val="000000"/>
        </w:rPr>
      </w:pPr>
      <w:r>
        <w:rPr>
          <w:rFonts w:hint="eastAsia" w:ascii="宋体" w:hAnsi="宋体"/>
          <w:color w:val="000000"/>
        </w:rPr>
        <w:t>单位：人</w:t>
      </w:r>
    </w:p>
    <w:tbl>
      <w:tblPr>
        <w:tblStyle w:val="15"/>
        <w:tblW w:w="9854" w:type="dxa"/>
        <w:tblInd w:w="0" w:type="dxa"/>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tblPrEx>
          <w:tblLayout w:type="fixed"/>
          <w:tblCellMar>
            <w:top w:w="0" w:type="dxa"/>
            <w:left w:w="108" w:type="dxa"/>
            <w:bottom w:w="0" w:type="dxa"/>
            <w:right w:w="108" w:type="dxa"/>
          </w:tblCellMar>
        </w:tblPrEx>
        <w:trPr>
          <w:trHeight w:val="526"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rPr>
                <w:rFonts w:ascii="宋体" w:hAnsi="宋体"/>
                <w:color w:val="000000"/>
              </w:rPr>
            </w:pPr>
            <w:r>
              <w:rPr>
                <w:rFonts w:hint="eastAsia" w:ascii="宋体" w:hAnsi="宋体"/>
                <w:color w:val="000000"/>
              </w:rPr>
              <w:t>工种</w:t>
            </w:r>
          </w:p>
        </w:tc>
        <w:tc>
          <w:tcPr>
            <w:tcW w:w="8991" w:type="dxa"/>
            <w:gridSpan w:val="7"/>
            <w:tcBorders>
              <w:top w:val="inset" w:color="auto" w:sz="6" w:space="0"/>
              <w:left w:val="nil"/>
              <w:bottom w:val="inset" w:color="auto" w:sz="6" w:space="0"/>
              <w:right w:val="inset" w:color="auto" w:sz="6" w:space="0"/>
            </w:tcBorders>
            <w:vAlign w:val="center"/>
          </w:tcPr>
          <w:p>
            <w:pPr>
              <w:spacing w:line="360" w:lineRule="auto"/>
              <w:ind w:firstLine="420" w:firstLineChars="200"/>
              <w:jc w:val="center"/>
              <w:rPr>
                <w:rFonts w:ascii="宋体" w:hAnsi="宋体"/>
                <w:color w:val="000000"/>
              </w:rPr>
            </w:pPr>
            <w:r>
              <w:rPr>
                <w:rFonts w:hint="eastAsia" w:ascii="宋体" w:hAnsi="宋体"/>
                <w:color w:val="000000"/>
              </w:rPr>
              <w:t>按工程施工阶段投入劳动力情况</w:t>
            </w:r>
          </w:p>
        </w:tc>
      </w:tr>
      <w:tr>
        <w:tblPrEx>
          <w:tblLayout w:type="fixed"/>
          <w:tblCellMar>
            <w:top w:w="0" w:type="dxa"/>
            <w:left w:w="108" w:type="dxa"/>
            <w:bottom w:w="0" w:type="dxa"/>
            <w:right w:w="108" w:type="dxa"/>
          </w:tblCellMar>
        </w:tblPrEx>
        <w:trPr>
          <w:trHeight w:val="60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60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60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60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60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60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60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60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bl>
    <w:p>
      <w:pPr>
        <w:spacing w:line="360" w:lineRule="auto"/>
        <w:rPr>
          <w:rFonts w:ascii="宋体" w:hAnsi="宋体"/>
          <w:b/>
          <w:bCs/>
          <w:color w:val="000000"/>
          <w:sz w:val="24"/>
          <w:szCs w:val="24"/>
        </w:rPr>
      </w:pPr>
    </w:p>
    <w:p>
      <w:pPr>
        <w:spacing w:line="360" w:lineRule="auto"/>
        <w:rPr>
          <w:rFonts w:hint="eastAsia" w:ascii="宋体" w:hAnsi="宋体"/>
          <w:b/>
          <w:bCs/>
          <w:color w:val="000000"/>
          <w:sz w:val="24"/>
          <w:szCs w:val="24"/>
        </w:rPr>
      </w:pPr>
    </w:p>
    <w:p>
      <w:pPr>
        <w:spacing w:line="360" w:lineRule="auto"/>
        <w:rPr>
          <w:rFonts w:hint="eastAsia" w:ascii="宋体" w:hAnsi="宋体"/>
          <w:b/>
          <w:bCs/>
          <w:color w:val="000000"/>
          <w:sz w:val="24"/>
          <w:szCs w:val="24"/>
        </w:rPr>
      </w:pPr>
    </w:p>
    <w:p>
      <w:pPr>
        <w:spacing w:line="360" w:lineRule="auto"/>
        <w:rPr>
          <w:rFonts w:hint="eastAsia" w:ascii="宋体" w:hAnsi="宋体"/>
          <w:b/>
          <w:bCs/>
          <w:color w:val="000000"/>
          <w:sz w:val="24"/>
          <w:szCs w:val="24"/>
        </w:rPr>
      </w:pPr>
    </w:p>
    <w:p>
      <w:pPr>
        <w:spacing w:line="360" w:lineRule="auto"/>
        <w:rPr>
          <w:rFonts w:ascii="宋体" w:hAnsi="宋体"/>
          <w:b/>
          <w:bCs/>
          <w:color w:val="000000"/>
          <w:sz w:val="24"/>
          <w:szCs w:val="24"/>
        </w:rPr>
      </w:pPr>
      <w:r>
        <w:rPr>
          <w:rFonts w:hint="eastAsia" w:ascii="宋体" w:hAnsi="宋体"/>
          <w:b/>
          <w:bCs/>
          <w:color w:val="000000"/>
          <w:sz w:val="24"/>
          <w:szCs w:val="24"/>
        </w:rPr>
        <w:t>附表四：计划开、竣工日期和施工进度网络图</w:t>
      </w:r>
    </w:p>
    <w:p>
      <w:pPr>
        <w:spacing w:line="360" w:lineRule="auto"/>
        <w:ind w:firstLine="420" w:firstLineChars="200"/>
        <w:rPr>
          <w:rFonts w:ascii="宋体" w:hAnsi="宋体"/>
          <w:color w:val="000000"/>
        </w:rPr>
      </w:pPr>
      <w:r>
        <w:rPr>
          <w:rFonts w:hint="eastAsia" w:ascii="宋体" w:hAnsi="宋体"/>
          <w:color w:val="000000"/>
        </w:rPr>
        <w:t>1．投标人应递交施工进度网络图或施工进度表，说明按招标文件要求的计划工期进行施工的各个关键日期。</w:t>
      </w:r>
    </w:p>
    <w:p>
      <w:pPr>
        <w:spacing w:line="360" w:lineRule="auto"/>
        <w:ind w:firstLine="420" w:firstLineChars="200"/>
        <w:rPr>
          <w:rFonts w:hint="eastAsia" w:ascii="宋体" w:hAnsi="宋体"/>
          <w:b/>
          <w:bCs/>
          <w:color w:val="000000"/>
          <w:sz w:val="24"/>
          <w:szCs w:val="24"/>
        </w:rPr>
      </w:pPr>
      <w:r>
        <w:rPr>
          <w:rFonts w:hint="eastAsia" w:ascii="宋体" w:hAnsi="宋体"/>
          <w:color w:val="000000"/>
        </w:rPr>
        <w:t>2．施工进度表可采用网络图（或横道图）表示。</w:t>
      </w:r>
    </w:p>
    <w:p>
      <w:pPr>
        <w:spacing w:line="360" w:lineRule="auto"/>
        <w:rPr>
          <w:rFonts w:hint="eastAsia" w:ascii="宋体" w:hAnsi="宋体"/>
          <w:b/>
          <w:bCs/>
          <w:color w:val="000000"/>
          <w:sz w:val="24"/>
          <w:szCs w:val="24"/>
        </w:rPr>
      </w:pPr>
    </w:p>
    <w:p>
      <w:pPr>
        <w:spacing w:line="360" w:lineRule="auto"/>
        <w:rPr>
          <w:rFonts w:hint="eastAsia" w:ascii="宋体" w:hAnsi="宋体"/>
          <w:b/>
          <w:bCs/>
          <w:color w:val="000000"/>
          <w:sz w:val="24"/>
          <w:szCs w:val="24"/>
        </w:rPr>
      </w:pPr>
    </w:p>
    <w:p>
      <w:pPr>
        <w:spacing w:line="360" w:lineRule="auto"/>
        <w:rPr>
          <w:rFonts w:ascii="宋体" w:hAnsi="宋体"/>
          <w:b/>
          <w:bCs/>
          <w:color w:val="000000"/>
          <w:sz w:val="24"/>
          <w:szCs w:val="24"/>
        </w:rPr>
      </w:pPr>
      <w:r>
        <w:rPr>
          <w:rFonts w:hint="eastAsia" w:ascii="宋体" w:hAnsi="宋体"/>
          <w:b/>
          <w:bCs/>
          <w:color w:val="000000"/>
          <w:sz w:val="24"/>
          <w:szCs w:val="24"/>
        </w:rPr>
        <w:t>附表五：施工总平面图</w:t>
      </w:r>
    </w:p>
    <w:p>
      <w:pPr>
        <w:spacing w:line="360" w:lineRule="auto"/>
        <w:ind w:firstLine="420" w:firstLineChars="200"/>
        <w:rPr>
          <w:rFonts w:ascii="宋体" w:hAnsi="宋体"/>
          <w:color w:val="000000"/>
        </w:rPr>
      </w:pPr>
      <w:r>
        <w:rPr>
          <w:rFonts w:hint="eastAsia" w:ascii="宋体" w:hAnsi="宋体"/>
          <w:color w:val="000000"/>
        </w:rPr>
        <w:t>投标人应递交一份施工总平面图，绘出现场临时设施布置图表并附文字说明。</w:t>
      </w:r>
    </w:p>
    <w:p>
      <w:pPr>
        <w:spacing w:line="360" w:lineRule="auto"/>
        <w:ind w:firstLine="420" w:firstLineChars="200"/>
        <w:rPr>
          <w:rFonts w:ascii="宋体" w:hAnsi="宋体"/>
          <w:color w:val="000000"/>
        </w:rPr>
      </w:pP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pgNumType w:fmt="decimal"/>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0"/>
          <w:szCs w:val="30"/>
        </w:rPr>
      </w:pPr>
      <w:bookmarkStart w:id="941" w:name="_Toc184635145"/>
      <w:bookmarkEnd w:id="941"/>
      <w:bookmarkStart w:id="942" w:name="_Toc17843"/>
      <w:bookmarkEnd w:id="942"/>
      <w:bookmarkStart w:id="943" w:name="_Toc4663"/>
      <w:bookmarkEnd w:id="943"/>
      <w:bookmarkStart w:id="944" w:name="_Toc23921"/>
      <w:bookmarkEnd w:id="944"/>
      <w:bookmarkStart w:id="945" w:name="_Toc17117"/>
      <w:bookmarkEnd w:id="945"/>
      <w:bookmarkStart w:id="946" w:name="_Toc370458221"/>
      <w:bookmarkEnd w:id="946"/>
      <w:bookmarkStart w:id="947" w:name="_Toc365311694"/>
      <w:bookmarkEnd w:id="947"/>
      <w:bookmarkStart w:id="948" w:name="_Toc283382032"/>
      <w:bookmarkEnd w:id="948"/>
      <w:bookmarkStart w:id="949" w:name="_Toc503873715"/>
      <w:bookmarkStart w:id="950" w:name="_Toc15393"/>
      <w:bookmarkStart w:id="951" w:name="_Toc503434000"/>
      <w:r>
        <w:rPr>
          <w:rFonts w:hint="eastAsia" w:ascii="宋体" w:hAnsi="宋体"/>
          <w:b/>
          <w:bCs/>
          <w:color w:val="000000"/>
          <w:kern w:val="0"/>
          <w:sz w:val="32"/>
          <w:szCs w:val="32"/>
        </w:rPr>
        <w:t>七、项目管理机构</w:t>
      </w:r>
      <w:bookmarkEnd w:id="949"/>
      <w:bookmarkEnd w:id="950"/>
      <w:bookmarkEnd w:id="951"/>
    </w:p>
    <w:p>
      <w:pPr>
        <w:spacing w:line="360" w:lineRule="auto"/>
        <w:jc w:val="center"/>
        <w:outlineLvl w:val="3"/>
        <w:rPr>
          <w:rFonts w:ascii="宋体" w:hAnsi="宋体"/>
          <w:b/>
          <w:bCs/>
          <w:color w:val="000000"/>
          <w:sz w:val="24"/>
          <w:szCs w:val="24"/>
        </w:rPr>
      </w:pPr>
      <w:bookmarkStart w:id="952" w:name="_Toc370458222"/>
      <w:bookmarkEnd w:id="952"/>
      <w:r>
        <w:rPr>
          <w:rFonts w:hint="eastAsia" w:ascii="宋体" w:hAnsi="宋体"/>
          <w:b/>
          <w:bCs/>
          <w:color w:val="000000"/>
          <w:sz w:val="24"/>
          <w:szCs w:val="24"/>
        </w:rPr>
        <w:t>（一）项目管理机构组成表</w:t>
      </w:r>
    </w:p>
    <w:tbl>
      <w:tblPr>
        <w:tblStyle w:val="15"/>
        <w:tblW w:w="9478" w:type="dxa"/>
        <w:jc w:val="center"/>
        <w:tblInd w:w="0" w:type="dxa"/>
        <w:tblLayout w:type="fixed"/>
        <w:tblCellMar>
          <w:top w:w="0" w:type="dxa"/>
          <w:left w:w="108" w:type="dxa"/>
          <w:bottom w:w="0" w:type="dxa"/>
          <w:right w:w="108" w:type="dxa"/>
        </w:tblCellMar>
      </w:tblPr>
      <w:tblGrid>
        <w:gridCol w:w="902"/>
        <w:gridCol w:w="990"/>
        <w:gridCol w:w="1050"/>
        <w:gridCol w:w="1261"/>
        <w:gridCol w:w="895"/>
        <w:gridCol w:w="1075"/>
        <w:gridCol w:w="1052"/>
        <w:gridCol w:w="1207"/>
        <w:gridCol w:w="1046"/>
      </w:tblGrid>
      <w:tr>
        <w:tblPrEx>
          <w:tblLayout w:type="fixed"/>
          <w:tblCellMar>
            <w:top w:w="0" w:type="dxa"/>
            <w:left w:w="108" w:type="dxa"/>
            <w:bottom w:w="0" w:type="dxa"/>
            <w:right w:w="108" w:type="dxa"/>
          </w:tblCellMar>
        </w:tblPrEx>
        <w:trPr>
          <w:trHeight w:val="613" w:hRule="atLeast"/>
          <w:jc w:val="center"/>
        </w:trPr>
        <w:tc>
          <w:tcPr>
            <w:tcW w:w="90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职务</w:t>
            </w:r>
          </w:p>
        </w:tc>
        <w:tc>
          <w:tcPr>
            <w:tcW w:w="990"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姓名</w:t>
            </w:r>
          </w:p>
        </w:tc>
        <w:tc>
          <w:tcPr>
            <w:tcW w:w="1050"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职称</w:t>
            </w:r>
          </w:p>
        </w:tc>
        <w:tc>
          <w:tcPr>
            <w:tcW w:w="5490" w:type="dxa"/>
            <w:gridSpan w:val="5"/>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执业或职业资格证明</w:t>
            </w:r>
          </w:p>
        </w:tc>
        <w:tc>
          <w:tcPr>
            <w:tcW w:w="1046"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备注</w:t>
            </w:r>
          </w:p>
        </w:tc>
      </w:tr>
      <w:tr>
        <w:tblPrEx>
          <w:tblLayout w:type="fixed"/>
          <w:tblCellMar>
            <w:top w:w="0" w:type="dxa"/>
            <w:left w:w="108" w:type="dxa"/>
            <w:bottom w:w="0" w:type="dxa"/>
            <w:right w:w="108" w:type="dxa"/>
          </w:tblCellMar>
        </w:tblPrEx>
        <w:trPr>
          <w:trHeight w:val="614" w:hRule="atLeast"/>
          <w:jc w:val="center"/>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rPr>
            </w:pPr>
          </w:p>
        </w:tc>
        <w:tc>
          <w:tcPr>
            <w:tcW w:w="105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rPr>
            </w:pPr>
          </w:p>
        </w:tc>
        <w:tc>
          <w:tcPr>
            <w:tcW w:w="12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证书名称</w:t>
            </w:r>
          </w:p>
        </w:tc>
        <w:tc>
          <w:tcPr>
            <w:tcW w:w="8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级别</w:t>
            </w:r>
          </w:p>
        </w:tc>
        <w:tc>
          <w:tcPr>
            <w:tcW w:w="107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证号</w:t>
            </w:r>
          </w:p>
        </w:tc>
        <w:tc>
          <w:tcPr>
            <w:tcW w:w="10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专业</w:t>
            </w:r>
          </w:p>
        </w:tc>
        <w:tc>
          <w:tcPr>
            <w:tcW w:w="120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养老保险</w:t>
            </w:r>
          </w:p>
        </w:tc>
        <w:tc>
          <w:tcPr>
            <w:tcW w:w="104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rPr>
            </w:pPr>
          </w:p>
        </w:tc>
      </w:tr>
      <w:tr>
        <w:tblPrEx>
          <w:tblLayout w:type="fixed"/>
          <w:tblCellMar>
            <w:top w:w="0" w:type="dxa"/>
            <w:left w:w="108" w:type="dxa"/>
            <w:bottom w:w="0" w:type="dxa"/>
            <w:right w:w="108" w:type="dxa"/>
          </w:tblCellMar>
        </w:tblPrEx>
        <w:trPr>
          <w:trHeight w:val="588" w:hRule="atLeast"/>
          <w:jc w:val="center"/>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052" w:type="dxa"/>
            <w:tcBorders>
              <w:top w:val="single" w:color="auto" w:sz="4" w:space="0"/>
              <w:left w:val="nil"/>
              <w:bottom w:val="single" w:color="auto" w:sz="4" w:space="0"/>
              <w:right w:val="single" w:color="auto" w:sz="4" w:space="0"/>
            </w:tcBorders>
          </w:tcPr>
          <w:p>
            <w:pPr>
              <w:spacing w:line="360" w:lineRule="auto"/>
              <w:ind w:firstLine="420" w:firstLineChars="200"/>
              <w:rPr>
                <w:rFonts w:ascii="宋体" w:hAnsi="宋体"/>
                <w:color w:val="000000"/>
              </w:rPr>
            </w:pPr>
          </w:p>
        </w:tc>
        <w:tc>
          <w:tcPr>
            <w:tcW w:w="1207" w:type="dxa"/>
            <w:tcBorders>
              <w:top w:val="single" w:color="auto" w:sz="4" w:space="0"/>
              <w:left w:val="nil"/>
              <w:bottom w:val="single" w:color="auto" w:sz="4" w:space="0"/>
              <w:right w:val="single" w:color="auto" w:sz="4" w:space="0"/>
            </w:tcBorders>
          </w:tcPr>
          <w:p>
            <w:pPr>
              <w:spacing w:line="360" w:lineRule="auto"/>
              <w:ind w:firstLine="420" w:firstLineChars="200"/>
              <w:rPr>
                <w:rFonts w:ascii="宋体" w:hAnsi="宋体"/>
                <w:color w:val="000000"/>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Layout w:type="fixed"/>
          <w:tblCellMar>
            <w:top w:w="0" w:type="dxa"/>
            <w:left w:w="108" w:type="dxa"/>
            <w:bottom w:w="0" w:type="dxa"/>
            <w:right w:w="108" w:type="dxa"/>
          </w:tblCellMar>
        </w:tblPrEx>
        <w:trPr>
          <w:trHeight w:val="589" w:hRule="atLeast"/>
          <w:jc w:val="center"/>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jc w:val="center"/>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jc w:val="center"/>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jc w:val="center"/>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jc w:val="center"/>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jc w:val="center"/>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jc w:val="center"/>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jc w:val="center"/>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jc w:val="center"/>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jc w:val="center"/>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jc w:val="center"/>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jc w:val="center"/>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jc w:val="center"/>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bl>
    <w:p>
      <w:pPr>
        <w:spacing w:line="360" w:lineRule="auto"/>
        <w:jc w:val="center"/>
        <w:outlineLvl w:val="3"/>
        <w:rPr>
          <w:rFonts w:ascii="宋体" w:hAnsi="宋体"/>
          <w:b/>
          <w:bCs/>
          <w:color w:val="000000"/>
          <w:sz w:val="30"/>
          <w:szCs w:val="30"/>
        </w:rPr>
      </w:pPr>
      <w:bookmarkStart w:id="953" w:name="_Toc370458223"/>
      <w:bookmarkEnd w:id="953"/>
      <w:r>
        <w:rPr>
          <w:rFonts w:hint="eastAsia" w:ascii="宋体" w:hAnsi="宋体"/>
          <w:sz w:val="24"/>
          <w:szCs w:val="24"/>
        </w:rPr>
        <w:br w:type="page"/>
      </w:r>
      <w:r>
        <w:rPr>
          <w:rFonts w:hint="eastAsia" w:ascii="宋体" w:hAnsi="宋体"/>
          <w:b/>
          <w:bCs/>
          <w:color w:val="000000"/>
          <w:sz w:val="30"/>
          <w:szCs w:val="30"/>
        </w:rPr>
        <w:t>（二）主要人员简历表</w:t>
      </w:r>
    </w:p>
    <w:tbl>
      <w:tblPr>
        <w:tblStyle w:val="15"/>
        <w:tblW w:w="9427" w:type="dxa"/>
        <w:jc w:val="center"/>
        <w:tblInd w:w="0" w:type="dxa"/>
        <w:tblLayout w:type="fixed"/>
        <w:tblCellMar>
          <w:top w:w="0" w:type="dxa"/>
          <w:left w:w="108" w:type="dxa"/>
          <w:bottom w:w="0" w:type="dxa"/>
          <w:right w:w="108" w:type="dxa"/>
        </w:tblCellMar>
      </w:tblPr>
      <w:tblGrid>
        <w:gridCol w:w="1302"/>
        <w:gridCol w:w="367"/>
        <w:gridCol w:w="1681"/>
        <w:gridCol w:w="1117"/>
        <w:gridCol w:w="930"/>
        <w:gridCol w:w="560"/>
        <w:gridCol w:w="1293"/>
        <w:gridCol w:w="755"/>
        <w:gridCol w:w="1422"/>
      </w:tblGrid>
      <w:tr>
        <w:tblPrEx>
          <w:tblLayout w:type="fixed"/>
          <w:tblCellMar>
            <w:top w:w="0" w:type="dxa"/>
            <w:left w:w="108" w:type="dxa"/>
            <w:bottom w:w="0" w:type="dxa"/>
            <w:right w:w="108" w:type="dxa"/>
          </w:tblCellMar>
        </w:tblPrEx>
        <w:trPr>
          <w:trHeight w:val="463" w:hRule="atLeast"/>
          <w:jc w:val="center"/>
        </w:trPr>
        <w:tc>
          <w:tcPr>
            <w:tcW w:w="16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姓名</w:t>
            </w:r>
          </w:p>
        </w:tc>
        <w:tc>
          <w:tcPr>
            <w:tcW w:w="1681"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1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年龄</w:t>
            </w:r>
          </w:p>
        </w:tc>
        <w:tc>
          <w:tcPr>
            <w:tcW w:w="1490"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204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学  历</w:t>
            </w:r>
          </w:p>
        </w:tc>
        <w:tc>
          <w:tcPr>
            <w:tcW w:w="1422"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Layout w:type="fixed"/>
          <w:tblCellMar>
            <w:top w:w="0" w:type="dxa"/>
            <w:left w:w="108" w:type="dxa"/>
            <w:bottom w:w="0" w:type="dxa"/>
            <w:right w:w="108" w:type="dxa"/>
          </w:tblCellMar>
        </w:tblPrEx>
        <w:trPr>
          <w:trHeight w:val="451" w:hRule="atLeast"/>
          <w:jc w:val="center"/>
        </w:trPr>
        <w:tc>
          <w:tcPr>
            <w:tcW w:w="16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职称</w:t>
            </w:r>
          </w:p>
        </w:tc>
        <w:tc>
          <w:tcPr>
            <w:tcW w:w="1681"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1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职务</w:t>
            </w:r>
          </w:p>
        </w:tc>
        <w:tc>
          <w:tcPr>
            <w:tcW w:w="1490"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204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拟在本合同任职</w:t>
            </w:r>
          </w:p>
        </w:tc>
        <w:tc>
          <w:tcPr>
            <w:tcW w:w="1422"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Layout w:type="fixed"/>
          <w:tblCellMar>
            <w:top w:w="0" w:type="dxa"/>
            <w:left w:w="108" w:type="dxa"/>
            <w:bottom w:w="0" w:type="dxa"/>
            <w:right w:w="108" w:type="dxa"/>
          </w:tblCellMar>
        </w:tblPrEx>
        <w:trPr>
          <w:trHeight w:val="600" w:hRule="atLeast"/>
          <w:jc w:val="center"/>
        </w:trPr>
        <w:tc>
          <w:tcPr>
            <w:tcW w:w="16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毕业学校</w:t>
            </w:r>
          </w:p>
        </w:tc>
        <w:tc>
          <w:tcPr>
            <w:tcW w:w="7758" w:type="dxa"/>
            <w:gridSpan w:val="7"/>
            <w:tcBorders>
              <w:top w:val="single" w:color="auto" w:sz="4" w:space="0"/>
              <w:left w:val="nil"/>
              <w:bottom w:val="single" w:color="auto" w:sz="4" w:space="0"/>
              <w:right w:val="single" w:color="auto" w:sz="4" w:space="0"/>
            </w:tcBorders>
            <w:vAlign w:val="center"/>
          </w:tcPr>
          <w:p>
            <w:pPr>
              <w:spacing w:line="360" w:lineRule="auto"/>
              <w:ind w:firstLine="840" w:firstLineChars="400"/>
              <w:rPr>
                <w:rFonts w:ascii="宋体" w:hAnsi="宋体"/>
                <w:color w:val="000000"/>
              </w:rPr>
            </w:pPr>
            <w:r>
              <w:rPr>
                <w:rFonts w:hint="eastAsia" w:ascii="宋体" w:hAnsi="宋体"/>
                <w:color w:val="000000"/>
              </w:rPr>
              <w:t>年毕业于                   学校         专业</w:t>
            </w:r>
          </w:p>
        </w:tc>
      </w:tr>
      <w:tr>
        <w:tblPrEx>
          <w:tblLayout w:type="fixed"/>
          <w:tblCellMar>
            <w:top w:w="0" w:type="dxa"/>
            <w:left w:w="108" w:type="dxa"/>
            <w:bottom w:w="0" w:type="dxa"/>
            <w:right w:w="108" w:type="dxa"/>
          </w:tblCellMar>
        </w:tblPrEx>
        <w:trPr>
          <w:trHeight w:val="613" w:hRule="atLeast"/>
          <w:jc w:val="center"/>
        </w:trPr>
        <w:tc>
          <w:tcPr>
            <w:tcW w:w="9427"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主要工作经历</w:t>
            </w:r>
          </w:p>
        </w:tc>
      </w:tr>
      <w:tr>
        <w:tblPrEx>
          <w:tblLayout w:type="fixed"/>
          <w:tblCellMar>
            <w:top w:w="0" w:type="dxa"/>
            <w:left w:w="108" w:type="dxa"/>
            <w:bottom w:w="0" w:type="dxa"/>
            <w:right w:w="108" w:type="dxa"/>
          </w:tblCellMar>
        </w:tblPrEx>
        <w:trPr>
          <w:trHeight w:val="613"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时间</w:t>
            </w:r>
          </w:p>
        </w:tc>
        <w:tc>
          <w:tcPr>
            <w:tcW w:w="4095" w:type="dxa"/>
            <w:gridSpan w:val="4"/>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参加过的项目</w:t>
            </w:r>
          </w:p>
        </w:tc>
        <w:tc>
          <w:tcPr>
            <w:tcW w:w="185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担任职务</w:t>
            </w:r>
          </w:p>
        </w:tc>
        <w:tc>
          <w:tcPr>
            <w:tcW w:w="21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发包人及联系电话</w:t>
            </w:r>
          </w:p>
        </w:tc>
      </w:tr>
      <w:tr>
        <w:tblPrEx>
          <w:tblLayout w:type="fixed"/>
          <w:tblCellMar>
            <w:top w:w="0" w:type="dxa"/>
            <w:left w:w="108" w:type="dxa"/>
            <w:bottom w:w="0" w:type="dxa"/>
            <w:right w:w="108" w:type="dxa"/>
          </w:tblCellMar>
        </w:tblPrEx>
        <w:trPr>
          <w:trHeight w:val="537" w:hRule="atLeast"/>
          <w:jc w:val="center"/>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2177"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Layout w:type="fixed"/>
          <w:tblCellMar>
            <w:top w:w="0" w:type="dxa"/>
            <w:left w:w="108" w:type="dxa"/>
            <w:bottom w:w="0" w:type="dxa"/>
            <w:right w:w="108" w:type="dxa"/>
          </w:tblCellMar>
        </w:tblPrEx>
        <w:trPr>
          <w:trHeight w:val="537" w:hRule="atLeast"/>
          <w:jc w:val="center"/>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2177"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Layout w:type="fixed"/>
          <w:tblCellMar>
            <w:top w:w="0" w:type="dxa"/>
            <w:left w:w="108" w:type="dxa"/>
            <w:bottom w:w="0" w:type="dxa"/>
            <w:right w:w="108" w:type="dxa"/>
          </w:tblCellMar>
        </w:tblPrEx>
        <w:trPr>
          <w:trHeight w:val="537" w:hRule="atLeast"/>
          <w:jc w:val="center"/>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177"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8" w:hRule="atLeast"/>
          <w:jc w:val="center"/>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177"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jc w:val="center"/>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177"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jc w:val="center"/>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177"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8" w:hRule="atLeast"/>
          <w:jc w:val="center"/>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177"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jc w:val="center"/>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177"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jc w:val="center"/>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177"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8" w:hRule="atLeast"/>
          <w:jc w:val="center"/>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177"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jc w:val="center"/>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177"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jc w:val="center"/>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177"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8" w:hRule="atLeast"/>
          <w:jc w:val="center"/>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177"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bl>
    <w:p>
      <w:pPr>
        <w:spacing w:line="360" w:lineRule="auto"/>
        <w:ind w:firstLine="420" w:firstLineChars="200"/>
        <w:rPr>
          <w:rFonts w:ascii="宋体"/>
          <w:color w:val="auto"/>
        </w:rPr>
      </w:pPr>
      <w:r>
        <w:rPr>
          <w:rFonts w:hint="eastAsia" w:ascii="宋体" w:hAnsi="宋体"/>
          <w:color w:val="auto"/>
        </w:rPr>
        <w:t>注：“主要人员简历表”中的项目经理应附身份证复印件（本人亲笔签名）、注册建造师证书复印件、安全生产考核合格证复印件、劳务合同复印件、养老保险证明复印件、管理过的项目业绩须附中标通知书（或合同协议书）和竣工验收证明文件复印件（若合同中未注明项目经理姓名者须提供建设单位出具的相关证明文件）、无在建承诺书的复印件（正本中附原件，格式自行设计，盖投标人单位章，项目经理本人亲笔签名）；技术负责人应附职称证复印件、劳务合同复印件、养老保险证明复印件、建设类执业资格证书（如有）的复印件；其他主要人员应附相关证书</w:t>
      </w:r>
      <w:r>
        <w:rPr>
          <w:rFonts w:ascii="宋体" w:hAnsi="宋体"/>
          <w:color w:val="auto"/>
        </w:rPr>
        <w:t>(</w:t>
      </w:r>
      <w:r>
        <w:rPr>
          <w:rFonts w:hint="eastAsia" w:ascii="宋体" w:hAnsi="宋体"/>
          <w:color w:val="auto"/>
        </w:rPr>
        <w:t>执业证或上岗证书</w:t>
      </w:r>
      <w:r>
        <w:rPr>
          <w:rFonts w:ascii="宋体" w:hAnsi="宋体"/>
          <w:color w:val="auto"/>
        </w:rPr>
        <w:t>)</w:t>
      </w:r>
      <w:r>
        <w:rPr>
          <w:rFonts w:hint="eastAsia" w:ascii="宋体" w:hAnsi="宋体"/>
          <w:color w:val="auto"/>
        </w:rPr>
        <w:t>等复印件。</w:t>
      </w:r>
    </w:p>
    <w:p>
      <w:pPr>
        <w:widowControl/>
        <w:spacing w:line="360" w:lineRule="auto"/>
        <w:jc w:val="left"/>
        <w:rPr>
          <w:rFonts w:ascii="宋体" w:hAnsi="宋体" w:cs="宋体"/>
          <w:b/>
          <w:bCs/>
          <w:color w:val="000000"/>
          <w:kern w:val="0"/>
          <w:sz w:val="32"/>
          <w:szCs w:val="32"/>
        </w:rPr>
      </w:pPr>
    </w:p>
    <w:p>
      <w:pPr>
        <w:pStyle w:val="2"/>
        <w:ind w:firstLine="210"/>
        <w:sectPr>
          <w:pgSz w:w="11906" w:h="16838"/>
          <w:pgMar w:top="1418" w:right="1134" w:bottom="1418" w:left="1134" w:header="720" w:footer="720" w:gutter="0"/>
          <w:pgNumType w:fmt="decimal"/>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954" w:name="_Toc30496"/>
      <w:bookmarkEnd w:id="954"/>
      <w:bookmarkStart w:id="955" w:name="_Toc2475"/>
      <w:bookmarkEnd w:id="955"/>
      <w:bookmarkStart w:id="956" w:name="_Toc283382033"/>
      <w:bookmarkEnd w:id="956"/>
      <w:bookmarkStart w:id="957" w:name="_Toc20002"/>
      <w:bookmarkEnd w:id="957"/>
      <w:bookmarkStart w:id="958" w:name="_Toc7766"/>
      <w:bookmarkEnd w:id="958"/>
      <w:bookmarkStart w:id="959" w:name="_Toc365311695"/>
      <w:bookmarkEnd w:id="959"/>
      <w:bookmarkStart w:id="960" w:name="_Toc184635147"/>
      <w:bookmarkEnd w:id="960"/>
      <w:bookmarkStart w:id="961" w:name="_Toc370458224"/>
      <w:bookmarkEnd w:id="961"/>
      <w:bookmarkStart w:id="962" w:name="_Toc18720"/>
      <w:bookmarkStart w:id="963" w:name="_Toc503873716"/>
      <w:bookmarkStart w:id="964" w:name="_Toc503434001"/>
      <w:r>
        <w:rPr>
          <w:rFonts w:hint="eastAsia" w:ascii="宋体" w:hAnsi="宋体"/>
          <w:b/>
          <w:bCs/>
          <w:color w:val="000000"/>
          <w:kern w:val="0"/>
          <w:sz w:val="32"/>
          <w:szCs w:val="32"/>
        </w:rPr>
        <w:t>八、资格审查资料</w:t>
      </w:r>
      <w:bookmarkEnd w:id="962"/>
      <w:bookmarkEnd w:id="963"/>
      <w:bookmarkEnd w:id="964"/>
    </w:p>
    <w:p>
      <w:pPr>
        <w:spacing w:line="360" w:lineRule="auto"/>
        <w:jc w:val="center"/>
        <w:outlineLvl w:val="3"/>
        <w:rPr>
          <w:rFonts w:ascii="宋体" w:hAnsi="宋体"/>
          <w:b/>
          <w:bCs/>
          <w:color w:val="000000"/>
          <w:sz w:val="28"/>
          <w:szCs w:val="28"/>
        </w:rPr>
      </w:pPr>
      <w:bookmarkStart w:id="965" w:name="_Toc370458225"/>
      <w:bookmarkEnd w:id="965"/>
      <w:r>
        <w:rPr>
          <w:rFonts w:hint="eastAsia" w:ascii="宋体" w:hAnsi="宋体"/>
          <w:b/>
          <w:bCs/>
          <w:color w:val="000000"/>
          <w:sz w:val="28"/>
          <w:szCs w:val="28"/>
        </w:rPr>
        <w:t>（一）投标人基本情况表</w:t>
      </w:r>
    </w:p>
    <w:tbl>
      <w:tblPr>
        <w:tblStyle w:val="15"/>
        <w:tblW w:w="8420" w:type="dxa"/>
        <w:jc w:val="center"/>
        <w:tblInd w:w="80" w:type="dxa"/>
        <w:tblLayout w:type="fixed"/>
        <w:tblCellMar>
          <w:top w:w="0" w:type="dxa"/>
          <w:left w:w="28" w:type="dxa"/>
          <w:bottom w:w="0" w:type="dxa"/>
          <w:right w:w="28" w:type="dxa"/>
        </w:tblCellMar>
      </w:tblPr>
      <w:tblGrid>
        <w:gridCol w:w="1749"/>
        <w:gridCol w:w="951"/>
        <w:gridCol w:w="1593"/>
        <w:gridCol w:w="632"/>
        <w:gridCol w:w="474"/>
        <w:gridCol w:w="962"/>
        <w:gridCol w:w="157"/>
        <w:gridCol w:w="638"/>
        <w:gridCol w:w="1264"/>
      </w:tblGrid>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投标人名称</w:t>
            </w:r>
          </w:p>
        </w:tc>
        <w:tc>
          <w:tcPr>
            <w:tcW w:w="6671" w:type="dxa"/>
            <w:gridSpan w:val="8"/>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注册地址</w:t>
            </w:r>
          </w:p>
        </w:tc>
        <w:tc>
          <w:tcPr>
            <w:tcW w:w="3650" w:type="dxa"/>
            <w:gridSpan w:val="4"/>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9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邮政编码</w:t>
            </w:r>
          </w:p>
        </w:tc>
        <w:tc>
          <w:tcPr>
            <w:tcW w:w="205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联系方式</w:t>
            </w: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联系人</w:t>
            </w:r>
          </w:p>
        </w:tc>
        <w:tc>
          <w:tcPr>
            <w:tcW w:w="269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9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电话</w:t>
            </w:r>
          </w:p>
        </w:tc>
        <w:tc>
          <w:tcPr>
            <w:tcW w:w="205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传真</w:t>
            </w:r>
          </w:p>
        </w:tc>
        <w:tc>
          <w:tcPr>
            <w:tcW w:w="269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9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网址</w:t>
            </w:r>
          </w:p>
        </w:tc>
        <w:tc>
          <w:tcPr>
            <w:tcW w:w="205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组织结构</w:t>
            </w:r>
          </w:p>
        </w:tc>
        <w:tc>
          <w:tcPr>
            <w:tcW w:w="6671" w:type="dxa"/>
            <w:gridSpan w:val="8"/>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法定代表人</w:t>
            </w: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姓名</w:t>
            </w:r>
          </w:p>
        </w:tc>
        <w:tc>
          <w:tcPr>
            <w:tcW w:w="159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110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技术职称</w:t>
            </w:r>
          </w:p>
        </w:tc>
        <w:tc>
          <w:tcPr>
            <w:tcW w:w="111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电话</w:t>
            </w:r>
          </w:p>
        </w:tc>
        <w:tc>
          <w:tcPr>
            <w:tcW w:w="126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技术负责人</w:t>
            </w: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姓名</w:t>
            </w:r>
          </w:p>
        </w:tc>
        <w:tc>
          <w:tcPr>
            <w:tcW w:w="159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110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技术职称</w:t>
            </w:r>
          </w:p>
        </w:tc>
        <w:tc>
          <w:tcPr>
            <w:tcW w:w="111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电话</w:t>
            </w:r>
          </w:p>
        </w:tc>
        <w:tc>
          <w:tcPr>
            <w:tcW w:w="126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成立时间</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4127" w:type="dxa"/>
            <w:gridSpan w:val="6"/>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员工总人数：</w:t>
            </w: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企业资质等级</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restart"/>
            <w:tcBorders>
              <w:top w:val="nil"/>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其中</w:t>
            </w: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项目负责人</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营业执照号</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高级职称人员</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注册资金</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中级职称人员</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开户银行</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初级职称人员</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账号</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技工</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3305"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经营范围备注</w:t>
            </w:r>
          </w:p>
        </w:tc>
        <w:tc>
          <w:tcPr>
            <w:tcW w:w="6671" w:type="dxa"/>
            <w:gridSpan w:val="8"/>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hAnsi="宋体"/>
                <w:color w:val="000000"/>
              </w:rPr>
            </w:pPr>
          </w:p>
        </w:tc>
      </w:tr>
    </w:tbl>
    <w:p>
      <w:pPr>
        <w:ind w:firstLine="420" w:firstLineChars="200"/>
      </w:pPr>
      <w:r>
        <w:rPr>
          <w:rFonts w:hint="eastAsia"/>
        </w:rPr>
        <w:t>注：附企业法人营业执照副本、税务登记证副本、组织机构代码证副本或带有统一社会信用代码的营业执照副本复印件、资质证书副本的复印件、安全生产许可证副本的复印件、基本账户开户许可证的复印件、委托代理人隶属关系证明复印件以及投标人应提供的其他资格证明文件的复印件。所有复印件均须逐页加盖单位公章。</w:t>
      </w:r>
    </w:p>
    <w:p>
      <w:pPr>
        <w:spacing w:line="360" w:lineRule="auto"/>
        <w:ind w:firstLine="3306" w:firstLineChars="1372"/>
        <w:rPr>
          <w:rFonts w:ascii="宋体" w:hAnsi="宋体"/>
          <w:b/>
          <w:bCs/>
          <w:color w:val="000000"/>
          <w:sz w:val="24"/>
          <w:szCs w:val="24"/>
        </w:rPr>
      </w:pPr>
      <w:r>
        <w:rPr>
          <w:rFonts w:hint="eastAsia" w:ascii="宋体" w:hAnsi="宋体"/>
          <w:b/>
          <w:bCs/>
          <w:color w:val="000000"/>
          <w:sz w:val="24"/>
          <w:szCs w:val="24"/>
        </w:rPr>
        <w:br w:type="page"/>
      </w:r>
      <w:bookmarkStart w:id="966" w:name="_Toc370458226"/>
      <w:bookmarkEnd w:id="966"/>
      <w:bookmarkStart w:id="967" w:name="_Toc263865838"/>
    </w:p>
    <w:p>
      <w:pPr>
        <w:spacing w:line="360" w:lineRule="auto"/>
        <w:ind w:firstLine="3306" w:firstLineChars="1372"/>
        <w:rPr>
          <w:rFonts w:ascii="宋体" w:hAnsi="宋体"/>
          <w:b/>
          <w:bCs/>
          <w:color w:val="000000"/>
          <w:sz w:val="24"/>
          <w:szCs w:val="24"/>
        </w:rPr>
      </w:pPr>
    </w:p>
    <w:p>
      <w:pPr>
        <w:spacing w:line="360" w:lineRule="auto"/>
        <w:jc w:val="center"/>
        <w:rPr>
          <w:rFonts w:ascii="宋体" w:hAnsi="宋体"/>
          <w:b/>
          <w:bCs/>
          <w:color w:val="000000"/>
          <w:sz w:val="30"/>
          <w:szCs w:val="30"/>
        </w:rPr>
      </w:pPr>
      <w:r>
        <w:rPr>
          <w:rFonts w:hint="eastAsia" w:ascii="宋体" w:hAnsi="宋体"/>
          <w:b/>
          <w:bCs/>
          <w:color w:val="000000"/>
          <w:sz w:val="30"/>
          <w:szCs w:val="30"/>
        </w:rPr>
        <w:t>（二）近年财务状况</w:t>
      </w:r>
      <w:bookmarkEnd w:id="967"/>
    </w:p>
    <w:p>
      <w:pPr>
        <w:spacing w:line="360" w:lineRule="auto"/>
        <w:ind w:firstLine="420" w:firstLineChars="200"/>
        <w:jc w:val="left"/>
        <w:rPr>
          <w:rFonts w:ascii="宋体" w:hAnsi="宋体"/>
          <w:color w:val="000000"/>
        </w:rPr>
      </w:pPr>
      <w:bookmarkStart w:id="968" w:name="_Toc311050043"/>
      <w:bookmarkEnd w:id="968"/>
      <w:bookmarkStart w:id="969" w:name="_Toc312763778"/>
      <w:bookmarkEnd w:id="969"/>
      <w:bookmarkStart w:id="970" w:name="_Toc318132065"/>
      <w:r>
        <w:rPr>
          <w:rFonts w:hint="eastAsia" w:ascii="宋体" w:hAnsi="宋体"/>
          <w:color w:val="000000"/>
        </w:rPr>
        <w:t>在此附经会计事务所或审计机构出具的财务审计报告（财务会计报表），具体年份要求见投标人须知前附表。</w:t>
      </w:r>
      <w:bookmarkEnd w:id="970"/>
    </w:p>
    <w:p>
      <w:pPr>
        <w:spacing w:line="360" w:lineRule="auto"/>
        <w:jc w:val="center"/>
        <w:outlineLvl w:val="3"/>
        <w:rPr>
          <w:rFonts w:ascii="宋体" w:hAnsi="宋体"/>
          <w:b/>
          <w:bCs/>
          <w:color w:val="000000"/>
          <w:sz w:val="30"/>
          <w:szCs w:val="30"/>
        </w:rPr>
      </w:pPr>
      <w:r>
        <w:rPr>
          <w:rFonts w:hint="eastAsia" w:ascii="宋体" w:hAnsi="宋体"/>
          <w:b/>
          <w:bCs/>
          <w:color w:val="000000"/>
        </w:rPr>
        <w:br w:type="page"/>
      </w:r>
      <w:bookmarkStart w:id="971" w:name="_Toc370458227"/>
      <w:bookmarkEnd w:id="971"/>
      <w:r>
        <w:rPr>
          <w:rFonts w:hint="eastAsia" w:ascii="宋体" w:hAnsi="宋体"/>
          <w:b/>
          <w:bCs/>
          <w:color w:val="000000"/>
          <w:sz w:val="30"/>
          <w:szCs w:val="30"/>
        </w:rPr>
        <w:t>（三）近年完成的项目情况表</w:t>
      </w:r>
    </w:p>
    <w:tbl>
      <w:tblPr>
        <w:tblStyle w:val="15"/>
        <w:tblW w:w="8420" w:type="dxa"/>
        <w:jc w:val="center"/>
        <w:tblInd w:w="0" w:type="dxa"/>
        <w:tblLayout w:type="fixed"/>
        <w:tblCellMar>
          <w:top w:w="0" w:type="dxa"/>
          <w:left w:w="108" w:type="dxa"/>
          <w:bottom w:w="0" w:type="dxa"/>
          <w:right w:w="108" w:type="dxa"/>
        </w:tblCellMar>
      </w:tblPr>
      <w:tblGrid>
        <w:gridCol w:w="2599"/>
        <w:gridCol w:w="5821"/>
      </w:tblGrid>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项目名称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项目所在地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发包人名称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发包人地址</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发包人电话</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合同价格</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开工日期</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竣工日期</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承担的工作</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工程质量</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项目经理</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总监理工程师及电话</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1901"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项目描述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40"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备注</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bl>
    <w:p>
      <w:pPr>
        <w:autoSpaceDE w:val="0"/>
        <w:autoSpaceDN w:val="0"/>
        <w:adjustRightInd w:val="0"/>
        <w:spacing w:line="360" w:lineRule="auto"/>
        <w:ind w:firstLine="420" w:firstLineChars="200"/>
        <w:jc w:val="left"/>
        <w:rPr>
          <w:rFonts w:ascii="宋体" w:cs="仿宋_GB2312"/>
          <w:color w:val="000000"/>
          <w:kern w:val="0"/>
        </w:rPr>
      </w:pPr>
      <w:r>
        <w:rPr>
          <w:rFonts w:hint="eastAsia" w:ascii="宋体" w:hAnsi="宋体"/>
          <w:color w:val="000000"/>
          <w:kern w:val="0"/>
        </w:rPr>
        <w:t>本表后须</w:t>
      </w:r>
      <w:r>
        <w:rPr>
          <w:rFonts w:hint="eastAsia" w:ascii="宋体" w:hAnsi="宋体"/>
          <w:color w:val="000000"/>
        </w:rPr>
        <w:t>附</w:t>
      </w:r>
      <w:r>
        <w:rPr>
          <w:rFonts w:hint="eastAsia" w:ascii="宋体" w:hAnsi="宋体"/>
        </w:rPr>
        <w:t>中标通知书（或合同协议件）和竣工验收备案材料</w:t>
      </w:r>
      <w:r>
        <w:rPr>
          <w:rFonts w:hint="eastAsia" w:ascii="宋体" w:hAnsi="宋体"/>
          <w:color w:val="000000"/>
        </w:rPr>
        <w:t>，具体年份要求见投标人须知前附表。</w:t>
      </w:r>
    </w:p>
    <w:p>
      <w:pPr>
        <w:autoSpaceDE w:val="0"/>
        <w:autoSpaceDN w:val="0"/>
        <w:adjustRightInd w:val="0"/>
        <w:spacing w:line="360" w:lineRule="auto"/>
        <w:jc w:val="left"/>
        <w:rPr>
          <w:rFonts w:ascii="宋体" w:hAnsi="宋体" w:cs="仿宋_GB2312"/>
          <w:color w:val="000000"/>
          <w:kern w:val="0"/>
        </w:rPr>
      </w:pPr>
    </w:p>
    <w:p>
      <w:pPr>
        <w:autoSpaceDE w:val="0"/>
        <w:autoSpaceDN w:val="0"/>
        <w:adjustRightInd w:val="0"/>
        <w:spacing w:line="360" w:lineRule="auto"/>
        <w:jc w:val="left"/>
        <w:rPr>
          <w:rFonts w:ascii="宋体" w:hAnsi="宋体" w:cs="TimesNewRomanPSMT"/>
          <w:color w:val="000000"/>
          <w:kern w:val="0"/>
        </w:rPr>
      </w:pPr>
    </w:p>
    <w:p>
      <w:pPr>
        <w:spacing w:line="360" w:lineRule="auto"/>
        <w:jc w:val="center"/>
        <w:outlineLvl w:val="3"/>
        <w:rPr>
          <w:rFonts w:ascii="宋体" w:hAnsi="宋体"/>
          <w:b/>
          <w:bCs/>
          <w:color w:val="000000"/>
          <w:sz w:val="24"/>
          <w:szCs w:val="24"/>
        </w:rPr>
      </w:pPr>
      <w:bookmarkStart w:id="972" w:name="_Toc263865839"/>
      <w:bookmarkEnd w:id="972"/>
      <w:bookmarkStart w:id="973" w:name="_Toc311050044"/>
      <w:bookmarkEnd w:id="973"/>
      <w:bookmarkStart w:id="974" w:name="_Toc312763779"/>
      <w:bookmarkEnd w:id="974"/>
      <w:bookmarkStart w:id="975" w:name="_Toc318132066"/>
      <w:r>
        <w:rPr>
          <w:rFonts w:hint="eastAsia" w:ascii="宋体" w:hAnsi="宋体"/>
          <w:b/>
          <w:bCs/>
          <w:color w:val="000000"/>
          <w:sz w:val="24"/>
          <w:szCs w:val="24"/>
        </w:rPr>
        <w:br w:type="page"/>
      </w:r>
      <w:bookmarkEnd w:id="975"/>
      <w:bookmarkStart w:id="976" w:name="_Toc370458228"/>
      <w:bookmarkEnd w:id="976"/>
      <w:r>
        <w:rPr>
          <w:rFonts w:hint="eastAsia" w:ascii="宋体" w:hAnsi="宋体"/>
          <w:b/>
          <w:bCs/>
          <w:color w:val="000000"/>
          <w:sz w:val="30"/>
          <w:szCs w:val="30"/>
        </w:rPr>
        <w:t>（四）正在施工的和新承接的项目情况表</w:t>
      </w:r>
    </w:p>
    <w:tbl>
      <w:tblPr>
        <w:tblStyle w:val="15"/>
        <w:tblW w:w="8560" w:type="dxa"/>
        <w:jc w:val="center"/>
        <w:tblInd w:w="0" w:type="dxa"/>
        <w:tblLayout w:type="fixed"/>
        <w:tblCellMar>
          <w:top w:w="0" w:type="dxa"/>
          <w:left w:w="108" w:type="dxa"/>
          <w:bottom w:w="0" w:type="dxa"/>
          <w:right w:w="108" w:type="dxa"/>
        </w:tblCellMar>
      </w:tblPr>
      <w:tblGrid>
        <w:gridCol w:w="2593"/>
        <w:gridCol w:w="5967"/>
      </w:tblGrid>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项目名称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项目所在地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发包人名称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发包人地址</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发包人电话</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签约合同价</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开工日期</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计划竣工日期</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承担的工作</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工程质量</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项目经理</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总监理工程师及电话</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2074"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项目描述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20"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备注</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bl>
    <w:p>
      <w:pPr>
        <w:spacing w:line="360" w:lineRule="auto"/>
        <w:ind w:firstLine="420" w:firstLineChars="200"/>
        <w:rPr>
          <w:rFonts w:ascii="宋体" w:hAnsi="宋体"/>
          <w:b/>
          <w:bCs/>
          <w:color w:val="000000"/>
        </w:rPr>
      </w:pPr>
      <w:r>
        <w:rPr>
          <w:rFonts w:hint="eastAsia" w:ascii="宋体" w:hAnsi="宋体"/>
          <w:color w:val="000000"/>
          <w:kern w:val="0"/>
        </w:rPr>
        <w:t>本表后须附相应的中标通知书或合同协议书的复印件。</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outlineLvl w:val="3"/>
        <w:rPr>
          <w:rFonts w:ascii="宋体" w:hAnsi="宋体"/>
          <w:b/>
          <w:bCs/>
          <w:color w:val="000000"/>
          <w:sz w:val="30"/>
          <w:szCs w:val="30"/>
        </w:rPr>
      </w:pPr>
      <w:r>
        <w:rPr>
          <w:rFonts w:hint="eastAsia" w:ascii="宋体" w:hAnsi="宋体"/>
          <w:b/>
          <w:bCs/>
          <w:color w:val="000000"/>
          <w:sz w:val="30"/>
          <w:szCs w:val="30"/>
        </w:rPr>
        <w:br w:type="page"/>
      </w:r>
      <w:bookmarkStart w:id="977" w:name="_Toc370458229"/>
      <w:bookmarkEnd w:id="977"/>
    </w:p>
    <w:p>
      <w:pPr>
        <w:spacing w:line="360" w:lineRule="auto"/>
        <w:jc w:val="center"/>
        <w:outlineLvl w:val="3"/>
        <w:rPr>
          <w:rFonts w:ascii="宋体" w:hAnsi="宋体"/>
          <w:b/>
          <w:bCs/>
          <w:color w:val="000000"/>
          <w:sz w:val="30"/>
          <w:szCs w:val="30"/>
        </w:rPr>
      </w:pPr>
    </w:p>
    <w:p>
      <w:pPr>
        <w:spacing w:line="360" w:lineRule="auto"/>
        <w:jc w:val="center"/>
        <w:outlineLvl w:val="3"/>
        <w:rPr>
          <w:rFonts w:ascii="宋体" w:hAnsi="宋体"/>
          <w:b/>
          <w:bCs/>
          <w:color w:val="000000"/>
          <w:sz w:val="30"/>
          <w:szCs w:val="30"/>
        </w:rPr>
      </w:pPr>
      <w:r>
        <w:rPr>
          <w:rFonts w:hint="eastAsia" w:ascii="宋体" w:hAnsi="宋体"/>
          <w:b/>
          <w:bCs/>
          <w:color w:val="000000"/>
          <w:sz w:val="30"/>
          <w:szCs w:val="30"/>
        </w:rPr>
        <w:t xml:space="preserve">（五）近年发生的诉讼及仲裁情况 </w:t>
      </w:r>
    </w:p>
    <w:p>
      <w:pPr>
        <w:spacing w:line="360" w:lineRule="auto"/>
        <w:rPr>
          <w:rFonts w:ascii="宋体" w:hAnsi="宋体"/>
          <w:color w:val="000000"/>
        </w:rPr>
      </w:pPr>
    </w:p>
    <w:p>
      <w:pPr>
        <w:spacing w:line="360" w:lineRule="auto"/>
        <w:rPr>
          <w:rFonts w:ascii="宋体" w:hAnsi="宋体"/>
          <w:color w:val="000000"/>
        </w:rPr>
      </w:pPr>
      <w:r>
        <w:rPr>
          <w:rFonts w:hint="eastAsia" w:ascii="宋体" w:hAnsi="宋体"/>
          <w:color w:val="000000"/>
        </w:rPr>
        <w:t>说明：1.近年发生的诉讼和仲裁情况仅限于投标人败诉的，且与履行合同有关的案件，不包括调解结案以及未裁决的仲裁或未终审判决的诉讼。</w:t>
      </w:r>
    </w:p>
    <w:p>
      <w:pPr>
        <w:spacing w:line="360" w:lineRule="auto"/>
        <w:ind w:firstLine="630" w:firstLineChars="300"/>
        <w:rPr>
          <w:rFonts w:ascii="宋体" w:hAnsi="宋体"/>
          <w:color w:val="000000"/>
        </w:rPr>
      </w:pPr>
      <w:r>
        <w:rPr>
          <w:rFonts w:hint="eastAsia" w:ascii="宋体" w:hAnsi="宋体"/>
          <w:color w:val="000000"/>
        </w:rPr>
        <w:t>2.具体年份要求见投标人须知前附表。</w:t>
      </w:r>
    </w:p>
    <w:p>
      <w:pPr>
        <w:spacing w:line="360" w:lineRule="auto"/>
        <w:ind w:firstLine="630" w:firstLineChars="300"/>
        <w:rPr>
          <w:rFonts w:ascii="宋体" w:hAnsi="宋体"/>
          <w:b/>
          <w:bCs/>
          <w:color w:val="000000"/>
          <w:kern w:val="0"/>
          <w:sz w:val="32"/>
          <w:szCs w:val="32"/>
        </w:rPr>
      </w:pPr>
      <w:r>
        <w:rPr>
          <w:rFonts w:hint="eastAsia" w:ascii="宋体" w:hAnsi="宋体"/>
          <w:color w:val="000000"/>
        </w:rPr>
        <w:t>3.若投标人近年无诉讼及仲裁情况，此部分内容写“无”即可。</w:t>
      </w:r>
      <w:bookmarkStart w:id="978" w:name="_Toc23947"/>
      <w:bookmarkEnd w:id="978"/>
      <w:bookmarkStart w:id="979" w:name="_Toc283382035"/>
      <w:bookmarkEnd w:id="979"/>
      <w:bookmarkStart w:id="980" w:name="_Toc4170"/>
      <w:bookmarkEnd w:id="980"/>
      <w:bookmarkStart w:id="981" w:name="_Toc23014"/>
      <w:bookmarkEnd w:id="981"/>
      <w:bookmarkStart w:id="982" w:name="_Toc370458230"/>
      <w:bookmarkEnd w:id="982"/>
      <w:bookmarkStart w:id="983" w:name="_Toc31236"/>
      <w:bookmarkEnd w:id="983"/>
      <w:bookmarkStart w:id="984" w:name="_Toc27915"/>
      <w:bookmarkStart w:id="985" w:name="_Toc503434002"/>
    </w:p>
    <w:p>
      <w:pPr>
        <w:widowControl/>
        <w:jc w:val="left"/>
        <w:rPr>
          <w:rFonts w:ascii="宋体" w:hAnsi="宋体"/>
          <w:b/>
          <w:bCs/>
          <w:color w:val="000000"/>
          <w:kern w:val="0"/>
          <w:sz w:val="32"/>
          <w:szCs w:val="32"/>
        </w:rPr>
      </w:pPr>
      <w:r>
        <w:rPr>
          <w:rFonts w:ascii="宋体" w:hAnsi="宋体"/>
          <w:b/>
          <w:bCs/>
          <w:color w:val="000000"/>
          <w:kern w:val="0"/>
          <w:sz w:val="32"/>
          <w:szCs w:val="32"/>
        </w:rPr>
        <w:br w:type="page"/>
      </w:r>
    </w:p>
    <w:p>
      <w:pPr>
        <w:spacing w:line="360" w:lineRule="auto"/>
        <w:jc w:val="center"/>
        <w:rPr>
          <w:rFonts w:ascii="宋体" w:hAnsi="宋体"/>
          <w:b/>
          <w:bCs/>
          <w:color w:val="000000"/>
          <w:kern w:val="0"/>
          <w:sz w:val="32"/>
          <w:szCs w:val="32"/>
        </w:rPr>
      </w:pPr>
    </w:p>
    <w:p>
      <w:pPr>
        <w:spacing w:line="360" w:lineRule="auto"/>
        <w:jc w:val="center"/>
        <w:rPr>
          <w:rFonts w:ascii="宋体" w:hAnsi="宋体"/>
          <w:color w:val="000000"/>
        </w:rPr>
      </w:pPr>
      <w:r>
        <w:rPr>
          <w:rFonts w:hint="eastAsia" w:ascii="宋体" w:hAnsi="宋体"/>
          <w:b/>
          <w:bCs/>
          <w:color w:val="000000"/>
          <w:kern w:val="0"/>
          <w:sz w:val="32"/>
          <w:szCs w:val="32"/>
        </w:rPr>
        <w:t>九、投标人应提供的其他材料</w:t>
      </w:r>
      <w:bookmarkEnd w:id="984"/>
      <w:bookmarkEnd w:id="985"/>
    </w:p>
    <w:p>
      <w:pPr>
        <w:spacing w:line="360" w:lineRule="auto"/>
        <w:ind w:firstLine="420" w:firstLineChars="200"/>
        <w:jc w:val="left"/>
      </w:pPr>
    </w:p>
    <w:p>
      <w:pPr>
        <w:spacing w:line="360" w:lineRule="auto"/>
        <w:ind w:firstLine="420" w:firstLineChars="200"/>
        <w:jc w:val="left"/>
      </w:pPr>
      <w:r>
        <w:rPr>
          <w:rFonts w:hint="eastAsia"/>
        </w:rPr>
        <w:t>（一）服务承诺</w:t>
      </w:r>
    </w:p>
    <w:p>
      <w:pPr>
        <w:spacing w:line="360" w:lineRule="auto"/>
        <w:ind w:firstLine="420" w:firstLineChars="200"/>
        <w:jc w:val="left"/>
      </w:pPr>
      <w:r>
        <w:rPr>
          <w:rFonts w:hint="eastAsia"/>
        </w:rPr>
        <w:t>（二）投标人认为需要提交的其他资料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pBdr>
      <w:rPr>
        <w:rFonts w:ascii="宋体" w:hAnsi="宋体"/>
        <w:sz w:val="21"/>
        <w:szCs w:val="21"/>
      </w:rPr>
    </w:pPr>
    <w:r>
      <w:rPr>
        <w:sz w:val="21"/>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sz w:val="18"/>
      </w:rPr>
      <w:pict>
        <v:shape id="_x0000_s4102" o:spid="_x0000_s410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10"/>
      <w:pBdr>
        <w:top w:val="none" w:color="auto" w:sz="0" w:space="1"/>
      </w:pBdr>
      <w:rPr>
        <w:rFonts w:ascii="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148"/>
        <w:tab w:val="right" w:pos="8306"/>
      </w:tabs>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v:imagedata o:title=""/>
          <o:lock v:ext="edit" aspectratio="f"/>
          <v:textbox inset="0mm,0mm,0mm,0mm" style="mso-fit-shape-to-text:t;">
            <w:txbxContent>
              <w:p>
                <w:pPr>
                  <w:pStyle w:val="10"/>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r>
      <w:pict>
        <v:shape id="文本框 4" o:spid="_x0000_s410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path/>
          <v:fill on="f" focussize="0,0"/>
          <v:stroke on="f"/>
          <v:imagedata o:title=""/>
          <o:lock v:ext="edit" aspectratio="f"/>
          <v:textbox inset="0mm,0mm,0mm,0mm" style="mso-fit-shape-to-text:t;">
            <w:txbxContent>
              <w:p>
                <w:pPr>
                  <w:pStyle w:val="10"/>
                  <w:tabs>
                    <w:tab w:val="center" w:pos="4153"/>
                    <w:tab w:val="right" w:pos="8306"/>
                  </w:tabs>
                  <w:rPr>
                    <w:rFonts w:hint="eastAsia"/>
                  </w:rPr>
                </w:pP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BEFEFB"/>
    <w:multiLevelType w:val="multilevel"/>
    <w:tmpl w:val="C6BEFEFB"/>
    <w:lvl w:ilvl="0" w:tentative="0">
      <w:start w:val="3"/>
      <w:numFmt w:val="decimal"/>
      <w:lvlText w:val="%1."/>
      <w:lvlJc w:val="left"/>
      <w:pPr>
        <w:tabs>
          <w:tab w:val="left" w:pos="312"/>
        </w:tabs>
      </w:p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52428"/>
    <w:rsid w:val="0002017F"/>
    <w:rsid w:val="000467A1"/>
    <w:rsid w:val="00047EAC"/>
    <w:rsid w:val="0006231E"/>
    <w:rsid w:val="000675B7"/>
    <w:rsid w:val="00086123"/>
    <w:rsid w:val="000F3492"/>
    <w:rsid w:val="000F443D"/>
    <w:rsid w:val="00104E64"/>
    <w:rsid w:val="00105576"/>
    <w:rsid w:val="00105CDE"/>
    <w:rsid w:val="00110693"/>
    <w:rsid w:val="001171FF"/>
    <w:rsid w:val="0014014E"/>
    <w:rsid w:val="001543A6"/>
    <w:rsid w:val="0019593F"/>
    <w:rsid w:val="001C0D22"/>
    <w:rsid w:val="001D3FE6"/>
    <w:rsid w:val="001E571F"/>
    <w:rsid w:val="00200CAC"/>
    <w:rsid w:val="0020185D"/>
    <w:rsid w:val="00237145"/>
    <w:rsid w:val="00250E0F"/>
    <w:rsid w:val="00263AF4"/>
    <w:rsid w:val="00281F46"/>
    <w:rsid w:val="00291C12"/>
    <w:rsid w:val="002A4D9F"/>
    <w:rsid w:val="002A5689"/>
    <w:rsid w:val="002F4565"/>
    <w:rsid w:val="00305904"/>
    <w:rsid w:val="003158C0"/>
    <w:rsid w:val="00325093"/>
    <w:rsid w:val="00326DA2"/>
    <w:rsid w:val="00357B94"/>
    <w:rsid w:val="00364787"/>
    <w:rsid w:val="003C2E19"/>
    <w:rsid w:val="003D7CA6"/>
    <w:rsid w:val="003F2CD2"/>
    <w:rsid w:val="00407C2B"/>
    <w:rsid w:val="00407FB2"/>
    <w:rsid w:val="004238CA"/>
    <w:rsid w:val="00434182"/>
    <w:rsid w:val="004562D7"/>
    <w:rsid w:val="00461E6C"/>
    <w:rsid w:val="0049761C"/>
    <w:rsid w:val="004A0059"/>
    <w:rsid w:val="004C57EC"/>
    <w:rsid w:val="004D1A5C"/>
    <w:rsid w:val="004D263F"/>
    <w:rsid w:val="004D7D10"/>
    <w:rsid w:val="004E06A0"/>
    <w:rsid w:val="00506A44"/>
    <w:rsid w:val="00521A8E"/>
    <w:rsid w:val="00545269"/>
    <w:rsid w:val="00551AD9"/>
    <w:rsid w:val="0057084A"/>
    <w:rsid w:val="00577208"/>
    <w:rsid w:val="00580A34"/>
    <w:rsid w:val="005A349B"/>
    <w:rsid w:val="005C4B57"/>
    <w:rsid w:val="005D3346"/>
    <w:rsid w:val="005E5B91"/>
    <w:rsid w:val="005F1D86"/>
    <w:rsid w:val="00611C33"/>
    <w:rsid w:val="00617150"/>
    <w:rsid w:val="006218E0"/>
    <w:rsid w:val="00622F5A"/>
    <w:rsid w:val="00625074"/>
    <w:rsid w:val="00634FD8"/>
    <w:rsid w:val="006554C3"/>
    <w:rsid w:val="00666A32"/>
    <w:rsid w:val="006806FB"/>
    <w:rsid w:val="00694149"/>
    <w:rsid w:val="006A018C"/>
    <w:rsid w:val="006C6661"/>
    <w:rsid w:val="006D1FC0"/>
    <w:rsid w:val="006F312D"/>
    <w:rsid w:val="00703664"/>
    <w:rsid w:val="00714BB6"/>
    <w:rsid w:val="00716163"/>
    <w:rsid w:val="00743280"/>
    <w:rsid w:val="00746D14"/>
    <w:rsid w:val="00756DC1"/>
    <w:rsid w:val="00780AF7"/>
    <w:rsid w:val="007A2600"/>
    <w:rsid w:val="007B04B1"/>
    <w:rsid w:val="007E7E64"/>
    <w:rsid w:val="007F4ED0"/>
    <w:rsid w:val="007F5D84"/>
    <w:rsid w:val="007F5E87"/>
    <w:rsid w:val="00835F48"/>
    <w:rsid w:val="00841AE7"/>
    <w:rsid w:val="00856A48"/>
    <w:rsid w:val="00886872"/>
    <w:rsid w:val="008C2440"/>
    <w:rsid w:val="008C2F6E"/>
    <w:rsid w:val="008E1B5E"/>
    <w:rsid w:val="008E5D71"/>
    <w:rsid w:val="008F3325"/>
    <w:rsid w:val="009111F0"/>
    <w:rsid w:val="00914457"/>
    <w:rsid w:val="009162FF"/>
    <w:rsid w:val="00922018"/>
    <w:rsid w:val="0092310A"/>
    <w:rsid w:val="009247B0"/>
    <w:rsid w:val="009256D7"/>
    <w:rsid w:val="009315A0"/>
    <w:rsid w:val="00967481"/>
    <w:rsid w:val="009B382E"/>
    <w:rsid w:val="009F4FB3"/>
    <w:rsid w:val="00A06661"/>
    <w:rsid w:val="00A216A9"/>
    <w:rsid w:val="00A357F0"/>
    <w:rsid w:val="00A60E24"/>
    <w:rsid w:val="00A65048"/>
    <w:rsid w:val="00A77A25"/>
    <w:rsid w:val="00A806BC"/>
    <w:rsid w:val="00AA10A0"/>
    <w:rsid w:val="00AB16DF"/>
    <w:rsid w:val="00AC4FFF"/>
    <w:rsid w:val="00AC5903"/>
    <w:rsid w:val="00AE79B6"/>
    <w:rsid w:val="00B032B6"/>
    <w:rsid w:val="00B366BF"/>
    <w:rsid w:val="00B41618"/>
    <w:rsid w:val="00B843B4"/>
    <w:rsid w:val="00BD003D"/>
    <w:rsid w:val="00BF0D37"/>
    <w:rsid w:val="00BF150B"/>
    <w:rsid w:val="00C050C3"/>
    <w:rsid w:val="00C142F4"/>
    <w:rsid w:val="00C2704A"/>
    <w:rsid w:val="00C52428"/>
    <w:rsid w:val="00C85032"/>
    <w:rsid w:val="00C863A6"/>
    <w:rsid w:val="00CA0F0E"/>
    <w:rsid w:val="00CC5D45"/>
    <w:rsid w:val="00CD6902"/>
    <w:rsid w:val="00CE314E"/>
    <w:rsid w:val="00CF060F"/>
    <w:rsid w:val="00D43524"/>
    <w:rsid w:val="00D822DB"/>
    <w:rsid w:val="00DA6DB2"/>
    <w:rsid w:val="00DD67E2"/>
    <w:rsid w:val="00E12AFC"/>
    <w:rsid w:val="00E14B6A"/>
    <w:rsid w:val="00EA3F4E"/>
    <w:rsid w:val="00EB3636"/>
    <w:rsid w:val="00EC0BF3"/>
    <w:rsid w:val="00ED78C2"/>
    <w:rsid w:val="00EF2C91"/>
    <w:rsid w:val="00EF417C"/>
    <w:rsid w:val="00F017FF"/>
    <w:rsid w:val="00F02A61"/>
    <w:rsid w:val="00F0578C"/>
    <w:rsid w:val="00F1595F"/>
    <w:rsid w:val="00F21F99"/>
    <w:rsid w:val="00F25796"/>
    <w:rsid w:val="00F3672E"/>
    <w:rsid w:val="00F616E7"/>
    <w:rsid w:val="00F72903"/>
    <w:rsid w:val="00FB2B05"/>
    <w:rsid w:val="00FB6929"/>
    <w:rsid w:val="00FD7D13"/>
    <w:rsid w:val="00FE40C8"/>
    <w:rsid w:val="00FF1036"/>
    <w:rsid w:val="019A6385"/>
    <w:rsid w:val="02254AD8"/>
    <w:rsid w:val="0261221F"/>
    <w:rsid w:val="036359F6"/>
    <w:rsid w:val="051E73D9"/>
    <w:rsid w:val="053860AB"/>
    <w:rsid w:val="05477522"/>
    <w:rsid w:val="05B30688"/>
    <w:rsid w:val="05E44A5E"/>
    <w:rsid w:val="05F202DB"/>
    <w:rsid w:val="06DA2B30"/>
    <w:rsid w:val="070A3E5F"/>
    <w:rsid w:val="07B4543E"/>
    <w:rsid w:val="08A70FA8"/>
    <w:rsid w:val="08E55C26"/>
    <w:rsid w:val="09037666"/>
    <w:rsid w:val="090D5B45"/>
    <w:rsid w:val="09112640"/>
    <w:rsid w:val="09577D83"/>
    <w:rsid w:val="09DC1B9A"/>
    <w:rsid w:val="09E63CB2"/>
    <w:rsid w:val="09FA556A"/>
    <w:rsid w:val="0B2D6034"/>
    <w:rsid w:val="0B915516"/>
    <w:rsid w:val="0BD21B85"/>
    <w:rsid w:val="0C714EA1"/>
    <w:rsid w:val="0C885E07"/>
    <w:rsid w:val="0C915BAC"/>
    <w:rsid w:val="0D810BDC"/>
    <w:rsid w:val="0DC93D3D"/>
    <w:rsid w:val="0DED593F"/>
    <w:rsid w:val="0DF87966"/>
    <w:rsid w:val="0E191874"/>
    <w:rsid w:val="0E1A2F46"/>
    <w:rsid w:val="0E4A478F"/>
    <w:rsid w:val="0E687A63"/>
    <w:rsid w:val="0ED207C1"/>
    <w:rsid w:val="0F513B81"/>
    <w:rsid w:val="0FA47A0A"/>
    <w:rsid w:val="0FEE1431"/>
    <w:rsid w:val="10141041"/>
    <w:rsid w:val="10640898"/>
    <w:rsid w:val="10C85B63"/>
    <w:rsid w:val="10D52449"/>
    <w:rsid w:val="11422992"/>
    <w:rsid w:val="117F7095"/>
    <w:rsid w:val="11894F6F"/>
    <w:rsid w:val="11973925"/>
    <w:rsid w:val="11FF3C5B"/>
    <w:rsid w:val="120F171C"/>
    <w:rsid w:val="128277A1"/>
    <w:rsid w:val="12C9215D"/>
    <w:rsid w:val="132E59A8"/>
    <w:rsid w:val="13382849"/>
    <w:rsid w:val="13E204E7"/>
    <w:rsid w:val="13E33A4C"/>
    <w:rsid w:val="141525B1"/>
    <w:rsid w:val="143D4DC7"/>
    <w:rsid w:val="14466C71"/>
    <w:rsid w:val="15375430"/>
    <w:rsid w:val="15B5678C"/>
    <w:rsid w:val="15FA1861"/>
    <w:rsid w:val="165A2CEB"/>
    <w:rsid w:val="17055017"/>
    <w:rsid w:val="172E1164"/>
    <w:rsid w:val="173413A4"/>
    <w:rsid w:val="174266E5"/>
    <w:rsid w:val="17CE5F79"/>
    <w:rsid w:val="19397D1F"/>
    <w:rsid w:val="19B30365"/>
    <w:rsid w:val="1AFF0776"/>
    <w:rsid w:val="1B1061D4"/>
    <w:rsid w:val="1B342B65"/>
    <w:rsid w:val="1B9C0010"/>
    <w:rsid w:val="1C855742"/>
    <w:rsid w:val="1CA56BD2"/>
    <w:rsid w:val="1CEE745B"/>
    <w:rsid w:val="1D1F6492"/>
    <w:rsid w:val="1D586C51"/>
    <w:rsid w:val="1DCA7EF0"/>
    <w:rsid w:val="1E4E5255"/>
    <w:rsid w:val="1F310FD0"/>
    <w:rsid w:val="1F7C4B93"/>
    <w:rsid w:val="1FB1664A"/>
    <w:rsid w:val="1FE46B94"/>
    <w:rsid w:val="203C112D"/>
    <w:rsid w:val="211D0AF8"/>
    <w:rsid w:val="215B42B2"/>
    <w:rsid w:val="21B04895"/>
    <w:rsid w:val="225E2399"/>
    <w:rsid w:val="22A40180"/>
    <w:rsid w:val="22CA30C6"/>
    <w:rsid w:val="22F70406"/>
    <w:rsid w:val="23410EB2"/>
    <w:rsid w:val="23646A01"/>
    <w:rsid w:val="239328F4"/>
    <w:rsid w:val="23984FEB"/>
    <w:rsid w:val="23BE6835"/>
    <w:rsid w:val="2402254A"/>
    <w:rsid w:val="24423896"/>
    <w:rsid w:val="24B01645"/>
    <w:rsid w:val="24EB7E27"/>
    <w:rsid w:val="25101349"/>
    <w:rsid w:val="25103F57"/>
    <w:rsid w:val="25D34A71"/>
    <w:rsid w:val="2658270C"/>
    <w:rsid w:val="26E6136E"/>
    <w:rsid w:val="27035165"/>
    <w:rsid w:val="271E5389"/>
    <w:rsid w:val="272A609F"/>
    <w:rsid w:val="27407658"/>
    <w:rsid w:val="2818183E"/>
    <w:rsid w:val="28763DE0"/>
    <w:rsid w:val="28A54FF5"/>
    <w:rsid w:val="28CC507D"/>
    <w:rsid w:val="28E90A74"/>
    <w:rsid w:val="29136D3C"/>
    <w:rsid w:val="2AC25207"/>
    <w:rsid w:val="2B5C3F09"/>
    <w:rsid w:val="2B6F4543"/>
    <w:rsid w:val="2C2F23FC"/>
    <w:rsid w:val="2C354E4A"/>
    <w:rsid w:val="2C5E1F67"/>
    <w:rsid w:val="2CA96CC0"/>
    <w:rsid w:val="2CDA67ED"/>
    <w:rsid w:val="2CDD1828"/>
    <w:rsid w:val="2CE35F14"/>
    <w:rsid w:val="2D1D7702"/>
    <w:rsid w:val="2D5A6C66"/>
    <w:rsid w:val="2DC50744"/>
    <w:rsid w:val="2E336D8E"/>
    <w:rsid w:val="2EDB339A"/>
    <w:rsid w:val="2F071D19"/>
    <w:rsid w:val="2FFB7744"/>
    <w:rsid w:val="309325AD"/>
    <w:rsid w:val="30C3078D"/>
    <w:rsid w:val="31145906"/>
    <w:rsid w:val="316E74A4"/>
    <w:rsid w:val="31726325"/>
    <w:rsid w:val="31AE5D4C"/>
    <w:rsid w:val="31F178A5"/>
    <w:rsid w:val="326C35A3"/>
    <w:rsid w:val="328C42E0"/>
    <w:rsid w:val="329E17E4"/>
    <w:rsid w:val="32B422F7"/>
    <w:rsid w:val="32C817B8"/>
    <w:rsid w:val="33684F04"/>
    <w:rsid w:val="33752E3B"/>
    <w:rsid w:val="357E3F52"/>
    <w:rsid w:val="35A1084B"/>
    <w:rsid w:val="3646070C"/>
    <w:rsid w:val="369976B1"/>
    <w:rsid w:val="36DA3C23"/>
    <w:rsid w:val="3708773B"/>
    <w:rsid w:val="37A25A1F"/>
    <w:rsid w:val="381F23A1"/>
    <w:rsid w:val="38F16B61"/>
    <w:rsid w:val="3932562D"/>
    <w:rsid w:val="3A3A4E0F"/>
    <w:rsid w:val="3B112D7D"/>
    <w:rsid w:val="3B822438"/>
    <w:rsid w:val="3BBF5E62"/>
    <w:rsid w:val="3BCF2878"/>
    <w:rsid w:val="3BE437C7"/>
    <w:rsid w:val="3C2C4F77"/>
    <w:rsid w:val="3C307635"/>
    <w:rsid w:val="3CF97437"/>
    <w:rsid w:val="3D6C4F0B"/>
    <w:rsid w:val="3D801463"/>
    <w:rsid w:val="3DFD66D9"/>
    <w:rsid w:val="3E166AC4"/>
    <w:rsid w:val="3ED37353"/>
    <w:rsid w:val="3EE40EE2"/>
    <w:rsid w:val="3F3C5288"/>
    <w:rsid w:val="3F421530"/>
    <w:rsid w:val="3FC106FF"/>
    <w:rsid w:val="3FDC1ADC"/>
    <w:rsid w:val="40693CBD"/>
    <w:rsid w:val="40DB508A"/>
    <w:rsid w:val="41246617"/>
    <w:rsid w:val="417C6538"/>
    <w:rsid w:val="4185531F"/>
    <w:rsid w:val="42116725"/>
    <w:rsid w:val="428E14D4"/>
    <w:rsid w:val="43606804"/>
    <w:rsid w:val="4392436B"/>
    <w:rsid w:val="43F32C85"/>
    <w:rsid w:val="43FF6FC7"/>
    <w:rsid w:val="44485F37"/>
    <w:rsid w:val="44D878E4"/>
    <w:rsid w:val="44EA4FB0"/>
    <w:rsid w:val="44EF6474"/>
    <w:rsid w:val="454729EE"/>
    <w:rsid w:val="455C511C"/>
    <w:rsid w:val="45800516"/>
    <w:rsid w:val="45956ED4"/>
    <w:rsid w:val="46EB63CF"/>
    <w:rsid w:val="470D4675"/>
    <w:rsid w:val="478D192D"/>
    <w:rsid w:val="47E65531"/>
    <w:rsid w:val="483E7B05"/>
    <w:rsid w:val="49A14005"/>
    <w:rsid w:val="49A55E01"/>
    <w:rsid w:val="49AA762F"/>
    <w:rsid w:val="49B702C5"/>
    <w:rsid w:val="49DC501F"/>
    <w:rsid w:val="49E620E2"/>
    <w:rsid w:val="49F164D9"/>
    <w:rsid w:val="4A673CA7"/>
    <w:rsid w:val="4A874ED8"/>
    <w:rsid w:val="4ABB22FE"/>
    <w:rsid w:val="4B133586"/>
    <w:rsid w:val="4C0E5E88"/>
    <w:rsid w:val="4C2120C6"/>
    <w:rsid w:val="4D2655A3"/>
    <w:rsid w:val="4D366932"/>
    <w:rsid w:val="4E89091B"/>
    <w:rsid w:val="4EEC47E0"/>
    <w:rsid w:val="4EEF7FF7"/>
    <w:rsid w:val="4F2536B6"/>
    <w:rsid w:val="51140B99"/>
    <w:rsid w:val="5174192A"/>
    <w:rsid w:val="51A5288C"/>
    <w:rsid w:val="51F15DF1"/>
    <w:rsid w:val="521E1DF8"/>
    <w:rsid w:val="522C46DE"/>
    <w:rsid w:val="524F7681"/>
    <w:rsid w:val="525900AE"/>
    <w:rsid w:val="52AA3695"/>
    <w:rsid w:val="52D01B43"/>
    <w:rsid w:val="537A2D5A"/>
    <w:rsid w:val="53B2041E"/>
    <w:rsid w:val="53B9090D"/>
    <w:rsid w:val="544F211B"/>
    <w:rsid w:val="54A66C5C"/>
    <w:rsid w:val="55217904"/>
    <w:rsid w:val="55F03C6A"/>
    <w:rsid w:val="56A869D7"/>
    <w:rsid w:val="575A27A2"/>
    <w:rsid w:val="5765327C"/>
    <w:rsid w:val="57C637C6"/>
    <w:rsid w:val="592F79DA"/>
    <w:rsid w:val="598E23A0"/>
    <w:rsid w:val="59957838"/>
    <w:rsid w:val="5A012376"/>
    <w:rsid w:val="5A3B76D5"/>
    <w:rsid w:val="5A5E1814"/>
    <w:rsid w:val="5A754451"/>
    <w:rsid w:val="5AF739A4"/>
    <w:rsid w:val="5B0766AF"/>
    <w:rsid w:val="5B096825"/>
    <w:rsid w:val="5B3F53AF"/>
    <w:rsid w:val="5B584490"/>
    <w:rsid w:val="5BC14F3C"/>
    <w:rsid w:val="5C894A48"/>
    <w:rsid w:val="5D3045C4"/>
    <w:rsid w:val="5DC14571"/>
    <w:rsid w:val="5DD35404"/>
    <w:rsid w:val="5DE47D15"/>
    <w:rsid w:val="5E3046E5"/>
    <w:rsid w:val="5E391232"/>
    <w:rsid w:val="5E6E28B4"/>
    <w:rsid w:val="5EF54E66"/>
    <w:rsid w:val="5FCB6E29"/>
    <w:rsid w:val="5FEA3C92"/>
    <w:rsid w:val="5FF1768F"/>
    <w:rsid w:val="5FF57B18"/>
    <w:rsid w:val="604E229F"/>
    <w:rsid w:val="6052120D"/>
    <w:rsid w:val="607540AB"/>
    <w:rsid w:val="60D91C6F"/>
    <w:rsid w:val="612C5BF9"/>
    <w:rsid w:val="61996A45"/>
    <w:rsid w:val="61E45245"/>
    <w:rsid w:val="61FA3A47"/>
    <w:rsid w:val="61FC5C42"/>
    <w:rsid w:val="625E00B7"/>
    <w:rsid w:val="626F11FB"/>
    <w:rsid w:val="62E22637"/>
    <w:rsid w:val="632D4D13"/>
    <w:rsid w:val="634B19A1"/>
    <w:rsid w:val="639450C7"/>
    <w:rsid w:val="643138A9"/>
    <w:rsid w:val="64972498"/>
    <w:rsid w:val="64B445EB"/>
    <w:rsid w:val="64EB1191"/>
    <w:rsid w:val="651C5B8F"/>
    <w:rsid w:val="65BA4E8F"/>
    <w:rsid w:val="65FF21BD"/>
    <w:rsid w:val="664640C7"/>
    <w:rsid w:val="66D1309F"/>
    <w:rsid w:val="66EB60BC"/>
    <w:rsid w:val="673B5E8E"/>
    <w:rsid w:val="67943F28"/>
    <w:rsid w:val="67A16A55"/>
    <w:rsid w:val="68215DEB"/>
    <w:rsid w:val="682B68DF"/>
    <w:rsid w:val="68F11E24"/>
    <w:rsid w:val="6A017512"/>
    <w:rsid w:val="6A1711E4"/>
    <w:rsid w:val="6A2405DC"/>
    <w:rsid w:val="6A4F210E"/>
    <w:rsid w:val="6AAB4850"/>
    <w:rsid w:val="6AAC058E"/>
    <w:rsid w:val="6ACD3E19"/>
    <w:rsid w:val="6B1A41B9"/>
    <w:rsid w:val="6B2359D4"/>
    <w:rsid w:val="6B517695"/>
    <w:rsid w:val="6BDB6092"/>
    <w:rsid w:val="6C566249"/>
    <w:rsid w:val="6C600192"/>
    <w:rsid w:val="6CB12294"/>
    <w:rsid w:val="6DD42C68"/>
    <w:rsid w:val="6E135F88"/>
    <w:rsid w:val="6E7470D9"/>
    <w:rsid w:val="6E870E33"/>
    <w:rsid w:val="6E8B5786"/>
    <w:rsid w:val="6E911DD0"/>
    <w:rsid w:val="6EB3009F"/>
    <w:rsid w:val="6F1C6E82"/>
    <w:rsid w:val="6F550240"/>
    <w:rsid w:val="70A35353"/>
    <w:rsid w:val="71187C2C"/>
    <w:rsid w:val="714D6364"/>
    <w:rsid w:val="71752B89"/>
    <w:rsid w:val="717749CE"/>
    <w:rsid w:val="72042EBB"/>
    <w:rsid w:val="72195BE0"/>
    <w:rsid w:val="7230302F"/>
    <w:rsid w:val="72DC2C25"/>
    <w:rsid w:val="72F47EC7"/>
    <w:rsid w:val="73842720"/>
    <w:rsid w:val="73CB6C08"/>
    <w:rsid w:val="744644AC"/>
    <w:rsid w:val="74F66E83"/>
    <w:rsid w:val="756A0A6F"/>
    <w:rsid w:val="75C8282F"/>
    <w:rsid w:val="75D53C58"/>
    <w:rsid w:val="75F939F3"/>
    <w:rsid w:val="76140DC0"/>
    <w:rsid w:val="764A5C4A"/>
    <w:rsid w:val="766D5799"/>
    <w:rsid w:val="766F726C"/>
    <w:rsid w:val="769F06C9"/>
    <w:rsid w:val="76FE638D"/>
    <w:rsid w:val="77046D49"/>
    <w:rsid w:val="78005031"/>
    <w:rsid w:val="78143CA3"/>
    <w:rsid w:val="78B0084B"/>
    <w:rsid w:val="78BE34EF"/>
    <w:rsid w:val="78C17210"/>
    <w:rsid w:val="7A146884"/>
    <w:rsid w:val="7A1C4902"/>
    <w:rsid w:val="7A3334E9"/>
    <w:rsid w:val="7A610E58"/>
    <w:rsid w:val="7B122745"/>
    <w:rsid w:val="7BC54601"/>
    <w:rsid w:val="7BCD79DD"/>
    <w:rsid w:val="7C010352"/>
    <w:rsid w:val="7C317364"/>
    <w:rsid w:val="7C972B3F"/>
    <w:rsid w:val="7C9A5817"/>
    <w:rsid w:val="7CBF4687"/>
    <w:rsid w:val="7CE12D11"/>
    <w:rsid w:val="7CEC4503"/>
    <w:rsid w:val="7DF7216C"/>
    <w:rsid w:val="7E5A69E5"/>
    <w:rsid w:val="7E65439A"/>
    <w:rsid w:val="7F0019A6"/>
    <w:rsid w:val="7F573423"/>
    <w:rsid w:val="7F906B32"/>
    <w:rsid w:val="7FAA5133"/>
    <w:rsid w:val="7FCD3C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0"/>
    <w:qFormat/>
    <w:uiPriority w:val="99"/>
    <w:pPr>
      <w:keepNext/>
      <w:autoSpaceDE w:val="0"/>
      <w:autoSpaceDN w:val="0"/>
      <w:outlineLvl w:val="0"/>
    </w:pPr>
    <w:rPr>
      <w:rFonts w:ascii="宋体" w:hAnsi="宋体" w:cs="宋体"/>
      <w:color w:val="000000"/>
      <w:kern w:val="0"/>
      <w:sz w:val="30"/>
      <w:szCs w:val="30"/>
    </w:rPr>
  </w:style>
  <w:style w:type="paragraph" w:styleId="5">
    <w:name w:val="heading 2"/>
    <w:basedOn w:val="1"/>
    <w:next w:val="1"/>
    <w:link w:val="21"/>
    <w:qFormat/>
    <w:uiPriority w:val="99"/>
    <w:pPr>
      <w:keepNext/>
      <w:autoSpaceDE w:val="0"/>
      <w:autoSpaceDN w:val="0"/>
      <w:jc w:val="center"/>
      <w:outlineLvl w:val="1"/>
    </w:pPr>
    <w:rPr>
      <w:rFonts w:ascii="宋体" w:hAnsi="宋体" w:cs="宋体"/>
      <w:color w:val="000000"/>
      <w:kern w:val="0"/>
      <w:sz w:val="30"/>
      <w:szCs w:val="30"/>
    </w:rPr>
  </w:style>
  <w:style w:type="paragraph" w:styleId="6">
    <w:name w:val="heading 3"/>
    <w:basedOn w:val="1"/>
    <w:next w:val="1"/>
    <w:link w:val="22"/>
    <w:qFormat/>
    <w:uiPriority w:val="99"/>
    <w:pPr>
      <w:keepNext/>
      <w:autoSpaceDE w:val="0"/>
      <w:autoSpaceDN w:val="0"/>
      <w:jc w:val="center"/>
      <w:outlineLvl w:val="2"/>
    </w:pPr>
    <w:rPr>
      <w:kern w:val="0"/>
    </w:rPr>
  </w:style>
  <w:style w:type="paragraph" w:styleId="7">
    <w:name w:val="heading 4"/>
    <w:basedOn w:val="1"/>
    <w:next w:val="1"/>
    <w:link w:val="23"/>
    <w:qFormat/>
    <w:uiPriority w:val="99"/>
    <w:pPr>
      <w:keepNext/>
      <w:keepLines/>
      <w:spacing w:line="374" w:lineRule="auto"/>
      <w:outlineLvl w:val="3"/>
    </w:pPr>
    <w:rPr>
      <w:rFonts w:ascii="Arial" w:hAnsi="Arial" w:eastAsia="黑体" w:cs="Arial"/>
      <w:b/>
      <w:bCs/>
      <w:sz w:val="28"/>
      <w:szCs w:val="28"/>
    </w:rPr>
  </w:style>
  <w:style w:type="character" w:default="1" w:styleId="17">
    <w:name w:val="Default Paragraph Font"/>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5"/>
    <w:unhideWhenUsed/>
    <w:qFormat/>
    <w:uiPriority w:val="99"/>
    <w:pPr>
      <w:ind w:firstLine="100" w:firstLineChars="100"/>
    </w:pPr>
  </w:style>
  <w:style w:type="paragraph" w:styleId="3">
    <w:name w:val="Body Text"/>
    <w:basedOn w:val="1"/>
    <w:link w:val="24"/>
    <w:unhideWhenUsed/>
    <w:qFormat/>
    <w:uiPriority w:val="99"/>
    <w:pPr>
      <w:spacing w:before="100" w:beforeAutospacing="1"/>
    </w:pPr>
  </w:style>
  <w:style w:type="paragraph" w:styleId="8">
    <w:name w:val="toc 3"/>
    <w:basedOn w:val="1"/>
    <w:next w:val="1"/>
    <w:unhideWhenUsed/>
    <w:qFormat/>
    <w:uiPriority w:val="39"/>
    <w:pPr>
      <w:ind w:left="840" w:leftChars="400"/>
    </w:pPr>
  </w:style>
  <w:style w:type="paragraph" w:styleId="9">
    <w:name w:val="Balloon Text"/>
    <w:basedOn w:val="1"/>
    <w:link w:val="32"/>
    <w:unhideWhenUsed/>
    <w:qFormat/>
    <w:uiPriority w:val="99"/>
    <w:rPr>
      <w:sz w:val="18"/>
      <w:szCs w:val="18"/>
    </w:rPr>
  </w:style>
  <w:style w:type="paragraph" w:styleId="10">
    <w:name w:val="footer"/>
    <w:basedOn w:val="1"/>
    <w:link w:val="27"/>
    <w:unhideWhenUsed/>
    <w:qFormat/>
    <w:uiPriority w:val="99"/>
    <w:pPr>
      <w:snapToGrid w:val="0"/>
      <w:jc w:val="left"/>
    </w:pPr>
    <w:rPr>
      <w:sz w:val="18"/>
      <w:szCs w:val="18"/>
    </w:rPr>
  </w:style>
  <w:style w:type="paragraph" w:styleId="11">
    <w:name w:val="header"/>
    <w:basedOn w:val="1"/>
    <w:link w:val="29"/>
    <w:unhideWhenUsed/>
    <w:qFormat/>
    <w:uiPriority w:val="99"/>
    <w:pPr>
      <w:pBdr>
        <w:bottom w:val="single" w:color="auto" w:sz="6" w:space="1"/>
      </w:pBdr>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8">
    <w:name w:val="FollowedHyperlink"/>
    <w:basedOn w:val="17"/>
    <w:unhideWhenUsed/>
    <w:qFormat/>
    <w:uiPriority w:val="99"/>
    <w:rPr>
      <w:color w:val="800080"/>
      <w:u w:val="single"/>
    </w:rPr>
  </w:style>
  <w:style w:type="character" w:styleId="19">
    <w:name w:val="Hyperlink"/>
    <w:basedOn w:val="17"/>
    <w:unhideWhenUsed/>
    <w:qFormat/>
    <w:uiPriority w:val="99"/>
    <w:rPr>
      <w:color w:val="0000FF"/>
      <w:u w:val="single"/>
    </w:rPr>
  </w:style>
  <w:style w:type="character" w:customStyle="1" w:styleId="20">
    <w:name w:val="标题 1 Char"/>
    <w:basedOn w:val="17"/>
    <w:link w:val="4"/>
    <w:qFormat/>
    <w:uiPriority w:val="99"/>
    <w:rPr>
      <w:rFonts w:ascii="宋体" w:hAnsi="宋体" w:eastAsia="宋体" w:cs="宋体"/>
      <w:color w:val="000000"/>
      <w:kern w:val="0"/>
      <w:sz w:val="30"/>
      <w:szCs w:val="30"/>
    </w:rPr>
  </w:style>
  <w:style w:type="character" w:customStyle="1" w:styleId="21">
    <w:name w:val="标题 2 Char"/>
    <w:basedOn w:val="17"/>
    <w:link w:val="5"/>
    <w:qFormat/>
    <w:uiPriority w:val="99"/>
    <w:rPr>
      <w:rFonts w:ascii="宋体" w:hAnsi="宋体" w:eastAsia="宋体" w:cs="宋体"/>
      <w:color w:val="000000"/>
      <w:kern w:val="0"/>
      <w:sz w:val="30"/>
      <w:szCs w:val="30"/>
    </w:rPr>
  </w:style>
  <w:style w:type="character" w:customStyle="1" w:styleId="22">
    <w:name w:val="标题 3 Char"/>
    <w:basedOn w:val="17"/>
    <w:link w:val="6"/>
    <w:qFormat/>
    <w:uiPriority w:val="99"/>
    <w:rPr>
      <w:rFonts w:ascii="Times New Roman" w:hAnsi="Times New Roman" w:eastAsia="宋体" w:cs="Times New Roman"/>
      <w:kern w:val="0"/>
      <w:szCs w:val="21"/>
    </w:rPr>
  </w:style>
  <w:style w:type="character" w:customStyle="1" w:styleId="23">
    <w:name w:val="标题 4 Char"/>
    <w:basedOn w:val="17"/>
    <w:link w:val="7"/>
    <w:qFormat/>
    <w:uiPriority w:val="99"/>
    <w:rPr>
      <w:rFonts w:ascii="Arial" w:hAnsi="Arial" w:eastAsia="黑体" w:cs="Arial"/>
      <w:b/>
      <w:bCs/>
      <w:sz w:val="28"/>
      <w:szCs w:val="28"/>
    </w:rPr>
  </w:style>
  <w:style w:type="character" w:customStyle="1" w:styleId="24">
    <w:name w:val="正文文本 Char"/>
    <w:basedOn w:val="17"/>
    <w:link w:val="3"/>
    <w:qFormat/>
    <w:uiPriority w:val="99"/>
    <w:rPr>
      <w:rFonts w:ascii="Times New Roman" w:hAnsi="Times New Roman" w:eastAsia="宋体" w:cs="Times New Roman"/>
      <w:szCs w:val="21"/>
    </w:rPr>
  </w:style>
  <w:style w:type="character" w:customStyle="1" w:styleId="25">
    <w:name w:val="正文首行缩进 Char"/>
    <w:basedOn w:val="24"/>
    <w:link w:val="2"/>
    <w:qFormat/>
    <w:uiPriority w:val="99"/>
  </w:style>
  <w:style w:type="paragraph" w:customStyle="1" w:styleId="26">
    <w:name w:val="p0"/>
    <w:basedOn w:val="1"/>
    <w:qFormat/>
    <w:uiPriority w:val="0"/>
    <w:pPr>
      <w:widowControl/>
    </w:pPr>
    <w:rPr>
      <w:kern w:val="0"/>
    </w:rPr>
  </w:style>
  <w:style w:type="character" w:customStyle="1" w:styleId="27">
    <w:name w:val="页脚 Char"/>
    <w:basedOn w:val="17"/>
    <w:link w:val="10"/>
    <w:qFormat/>
    <w:uiPriority w:val="99"/>
    <w:rPr>
      <w:rFonts w:ascii="Times New Roman" w:hAnsi="Times New Roman" w:eastAsia="宋体" w:cs="Times New Roman"/>
      <w:sz w:val="18"/>
      <w:szCs w:val="18"/>
    </w:rPr>
  </w:style>
  <w:style w:type="paragraph" w:customStyle="1" w:styleId="28">
    <w:name w:val="Default"/>
    <w:basedOn w:val="1"/>
    <w:qFormat/>
    <w:uiPriority w:val="0"/>
    <w:pPr>
      <w:autoSpaceDE w:val="0"/>
      <w:autoSpaceDN w:val="0"/>
      <w:adjustRightInd w:val="0"/>
      <w:jc w:val="left"/>
    </w:pPr>
    <w:rPr>
      <w:rFonts w:ascii="宋体" w:hAnsi="宋体" w:cs="宋体"/>
      <w:color w:val="000000"/>
      <w:kern w:val="0"/>
      <w:sz w:val="24"/>
      <w:szCs w:val="24"/>
    </w:rPr>
  </w:style>
  <w:style w:type="character" w:customStyle="1" w:styleId="29">
    <w:name w:val="页眉 Char"/>
    <w:basedOn w:val="17"/>
    <w:link w:val="11"/>
    <w:qFormat/>
    <w:uiPriority w:val="99"/>
    <w:rPr>
      <w:rFonts w:ascii="Times New Roman" w:hAnsi="Times New Roman" w:eastAsia="宋体" w:cs="Times New Roman"/>
      <w:sz w:val="18"/>
      <w:szCs w:val="18"/>
    </w:rPr>
  </w:style>
  <w:style w:type="character" w:customStyle="1" w:styleId="30">
    <w:name w:val="15"/>
    <w:basedOn w:val="17"/>
    <w:qFormat/>
    <w:uiPriority w:val="0"/>
    <w:rPr>
      <w:rFonts w:hint="eastAsia" w:ascii="宋体" w:hAnsi="宋体" w:eastAsia="宋体"/>
      <w:color w:val="000000"/>
      <w:sz w:val="30"/>
      <w:szCs w:val="30"/>
    </w:rPr>
  </w:style>
  <w:style w:type="paragraph" w:customStyle="1" w:styleId="31">
    <w:name w:val="TOC 标题1"/>
    <w:basedOn w:val="4"/>
    <w:next w:val="1"/>
    <w:unhideWhenUsed/>
    <w:qFormat/>
    <w:uiPriority w:val="39"/>
    <w:pPr>
      <w:keepLines/>
      <w:widowControl/>
      <w:autoSpaceDE/>
      <w:autoSpaceDN/>
      <w:spacing w:before="480" w:line="276" w:lineRule="auto"/>
      <w:jc w:val="left"/>
      <w:outlineLvl w:val="9"/>
    </w:pPr>
    <w:rPr>
      <w:rFonts w:asciiTheme="majorHAnsi" w:hAnsiTheme="majorHAnsi" w:eastAsiaTheme="majorEastAsia" w:cstheme="majorBidi"/>
      <w:b/>
      <w:bCs/>
      <w:color w:val="366091" w:themeColor="accent1" w:themeShade="BF"/>
      <w:sz w:val="28"/>
      <w:szCs w:val="28"/>
    </w:rPr>
  </w:style>
  <w:style w:type="character" w:customStyle="1" w:styleId="32">
    <w:name w:val="批注框文本 Char"/>
    <w:basedOn w:val="17"/>
    <w:link w:val="9"/>
    <w:semiHidden/>
    <w:qFormat/>
    <w:uiPriority w:val="99"/>
    <w:rPr>
      <w:rFonts w:ascii="Times New Roman" w:hAnsi="Times New Roman" w:eastAsia="宋体" w:cs="Times New Roman"/>
      <w:sz w:val="18"/>
      <w:szCs w:val="18"/>
    </w:rPr>
  </w:style>
  <w:style w:type="paragraph" w:styleId="33">
    <w:name w:val="List Paragraph"/>
    <w:basedOn w:val="1"/>
    <w:unhideWhenUsed/>
    <w:qFormat/>
    <w:uiPriority w:val="99"/>
    <w:pPr>
      <w:ind w:firstLine="420" w:firstLineChars="200"/>
    </w:pPr>
  </w:style>
  <w:style w:type="paragraph" w:customStyle="1" w:styleId="34">
    <w:name w:val="_Style 1"/>
    <w:basedOn w:val="1"/>
    <w:qFormat/>
    <w:uiPriority w:val="0"/>
    <w:pPr>
      <w:adjustRightInd w:val="0"/>
      <w:snapToGrid w:val="0"/>
      <w:spacing w:line="360" w:lineRule="auto"/>
      <w:ind w:firstLine="420" w:firstLineChars="200"/>
    </w:pPr>
    <w:rPr>
      <w:color w:val="000000"/>
    </w:rPr>
  </w:style>
  <w:style w:type="paragraph" w:customStyle="1" w:styleId="35">
    <w:name w:val="样式 标题 3 + (中文) 黑体 小四 非加粗 段前: 7.8 磅 段后: 0 磅 行距: 固定值 20 磅"/>
    <w:basedOn w:val="6"/>
    <w:next w:val="36"/>
    <w:qFormat/>
    <w:uiPriority w:val="0"/>
    <w:pPr>
      <w:spacing w:line="400" w:lineRule="exact"/>
    </w:pPr>
    <w:rPr>
      <w:rFonts w:eastAsia="黑体" w:cs="宋体"/>
      <w:sz w:val="24"/>
      <w:szCs w:val="20"/>
    </w:rPr>
  </w:style>
  <w:style w:type="paragraph" w:customStyle="1" w:styleId="36">
    <w:name w:val="样式 标题 2 + Times New Roman 四号 非加粗 段前: 5 磅 段后: 0 磅 行距: 固定值 20..."/>
    <w:basedOn w:val="5"/>
    <w:qFormat/>
    <w:uiPriority w:val="0"/>
    <w:pPr>
      <w:spacing w:before="100" w:line="400" w:lineRule="exact"/>
    </w:pPr>
    <w:rPr>
      <w:rFonts w:ascii="Times New Roman" w:hAnsi="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101" textRotate="1"/>
    <customShpInfo spid="_x0000_s4102" textRotate="1"/>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305AE-A02E-436D-93A4-66774880188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5578</Words>
  <Characters>31795</Characters>
  <Lines>264</Lines>
  <Paragraphs>74</Paragraphs>
  <TotalTime>117</TotalTime>
  <ScaleCrop>false</ScaleCrop>
  <LinksUpToDate>false</LinksUpToDate>
  <CharactersWithSpaces>37299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2018-01-11T03:36:00Z</dcterms:created>
  <dc:creator>微软用户</dc:creator>
  <cp:lastModifiedBy>尔如困兽。</cp:lastModifiedBy>
  <cp:lastPrinted>2019-08-30T07:17:00Z</cp:lastPrinted>
  <dcterms:modified xsi:type="dcterms:W3CDTF">2019-09-04T02:55:39Z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