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440" w:firstLineChars="100"/>
      </w:pPr>
      <w:r>
        <w:rPr>
          <w:rFonts w:hint="eastAsia" w:ascii="微软雅黑" w:hAnsi="微软雅黑" w:eastAsia="微软雅黑" w:cs="微软雅黑"/>
          <w:b/>
          <w:bCs/>
          <w:sz w:val="44"/>
          <w:szCs w:val="44"/>
        </w:rPr>
        <w:t>禹州市人民法院智能化诉讼应用系统项目</w:t>
      </w:r>
    </w:p>
    <w:p>
      <w:pPr>
        <w:pStyle w:val="9"/>
      </w:pPr>
    </w:p>
    <w:p>
      <w:pPr>
        <w:pStyle w:val="9"/>
      </w:pPr>
    </w:p>
    <w:p>
      <w:pPr>
        <w:pStyle w:val="9"/>
      </w:pPr>
    </w:p>
    <w:p>
      <w:pPr>
        <w:pStyle w:val="9"/>
      </w:pPr>
    </w:p>
    <w:p>
      <w:pPr>
        <w:pStyle w:val="9"/>
      </w:pPr>
    </w:p>
    <w:p>
      <w:pPr>
        <w:pStyle w:val="9"/>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采购单位：禹州市人民法院</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采购编号：YZCG-G2019206</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pStyle w:val="2"/>
        <w:numPr>
          <w:ilvl w:val="0"/>
          <w:numId w:val="0"/>
        </w:numPr>
        <w:ind w:left="288" w:leftChars="0"/>
      </w:pPr>
    </w:p>
    <w:p/>
    <w:p>
      <w:pPr>
        <w:ind w:firstLine="3253" w:firstLineChars="900"/>
        <w:rPr>
          <w:rFonts w:hint="eastAsia" w:cs="黑体" w:asciiTheme="minorEastAsia" w:hAnsiTheme="minorEastAsia"/>
          <w:b/>
          <w:bCs/>
          <w:sz w:val="44"/>
          <w:szCs w:val="44"/>
          <w:lang w:val="zh-CN"/>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autoSpaceDE w:val="0"/>
        <w:autoSpaceDN w:val="0"/>
        <w:adjustRightInd w:val="0"/>
        <w:spacing w:line="700" w:lineRule="exact"/>
        <w:ind w:firstLine="3092" w:firstLineChars="7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9"/>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keepNext w:val="0"/>
        <w:keepLines w:val="0"/>
        <w:pageBreakBefore w:val="0"/>
        <w:kinsoku/>
        <w:overflowPunct/>
        <w:bidi w:val="0"/>
        <w:spacing w:line="360" w:lineRule="exact"/>
        <w:textAlignment w:val="auto"/>
        <w:rPr>
          <w:rFonts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禹州市人民法院智能化诉讼应用系统项目</w:t>
      </w: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招标公告</w:t>
      </w: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rPr>
      </w:pPr>
    </w:p>
    <w:p>
      <w:pPr>
        <w:keepNext w:val="0"/>
        <w:keepLines w:val="0"/>
        <w:pageBreakBefore w:val="0"/>
        <w:kinsoku/>
        <w:overflowPunct/>
        <w:bidi w:val="0"/>
        <w:spacing w:line="4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禹州市政府采购中心受禹州市人民法院的委托，就“禹州市人民法院智能化诉讼应用系统项目”进行公开招标，欢迎合格的投标人前来投标。</w:t>
      </w:r>
    </w:p>
    <w:p>
      <w:pPr>
        <w:pStyle w:val="59"/>
        <w:keepNext w:val="0"/>
        <w:keepLines w:val="0"/>
        <w:pageBreakBefore w:val="0"/>
        <w:widowControl/>
        <w:numPr>
          <w:ilvl w:val="0"/>
          <w:numId w:val="0"/>
        </w:numPr>
        <w:shd w:val="clear" w:color="auto" w:fill="FFFFFF"/>
        <w:kinsoku/>
        <w:overflowPunct/>
        <w:bidi w:val="0"/>
        <w:spacing w:line="400" w:lineRule="exact"/>
        <w:ind w:leftChars="0" w:firstLine="643" w:firstLineChars="200"/>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w:t>
      </w:r>
      <w:r>
        <w:rPr>
          <w:rFonts w:hint="eastAsia" w:ascii="仿宋" w:hAnsi="仿宋" w:eastAsia="仿宋" w:cs="仿宋"/>
          <w:b/>
          <w:color w:val="000000"/>
          <w:kern w:val="0"/>
          <w:sz w:val="32"/>
          <w:szCs w:val="32"/>
        </w:rPr>
        <w:t>项目基本情况</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采购人：禹州市人民法院</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2、</w:t>
      </w:r>
      <w:r>
        <w:rPr>
          <w:rFonts w:hint="eastAsia" w:ascii="仿宋" w:hAnsi="仿宋" w:eastAsia="仿宋" w:cs="仿宋"/>
          <w:color w:val="000000"/>
          <w:kern w:val="0"/>
          <w:sz w:val="32"/>
          <w:szCs w:val="32"/>
        </w:rPr>
        <w:t>项目名称：禹州市人民法院智能化诉讼应用系统项目</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206</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4、项目需求：</w:t>
      </w:r>
      <w:r>
        <w:rPr>
          <w:rFonts w:hint="eastAsia" w:ascii="仿宋" w:hAnsi="仿宋" w:eastAsia="仿宋" w:cs="仿宋"/>
          <w:color w:val="000000"/>
          <w:kern w:val="0"/>
          <w:sz w:val="32"/>
          <w:szCs w:val="32"/>
          <w:lang w:eastAsia="zh-CN"/>
        </w:rPr>
        <w:t>智能化诉讼应用系统</w:t>
      </w:r>
      <w:r>
        <w:rPr>
          <w:rFonts w:hint="eastAsia" w:ascii="仿宋" w:hAnsi="仿宋" w:eastAsia="仿宋" w:cs="仿宋"/>
          <w:color w:val="000000"/>
          <w:sz w:val="32"/>
          <w:szCs w:val="32"/>
        </w:rPr>
        <w:t>等</w:t>
      </w:r>
      <w:r>
        <w:rPr>
          <w:rFonts w:hint="eastAsia" w:ascii="仿宋" w:hAnsi="仿宋" w:eastAsia="仿宋" w:cs="仿宋"/>
          <w:color w:val="000000"/>
          <w:kern w:val="0"/>
          <w:sz w:val="32"/>
          <w:szCs w:val="32"/>
        </w:rPr>
        <w:t>（详见招标文件）</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color w:val="000000"/>
          <w:kern w:val="0"/>
          <w:sz w:val="32"/>
          <w:szCs w:val="32"/>
          <w:lang w:val="en-US" w:eastAsia="zh-CN"/>
        </w:rPr>
        <w:t>59</w:t>
      </w:r>
      <w:r>
        <w:rPr>
          <w:rFonts w:hint="eastAsia" w:ascii="仿宋" w:hAnsi="仿宋" w:eastAsia="仿宋" w:cs="仿宋"/>
          <w:kern w:val="0"/>
          <w:sz w:val="32"/>
          <w:szCs w:val="32"/>
          <w:lang w:val="en-US" w:eastAsia="zh-CN"/>
        </w:rPr>
        <w:t>万</w:t>
      </w:r>
      <w:r>
        <w:rPr>
          <w:rFonts w:hint="eastAsia" w:ascii="仿宋" w:hAnsi="仿宋" w:eastAsia="仿宋" w:cs="仿宋"/>
          <w:sz w:val="32"/>
          <w:szCs w:val="32"/>
        </w:rPr>
        <w:t>元</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6、采购限价：</w:t>
      </w:r>
      <w:r>
        <w:rPr>
          <w:rFonts w:hint="eastAsia" w:ascii="仿宋" w:hAnsi="仿宋" w:eastAsia="仿宋" w:cs="仿宋"/>
          <w:sz w:val="32"/>
          <w:szCs w:val="32"/>
          <w:lang w:val="en-US" w:eastAsia="zh-CN"/>
        </w:rPr>
        <w:t>59</w:t>
      </w:r>
      <w:r>
        <w:rPr>
          <w:rFonts w:hint="eastAsia" w:ascii="仿宋" w:hAnsi="仿宋" w:eastAsia="仿宋" w:cs="仿宋"/>
          <w:sz w:val="32"/>
          <w:szCs w:val="32"/>
        </w:rPr>
        <w:t>万元</w:t>
      </w:r>
    </w:p>
    <w:p>
      <w:pPr>
        <w:keepNext w:val="0"/>
        <w:keepLines w:val="0"/>
        <w:pageBreakBefore w:val="0"/>
        <w:widowControl/>
        <w:shd w:val="clear" w:color="auto" w:fill="FFFFFF"/>
        <w:kinsoku/>
        <w:overflowPunct/>
        <w:bidi w:val="0"/>
        <w:spacing w:line="400" w:lineRule="exact"/>
        <w:ind w:firstLine="472" w:firstLineChars="147"/>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keepNext w:val="0"/>
        <w:keepLines w:val="0"/>
        <w:pageBreakBefore w:val="0"/>
        <w:widowControl/>
        <w:shd w:val="clear" w:color="auto" w:fill="FFFFFF"/>
        <w:kinsoku/>
        <w:overflowPunct/>
        <w:bidi w:val="0"/>
        <w:spacing w:line="400" w:lineRule="exact"/>
        <w:ind w:left="482"/>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keepNext w:val="0"/>
        <w:keepLines w:val="0"/>
        <w:pageBreakBefore w:val="0"/>
        <w:widowControl/>
        <w:shd w:val="clear" w:color="auto" w:fill="FFFFFF"/>
        <w:kinsoku/>
        <w:overflowPunct/>
        <w:bidi w:val="0"/>
        <w:spacing w:line="400" w:lineRule="exact"/>
        <w:ind w:left="482"/>
        <w:jc w:val="left"/>
        <w:textAlignment w:val="auto"/>
        <w:rPr>
          <w:rFonts w:hint="eastAsia" w:ascii="仿宋" w:hAnsi="仿宋" w:eastAsia="仿宋" w:cs="仿宋"/>
          <w:sz w:val="32"/>
          <w:szCs w:val="32"/>
        </w:rPr>
      </w:pPr>
      <w:r>
        <w:rPr>
          <w:rFonts w:hint="eastAsia" w:ascii="仿宋" w:hAnsi="仿宋" w:eastAsia="仿宋" w:cs="仿宋"/>
          <w:sz w:val="32"/>
          <w:szCs w:val="32"/>
        </w:rPr>
        <w:t>1、符合《政府采购法》第二十二条之规定</w:t>
      </w:r>
      <w:r>
        <w:rPr>
          <w:rFonts w:hint="eastAsia" w:ascii="仿宋" w:hAnsi="仿宋" w:eastAsia="仿宋" w:cs="仿宋"/>
          <w:sz w:val="32"/>
          <w:szCs w:val="32"/>
          <w:lang w:eastAsia="zh-CN"/>
        </w:rPr>
        <w:t>，具有独立法人资格及</w:t>
      </w:r>
      <w:r>
        <w:rPr>
          <w:rFonts w:hint="eastAsia" w:ascii="仿宋" w:hAnsi="仿宋" w:eastAsia="仿宋" w:cs="仿宋"/>
          <w:sz w:val="32"/>
          <w:szCs w:val="32"/>
        </w:rPr>
        <w:t>相应的经营范围（以营业执照为准）；</w:t>
      </w:r>
    </w:p>
    <w:p>
      <w:pPr>
        <w:keepNext w:val="0"/>
        <w:keepLines w:val="0"/>
        <w:pageBreakBefore w:val="0"/>
        <w:kinsoku/>
        <w:overflowPunct/>
        <w:bidi w:val="0"/>
        <w:spacing w:line="400" w:lineRule="exact"/>
        <w:ind w:left="319" w:leftChars="152" w:firstLine="160" w:firstLineChars="5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、被委托人是须是本单位职工，须提供公司为本人缴纳社会保险证明；</w:t>
      </w:r>
    </w:p>
    <w:p>
      <w:pPr>
        <w:keepNext w:val="0"/>
        <w:keepLines w:val="0"/>
        <w:pageBreakBefore w:val="0"/>
        <w:kinsoku/>
        <w:overflowPunct/>
        <w:bidi w:val="0"/>
        <w:spacing w:line="400" w:lineRule="exact"/>
        <w:ind w:left="319" w:leftChars="152" w:firstLine="160" w:firstLineChars="50"/>
        <w:textAlignment w:val="auto"/>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、本项目不接受联合体投标。</w:t>
      </w:r>
    </w:p>
    <w:p>
      <w:pPr>
        <w:keepNext w:val="0"/>
        <w:keepLines w:val="0"/>
        <w:pageBreakBefore w:val="0"/>
        <w:widowControl/>
        <w:shd w:val="clear" w:color="auto" w:fill="FFFFFF"/>
        <w:kinsoku/>
        <w:overflowPunct/>
        <w:bidi w:val="0"/>
        <w:spacing w:line="400" w:lineRule="exact"/>
        <w:ind w:firstLine="482"/>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keepNext w:val="0"/>
        <w:keepLines w:val="0"/>
        <w:pageBreakBefore w:val="0"/>
        <w:kinsoku/>
        <w:wordWrap w:val="0"/>
        <w:overflowPunct/>
        <w:topLinePunct/>
        <w:bidi w:val="0"/>
        <w:snapToGrid w:val="0"/>
        <w:spacing w:line="400" w:lineRule="exact"/>
        <w:ind w:firstLine="640" w:firstLineChars="200"/>
        <w:textAlignment w:val="auto"/>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rPr>
          <w:rFonts w:hint="eastAsia" w:ascii="仿宋" w:hAnsi="仿宋" w:eastAsia="仿宋" w:cs="仿宋"/>
          <w:color w:val="auto"/>
          <w:sz w:val="32"/>
          <w:szCs w:val="32"/>
          <w:u w:val="none"/>
          <w:lang w:val="zh-CN"/>
        </w:rPr>
        <w:fldChar w:fldCharType="begin"/>
      </w:r>
      <w:r>
        <w:rPr>
          <w:rFonts w:hint="eastAsia" w:ascii="仿宋" w:hAnsi="仿宋" w:eastAsia="仿宋" w:cs="仿宋"/>
          <w:color w:val="auto"/>
          <w:sz w:val="32"/>
          <w:szCs w:val="32"/>
          <w:u w:val="none"/>
          <w:lang w:val="zh-CN"/>
        </w:rPr>
        <w:instrText xml:space="preserve"> HYPERLINK "http://221.14.6.70:8088/ggzy/eps/public/RegistAllJcxx.html" </w:instrText>
      </w:r>
      <w:r>
        <w:rPr>
          <w:rFonts w:hint="eastAsia" w:ascii="仿宋" w:hAnsi="仿宋" w:eastAsia="仿宋" w:cs="仿宋"/>
          <w:color w:val="auto"/>
          <w:sz w:val="32"/>
          <w:szCs w:val="32"/>
          <w:u w:val="none"/>
          <w:lang w:val="zh-CN"/>
        </w:rPr>
        <w:fldChar w:fldCharType="separate"/>
      </w:r>
      <w:r>
        <w:rPr>
          <w:rStyle w:val="28"/>
          <w:rFonts w:hint="eastAsia" w:ascii="仿宋" w:hAnsi="仿宋" w:eastAsia="仿宋" w:cs="仿宋"/>
          <w:sz w:val="32"/>
          <w:szCs w:val="32"/>
          <w:lang w:val="zh-CN"/>
        </w:rPr>
        <w:t>http://221.14.6.70:8088/ggzy/eps/public/RegistAllJcxx.html</w:t>
      </w:r>
      <w:r>
        <w:rPr>
          <w:rFonts w:hint="eastAsia" w:ascii="仿宋" w:hAnsi="仿宋" w:eastAsia="仿宋" w:cs="仿宋"/>
          <w:color w:val="auto"/>
          <w:sz w:val="32"/>
          <w:szCs w:val="32"/>
          <w:u w:val="none"/>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00" w:lineRule="exact"/>
        <w:ind w:firstLine="482"/>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2、在投标截止时间前登录</w:t>
      </w:r>
      <w:r>
        <w:rPr>
          <w:rFonts w:hint="eastAsia" w:ascii="仿宋" w:hAnsi="仿宋" w:eastAsia="仿宋" w:cs="仿宋"/>
          <w:color w:val="auto"/>
          <w:sz w:val="32"/>
          <w:szCs w:val="32"/>
          <w:u w:val="none"/>
          <w:lang w:val="zh-CN"/>
        </w:rPr>
        <w:fldChar w:fldCharType="begin"/>
      </w:r>
      <w:r>
        <w:rPr>
          <w:rFonts w:hint="eastAsia" w:ascii="仿宋" w:hAnsi="仿宋" w:eastAsia="仿宋" w:cs="仿宋"/>
          <w:color w:val="auto"/>
          <w:sz w:val="32"/>
          <w:szCs w:val="32"/>
          <w:u w:val="none"/>
          <w:lang w:val="zh-CN"/>
        </w:rPr>
        <w:instrText xml:space="preserve"> HYPERLINK "http://ggzy.xuchang.gov.cn/" </w:instrText>
      </w:r>
      <w:r>
        <w:rPr>
          <w:rFonts w:hint="eastAsia" w:ascii="仿宋" w:hAnsi="仿宋" w:eastAsia="仿宋" w:cs="仿宋"/>
          <w:color w:val="auto"/>
          <w:sz w:val="32"/>
          <w:szCs w:val="32"/>
          <w:u w:val="none"/>
          <w:lang w:val="zh-CN"/>
        </w:rPr>
        <w:fldChar w:fldCharType="separate"/>
      </w:r>
      <w:r>
        <w:rPr>
          <w:rStyle w:val="28"/>
          <w:rFonts w:hint="eastAsia" w:ascii="仿宋" w:hAnsi="仿宋" w:eastAsia="仿宋" w:cs="仿宋"/>
          <w:sz w:val="32"/>
          <w:szCs w:val="32"/>
          <w:lang w:val="zh-CN"/>
        </w:rPr>
        <w:t>http://ggzy.xuchang.gov.cn</w:t>
      </w:r>
      <w:r>
        <w:rPr>
          <w:rStyle w:val="28"/>
          <w:rFonts w:hint="eastAsia" w:ascii="仿宋" w:hAnsi="仿宋" w:eastAsia="仿宋" w:cs="仿宋"/>
          <w:sz w:val="32"/>
          <w:szCs w:val="32"/>
          <w:lang w:val="en-US" w:eastAsia="zh-CN"/>
        </w:rPr>
        <w:t>/</w:t>
      </w:r>
      <w:r>
        <w:rPr>
          <w:rFonts w:hint="eastAsia" w:ascii="仿宋" w:hAnsi="仿宋" w:eastAsia="仿宋" w:cs="仿宋"/>
          <w:color w:val="auto"/>
          <w:sz w:val="32"/>
          <w:szCs w:val="32"/>
          <w:u w:val="none"/>
          <w:lang w:val="zh-CN"/>
        </w:rPr>
        <w:fldChar w:fldCharType="end"/>
      </w:r>
      <w:r>
        <w:rPr>
          <w:rFonts w:hint="eastAsia" w:ascii="仿宋" w:hAnsi="仿宋" w:eastAsia="仿宋" w:cs="仿宋"/>
          <w:sz w:val="32"/>
          <w:szCs w:val="32"/>
          <w:lang w:val="zh-CN"/>
        </w:rPr>
        <w:t>，自行下载招标文件（详见全国公共资源交易平台（河南省·许昌市）“常见问题解答-交易系统操作手册”）。</w:t>
      </w:r>
    </w:p>
    <w:p>
      <w:pPr>
        <w:keepNext w:val="0"/>
        <w:keepLines w:val="0"/>
        <w:pageBreakBefore w:val="0"/>
        <w:kinsoku/>
        <w:wordWrap w:val="0"/>
        <w:overflowPunct/>
        <w:topLinePunct/>
        <w:autoSpaceDE w:val="0"/>
        <w:autoSpaceDN w:val="0"/>
        <w:bidi w:val="0"/>
        <w:adjustRightInd w:val="0"/>
        <w:snapToGrid w:val="0"/>
        <w:spacing w:line="40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3、未通过全国公共资源交易平台（河南省·许昌市）下载招标文件的投标企业，拒收其递交的投标文件。</w:t>
      </w:r>
    </w:p>
    <w:p>
      <w:pPr>
        <w:keepNext w:val="0"/>
        <w:keepLines w:val="0"/>
        <w:pageBreakBefore w:val="0"/>
        <w:kinsoku/>
        <w:wordWrap w:val="0"/>
        <w:overflowPunct/>
        <w:topLinePunct/>
        <w:autoSpaceDE w:val="0"/>
        <w:autoSpaceDN w:val="0"/>
        <w:bidi w:val="0"/>
        <w:adjustRightInd w:val="0"/>
        <w:snapToGrid w:val="0"/>
        <w:spacing w:line="400" w:lineRule="exact"/>
        <w:ind w:firstLine="482"/>
        <w:textAlignment w:val="auto"/>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keepNext w:val="0"/>
        <w:keepLines w:val="0"/>
        <w:pageBreakBefore w:val="0"/>
        <w:widowControl/>
        <w:shd w:val="clear" w:color="auto" w:fill="FFFFFF"/>
        <w:kinsoku/>
        <w:overflowPunct/>
        <w:bidi w:val="0"/>
        <w:spacing w:line="400" w:lineRule="exact"/>
        <w:ind w:firstLine="482"/>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五、投标截止时间、开标时间及地点：</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19</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9:00</w:t>
      </w:r>
      <w:r>
        <w:rPr>
          <w:rFonts w:hint="eastAsia" w:ascii="仿宋" w:hAnsi="仿宋" w:eastAsia="仿宋" w:cs="仿宋"/>
          <w:color w:val="000000"/>
          <w:kern w:val="0"/>
          <w:sz w:val="32"/>
          <w:szCs w:val="32"/>
        </w:rPr>
        <w:t>（北京时间），逾期送达或不符合规定的投标文件不予接受。</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七、代理机构及采购单位地址、联系人、联系电话</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联系人：艾先生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联系电话：0374-2077111</w:t>
      </w:r>
    </w:p>
    <w:p>
      <w:pPr>
        <w:keepNext w:val="0"/>
        <w:keepLines w:val="0"/>
        <w:pageBreakBefore w:val="0"/>
        <w:widowControl/>
        <w:shd w:val="clear" w:color="auto" w:fill="FFFFFF"/>
        <w:kinsoku/>
        <w:overflowPunct/>
        <w:bidi w:val="0"/>
        <w:spacing w:line="400" w:lineRule="exact"/>
        <w:ind w:left="481"/>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禹州市人民法院</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地址：</w:t>
      </w:r>
      <w:r>
        <w:rPr>
          <w:rFonts w:hint="eastAsia" w:ascii="仿宋" w:hAnsi="仿宋" w:eastAsia="仿宋" w:cs="仿宋"/>
          <w:color w:val="000000"/>
          <w:kern w:val="0"/>
          <w:sz w:val="32"/>
          <w:szCs w:val="32"/>
          <w:lang w:eastAsia="zh-CN"/>
        </w:rPr>
        <w:t>禹州市禹王大道</w:t>
      </w:r>
    </w:p>
    <w:p>
      <w:pPr>
        <w:keepNext w:val="0"/>
        <w:keepLines w:val="0"/>
        <w:pageBreakBefore w:val="0"/>
        <w:widowControl/>
        <w:shd w:val="clear" w:color="auto" w:fill="FFFFFF"/>
        <w:kinsoku/>
        <w:overflowPunct/>
        <w:bidi w:val="0"/>
        <w:spacing w:line="400" w:lineRule="exact"/>
        <w:ind w:firstLine="641"/>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孔</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0374-8351333</w:t>
      </w:r>
    </w:p>
    <w:p>
      <w:pPr>
        <w:keepNext w:val="0"/>
        <w:keepLines w:val="0"/>
        <w:pageBreakBefore w:val="0"/>
        <w:kinsoku/>
        <w:overflowPunct/>
        <w:bidi w:val="0"/>
        <w:spacing w:line="400" w:lineRule="exact"/>
        <w:ind w:firstLine="5440" w:firstLineChars="17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xml:space="preserve">   </w:t>
      </w:r>
    </w:p>
    <w:p>
      <w:pPr>
        <w:keepNext w:val="0"/>
        <w:keepLines w:val="0"/>
        <w:pageBreakBefore w:val="0"/>
        <w:kinsoku/>
        <w:overflowPunct/>
        <w:bidi w:val="0"/>
        <w:spacing w:line="400" w:lineRule="exact"/>
        <w:ind w:firstLine="3520" w:firstLineChars="11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p>
    <w:p>
      <w:pPr>
        <w:keepNext w:val="0"/>
        <w:keepLines w:val="0"/>
        <w:pageBreakBefore w:val="0"/>
        <w:kinsoku/>
        <w:overflowPunct/>
        <w:bidi w:val="0"/>
        <w:spacing w:line="400" w:lineRule="exact"/>
        <w:ind w:firstLine="5120" w:firstLineChars="1600"/>
        <w:textAlignment w:val="auto"/>
        <w:rPr>
          <w:rFonts w:hint="eastAsia" w:hAnsi="宋体"/>
          <w:b/>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numPr>
          <w:ilvl w:val="0"/>
          <w:numId w:val="5"/>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(一</w:t>
      </w:r>
      <w:r>
        <w:rPr>
          <w:rFonts w:hint="eastAsia" w:ascii="仿宋" w:hAnsi="仿宋" w:eastAsia="仿宋" w:cs="宋体"/>
          <w:color w:val="000000"/>
          <w:kern w:val="0"/>
          <w:sz w:val="32"/>
          <w:szCs w:val="32"/>
        </w:rPr>
        <w:t>）采购清单</w:t>
      </w:r>
    </w:p>
    <w:tbl>
      <w:tblPr>
        <w:tblStyle w:val="22"/>
        <w:tblpPr w:leftFromText="180" w:rightFromText="180" w:vertAnchor="text" w:horzAnchor="page" w:tblpX="2281" w:tblpY="640"/>
        <w:tblOverlap w:val="never"/>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0"/>
        <w:gridCol w:w="525"/>
        <w:gridCol w:w="1050"/>
        <w:gridCol w:w="4648"/>
        <w:gridCol w:w="571"/>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Align w:val="center"/>
          </w:tcPr>
          <w:p>
            <w:pPr>
              <w:widowControl/>
              <w:jc w:val="center"/>
              <w:rPr>
                <w:rFonts w:ascii="微软雅黑" w:hAnsi="微软雅黑" w:eastAsia="微软雅黑" w:cs="微软雅黑"/>
                <w:b/>
                <w:szCs w:val="21"/>
              </w:rPr>
            </w:pPr>
            <w:r>
              <w:rPr>
                <w:rFonts w:hint="eastAsia" w:ascii="微软雅黑" w:hAnsi="微软雅黑" w:eastAsia="微软雅黑" w:cs="微软雅黑"/>
                <w:b/>
                <w:szCs w:val="21"/>
              </w:rPr>
              <w:t>序号</w:t>
            </w:r>
          </w:p>
        </w:tc>
        <w:tc>
          <w:tcPr>
            <w:tcW w:w="1575" w:type="dxa"/>
            <w:gridSpan w:val="2"/>
            <w:vAlign w:val="center"/>
          </w:tcPr>
          <w:p>
            <w:pPr>
              <w:widowControl/>
              <w:jc w:val="center"/>
              <w:rPr>
                <w:rFonts w:ascii="微软雅黑" w:hAnsi="微软雅黑" w:eastAsia="微软雅黑" w:cs="微软雅黑"/>
                <w:b/>
                <w:kern w:val="0"/>
                <w:szCs w:val="21"/>
              </w:rPr>
            </w:pPr>
            <w:r>
              <w:rPr>
                <w:rFonts w:hint="eastAsia" w:ascii="微软雅黑" w:hAnsi="微软雅黑" w:eastAsia="微软雅黑" w:cs="微软雅黑"/>
                <w:b/>
                <w:szCs w:val="21"/>
              </w:rPr>
              <w:t>技术指标</w:t>
            </w:r>
          </w:p>
        </w:tc>
        <w:tc>
          <w:tcPr>
            <w:tcW w:w="4648" w:type="dxa"/>
            <w:vAlign w:val="center"/>
          </w:tcPr>
          <w:p>
            <w:pPr>
              <w:widowControl/>
              <w:spacing w:line="300" w:lineRule="auto"/>
              <w:jc w:val="center"/>
              <w:rPr>
                <w:rFonts w:ascii="微软雅黑" w:hAnsi="微软雅黑" w:eastAsia="微软雅黑" w:cs="微软雅黑"/>
                <w:b/>
                <w:szCs w:val="21"/>
              </w:rPr>
            </w:pPr>
            <w:r>
              <w:rPr>
                <w:rFonts w:hint="eastAsia" w:ascii="微软雅黑" w:hAnsi="微软雅黑" w:eastAsia="微软雅黑" w:cs="微软雅黑"/>
                <w:b/>
                <w:szCs w:val="21"/>
              </w:rPr>
              <w:t>参数要求</w:t>
            </w:r>
          </w:p>
        </w:tc>
        <w:tc>
          <w:tcPr>
            <w:tcW w:w="571" w:type="dxa"/>
            <w:vAlign w:val="center"/>
          </w:tcPr>
          <w:p>
            <w:pPr>
              <w:widowControl/>
              <w:spacing w:line="300" w:lineRule="auto"/>
              <w:jc w:val="center"/>
              <w:rPr>
                <w:rFonts w:ascii="微软雅黑" w:hAnsi="微软雅黑" w:eastAsia="微软雅黑" w:cs="微软雅黑"/>
                <w:b/>
                <w:szCs w:val="21"/>
              </w:rPr>
            </w:pPr>
            <w:r>
              <w:rPr>
                <w:rFonts w:hint="eastAsia" w:ascii="微软雅黑" w:hAnsi="微软雅黑" w:eastAsia="微软雅黑" w:cs="微软雅黑"/>
                <w:b/>
                <w:szCs w:val="21"/>
              </w:rPr>
              <w:t>单位</w:t>
            </w:r>
          </w:p>
        </w:tc>
        <w:tc>
          <w:tcPr>
            <w:tcW w:w="619" w:type="dxa"/>
            <w:vAlign w:val="center"/>
          </w:tcPr>
          <w:p>
            <w:pPr>
              <w:widowControl/>
              <w:spacing w:line="300" w:lineRule="auto"/>
              <w:jc w:val="center"/>
              <w:rPr>
                <w:rFonts w:ascii="微软雅黑" w:hAnsi="微软雅黑" w:eastAsia="微软雅黑" w:cs="微软雅黑"/>
                <w:b/>
                <w:szCs w:val="21"/>
              </w:rPr>
            </w:pPr>
            <w:r>
              <w:rPr>
                <w:rFonts w:hint="eastAsia" w:ascii="微软雅黑" w:hAnsi="微软雅黑" w:eastAsia="微软雅黑" w:cs="微软雅黑"/>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1</w:t>
            </w:r>
          </w:p>
        </w:tc>
        <w:tc>
          <w:tcPr>
            <w:tcW w:w="525"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机房机柜</w:t>
            </w:r>
          </w:p>
        </w:tc>
        <w:tc>
          <w:tcPr>
            <w:tcW w:w="105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单柜模块</w:t>
            </w:r>
          </w:p>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（IT机柜）</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 xml:space="preserve">规格：600*1400*2000mm，符合19英寸安装规范； </w:t>
            </w:r>
          </w:p>
        </w:tc>
        <w:tc>
          <w:tcPr>
            <w:tcW w:w="571"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套</w:t>
            </w:r>
          </w:p>
        </w:tc>
        <w:tc>
          <w:tcPr>
            <w:tcW w:w="619"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单柜模块结构</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每个单柜模块分为IT设备安装柜体框架、热风通道两个模块组成；热风通道可进行自由拆分组合，热风通道拆分后IT设备安装柜体也可以单独安装后门变为1200mm深柜体使用</w:t>
            </w:r>
            <w:r>
              <w:rPr>
                <w:rFonts w:hint="eastAsia" w:ascii="微软雅黑" w:hAnsi="微软雅黑" w:eastAsia="微软雅黑" w:cs="微软雅黑"/>
                <w:b/>
                <w:bCs/>
                <w:kern w:val="0"/>
                <w:szCs w:val="21"/>
              </w:rPr>
              <w:t>（提供技术应答承诺书及结构图）</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材质要求</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单柜模块采用优化PDU等设备安装和理线的结构，安装服务器设备等，前后设备安装最大深度720mm，承重部分采用≥2.0mm厚冷轧钢板，其他部分采用采用≥1.2mm厚冷轧钢板。</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表面处理</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所有金属部件均采用电泳加喷涂工艺进行涂装；机柜表面经过脱硫、磷化、酸洗、静电粉末喷、黑色亚光细砂纹处理，无甲醛，</w:t>
            </w:r>
            <w:r>
              <w:rPr>
                <w:rFonts w:hint="eastAsia" w:ascii="微软雅黑" w:hAnsi="微软雅黑" w:eastAsia="微软雅黑" w:cs="微软雅黑"/>
                <w:b/>
                <w:bCs/>
                <w:kern w:val="0"/>
                <w:szCs w:val="21"/>
              </w:rPr>
              <w:t>投标人须提供提供具有 CMA或CAL或 CNAS认证的喷塑粉有害物质检测报告；</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柜门方式</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单机柜模块采用前单开聚炭酸酯板，后门采用钢化玻璃门，聚炭酸酯板厚度5mm；前后门采用可拆卸式结构，前门可安装于机柜后部，后门可安装于机柜前部；门开启顺畅，无卡阻现象；支持机械开锁及刷卡开锁切换；机柜锁隐藏在前后框体内部；机柜门采用智能触摸屏+自动开门装置组合控制，具有联动功能，消防灭火时门自动弹开。</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抗震性能</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按照标准YD5083-2005《电信设备抗地震性能检测规范》要求，≥500kg承重下通过8、9级烈度结构抗地震考核，</w:t>
            </w:r>
            <w:r>
              <w:rPr>
                <w:rFonts w:hint="eastAsia" w:ascii="微软雅黑" w:hAnsi="微软雅黑" w:eastAsia="微软雅黑" w:cs="微软雅黑"/>
                <w:b/>
                <w:bCs/>
                <w:kern w:val="0"/>
                <w:szCs w:val="21"/>
              </w:rPr>
              <w:t>投标方须提供第三方权威机构专项抗震的检测报告【要求检测报告中委托单位、生产者（制造商）及生产厂的名称及地址应一致】，拒绝OEM；</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静载承重量</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机柜静态承载能力≧2400kg；动载≧1200kg，投标方必须提供第三方检测机构专项载重测试的检测报告</w:t>
            </w:r>
            <w:r>
              <w:rPr>
                <w:rFonts w:hint="eastAsia" w:ascii="微软雅黑" w:hAnsi="微软雅黑" w:eastAsia="微软雅黑" w:cs="微软雅黑"/>
                <w:b/>
                <w:bCs/>
                <w:kern w:val="0"/>
                <w:szCs w:val="21"/>
              </w:rPr>
              <w:t>【要求检测报告中委托单位、生产者（制造商）及生产厂的名称及地址应一致】,拒绝OEM.</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安装要求</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落地安装/基础支架安装</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密封件</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模块共配置,60块1U盲板，含接地铜排，免螺丝无工具安装，盲板采用为钢质或塑料材质；塑料盲板应具有防火阻燃性能</w:t>
            </w:r>
            <w:r>
              <w:rPr>
                <w:rFonts w:hint="eastAsia" w:ascii="微软雅黑" w:hAnsi="微软雅黑" w:eastAsia="微软雅黑" w:cs="微软雅黑"/>
                <w:b/>
                <w:bCs/>
                <w:kern w:val="0"/>
                <w:szCs w:val="21"/>
              </w:rPr>
              <w:t>（须提供由质量监督检验机构出具的检测报告）。</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固定承板</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模块共配置6块固定承板；固定层板静载荷能力应不低于350KG。</w:t>
            </w:r>
            <w:r>
              <w:rPr>
                <w:rFonts w:hint="eastAsia" w:ascii="微软雅黑" w:hAnsi="微软雅黑" w:eastAsia="微软雅黑" w:cs="微软雅黑"/>
                <w:b/>
                <w:bCs/>
                <w:kern w:val="0"/>
                <w:szCs w:val="21"/>
              </w:rPr>
              <w:t>（须提供由质量监督检验机构出具的检测报告）</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接地</w:t>
            </w:r>
          </w:p>
        </w:tc>
        <w:tc>
          <w:tcPr>
            <w:tcW w:w="4648" w:type="dxa"/>
            <w:vAlign w:val="center"/>
          </w:tcPr>
          <w:p>
            <w:pPr>
              <w:widowControl/>
              <w:jc w:val="left"/>
              <w:textAlignment w:val="center"/>
              <w:rPr>
                <w:rFonts w:ascii="微软雅黑" w:hAnsi="微软雅黑" w:eastAsia="微软雅黑" w:cs="微软雅黑"/>
                <w:kern w:val="0"/>
                <w:szCs w:val="21"/>
              </w:rPr>
            </w:pPr>
            <w:r>
              <w:rPr>
                <w:rFonts w:hint="eastAsia" w:ascii="微软雅黑" w:hAnsi="微软雅黑" w:eastAsia="微软雅黑" w:cs="微软雅黑"/>
                <w:color w:val="000000"/>
                <w:kern w:val="0"/>
                <w:szCs w:val="21"/>
              </w:rPr>
              <w:t>机柜底部须提供不少于2个接地点，所有门提供接地；门体和柜体之间有软导线连接。</w:t>
            </w:r>
          </w:p>
        </w:tc>
        <w:tc>
          <w:tcPr>
            <w:tcW w:w="571" w:type="dxa"/>
            <w:vMerge w:val="continue"/>
            <w:vAlign w:val="center"/>
          </w:tcPr>
          <w:p>
            <w:pPr>
              <w:widowControl/>
              <w:jc w:val="center"/>
              <w:textAlignment w:val="center"/>
              <w:rPr>
                <w:rFonts w:ascii="微软雅黑" w:hAnsi="微软雅黑" w:eastAsia="微软雅黑" w:cs="微软雅黑"/>
                <w:color w:val="000000"/>
                <w:kern w:val="0"/>
                <w:szCs w:val="21"/>
              </w:rPr>
            </w:pPr>
          </w:p>
        </w:tc>
        <w:tc>
          <w:tcPr>
            <w:tcW w:w="619" w:type="dxa"/>
            <w:vMerge w:val="continue"/>
            <w:vAlign w:val="center"/>
          </w:tcPr>
          <w:p>
            <w:pPr>
              <w:widowControl/>
              <w:jc w:val="center"/>
              <w:textAlignment w:val="center"/>
              <w:rPr>
                <w:rFonts w:ascii="微软雅黑" w:hAnsi="微软雅黑" w:eastAsia="微软雅黑" w:cs="微软雅黑"/>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color w:val="000000"/>
                <w:kern w:val="0"/>
                <w:szCs w:val="21"/>
              </w:rPr>
              <w:t>PDU</w:t>
            </w:r>
          </w:p>
        </w:tc>
        <w:tc>
          <w:tcPr>
            <w:tcW w:w="4648" w:type="dxa"/>
            <w:vAlign w:val="center"/>
          </w:tcPr>
          <w:p>
            <w:pPr>
              <w:widowControl/>
              <w:jc w:val="left"/>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单柜模块（IT设备柜）配置1套PDU,安装于机柜后面，32A接线端子接线盒输入，12路国标10A+4路10A可带电热插拔式模块输出，与机柜同品牌(端口类型可根据业主需求选择）</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进、出线方式</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满足下进、下出方式或上进上出</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灯光要求</w:t>
            </w:r>
          </w:p>
        </w:tc>
        <w:tc>
          <w:tcPr>
            <w:tcW w:w="4648" w:type="dxa"/>
            <w:vAlign w:val="center"/>
          </w:tcPr>
          <w:p>
            <w:pPr>
              <w:widowControl/>
              <w:jc w:val="left"/>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单柜模块前后门设置LED照明，通过柜门控制（门开灯亮，门关灯灭）或触摸屏控制</w:t>
            </w:r>
          </w:p>
        </w:tc>
        <w:tc>
          <w:tcPr>
            <w:tcW w:w="571" w:type="dxa"/>
            <w:vAlign w:val="center"/>
          </w:tcPr>
          <w:p>
            <w:pPr>
              <w:widowControl/>
              <w:jc w:val="center"/>
              <w:textAlignment w:val="center"/>
              <w:rPr>
                <w:rFonts w:ascii="微软雅黑" w:hAnsi="微软雅黑" w:eastAsia="微软雅黑" w:cs="微软雅黑"/>
                <w:kern w:val="0"/>
                <w:szCs w:val="21"/>
              </w:rPr>
            </w:pPr>
          </w:p>
        </w:tc>
        <w:tc>
          <w:tcPr>
            <w:tcW w:w="619" w:type="dxa"/>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统一品牌</w:t>
            </w:r>
          </w:p>
        </w:tc>
        <w:tc>
          <w:tcPr>
            <w:tcW w:w="4648" w:type="dxa"/>
            <w:vAlign w:val="center"/>
          </w:tcPr>
          <w:p>
            <w:pPr>
              <w:widowControl/>
              <w:jc w:val="left"/>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配电系统、精密空调、机柜、管理系统等核心部件为同一品牌，须提供微模块整体检测报告</w:t>
            </w:r>
            <w:r>
              <w:rPr>
                <w:rFonts w:hint="eastAsia" w:ascii="微软雅黑" w:hAnsi="微软雅黑" w:eastAsia="微软雅黑" w:cs="微软雅黑"/>
                <w:b/>
                <w:bCs/>
                <w:kern w:val="0"/>
                <w:szCs w:val="21"/>
              </w:rPr>
              <w:t>（须提供由质量监督检验机构出具的检测报告）</w:t>
            </w:r>
          </w:p>
        </w:tc>
        <w:tc>
          <w:tcPr>
            <w:tcW w:w="571" w:type="dxa"/>
            <w:vAlign w:val="center"/>
          </w:tcPr>
          <w:p>
            <w:pPr>
              <w:widowControl/>
              <w:jc w:val="center"/>
              <w:textAlignment w:val="center"/>
              <w:rPr>
                <w:rFonts w:ascii="微软雅黑" w:hAnsi="微软雅黑" w:eastAsia="微软雅黑" w:cs="微软雅黑"/>
                <w:kern w:val="0"/>
                <w:szCs w:val="21"/>
              </w:rPr>
            </w:pPr>
          </w:p>
        </w:tc>
        <w:tc>
          <w:tcPr>
            <w:tcW w:w="619" w:type="dxa"/>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显示内容</w:t>
            </w:r>
          </w:p>
        </w:tc>
        <w:tc>
          <w:tcPr>
            <w:tcW w:w="4648" w:type="dxa"/>
            <w:vAlign w:val="center"/>
          </w:tcPr>
          <w:p>
            <w:pPr>
              <w:widowControl/>
              <w:jc w:val="left"/>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每套微模块配置一套10寸彩色触摸屏，显示微模块所有监控设备的参数。</w:t>
            </w:r>
          </w:p>
        </w:tc>
        <w:tc>
          <w:tcPr>
            <w:tcW w:w="571" w:type="dxa"/>
            <w:vAlign w:val="center"/>
          </w:tcPr>
          <w:p>
            <w:pPr>
              <w:widowControl/>
              <w:jc w:val="center"/>
              <w:textAlignment w:val="center"/>
              <w:rPr>
                <w:rFonts w:ascii="微软雅黑" w:hAnsi="微软雅黑" w:eastAsia="微软雅黑" w:cs="微软雅黑"/>
                <w:kern w:val="0"/>
                <w:szCs w:val="21"/>
              </w:rPr>
            </w:pPr>
          </w:p>
        </w:tc>
        <w:tc>
          <w:tcPr>
            <w:tcW w:w="619" w:type="dxa"/>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2</w:t>
            </w:r>
          </w:p>
        </w:tc>
        <w:tc>
          <w:tcPr>
            <w:tcW w:w="525"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供配电</w:t>
            </w:r>
          </w:p>
        </w:tc>
        <w:tc>
          <w:tcPr>
            <w:tcW w:w="105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电源制式</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220/380VAC，46Hz～55Hz</w:t>
            </w:r>
          </w:p>
        </w:tc>
        <w:tc>
          <w:tcPr>
            <w:tcW w:w="571"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套</w:t>
            </w:r>
          </w:p>
        </w:tc>
        <w:tc>
          <w:tcPr>
            <w:tcW w:w="619"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供电系统</w:t>
            </w:r>
          </w:p>
        </w:tc>
        <w:tc>
          <w:tcPr>
            <w:tcW w:w="4648" w:type="dxa"/>
            <w:vAlign w:val="center"/>
          </w:tcPr>
          <w:p>
            <w:pPr>
              <w:widowControl/>
              <w:jc w:val="left"/>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 xml:space="preserve">机架式配电箱规格：440mm(W)*10U(H)*560mm(D)，机架式安装于配电综合设备柜内（电量仪见动环部分）。 </w:t>
            </w:r>
          </w:p>
          <w:p>
            <w:pPr>
              <w:widowControl/>
              <w:jc w:val="left"/>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 xml:space="preserve">空开配置：总空开 C80A+MX+OF 1只，UPS主输入iC65N-C50A/3P 1只，UPS外部手动旁路2P C50A+挂锁辅件 1只，UPS输出2P C50A 1只，空调输入iC65N-D20A/3P 1只，备用iC65N-C32A/3P 1只，支路空开iC65N-C32A/1P 5只，支路空开iC65N-C6A/1P 5只；防雷模块（In=20KA）含保护空开iC65N-C32A/4P 1套； </w:t>
            </w:r>
          </w:p>
          <w:p>
            <w:pPr>
              <w:widowControl/>
              <w:jc w:val="left"/>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投标人须提供机架式配电箱产品应符合国家强制认证要求，委托人、</w:t>
            </w:r>
            <w:r>
              <w:rPr>
                <w:rFonts w:hint="eastAsia" w:ascii="微软雅黑" w:hAnsi="微软雅黑" w:eastAsia="微软雅黑" w:cs="微软雅黑"/>
                <w:b/>
                <w:bCs/>
                <w:kern w:val="0"/>
                <w:szCs w:val="21"/>
              </w:rPr>
              <w:t>生产者（制造商）及生产企业的名称及地址应一致，并提供CCC证书</w:t>
            </w:r>
            <w:r>
              <w:rPr>
                <w:rFonts w:hint="eastAsia" w:ascii="微软雅黑" w:hAnsi="微软雅黑" w:eastAsia="微软雅黑" w:cs="微软雅黑"/>
                <w:kern w:val="0"/>
                <w:szCs w:val="21"/>
              </w:rPr>
              <w:t>。</w:t>
            </w:r>
          </w:p>
          <w:p>
            <w:pPr>
              <w:widowControl/>
              <w:jc w:val="left"/>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机架式配电箱防护等级≧IP40，</w:t>
            </w:r>
            <w:r>
              <w:rPr>
                <w:rFonts w:hint="eastAsia" w:ascii="微软雅黑" w:hAnsi="微软雅黑" w:eastAsia="微软雅黑" w:cs="微软雅黑"/>
                <w:b/>
                <w:bCs/>
                <w:kern w:val="0"/>
                <w:szCs w:val="21"/>
              </w:rPr>
              <w:t>投标人须提供国家质量认证部门出具的证明材料。</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监测模块</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监测电量参数，主要监测电源电压、电流、有功功率、无功功率、视在功率、有功电能参数以及防雷状态监测功能，带Modbus通讯协议，RS485通信接口,</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防雷等级</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C级防雷，标称放电电流20KA-40KA(8/20μs)</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49"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UPS</w:t>
            </w:r>
          </w:p>
        </w:tc>
        <w:tc>
          <w:tcPr>
            <w:tcW w:w="4648" w:type="dxa"/>
            <w:vAlign w:val="center"/>
          </w:tcPr>
          <w:p>
            <w:pPr>
              <w:widowControl/>
              <w:jc w:val="left"/>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1、UPS容量30KVA，机架式安装，1台；</w:t>
            </w:r>
          </w:p>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2、.配置外接电池数量96节12V100AH蓄电池，</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3</w:t>
            </w:r>
          </w:p>
        </w:tc>
        <w:tc>
          <w:tcPr>
            <w:tcW w:w="525"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空调</w:t>
            </w: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szCs w:val="21"/>
              </w:rPr>
              <w:t>精密空调</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1制冷量≥12.5KW单冷型精密空调，12.5kw精密空调（总制冷量为12.5KW，单压缩机，水平送风，EC高效直联后倾离心式风机，具备制冷、送风、除尘、自动报警、来电自启等功能；噪音≤62dB；电源：三相五线制 380V/3N/50Hz+N+PE）电加热选配。</w:t>
            </w:r>
          </w:p>
        </w:tc>
        <w:tc>
          <w:tcPr>
            <w:tcW w:w="571"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套</w:t>
            </w:r>
          </w:p>
        </w:tc>
        <w:tc>
          <w:tcPr>
            <w:tcW w:w="619"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20"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4</w:t>
            </w:r>
          </w:p>
        </w:tc>
        <w:tc>
          <w:tcPr>
            <w:tcW w:w="525"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监控检测</w:t>
            </w: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监测系统</w:t>
            </w:r>
          </w:p>
        </w:tc>
        <w:tc>
          <w:tcPr>
            <w:tcW w:w="4648" w:type="dxa"/>
            <w:vAlign w:val="center"/>
          </w:tcPr>
          <w:p>
            <w:pPr>
              <w:widowControl/>
              <w:jc w:val="left"/>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Cortex-A8 CPU为核心（主频1GHz，内存512M）的高性能嵌入式一体化触摸屏。该产品设计采用了10.2英寸高亮度TFT液晶显示屏（分辨率1024×600），四线电阻式触摸屏（分辨率4096×4096）</w:t>
            </w:r>
            <w:r>
              <w:rPr>
                <w:rFonts w:hint="eastAsia" w:ascii="微软雅黑" w:hAnsi="微软雅黑" w:eastAsia="微软雅黑" w:cs="微软雅黑"/>
                <w:kern w:val="0"/>
                <w:szCs w:val="21"/>
              </w:rPr>
              <w:br w:type="textWrapping"/>
            </w:r>
            <w:r>
              <w:rPr>
                <w:rFonts w:hint="eastAsia" w:ascii="微软雅黑" w:hAnsi="微软雅黑" w:eastAsia="微软雅黑" w:cs="微软雅黑"/>
                <w:b/>
                <w:bCs/>
                <w:kern w:val="0"/>
                <w:szCs w:val="21"/>
              </w:rPr>
              <w:t>需提供监控软件评测报告、著作权登记证书、软件产品登记证书复印件。</w:t>
            </w:r>
          </w:p>
        </w:tc>
        <w:tc>
          <w:tcPr>
            <w:tcW w:w="571"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套</w:t>
            </w:r>
          </w:p>
        </w:tc>
        <w:tc>
          <w:tcPr>
            <w:tcW w:w="619"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环境监测</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满足微模块内温湿度及前后门状态、烟雾、水浸状态监测等；</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市电监测</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市电电源参数监测</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UPS电源监测</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UPS电源信息监测</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空调监测</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对空调的回风温度、报警状态、故障状态、以及蒸发风机、压缩机的运行等状态进行监测</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Merge w:val="continue"/>
            <w:vAlign w:val="center"/>
          </w:tcPr>
          <w:p>
            <w:pPr>
              <w:widowControl/>
              <w:jc w:val="center"/>
              <w:textAlignment w:val="center"/>
              <w:rPr>
                <w:rFonts w:ascii="微软雅黑" w:hAnsi="微软雅黑" w:eastAsia="微软雅黑" w:cs="微软雅黑"/>
                <w:kern w:val="0"/>
                <w:szCs w:val="21"/>
              </w:rPr>
            </w:pPr>
          </w:p>
        </w:tc>
        <w:tc>
          <w:tcPr>
            <w:tcW w:w="525" w:type="dxa"/>
            <w:vMerge w:val="continue"/>
            <w:vAlign w:val="center"/>
          </w:tcPr>
          <w:p>
            <w:pPr>
              <w:widowControl/>
              <w:jc w:val="center"/>
              <w:textAlignment w:val="center"/>
              <w:rPr>
                <w:rFonts w:ascii="微软雅黑" w:hAnsi="微软雅黑" w:eastAsia="微软雅黑" w:cs="微软雅黑"/>
                <w:kern w:val="0"/>
                <w:szCs w:val="21"/>
              </w:rPr>
            </w:pPr>
          </w:p>
        </w:tc>
        <w:tc>
          <w:tcPr>
            <w:tcW w:w="1050" w:type="dxa"/>
            <w:vAlign w:val="center"/>
          </w:tcPr>
          <w:p>
            <w:pPr>
              <w:widowControl/>
              <w:jc w:val="center"/>
              <w:textAlignment w:val="center"/>
              <w:rPr>
                <w:rFonts w:ascii="微软雅黑" w:hAnsi="微软雅黑" w:eastAsia="微软雅黑" w:cs="微软雅黑"/>
                <w:szCs w:val="21"/>
              </w:rPr>
            </w:pPr>
            <w:r>
              <w:rPr>
                <w:rFonts w:hint="eastAsia" w:ascii="微软雅黑" w:hAnsi="微软雅黑" w:eastAsia="微软雅黑" w:cs="微软雅黑"/>
                <w:kern w:val="0"/>
                <w:szCs w:val="21"/>
              </w:rPr>
              <w:t>门禁监测</w:t>
            </w:r>
          </w:p>
        </w:tc>
        <w:tc>
          <w:tcPr>
            <w:tcW w:w="4648" w:type="dxa"/>
            <w:vAlign w:val="center"/>
          </w:tcPr>
          <w:p>
            <w:pPr>
              <w:widowControl/>
              <w:jc w:val="left"/>
              <w:textAlignment w:val="center"/>
              <w:rPr>
                <w:rFonts w:ascii="微软雅黑" w:hAnsi="微软雅黑" w:eastAsia="微软雅黑" w:cs="微软雅黑"/>
                <w:szCs w:val="21"/>
              </w:rPr>
            </w:pPr>
            <w:r>
              <w:rPr>
                <w:rFonts w:hint="eastAsia" w:ascii="微软雅黑" w:hAnsi="微软雅黑" w:eastAsia="微软雅黑" w:cs="微软雅黑"/>
                <w:kern w:val="0"/>
                <w:szCs w:val="21"/>
              </w:rPr>
              <w:t>可对柜门进行权限管理及限制,当智能化系统监测柜内温度达到一定数值时，出现应急故障时（如空调故障、消防），联动切断门禁锁断电自动打开前门，引机房内空气至机柜内降低机柜内温度</w:t>
            </w:r>
          </w:p>
        </w:tc>
        <w:tc>
          <w:tcPr>
            <w:tcW w:w="571" w:type="dxa"/>
            <w:vMerge w:val="continue"/>
            <w:vAlign w:val="center"/>
          </w:tcPr>
          <w:p>
            <w:pPr>
              <w:widowControl/>
              <w:jc w:val="center"/>
              <w:textAlignment w:val="center"/>
              <w:rPr>
                <w:rFonts w:ascii="微软雅黑" w:hAnsi="微软雅黑" w:eastAsia="微软雅黑" w:cs="微软雅黑"/>
                <w:kern w:val="0"/>
                <w:szCs w:val="21"/>
              </w:rPr>
            </w:pPr>
          </w:p>
        </w:tc>
        <w:tc>
          <w:tcPr>
            <w:tcW w:w="619" w:type="dxa"/>
            <w:vMerge w:val="continue"/>
            <w:vAlign w:val="center"/>
          </w:tcPr>
          <w:p>
            <w:pPr>
              <w:widowControl/>
              <w:jc w:val="center"/>
              <w:textAlignment w:val="center"/>
              <w:rPr>
                <w:rFonts w:ascii="微软雅黑" w:hAnsi="微软雅黑" w:eastAsia="微软雅黑" w:cs="微软雅黑"/>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5</w:t>
            </w:r>
          </w:p>
        </w:tc>
        <w:tc>
          <w:tcPr>
            <w:tcW w:w="525"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综合布线</w:t>
            </w:r>
          </w:p>
        </w:tc>
        <w:tc>
          <w:tcPr>
            <w:tcW w:w="5698" w:type="dxa"/>
            <w:gridSpan w:val="2"/>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机房所有电源线、网线、光纤、跳线、电话线需重新整理。</w:t>
            </w:r>
          </w:p>
        </w:tc>
        <w:tc>
          <w:tcPr>
            <w:tcW w:w="571"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批</w:t>
            </w:r>
          </w:p>
        </w:tc>
        <w:tc>
          <w:tcPr>
            <w:tcW w:w="619"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6</w:t>
            </w:r>
          </w:p>
        </w:tc>
        <w:tc>
          <w:tcPr>
            <w:tcW w:w="525"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KVM液晶一体机</w:t>
            </w:r>
          </w:p>
        </w:tc>
        <w:tc>
          <w:tcPr>
            <w:tcW w:w="5698" w:type="dxa"/>
            <w:gridSpan w:val="2"/>
            <w:vAlign w:val="center"/>
          </w:tcPr>
          <w:p>
            <w:pPr>
              <w:widowControl/>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8进一出机架式，17寸高清液晶显示、前置USB、支持一键切换</w:t>
            </w:r>
          </w:p>
        </w:tc>
        <w:tc>
          <w:tcPr>
            <w:tcW w:w="571"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套</w:t>
            </w:r>
          </w:p>
        </w:tc>
        <w:tc>
          <w:tcPr>
            <w:tcW w:w="619"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3" w:hRule="atLeast"/>
        </w:trPr>
        <w:tc>
          <w:tcPr>
            <w:tcW w:w="520"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7</w:t>
            </w:r>
          </w:p>
        </w:tc>
        <w:tc>
          <w:tcPr>
            <w:tcW w:w="525"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室内装饰</w:t>
            </w:r>
          </w:p>
        </w:tc>
        <w:tc>
          <w:tcPr>
            <w:tcW w:w="105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吊顶</w:t>
            </w:r>
          </w:p>
        </w:tc>
        <w:tc>
          <w:tcPr>
            <w:tcW w:w="4648" w:type="dxa"/>
            <w:vAlign w:val="center"/>
          </w:tcPr>
          <w:p>
            <w:pPr>
              <w:widowControl/>
              <w:textAlignment w:val="center"/>
              <w:rPr>
                <w:rFonts w:ascii="微软雅黑" w:hAnsi="微软雅黑" w:cs="微软雅黑"/>
                <w:kern w:val="0"/>
                <w:szCs w:val="21"/>
              </w:rPr>
            </w:pPr>
            <w:r>
              <w:rPr>
                <w:rFonts w:hint="eastAsia" w:ascii="微软雅黑" w:hAnsi="微软雅黑" w:eastAsia="微软雅黑" w:cs="微软雅黑"/>
                <w:color w:val="191919"/>
                <w:szCs w:val="21"/>
                <w:shd w:val="clear" w:color="070000" w:fill="FFFFFF"/>
              </w:rPr>
              <w:t>铝合金微孔板吊顶90平方；</w:t>
            </w:r>
          </w:p>
        </w:tc>
        <w:tc>
          <w:tcPr>
            <w:tcW w:w="571"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项</w:t>
            </w:r>
          </w:p>
        </w:tc>
        <w:tc>
          <w:tcPr>
            <w:tcW w:w="619" w:type="dxa"/>
            <w:vMerge w:val="restart"/>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2" w:hRule="atLeast"/>
        </w:trPr>
        <w:tc>
          <w:tcPr>
            <w:tcW w:w="520" w:type="dxa"/>
            <w:vMerge w:val="continue"/>
            <w:vAlign w:val="center"/>
          </w:tcPr>
          <w:p>
            <w:pPr>
              <w:widowControl/>
              <w:textAlignment w:val="center"/>
            </w:pPr>
          </w:p>
        </w:tc>
        <w:tc>
          <w:tcPr>
            <w:tcW w:w="525" w:type="dxa"/>
            <w:vMerge w:val="continue"/>
            <w:vAlign w:val="center"/>
          </w:tcPr>
          <w:p>
            <w:pPr>
              <w:widowControl/>
              <w:textAlignment w:val="center"/>
            </w:pPr>
          </w:p>
        </w:tc>
        <w:tc>
          <w:tcPr>
            <w:tcW w:w="1050" w:type="dxa"/>
            <w:vAlign w:val="center"/>
          </w:tcPr>
          <w:p>
            <w:pPr>
              <w:widowControl/>
              <w:jc w:val="center"/>
              <w:textAlignment w:val="center"/>
              <w:rPr>
                <w:rFonts w:ascii="微软雅黑" w:hAnsi="微软雅黑" w:eastAsia="微软雅黑" w:cs="微软雅黑"/>
              </w:rPr>
            </w:pPr>
            <w:r>
              <w:rPr>
                <w:rFonts w:hint="eastAsia" w:ascii="微软雅黑" w:hAnsi="微软雅黑" w:eastAsia="微软雅黑" w:cs="微软雅黑"/>
              </w:rPr>
              <w:t>防静电地板</w:t>
            </w:r>
          </w:p>
        </w:tc>
        <w:tc>
          <w:tcPr>
            <w:tcW w:w="4648" w:type="dxa"/>
            <w:vAlign w:val="center"/>
          </w:tcPr>
          <w:p>
            <w:pPr>
              <w:widowControl/>
              <w:textAlignment w:val="center"/>
            </w:pPr>
            <w:r>
              <w:rPr>
                <w:rFonts w:hint="eastAsia"/>
              </w:rPr>
              <w:t>防静电地板外表经磷化后进行防静电喷塑处理，上表面10MM厚陶瓷，四周镶嵌导静电边条。</w:t>
            </w:r>
          </w:p>
        </w:tc>
        <w:tc>
          <w:tcPr>
            <w:tcW w:w="571" w:type="dxa"/>
            <w:vMerge w:val="continue"/>
            <w:vAlign w:val="center"/>
          </w:tcPr>
          <w:p>
            <w:pPr>
              <w:widowControl/>
              <w:textAlignment w:val="center"/>
            </w:pPr>
          </w:p>
        </w:tc>
        <w:tc>
          <w:tcPr>
            <w:tcW w:w="619" w:type="dxa"/>
            <w:vMerge w:val="continue"/>
            <w:vAlign w:val="center"/>
          </w:tcPr>
          <w:p>
            <w:pPr>
              <w:widowControl/>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3" w:hRule="atLeast"/>
        </w:trPr>
        <w:tc>
          <w:tcPr>
            <w:tcW w:w="520" w:type="dxa"/>
            <w:vMerge w:val="continue"/>
            <w:vAlign w:val="center"/>
          </w:tcPr>
          <w:p>
            <w:pPr>
              <w:widowControl/>
              <w:textAlignment w:val="center"/>
            </w:pPr>
          </w:p>
        </w:tc>
        <w:tc>
          <w:tcPr>
            <w:tcW w:w="525" w:type="dxa"/>
            <w:vMerge w:val="continue"/>
            <w:vAlign w:val="center"/>
          </w:tcPr>
          <w:p>
            <w:pPr>
              <w:widowControl/>
              <w:textAlignment w:val="center"/>
            </w:pPr>
          </w:p>
        </w:tc>
        <w:tc>
          <w:tcPr>
            <w:tcW w:w="1050" w:type="dxa"/>
            <w:vAlign w:val="center"/>
          </w:tcPr>
          <w:p>
            <w:pPr>
              <w:widowControl/>
              <w:jc w:val="center"/>
              <w:textAlignment w:val="center"/>
              <w:rPr>
                <w:rFonts w:ascii="微软雅黑" w:hAnsi="微软雅黑" w:eastAsia="微软雅黑" w:cs="微软雅黑"/>
              </w:rPr>
            </w:pPr>
            <w:r>
              <w:rPr>
                <w:rFonts w:hint="eastAsia" w:ascii="微软雅黑" w:hAnsi="微软雅黑" w:eastAsia="微软雅黑" w:cs="微软雅黑"/>
              </w:rPr>
              <w:t>玻璃幕墙</w:t>
            </w:r>
          </w:p>
        </w:tc>
        <w:tc>
          <w:tcPr>
            <w:tcW w:w="4648" w:type="dxa"/>
            <w:vAlign w:val="center"/>
          </w:tcPr>
          <w:p>
            <w:pPr>
              <w:widowControl/>
              <w:textAlignment w:val="center"/>
            </w:pPr>
            <w:r>
              <w:rPr>
                <w:rFonts w:hint="eastAsia"/>
              </w:rPr>
              <w:t>30平方10MM厚钢化玻璃，上下龙骨固定，加强竖梁，不锈钢包边，</w:t>
            </w:r>
          </w:p>
        </w:tc>
        <w:tc>
          <w:tcPr>
            <w:tcW w:w="571" w:type="dxa"/>
            <w:vMerge w:val="continue"/>
            <w:vAlign w:val="center"/>
          </w:tcPr>
          <w:p>
            <w:pPr>
              <w:widowControl/>
              <w:textAlignment w:val="center"/>
            </w:pPr>
          </w:p>
        </w:tc>
        <w:tc>
          <w:tcPr>
            <w:tcW w:w="619" w:type="dxa"/>
            <w:vMerge w:val="continue"/>
            <w:vAlign w:val="center"/>
          </w:tcPr>
          <w:p>
            <w:pPr>
              <w:widowControl/>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3" w:hRule="atLeast"/>
        </w:trPr>
        <w:tc>
          <w:tcPr>
            <w:tcW w:w="520" w:type="dxa"/>
            <w:vMerge w:val="continue"/>
            <w:vAlign w:val="center"/>
          </w:tcPr>
          <w:p>
            <w:pPr>
              <w:widowControl/>
              <w:textAlignment w:val="center"/>
            </w:pPr>
          </w:p>
        </w:tc>
        <w:tc>
          <w:tcPr>
            <w:tcW w:w="525" w:type="dxa"/>
            <w:vMerge w:val="continue"/>
            <w:vAlign w:val="center"/>
          </w:tcPr>
          <w:p>
            <w:pPr>
              <w:widowControl/>
              <w:textAlignment w:val="center"/>
            </w:pPr>
          </w:p>
        </w:tc>
        <w:tc>
          <w:tcPr>
            <w:tcW w:w="1050" w:type="dxa"/>
            <w:vAlign w:val="center"/>
          </w:tcPr>
          <w:p>
            <w:pPr>
              <w:widowControl/>
              <w:jc w:val="center"/>
              <w:textAlignment w:val="center"/>
              <w:rPr>
                <w:rFonts w:ascii="微软雅黑" w:hAnsi="微软雅黑" w:eastAsia="微软雅黑" w:cs="微软雅黑"/>
              </w:rPr>
            </w:pPr>
            <w:r>
              <w:rPr>
                <w:rFonts w:hint="eastAsia" w:ascii="微软雅黑" w:hAnsi="微软雅黑" w:eastAsia="微软雅黑" w:cs="微软雅黑"/>
              </w:rPr>
              <w:t>墙体装饰</w:t>
            </w:r>
          </w:p>
        </w:tc>
        <w:tc>
          <w:tcPr>
            <w:tcW w:w="4648" w:type="dxa"/>
            <w:vAlign w:val="center"/>
          </w:tcPr>
          <w:p>
            <w:pPr>
              <w:widowControl/>
              <w:textAlignment w:val="center"/>
            </w:pPr>
            <w:r>
              <w:rPr>
                <w:rFonts w:hint="eastAsia" w:ascii="微软雅黑" w:hAnsi="微软雅黑" w:eastAsia="微软雅黑" w:cs="微软雅黑"/>
                <w:color w:val="191919"/>
                <w:szCs w:val="21"/>
                <w:shd w:val="clear" w:color="070000" w:fill="FFFFFF"/>
              </w:rPr>
              <w:t>主机房墙柱面采用知名品牌优质环保乳胶漆（三次），墙体部分作防潮、防火及保温处理。</w:t>
            </w:r>
          </w:p>
        </w:tc>
        <w:tc>
          <w:tcPr>
            <w:tcW w:w="571" w:type="dxa"/>
            <w:vMerge w:val="continue"/>
            <w:vAlign w:val="center"/>
          </w:tcPr>
          <w:p>
            <w:pPr>
              <w:widowControl/>
              <w:textAlignment w:val="center"/>
            </w:pPr>
          </w:p>
        </w:tc>
        <w:tc>
          <w:tcPr>
            <w:tcW w:w="619" w:type="dxa"/>
            <w:vMerge w:val="continue"/>
            <w:vAlign w:val="center"/>
          </w:tcPr>
          <w:p>
            <w:pPr>
              <w:widowControl/>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3" w:hRule="atLeast"/>
        </w:trPr>
        <w:tc>
          <w:tcPr>
            <w:tcW w:w="520" w:type="dxa"/>
            <w:vMerge w:val="continue"/>
            <w:vAlign w:val="center"/>
          </w:tcPr>
          <w:p>
            <w:pPr>
              <w:widowControl/>
              <w:textAlignment w:val="center"/>
            </w:pPr>
          </w:p>
        </w:tc>
        <w:tc>
          <w:tcPr>
            <w:tcW w:w="525" w:type="dxa"/>
            <w:vMerge w:val="continue"/>
            <w:vAlign w:val="center"/>
          </w:tcPr>
          <w:p>
            <w:pPr>
              <w:widowControl/>
              <w:textAlignment w:val="center"/>
            </w:pPr>
          </w:p>
        </w:tc>
        <w:tc>
          <w:tcPr>
            <w:tcW w:w="1050" w:type="dxa"/>
            <w:vAlign w:val="center"/>
          </w:tcPr>
          <w:p>
            <w:pPr>
              <w:widowControl/>
              <w:jc w:val="center"/>
              <w:textAlignment w:val="center"/>
              <w:rPr>
                <w:rFonts w:ascii="微软雅黑" w:hAnsi="微软雅黑" w:eastAsia="微软雅黑" w:cs="微软雅黑"/>
              </w:rPr>
            </w:pPr>
            <w:r>
              <w:rPr>
                <w:rFonts w:hint="eastAsia" w:ascii="微软雅黑" w:hAnsi="微软雅黑" w:eastAsia="微软雅黑" w:cs="微软雅黑"/>
              </w:rPr>
              <w:t>照明</w:t>
            </w:r>
          </w:p>
        </w:tc>
        <w:tc>
          <w:tcPr>
            <w:tcW w:w="4648" w:type="dxa"/>
            <w:vAlign w:val="center"/>
          </w:tcPr>
          <w:p>
            <w:pPr>
              <w:widowControl/>
              <w:textAlignment w:val="center"/>
            </w:pPr>
            <w:r>
              <w:rPr>
                <w:rFonts w:hint="eastAsia" w:ascii="微软雅黑" w:hAnsi="微软雅黑" w:eastAsia="微软雅黑" w:cs="微软雅黑"/>
              </w:rPr>
              <w:t>机房专业照明嵌入式灯具6套，吸顶安装。</w:t>
            </w:r>
          </w:p>
        </w:tc>
        <w:tc>
          <w:tcPr>
            <w:tcW w:w="571" w:type="dxa"/>
            <w:vMerge w:val="continue"/>
            <w:vAlign w:val="center"/>
          </w:tcPr>
          <w:p>
            <w:pPr>
              <w:widowControl/>
              <w:textAlignment w:val="center"/>
            </w:pPr>
          </w:p>
        </w:tc>
        <w:tc>
          <w:tcPr>
            <w:tcW w:w="619" w:type="dxa"/>
            <w:vMerge w:val="continue"/>
            <w:vAlign w:val="center"/>
          </w:tcPr>
          <w:p>
            <w:pPr>
              <w:widowControl/>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520"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8</w:t>
            </w:r>
          </w:p>
        </w:tc>
        <w:tc>
          <w:tcPr>
            <w:tcW w:w="525"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szCs w:val="21"/>
              </w:rPr>
              <w:t>智能语音庭审系统</w:t>
            </w:r>
          </w:p>
        </w:tc>
        <w:tc>
          <w:tcPr>
            <w:tcW w:w="5698" w:type="dxa"/>
            <w:gridSpan w:val="2"/>
            <w:vAlign w:val="center"/>
          </w:tcPr>
          <w:p>
            <w:pPr>
              <w:widowControl/>
              <w:numPr>
                <w:ilvl w:val="0"/>
                <w:numId w:val="6"/>
              </w:numP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主机要求</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1、音频输入参数：</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1) 频响：22Hz to 8kHz(+/-0.1dB)</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2 动态范围：96dB, A 计权</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3) 噪声级别：-96dB, A 计权</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4) 阻抗：1.8K 欧</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5) 输入电平：平衡+4dBu / 非平衡-10dBV</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6) 可调节增益范围：0dB ~ +53dB</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2、音频输出参数：</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1) 频响：22Hz to 8kHz(+/-0.1dB)</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2) 动态范围：96dB, A 计权</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3) 噪声级别：-96dB, A 计权</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4) 阻抗：100 欧</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5) 输出电平：平衡+4dBu / 非平衡-10dBV</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3、接口默认数字音频参数</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1）采样率：16kHz</w:t>
            </w:r>
          </w:p>
          <w:p>
            <w:pPr>
              <w:spacing w:line="276" w:lineRule="auto"/>
              <w:rPr>
                <w:rFonts w:ascii="微软雅黑" w:hAnsi="微软雅黑" w:eastAsia="微软雅黑" w:cs="微软雅黑"/>
                <w:szCs w:val="21"/>
              </w:rPr>
            </w:pPr>
            <w:r>
              <w:rPr>
                <w:rFonts w:hint="eastAsia" w:ascii="微软雅黑" w:hAnsi="微软雅黑" w:eastAsia="微软雅黑" w:cs="微软雅黑"/>
                <w:szCs w:val="21"/>
              </w:rPr>
              <w:t>2）位深：16Bit</w:t>
            </w:r>
          </w:p>
          <w:p>
            <w:pPr>
              <w:widowControl/>
              <w:rPr>
                <w:rFonts w:ascii="微软雅黑" w:hAnsi="微软雅黑" w:eastAsia="微软雅黑" w:cs="微软雅黑"/>
                <w:szCs w:val="21"/>
              </w:rPr>
            </w:pPr>
            <w:r>
              <w:rPr>
                <w:rFonts w:hint="eastAsia" w:ascii="微软雅黑" w:hAnsi="微软雅黑" w:eastAsia="微软雅黑" w:cs="微软雅黑"/>
                <w:szCs w:val="21"/>
              </w:rPr>
              <w:t>3）通道：12通道</w:t>
            </w:r>
          </w:p>
          <w:p>
            <w:pPr>
              <w:widowControl/>
              <w:rPr>
                <w:rFonts w:ascii="微软雅黑" w:hAnsi="微软雅黑" w:eastAsia="微软雅黑" w:cs="微软雅黑"/>
                <w:szCs w:val="21"/>
              </w:rPr>
            </w:pPr>
            <w:r>
              <w:rPr>
                <w:rFonts w:hint="eastAsia" w:ascii="微软雅黑" w:hAnsi="微软雅黑" w:eastAsia="微软雅黑" w:cs="微软雅黑"/>
                <w:szCs w:val="21"/>
              </w:rPr>
              <w:t>功能要求</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1、内网部署：系统要求在本地法院内网中进行所有软硬件设备的安装部署，全部数据都要求保存在本地服务器上，与外网无任何数据交互。</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2、设备高度：系统对现有单个科技法庭改造所需的专用设备可放置在现有科技法庭机柜中，高度为1U。</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3、集中采音方式：系统对庭审各方通过麦克风设备输入的语音要求采用集中式的采音设备。</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4、系统扩展性：系统前端语音识别处理设备需支持轻便化部署，通过在单个科技法庭中添加单一设备即可支持12路的语音信号输入，同时针对具体法庭需求可实现平滑扩展。</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5、案件模板应用。</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（1）创建新模板，支持导入word模板；</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（2）模板库存储，支持通过模板库可快速应用保存过的模板。</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6、机器自我学习</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（1）庭前导入案件资料，系统支持自学习训练成个案资源包；</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（2）添加个性化词汇（人名、地名、公司名、法律名</w:t>
            </w:r>
            <w:r>
              <w:rPr>
                <w:rFonts w:hint="eastAsia" w:ascii="微软雅黑" w:hAnsi="微软雅黑" w:eastAsia="微软雅黑" w:cs="微软雅黑"/>
                <w:szCs w:val="21"/>
              </w:rPr>
              <w:t>等），训练后可提高转写识别率；</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7、多角色区分识别转文字，支持配置法庭麦克风对应的陈述人角色信息，从而可以实现在庭审过程中区分多角色的说话内容分别进行识别；</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8、麦克风配置与控制</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（1）支持书记员在配置中心完成角色配置，并支持在客户端完成一次性角色配置；</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（2）支持书记员远程对说话人的麦克风进行音频传输控制，可在客户端对麦克风切换“设为静音”与“取消静音”；</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9、庭审状态控制，支持书记员根据现场情况切换“开庭”、“休庭”、“闭庭”。</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10、笔录智能修正，针对转写错误的地方，系统支持快速智能修正。</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（1）个性化词快捷替换，支持书记员选中错误文本，点击个性化词汇完成替换，并支持快捷键替换。</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（2）同人智能合并，当上下文为同一个陈述人的识别文字，会自动合并成同一个人的文字记录；</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（3）文本顺滑，对口语化的文本进行分句、加标点，并对文本内容的流利性进行处理；</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（4）格式规整，支持时间、金额、身份证号码、年月日等等常见的数字格式进行自动规整为便于阅读的格式；</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11、辅助修改功能，按照正常word操作习惯提供正常的增删改、复制、粘贴、字号、段落、页面（页眉、页脚、页码），编辑（查找、替换、撤销、恢复）等。</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12、音频测听</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（1）标记打点回听，支持在庭审过程中对不确认内容进行打点标记，休庭时可回听标记之处对应的录音；</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（2）单句回听，在修改笔录时支持书记员直接将光标放在句子之中，右键或者点击上方的回听按钮，可从该句开始播放原始语音；</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13、智能查找替换：支持书记员通过输入正确结果，系统可通过音相近快速搜索到转写错误的文本，并快速替换。</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14、庭审信息自动播报：对于开庭需要宣读的法庭纪律、审判人员入庭、证人出庭等内容，能够通过客户端软件由系统进行自动播报，并且支持播报速度的人工调整。</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15、导出/打印，支持书记员从系统的客户端软件中将庭审生成的笔录导出为Word文档，也支持在客户端打印。                                                                     16、系统要求采用C/S架构。</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17、系统控制：</w:t>
            </w:r>
          </w:p>
          <w:p>
            <w:pPr>
              <w:pStyle w:val="30"/>
              <w:spacing w:line="276" w:lineRule="auto"/>
              <w:ind w:firstLine="0" w:firstLineChars="0"/>
              <w:rPr>
                <w:rFonts w:ascii="微软雅黑" w:hAnsi="微软雅黑" w:eastAsia="微软雅黑" w:cs="微软雅黑"/>
                <w:szCs w:val="21"/>
              </w:rPr>
            </w:pPr>
            <w:r>
              <w:rPr>
                <w:rFonts w:hint="eastAsia" w:ascii="微软雅黑" w:hAnsi="微软雅黑" w:eastAsia="微软雅黑" w:cs="微软雅黑"/>
                <w:szCs w:val="21"/>
              </w:rPr>
              <w:t>（1）出字效果控制：系统支持转写效果，分为整句出字和实时出字，可以自主选择，实时生效。</w:t>
            </w:r>
          </w:p>
          <w:p>
            <w:pPr>
              <w:widowControl/>
              <w:rPr>
                <w:rFonts w:ascii="微软雅黑" w:hAnsi="微软雅黑" w:eastAsia="微软雅黑" w:cs="微软雅黑"/>
                <w:szCs w:val="21"/>
              </w:rPr>
            </w:pPr>
            <w:r>
              <w:rPr>
                <w:rFonts w:hint="eastAsia" w:ascii="微软雅黑" w:hAnsi="微软雅黑" w:eastAsia="微软雅黑" w:cs="微软雅黑"/>
                <w:szCs w:val="21"/>
              </w:rPr>
              <w:t>（2）自动保存设置：系统默认2min自动保存，防止断网断电数据损失，也支持自主配置自动保存时间。</w:t>
            </w:r>
          </w:p>
          <w:p>
            <w:pPr>
              <w:spacing w:line="276" w:lineRule="auto"/>
              <w:rPr>
                <w:rFonts w:ascii="微软雅黑" w:hAnsi="微软雅黑" w:eastAsia="微软雅黑" w:cs="微软雅黑"/>
              </w:rPr>
            </w:pPr>
            <w:r>
              <w:rPr>
                <w:rFonts w:hint="eastAsia" w:ascii="微软雅黑" w:hAnsi="微软雅黑" w:eastAsia="微软雅黑" w:cs="微软雅黑"/>
                <w:szCs w:val="21"/>
              </w:rPr>
              <w:t>18、</w:t>
            </w:r>
            <w:r>
              <w:rPr>
                <w:rFonts w:hint="eastAsia" w:ascii="微软雅黑" w:hAnsi="微软雅黑" w:eastAsia="微软雅黑" w:cs="微软雅黑"/>
              </w:rPr>
              <w:t xml:space="preserve">系统中英文语音识别准确率达到 95%以上（不包含95%） </w:t>
            </w:r>
            <w:r>
              <w:rPr>
                <w:rFonts w:hint="eastAsia" w:ascii="微软雅黑" w:hAnsi="微软雅黑" w:eastAsia="微软雅黑" w:cs="微软雅黑"/>
                <w:b/>
                <w:bCs/>
              </w:rPr>
              <w:t>出具CNAS认证的检测机构出具的检验报告；</w:t>
            </w:r>
          </w:p>
          <w:p>
            <w:pPr>
              <w:spacing w:line="276" w:lineRule="auto"/>
              <w:rPr>
                <w:rFonts w:ascii="微软雅黑" w:hAnsi="微软雅黑" w:eastAsia="微软雅黑" w:cs="微软雅黑"/>
                <w:b/>
                <w:bCs/>
              </w:rPr>
            </w:pPr>
            <w:r>
              <w:rPr>
                <w:rFonts w:hint="eastAsia" w:ascii="微软雅黑" w:hAnsi="微软雅黑" w:eastAsia="微软雅黑" w:cs="微软雅黑"/>
              </w:rPr>
              <w:t>19、系统中英文语音合成自然度应达到 4.5 分以上（不包含4.5分）</w:t>
            </w:r>
            <w:r>
              <w:rPr>
                <w:rFonts w:hint="eastAsia" w:ascii="微软雅黑" w:hAnsi="微软雅黑" w:eastAsia="微软雅黑" w:cs="微软雅黑"/>
                <w:b/>
                <w:bCs/>
              </w:rPr>
              <w:t>出具CNAS认证的检测机构出具的检验报告。</w:t>
            </w:r>
          </w:p>
          <w:p>
            <w:pPr>
              <w:widowControl/>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20、系统厂家具有语音识别系统软件著作权证书、语音合成系统软件著作权证书、智能语音庭审系统软件著作权证书，</w:t>
            </w:r>
            <w:r>
              <w:rPr>
                <w:rFonts w:hint="eastAsia" w:ascii="微软雅黑" w:hAnsi="微软雅黑" w:eastAsia="微软雅黑" w:cs="微软雅黑"/>
                <w:b/>
                <w:bCs/>
                <w:kern w:val="0"/>
                <w:szCs w:val="21"/>
              </w:rPr>
              <w:t>提供证书复印件。</w:t>
            </w:r>
          </w:p>
        </w:tc>
        <w:tc>
          <w:tcPr>
            <w:tcW w:w="571"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套</w:t>
            </w:r>
          </w:p>
        </w:tc>
        <w:tc>
          <w:tcPr>
            <w:tcW w:w="619" w:type="dxa"/>
            <w:vAlign w:val="center"/>
          </w:tcPr>
          <w:p>
            <w:pPr>
              <w:widowControl/>
              <w:jc w:val="center"/>
              <w:textAlignment w:val="center"/>
              <w:rPr>
                <w:rFonts w:ascii="微软雅黑" w:hAnsi="微软雅黑" w:eastAsia="微软雅黑" w:cs="微软雅黑"/>
                <w:kern w:val="0"/>
                <w:szCs w:val="21"/>
              </w:rPr>
            </w:pPr>
            <w:r>
              <w:rPr>
                <w:rFonts w:hint="eastAsia" w:ascii="微软雅黑" w:hAnsi="微软雅黑" w:eastAsia="微软雅黑" w:cs="微软雅黑"/>
                <w:kern w:val="0"/>
                <w:szCs w:val="21"/>
              </w:rPr>
              <w:t>1</w:t>
            </w:r>
          </w:p>
        </w:tc>
      </w:tr>
    </w:tbl>
    <w:p>
      <w:pPr>
        <w:widowControl/>
        <w:shd w:val="clear" w:color="auto" w:fill="FFFFFF"/>
        <w:spacing w:line="360" w:lineRule="auto"/>
        <w:ind w:firstLine="600"/>
        <w:jc w:val="left"/>
        <w:rPr>
          <w:rFonts w:ascii="仿宋" w:hAnsi="仿宋" w:eastAsia="仿宋" w:cs="宋体"/>
          <w:color w:val="000000"/>
          <w:kern w:val="0"/>
          <w:sz w:val="32"/>
          <w:szCs w:val="32"/>
        </w:rPr>
      </w:pPr>
    </w:p>
    <w:p>
      <w:pPr>
        <w:widowControl/>
        <w:shd w:val="clear" w:color="auto" w:fill="FFFFFF"/>
        <w:spacing w:line="360" w:lineRule="auto"/>
        <w:jc w:val="left"/>
        <w:rPr>
          <w:rFonts w:ascii="仿宋" w:hAnsi="仿宋" w:eastAsia="仿宋" w:cs="宋体"/>
          <w:color w:val="000000"/>
          <w:kern w:val="0"/>
          <w:sz w:val="32"/>
          <w:szCs w:val="32"/>
        </w:rPr>
      </w:pPr>
    </w:p>
    <w:p>
      <w:pPr>
        <w:widowControl/>
        <w:shd w:val="clear" w:color="auto" w:fill="FFFFFF"/>
        <w:spacing w:line="360" w:lineRule="auto"/>
        <w:jc w:val="left"/>
        <w:rPr>
          <w:rFonts w:ascii="仿宋" w:hAnsi="仿宋" w:eastAsia="仿宋" w:cs="宋体"/>
          <w:color w:val="000000"/>
          <w:kern w:val="0"/>
          <w:sz w:val="32"/>
          <w:szCs w:val="32"/>
        </w:rPr>
      </w:pPr>
    </w:p>
    <w:p>
      <w:pPr>
        <w:widowControl/>
        <w:shd w:val="clear" w:color="auto" w:fill="FFFFFF"/>
        <w:spacing w:line="360" w:lineRule="auto"/>
        <w:jc w:val="left"/>
        <w:rPr>
          <w:rFonts w:ascii="仿宋" w:hAnsi="仿宋" w:eastAsia="仿宋" w:cs="宋体"/>
          <w:color w:val="000000"/>
          <w:kern w:val="0"/>
          <w:sz w:val="32"/>
          <w:szCs w:val="32"/>
        </w:rPr>
      </w:pPr>
    </w:p>
    <w:p>
      <w:pPr>
        <w:widowControl/>
        <w:shd w:val="clear" w:color="auto" w:fill="FFFFFF"/>
        <w:spacing w:line="360" w:lineRule="auto"/>
        <w:jc w:val="left"/>
        <w:rPr>
          <w:rFonts w:ascii="仿宋" w:hAnsi="仿宋" w:eastAsia="仿宋" w:cs="宋体"/>
          <w:color w:val="000000"/>
          <w:kern w:val="0"/>
          <w:sz w:val="32"/>
          <w:szCs w:val="32"/>
        </w:rPr>
      </w:pPr>
    </w:p>
    <w:p>
      <w:pPr>
        <w:widowControl/>
        <w:shd w:val="clear" w:color="auto" w:fill="FFFFFF"/>
        <w:spacing w:line="360" w:lineRule="auto"/>
        <w:jc w:val="left"/>
        <w:rPr>
          <w:rFonts w:ascii="仿宋" w:hAnsi="仿宋" w:eastAsia="仿宋" w:cs="宋体"/>
          <w:color w:val="000000"/>
          <w:kern w:val="0"/>
          <w:sz w:val="32"/>
          <w:szCs w:val="32"/>
        </w:rPr>
      </w:pPr>
    </w:p>
    <w:p>
      <w:pPr>
        <w:widowControl/>
        <w:shd w:val="clear" w:color="auto" w:fill="FFFFFF"/>
        <w:spacing w:line="360" w:lineRule="auto"/>
        <w:jc w:val="left"/>
        <w:rPr>
          <w:rFonts w:ascii="仿宋" w:hAnsi="仿宋" w:eastAsia="仿宋" w:cs="宋体"/>
          <w:color w:val="000000"/>
          <w:kern w:val="0"/>
          <w:sz w:val="32"/>
          <w:szCs w:val="32"/>
        </w:rPr>
      </w:pPr>
    </w:p>
    <w:p>
      <w:pPr>
        <w:widowControl/>
        <w:shd w:val="clear" w:color="auto" w:fill="FFFFFF"/>
        <w:spacing w:line="360" w:lineRule="auto"/>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（二）采购标的执行标准</w:t>
      </w:r>
    </w:p>
    <w:p>
      <w:pPr>
        <w:widowControl/>
        <w:shd w:val="clear" w:color="auto" w:fill="FFFFFF"/>
        <w:spacing w:line="360" w:lineRule="auto"/>
        <w:contextualSpacing/>
        <w:jc w:val="left"/>
        <w:rPr>
          <w:rFonts w:ascii="仿宋" w:hAnsi="仿宋" w:eastAsia="仿宋" w:cs="宋体"/>
          <w:color w:val="000000"/>
          <w:kern w:val="0"/>
          <w:sz w:val="32"/>
          <w:szCs w:val="32"/>
        </w:rPr>
      </w:pPr>
      <w:r>
        <w:rPr>
          <w:rFonts w:hint="eastAsia" w:ascii="仿宋" w:hAnsi="仿宋" w:eastAsia="仿宋" w:cs="宋体"/>
          <w:iCs/>
          <w:color w:val="000000"/>
          <w:kern w:val="0"/>
          <w:sz w:val="32"/>
          <w:szCs w:val="32"/>
        </w:rPr>
        <w:t>需执行的国家相关标准、行业标准、地方标准或者其他标准、规范</w:t>
      </w:r>
    </w:p>
    <w:p>
      <w:pPr>
        <w:widowControl/>
        <w:shd w:val="clear" w:color="auto" w:fill="FFFFFF"/>
        <w:spacing w:line="360" w:lineRule="auto"/>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三</w:t>
      </w:r>
      <w:r>
        <w:rPr>
          <w:rFonts w:hint="eastAsia" w:ascii="仿宋" w:hAnsi="仿宋" w:eastAsia="仿宋" w:cs="宋体"/>
          <w:color w:val="000000"/>
          <w:kern w:val="0"/>
          <w:sz w:val="32"/>
          <w:szCs w:val="32"/>
        </w:rPr>
        <w:t>）验收标准</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hint="eastAsia" w:ascii="仿宋" w:hAnsi="仿宋" w:eastAsia="仿宋" w:cs="宋体"/>
          <w:iCs/>
          <w:color w:val="000000"/>
          <w:kern w:val="0"/>
          <w:sz w:val="32"/>
          <w:szCs w:val="32"/>
        </w:rPr>
        <w:t>按照国家相关标准、行业标准、地方标准或者其他标准、规范验收（与采购标的执行标准一致，选填）；</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2、按照招标文件要求、投标文件响应和承诺验收；</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zh-CN"/>
        </w:rPr>
        <w:t>（四）其他要求</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en-US" w:eastAsia="zh-CN"/>
        </w:rPr>
        <w:t>1、投标人须明确投标产品的品牌、型号、厂家及产地等详细参数，否则为无效投标。</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zh-CN"/>
        </w:rPr>
        <w:t>投标人应就该项目完整投标（报价含安装，运输、培训、税费等综合费用），否则为无效投标。</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3</w:t>
      </w:r>
      <w:r>
        <w:rPr>
          <w:rFonts w:hint="eastAsia" w:ascii="仿宋" w:hAnsi="仿宋" w:eastAsia="仿宋" w:cs="仿宋"/>
          <w:b w:val="0"/>
          <w:bCs w:val="0"/>
          <w:sz w:val="30"/>
          <w:szCs w:val="30"/>
        </w:rPr>
        <w:t>、投标人须对照节能产品政府采购清单，如果本次采购的产品属于强制采购范围的（国办发[2007]51号文），投标文件中须提供所投产品属于强制采购产品有效的证明材料且加盖投标单位公章，否则为无效投标。</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、所投产品已列入国家强制性产品认证的产品，投标文件中必须提供国家对实施强制性产品认证的有效证明材料且加盖投标人公章，否则为无效投标。（如3C等）</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widowControl/>
        <w:shd w:val="clear" w:color="auto" w:fill="FFFFFF"/>
        <w:spacing w:line="360" w:lineRule="auto"/>
        <w:jc w:val="left"/>
        <w:rPr>
          <w:rFonts w:hint="eastAsia" w:ascii="仿宋" w:hAnsi="仿宋" w:eastAsia="仿宋" w:cs="仿宋"/>
          <w:b w:val="0"/>
          <w:bCs w:val="0"/>
          <w:sz w:val="30"/>
          <w:szCs w:val="30"/>
          <w:lang w:val="zh-CN"/>
        </w:rPr>
      </w:pPr>
      <w:r>
        <w:rPr>
          <w:rFonts w:hint="eastAsia" w:ascii="仿宋" w:hAnsi="仿宋" w:eastAsia="仿宋" w:cs="仿宋"/>
          <w:b w:val="0"/>
          <w:bCs w:val="0"/>
          <w:sz w:val="30"/>
          <w:szCs w:val="30"/>
          <w:lang w:val="en-US" w:eastAsia="zh-CN"/>
        </w:rPr>
        <w:t>6</w:t>
      </w:r>
      <w:r>
        <w:rPr>
          <w:rFonts w:hint="eastAsia" w:ascii="仿宋" w:hAnsi="仿宋" w:eastAsia="仿宋" w:cs="仿宋"/>
          <w:b w:val="0"/>
          <w:bCs w:val="0"/>
          <w:sz w:val="30"/>
          <w:szCs w:val="30"/>
          <w:lang w:val="zh-CN"/>
        </w:rPr>
        <w:t>、产品必须符合国家质量检测标准和本招标文件规定标准的全新正品现货，供货时提供随货物《产品合格证》及其它相关质量证明文件。</w:t>
      </w:r>
    </w:p>
    <w:p>
      <w:pPr>
        <w:widowControl/>
        <w:shd w:val="clear" w:color="auto" w:fill="FFFFFF"/>
        <w:spacing w:line="360" w:lineRule="auto"/>
        <w:jc w:val="left"/>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7</w:t>
      </w:r>
      <w:r>
        <w:rPr>
          <w:rFonts w:hint="eastAsia" w:ascii="仿宋" w:hAnsi="仿宋" w:eastAsia="仿宋" w:cs="仿宋"/>
          <w:b w:val="0"/>
          <w:bCs w:val="0"/>
          <w:sz w:val="30"/>
          <w:szCs w:val="30"/>
        </w:rPr>
        <w:t>、中标方需提供产品使用说明书及光盘</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并有义务进行有关使用培训。</w:t>
      </w:r>
    </w:p>
    <w:p>
      <w:pPr>
        <w:widowControl/>
        <w:shd w:val="clear" w:color="auto" w:fill="FFFFFF"/>
        <w:spacing w:line="360" w:lineRule="auto"/>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8</w:t>
      </w:r>
      <w:r>
        <w:rPr>
          <w:rFonts w:hint="eastAsia" w:ascii="仿宋" w:hAnsi="仿宋" w:eastAsia="仿宋" w:cs="仿宋"/>
          <w:b w:val="0"/>
          <w:bCs w:val="0"/>
          <w:sz w:val="30"/>
          <w:szCs w:val="30"/>
        </w:rPr>
        <w:t>、付款方式：</w:t>
      </w:r>
      <w:r>
        <w:rPr>
          <w:rFonts w:hint="eastAsia" w:ascii="仿宋" w:hAnsi="仿宋" w:eastAsia="仿宋" w:cs="仿宋"/>
          <w:b w:val="0"/>
          <w:bCs w:val="0"/>
          <w:sz w:val="30"/>
          <w:szCs w:val="30"/>
          <w:lang w:eastAsia="zh-CN"/>
        </w:rPr>
        <w:t>以签订合同为准</w:t>
      </w: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项目名称：禹州市人民法院智能化诉讼应用系统项目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YZCG-G2019206</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Cs w:val="21"/>
              </w:rPr>
              <w:t>禹州市人民法院</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禹州市禹王大道</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孔先生</w:t>
            </w:r>
            <w:r>
              <w:rPr>
                <w:rFonts w:hint="eastAsia" w:cs="仿宋_GB2312" w:asciiTheme="minorEastAsia" w:hAnsiTheme="minorEastAsia"/>
                <w:sz w:val="24"/>
                <w:szCs w:val="24"/>
              </w:rPr>
              <w:t xml:space="preserve">    </w:t>
            </w:r>
            <w:bookmarkStart w:id="11" w:name="_GoBack"/>
            <w:bookmarkEnd w:id="11"/>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0374-8351333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w:t>
            </w:r>
            <w:r>
              <w:rPr>
                <w:rFonts w:hint="eastAsia"/>
                <w:lang w:eastAsia="zh-CN"/>
              </w:rPr>
              <w:t>投标截止</w:t>
            </w:r>
            <w:r>
              <w:rPr>
                <w:rFonts w:hint="eastAsia"/>
              </w:rPr>
              <w:t>时间；</w:t>
            </w:r>
          </w:p>
          <w:p>
            <w:pPr>
              <w:autoSpaceDE w:val="0"/>
              <w:autoSpaceDN w:val="0"/>
              <w:spacing w:line="360" w:lineRule="auto"/>
              <w:contextualSpacing/>
            </w:pPr>
            <w:r>
              <w:rPr>
                <w:rFonts w:hint="eastAsia"/>
              </w:rPr>
              <w:t>3、信用信息查询记录和证据留存具体方式：经</w:t>
            </w:r>
            <w:r>
              <w:rPr>
                <w:rFonts w:hint="eastAsia"/>
                <w:lang w:eastAsia="zh-CN"/>
              </w:rPr>
              <w:t>采购人</w:t>
            </w:r>
            <w:r>
              <w:rPr>
                <w:rFonts w:hint="eastAsia"/>
              </w:rPr>
              <w:t>确认的查询结果网页截图作为查询记录和证据，与其他采购文件一并保存；</w:t>
            </w:r>
          </w:p>
          <w:p>
            <w:pPr>
              <w:autoSpaceDE w:val="0"/>
              <w:autoSpaceDN w:val="0"/>
              <w:spacing w:line="360" w:lineRule="auto"/>
              <w:contextualSpacing/>
            </w:pPr>
            <w:r>
              <w:rPr>
                <w:rFonts w:hint="eastAsia"/>
              </w:rPr>
              <w:t>4、信用信息的使用原则：经</w:t>
            </w:r>
            <w:r>
              <w:rPr>
                <w:rFonts w:hint="eastAsia"/>
                <w:lang w:eastAsia="zh-CN"/>
              </w:rPr>
              <w:t>采购人</w:t>
            </w:r>
            <w:r>
              <w:rPr>
                <w:rFonts w:hint="eastAsia"/>
              </w:rPr>
              <w:t>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eastAsia"/>
                <w:lang w:val="en-US" w:eastAsia="zh-CN"/>
              </w:rPr>
            </w:pPr>
            <w:r>
              <w:rPr>
                <w:rFonts w:hint="eastAsia"/>
              </w:rPr>
              <w:t>5、供应商不良信用记录以</w:t>
            </w:r>
            <w:r>
              <w:rPr>
                <w:rFonts w:hint="eastAsia"/>
                <w:lang w:eastAsia="zh-CN"/>
              </w:rPr>
              <w:t>采购人</w:t>
            </w:r>
            <w:r>
              <w:rPr>
                <w:rFonts w:hint="eastAsia"/>
              </w:rPr>
              <w:t>查询结果为准，</w:t>
            </w:r>
            <w:r>
              <w:rPr>
                <w:rFonts w:hint="eastAsia"/>
                <w:lang w:eastAsia="zh-CN"/>
              </w:rPr>
              <w:t>采购人</w:t>
            </w:r>
            <w:r>
              <w:rPr>
                <w:rFonts w:hint="eastAsia"/>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59万元，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19</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lang w:val="en-US" w:eastAsia="zh-CN"/>
              </w:rPr>
              <w:t xml:space="preserve">  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lang w:val="en-US" w:eastAsia="zh-CN"/>
              </w:rPr>
              <w:t xml:space="preserve">00 </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color w:val="FF0000"/>
                <w:lang w:val="en-US" w:eastAsia="zh-CN"/>
              </w:rPr>
            </w:pPr>
            <w:r>
              <w:rPr>
                <w:rFonts w:hint="eastAsia"/>
                <w:color w:val="FF0000"/>
                <w:lang w:val="en-US" w:eastAsia="zh-CN"/>
              </w:rPr>
              <w:t>不再向供应商收取投标保证金。</w:t>
            </w:r>
          </w:p>
          <w:p>
            <w:pPr>
              <w:tabs>
                <w:tab w:val="left" w:pos="1260"/>
              </w:tabs>
              <w:autoSpaceDE w:val="0"/>
              <w:autoSpaceDN w:val="0"/>
              <w:spacing w:line="360" w:lineRule="auto"/>
              <w:contextualSpacing/>
              <w:rPr>
                <w:rFonts w:hint="default"/>
                <w:lang w:val="en-US" w:eastAsia="zh-CN"/>
              </w:rPr>
            </w:pPr>
            <w:r>
              <w:rPr>
                <w:rFonts w:hint="eastAsia"/>
                <w:color w:val="FF0000"/>
                <w:lang w:val="en-US" w:eastAsia="zh-CN"/>
              </w:rPr>
              <w:t>投标商应按照招标文件要求，在投标文件中提供投标承诺函，明确所应当承担的责任和义务，并严格按照法律法规和招标文件履约，服从政府采购监管管理部门的监督管理。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numPr>
          <w:ilvl w:val="0"/>
          <w:numId w:val="5"/>
        </w:numPr>
        <w:ind w:left="0" w:leftChars="0" w:firstLine="0" w:firstLineChars="0"/>
        <w:jc w:val="center"/>
        <w:rPr>
          <w:rFonts w:hint="eastAsia"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投标人须知</w:t>
      </w:r>
    </w:p>
    <w:p>
      <w:pPr>
        <w:pStyle w:val="9"/>
        <w:numPr>
          <w:ilvl w:val="0"/>
          <w:numId w:val="0"/>
        </w:numPr>
        <w:ind w:leftChars="0"/>
        <w:jc w:val="center"/>
      </w:pPr>
    </w:p>
    <w:p>
      <w:pPr>
        <w:numPr>
          <w:ilvl w:val="0"/>
          <w:numId w:val="7"/>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9"/>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9"/>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9"/>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9"/>
        <w:rPr>
          <w:rFonts w:hint="eastAsia"/>
          <w:sz w:val="24"/>
          <w:szCs w:val="24"/>
        </w:rPr>
      </w:pPr>
      <w:r>
        <w:rPr>
          <w:rFonts w:hint="eastAsia"/>
          <w:sz w:val="24"/>
          <w:szCs w:val="24"/>
        </w:rPr>
        <w:t>（2）截止时间：同投标截止时间；</w:t>
      </w:r>
    </w:p>
    <w:p>
      <w:pPr>
        <w:pStyle w:val="29"/>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9"/>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9"/>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9"/>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9"/>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7"/>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9"/>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color w:val="FF0000"/>
                <w:szCs w:val="21"/>
                <w:lang w:eastAsia="zh-CN"/>
              </w:rPr>
              <w:t>不再缴纳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16</w:t>
            </w:r>
          </w:p>
        </w:tc>
        <w:tc>
          <w:tcPr>
            <w:tcW w:w="2410" w:type="dxa"/>
            <w:vAlign w:val="center"/>
          </w:tcPr>
          <w:p>
            <w:pPr>
              <w:spacing w:line="360" w:lineRule="auto"/>
              <w:rPr>
                <w:rFonts w:hint="eastAsia" w:asciiTheme="minorEastAsia" w:hAnsiTheme="minorEastAsia"/>
                <w:b/>
                <w:bCs/>
                <w:szCs w:val="21"/>
              </w:rPr>
            </w:pPr>
            <w:r>
              <w:rPr>
                <w:rFonts w:hint="eastAsia" w:asciiTheme="minorEastAsia" w:hAnsiTheme="minorEastAsia"/>
                <w:b/>
                <w:bCs/>
                <w:szCs w:val="21"/>
              </w:rPr>
              <w:t>供应商资格条件</w:t>
            </w:r>
          </w:p>
        </w:tc>
        <w:tc>
          <w:tcPr>
            <w:tcW w:w="5954" w:type="dxa"/>
          </w:tcPr>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zh-CN" w:eastAsia="zh-CN"/>
              </w:rPr>
              <w:t>1、符合《政府采购法》第二十二条之规定，具有独立法人资格及相应的经营范围（以营业执照为准）；</w:t>
            </w:r>
          </w:p>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2</w:t>
            </w:r>
            <w:r>
              <w:rPr>
                <w:rFonts w:hint="eastAsia" w:cs="仿宋_GB2312" w:asciiTheme="minorEastAsia" w:hAnsiTheme="minorEastAsia"/>
                <w:szCs w:val="21"/>
                <w:lang w:val="zh-CN" w:eastAsia="zh-CN"/>
              </w:rPr>
              <w:t>、被委托人是须是本单位职工，须提供公司为本人缴纳社会保险证明；</w:t>
            </w:r>
          </w:p>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3</w:t>
            </w:r>
            <w:r>
              <w:rPr>
                <w:rFonts w:hint="eastAsia" w:cs="仿宋_GB2312" w:asciiTheme="minorEastAsia" w:hAnsiTheme="minorEastAsia"/>
                <w:szCs w:val="21"/>
                <w:lang w:val="zh-CN" w:eastAsia="zh-CN"/>
              </w:rPr>
              <w:t>、本项目不接受联合体投标。</w:t>
            </w:r>
          </w:p>
          <w:p>
            <w:pPr>
              <w:spacing w:line="360" w:lineRule="auto"/>
              <w:rPr>
                <w:rFonts w:asciiTheme="minorEastAsia" w:hAnsiTheme="minorEastAsia"/>
                <w:bCs/>
                <w:szCs w:val="21"/>
              </w:rPr>
            </w:pPr>
          </w:p>
        </w:tc>
      </w:tr>
    </w:tbl>
    <w:p>
      <w:pPr>
        <w:pStyle w:val="13"/>
        <w:spacing w:line="360" w:lineRule="auto"/>
        <w:contextualSpacing/>
        <w:jc w:val="both"/>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本项目采用最低价评标办法</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9"/>
        <w:rPr>
          <w:rFonts w:hint="eastAsia"/>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9"/>
        <w:rPr>
          <w:rFonts w:ascii="宋体" w:hAnsi="宋体" w:cs="Courier New"/>
          <w:szCs w:val="21"/>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9"/>
        <w:ind w:left="0" w:leftChars="0" w:firstLine="0" w:firstLineChars="0"/>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86274126"/>
      <w:bookmarkStart w:id="4" w:name="_Toc184023138"/>
      <w:bookmarkStart w:id="5" w:name="_Toc174185203"/>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eastAsiaTheme="minorEastAsia"/>
          <w:b/>
          <w:bCs/>
          <w:color w:val="000000"/>
          <w:sz w:val="24"/>
          <w:szCs w:val="24"/>
          <w:lang w:eastAsia="zh-CN"/>
        </w:rPr>
      </w:pPr>
      <w:r>
        <w:rPr>
          <w:rFonts w:hint="eastAsia" w:ascii="宋体" w:hAnsi="宋体"/>
          <w:b/>
          <w:bCs/>
          <w:color w:val="000000"/>
          <w:sz w:val="24"/>
          <w:szCs w:val="24"/>
        </w:rPr>
        <w:t>3.5 投标</w:t>
      </w:r>
      <w:r>
        <w:rPr>
          <w:rFonts w:hint="eastAsia" w:ascii="宋体" w:hAnsi="宋体"/>
          <w:b/>
          <w:bCs/>
          <w:color w:val="000000"/>
          <w:sz w:val="24"/>
          <w:szCs w:val="24"/>
          <w:lang w:eastAsia="zh-CN"/>
        </w:rPr>
        <w:t>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36"/>
          <w:szCs w:val="36"/>
          <w:lang w:val="zh-CN"/>
        </w:rPr>
      </w:pPr>
      <w:r>
        <w:rPr>
          <w:rFonts w:hint="eastAsia" w:ascii="宋体" w:hAnsi="宋体"/>
          <w:b/>
          <w:bCs/>
          <w:color w:val="000000"/>
          <w:sz w:val="36"/>
          <w:szCs w:val="36"/>
          <w:lang w:val="zh-CN"/>
        </w:rPr>
        <w:t>投标承诺函</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本企业郑重承诺：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一、将遵循公开、公平、公正和诚实信用的原则参加(</w:t>
      </w:r>
      <w:r>
        <w:rPr>
          <w:rFonts w:hint="eastAsia" w:asciiTheme="minorEastAsia" w:hAnsiTheme="minorEastAsia" w:eastAsiaTheme="minorEastAsia" w:cstheme="minorBidi"/>
          <w:color w:val="FF0000"/>
          <w:kern w:val="2"/>
          <w:sz w:val="21"/>
          <w:szCs w:val="21"/>
          <w:lang w:val="en-US" w:eastAsia="zh-CN" w:bidi="ar-SA"/>
        </w:rPr>
        <w:t>具体政府采购项目名称</w:t>
      </w:r>
      <w:r>
        <w:rPr>
          <w:rFonts w:hint="eastAsia" w:asciiTheme="minorEastAsia" w:hAnsiTheme="minorEastAsia" w:eastAsiaTheme="minorEastAsia" w:cstheme="minorBidi"/>
          <w:color w:val="000000"/>
          <w:kern w:val="2"/>
          <w:sz w:val="21"/>
          <w:szCs w:val="21"/>
          <w:lang w:val="en-US" w:eastAsia="zh-CN" w:bidi="ar-SA"/>
        </w:rPr>
        <w:t>）的投标;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default"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 xml:space="preserve">二、本次投标所提供的一切材料都是真实、有效、合法的; </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三、不与其他投标人相互串通投标报价，不排挤其他投标人的公平竞争，不损害采购人或其他投标人的合法权益;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四、不与采购人或集中采购机构串通投标，不损害国家利益、社会公共利益或者他人的合法权益;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五、不向采购人或者</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"http://www.cbi360.net/hyjd/1zt102.html"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评标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委员会成员行贿以牟取</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"http://hhb.cbi360.net/TenderBangSoso.aspx"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中标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六、不以他人名义投标或者以其他方式弄虚作假，骗取中标;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七、不扰乱禹州市政府采购市场秩序;</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八、不在</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"http://www.cbi360.net/hyjd/1zt99.html"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开标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后进行虚假恶意投诉;</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九、中标后不得将</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"http://www.cbi360.net/hyjd/1zt49.html"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招标文件</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规定不予转包、分包的项目转包、分包于他人。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rPr>
          <w:rFonts w:hint="eastAsia" w:asciiTheme="minorEastAsia" w:hAnsiTheme="minorEastAsia" w:eastAsiaTheme="minorEastAsia" w:cstheme="minorBidi"/>
          <w:color w:val="000000"/>
          <w:kern w:val="2"/>
          <w:sz w:val="21"/>
          <w:szCs w:val="21"/>
          <w:lang w:val="en-US" w:eastAsia="zh-CN" w:bidi="ar-SA"/>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法定代表人或者被委托人（签字盖章)：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投标商名称(盖章)：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ind w:firstLine="3614" w:firstLineChars="1500"/>
        <w:jc w:val="both"/>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rPr>
      </w:pPr>
      <w:bookmarkStart w:id="9" w:name="OLE_LINK14"/>
      <w:bookmarkStart w:id="10" w:name="OLE_LINK13"/>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pStyle w:val="9"/>
      </w:pPr>
    </w:p>
    <w:p>
      <w:pPr>
        <w:pStyle w:val="9"/>
      </w:pPr>
    </w:p>
    <w:p>
      <w:pPr>
        <w:pStyle w:val="9"/>
      </w:pPr>
    </w:p>
    <w:p>
      <w:pPr>
        <w:pStyle w:val="9"/>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autoSpaceDE w:val="0"/>
        <w:autoSpaceDN w:val="0"/>
        <w:adjustRightInd w:val="0"/>
        <w:spacing w:line="360" w:lineRule="auto"/>
        <w:jc w:val="both"/>
        <w:rPr>
          <w:rFonts w:hint="eastAsia" w:cs="黑体" w:asciiTheme="minorEastAsia" w:hAnsiTheme="minorEastAsia"/>
          <w:b/>
          <w:bCs/>
          <w:sz w:val="28"/>
          <w:szCs w:val="28"/>
          <w:lang w:val="zh-CN"/>
        </w:rPr>
      </w:pPr>
    </w:p>
    <w:p>
      <w:pPr>
        <w:pStyle w:val="9"/>
        <w:rPr>
          <w:rFonts w:hint="eastAsia"/>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Pr>
        <w:pStyle w:val="29"/>
        <w:ind w:left="0" w:leftChars="0" w:firstLine="0" w:firstLineChars="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3CC20EA"/>
    <w:multiLevelType w:val="singleLevel"/>
    <w:tmpl w:val="13CC20EA"/>
    <w:lvl w:ilvl="0" w:tentative="0">
      <w:start w:val="1"/>
      <w:numFmt w:val="chineseCounting"/>
      <w:suff w:val="nothing"/>
      <w:lvlText w:val="%1、"/>
      <w:lvlJc w:val="left"/>
      <w:rPr>
        <w:rFonts w:hint="eastAsia"/>
      </w:r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2"/>
      <w:suff w:val="nothing"/>
      <w:lvlText w:val="%1、"/>
      <w:lvlJc w:val="left"/>
    </w:lvl>
  </w:abstractNum>
  <w:abstractNum w:abstractNumId="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8"/>
  </w:num>
  <w:num w:numId="4">
    <w:abstractNumId w:val="6"/>
  </w:num>
  <w:num w:numId="5">
    <w:abstractNumId w:val="7"/>
  </w:num>
  <w:num w:numId="6">
    <w:abstractNumId w:val="4"/>
  </w:num>
  <w:num w:numId="7">
    <w:abstractNumId w:val="0"/>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27C7D92"/>
    <w:rsid w:val="032449BC"/>
    <w:rsid w:val="037217D3"/>
    <w:rsid w:val="03912B77"/>
    <w:rsid w:val="03A87C38"/>
    <w:rsid w:val="03C54AE6"/>
    <w:rsid w:val="04C37B5D"/>
    <w:rsid w:val="04D11A4C"/>
    <w:rsid w:val="04E739DE"/>
    <w:rsid w:val="064737A7"/>
    <w:rsid w:val="06F62D3F"/>
    <w:rsid w:val="073C3FD1"/>
    <w:rsid w:val="07915898"/>
    <w:rsid w:val="080C2BBA"/>
    <w:rsid w:val="08FD5745"/>
    <w:rsid w:val="09DE6A13"/>
    <w:rsid w:val="0A5E16AE"/>
    <w:rsid w:val="0A7C3AAF"/>
    <w:rsid w:val="0A7F2B85"/>
    <w:rsid w:val="0A921673"/>
    <w:rsid w:val="0A9D66F0"/>
    <w:rsid w:val="0AB50907"/>
    <w:rsid w:val="0B01317F"/>
    <w:rsid w:val="0B0A7A28"/>
    <w:rsid w:val="0B2D2DC0"/>
    <w:rsid w:val="0B4F19F6"/>
    <w:rsid w:val="0B904EDB"/>
    <w:rsid w:val="0BBD5765"/>
    <w:rsid w:val="0C1D2223"/>
    <w:rsid w:val="0C1E27C2"/>
    <w:rsid w:val="0C3D4298"/>
    <w:rsid w:val="0C9523A6"/>
    <w:rsid w:val="0CA67F00"/>
    <w:rsid w:val="0D03591A"/>
    <w:rsid w:val="0DCB57BB"/>
    <w:rsid w:val="0E4538E2"/>
    <w:rsid w:val="0E5D04D7"/>
    <w:rsid w:val="0F097319"/>
    <w:rsid w:val="0F3779B6"/>
    <w:rsid w:val="0F485C64"/>
    <w:rsid w:val="0F594FCA"/>
    <w:rsid w:val="0FD30C14"/>
    <w:rsid w:val="0FF37913"/>
    <w:rsid w:val="0FFB0A23"/>
    <w:rsid w:val="101B403B"/>
    <w:rsid w:val="10311832"/>
    <w:rsid w:val="10597E87"/>
    <w:rsid w:val="10FA4534"/>
    <w:rsid w:val="116D26CD"/>
    <w:rsid w:val="11B45F4A"/>
    <w:rsid w:val="11C23651"/>
    <w:rsid w:val="11E13F76"/>
    <w:rsid w:val="121D0899"/>
    <w:rsid w:val="127B7E33"/>
    <w:rsid w:val="129267D1"/>
    <w:rsid w:val="12C422CE"/>
    <w:rsid w:val="13301DE9"/>
    <w:rsid w:val="13B53726"/>
    <w:rsid w:val="13EB69AF"/>
    <w:rsid w:val="13EF2ABA"/>
    <w:rsid w:val="13EF4CCF"/>
    <w:rsid w:val="13EF7D11"/>
    <w:rsid w:val="140778EB"/>
    <w:rsid w:val="144A357E"/>
    <w:rsid w:val="14EA1483"/>
    <w:rsid w:val="158908A7"/>
    <w:rsid w:val="160E3E81"/>
    <w:rsid w:val="16893C37"/>
    <w:rsid w:val="16EE4E99"/>
    <w:rsid w:val="171E620C"/>
    <w:rsid w:val="175A361E"/>
    <w:rsid w:val="17A87F25"/>
    <w:rsid w:val="17F27C17"/>
    <w:rsid w:val="183965F3"/>
    <w:rsid w:val="189035FD"/>
    <w:rsid w:val="18C769E5"/>
    <w:rsid w:val="18D55096"/>
    <w:rsid w:val="18D95520"/>
    <w:rsid w:val="198348D6"/>
    <w:rsid w:val="19ED25CF"/>
    <w:rsid w:val="1A08396D"/>
    <w:rsid w:val="1AFBFFDD"/>
    <w:rsid w:val="1B1653FD"/>
    <w:rsid w:val="1BC2665F"/>
    <w:rsid w:val="1C2D1536"/>
    <w:rsid w:val="1C8C7FF1"/>
    <w:rsid w:val="1CB002B1"/>
    <w:rsid w:val="1CCF2F1D"/>
    <w:rsid w:val="1CFB73D3"/>
    <w:rsid w:val="1D2118E4"/>
    <w:rsid w:val="1E8E722F"/>
    <w:rsid w:val="1EE2460E"/>
    <w:rsid w:val="1F45401B"/>
    <w:rsid w:val="1F6C2070"/>
    <w:rsid w:val="1F782208"/>
    <w:rsid w:val="1F8E45BB"/>
    <w:rsid w:val="1FCA4D80"/>
    <w:rsid w:val="1FCE6DA8"/>
    <w:rsid w:val="1FE15514"/>
    <w:rsid w:val="208614E5"/>
    <w:rsid w:val="20E47EF3"/>
    <w:rsid w:val="21010B82"/>
    <w:rsid w:val="2157706F"/>
    <w:rsid w:val="21DD4A96"/>
    <w:rsid w:val="22A72D82"/>
    <w:rsid w:val="242F776A"/>
    <w:rsid w:val="24317922"/>
    <w:rsid w:val="24D35795"/>
    <w:rsid w:val="25A60734"/>
    <w:rsid w:val="264C4453"/>
    <w:rsid w:val="265A28DC"/>
    <w:rsid w:val="26A274A4"/>
    <w:rsid w:val="26EC1901"/>
    <w:rsid w:val="271F4B16"/>
    <w:rsid w:val="275038F3"/>
    <w:rsid w:val="27CD14F5"/>
    <w:rsid w:val="280F7851"/>
    <w:rsid w:val="284D4D99"/>
    <w:rsid w:val="285C13AC"/>
    <w:rsid w:val="293275AA"/>
    <w:rsid w:val="293C5FB1"/>
    <w:rsid w:val="294C6543"/>
    <w:rsid w:val="29A55E19"/>
    <w:rsid w:val="29A61116"/>
    <w:rsid w:val="29F94CB1"/>
    <w:rsid w:val="2A31510A"/>
    <w:rsid w:val="2A553543"/>
    <w:rsid w:val="2A5955FE"/>
    <w:rsid w:val="2A745111"/>
    <w:rsid w:val="2AF87034"/>
    <w:rsid w:val="2B022C78"/>
    <w:rsid w:val="2B792340"/>
    <w:rsid w:val="2C014C3B"/>
    <w:rsid w:val="2C0621AA"/>
    <w:rsid w:val="2C300192"/>
    <w:rsid w:val="2D4A693F"/>
    <w:rsid w:val="2E252DC4"/>
    <w:rsid w:val="2EDA678A"/>
    <w:rsid w:val="2F112255"/>
    <w:rsid w:val="2F650AED"/>
    <w:rsid w:val="2FDA76A1"/>
    <w:rsid w:val="2FFD3F6B"/>
    <w:rsid w:val="30EA79C7"/>
    <w:rsid w:val="30FD56B7"/>
    <w:rsid w:val="311305F8"/>
    <w:rsid w:val="314C2EA6"/>
    <w:rsid w:val="31FA6A34"/>
    <w:rsid w:val="32955CA3"/>
    <w:rsid w:val="329E1B24"/>
    <w:rsid w:val="32BF12F4"/>
    <w:rsid w:val="32FD7E6D"/>
    <w:rsid w:val="33563CED"/>
    <w:rsid w:val="338A4286"/>
    <w:rsid w:val="33AF0E3F"/>
    <w:rsid w:val="347F0816"/>
    <w:rsid w:val="34B644B7"/>
    <w:rsid w:val="35833347"/>
    <w:rsid w:val="35EF4A6F"/>
    <w:rsid w:val="36046124"/>
    <w:rsid w:val="36B46A4A"/>
    <w:rsid w:val="36BA1CD5"/>
    <w:rsid w:val="36E65B38"/>
    <w:rsid w:val="375656B9"/>
    <w:rsid w:val="37627558"/>
    <w:rsid w:val="37B91083"/>
    <w:rsid w:val="37DC7055"/>
    <w:rsid w:val="386F74B3"/>
    <w:rsid w:val="398C59E3"/>
    <w:rsid w:val="39F004E9"/>
    <w:rsid w:val="39FD28B4"/>
    <w:rsid w:val="3A8071EC"/>
    <w:rsid w:val="3AC47AB6"/>
    <w:rsid w:val="3ADD0A2E"/>
    <w:rsid w:val="3AFC098A"/>
    <w:rsid w:val="3B1A281E"/>
    <w:rsid w:val="3B4C7808"/>
    <w:rsid w:val="3B6B51C3"/>
    <w:rsid w:val="3B7A3E82"/>
    <w:rsid w:val="3B8D0CE8"/>
    <w:rsid w:val="3BA71EF1"/>
    <w:rsid w:val="3BB21DD4"/>
    <w:rsid w:val="3BD31557"/>
    <w:rsid w:val="3C1651F0"/>
    <w:rsid w:val="3C4F3B9D"/>
    <w:rsid w:val="3CAA5269"/>
    <w:rsid w:val="3CBF1608"/>
    <w:rsid w:val="3CC749D9"/>
    <w:rsid w:val="3CFB31CE"/>
    <w:rsid w:val="3D0A0687"/>
    <w:rsid w:val="3D314F8C"/>
    <w:rsid w:val="3DCA2531"/>
    <w:rsid w:val="3DDE3CDA"/>
    <w:rsid w:val="3E062813"/>
    <w:rsid w:val="3E3A26DB"/>
    <w:rsid w:val="3EAD162F"/>
    <w:rsid w:val="3EBA6E8D"/>
    <w:rsid w:val="3EEB4587"/>
    <w:rsid w:val="3F263B0E"/>
    <w:rsid w:val="402E2BCD"/>
    <w:rsid w:val="414D7438"/>
    <w:rsid w:val="41A16B13"/>
    <w:rsid w:val="41EF3AE9"/>
    <w:rsid w:val="423A7A11"/>
    <w:rsid w:val="428968C5"/>
    <w:rsid w:val="42EA3B03"/>
    <w:rsid w:val="430D37F8"/>
    <w:rsid w:val="43420F67"/>
    <w:rsid w:val="43794304"/>
    <w:rsid w:val="43915150"/>
    <w:rsid w:val="43AF27C5"/>
    <w:rsid w:val="443E3AC2"/>
    <w:rsid w:val="444772BC"/>
    <w:rsid w:val="444D773E"/>
    <w:rsid w:val="44972791"/>
    <w:rsid w:val="44992AA3"/>
    <w:rsid w:val="44E67192"/>
    <w:rsid w:val="458D2A4C"/>
    <w:rsid w:val="459D509E"/>
    <w:rsid w:val="45A926DC"/>
    <w:rsid w:val="45FC4042"/>
    <w:rsid w:val="46790673"/>
    <w:rsid w:val="46F12E4D"/>
    <w:rsid w:val="477C4489"/>
    <w:rsid w:val="477E79DB"/>
    <w:rsid w:val="489A21DC"/>
    <w:rsid w:val="48BB1E61"/>
    <w:rsid w:val="48E44347"/>
    <w:rsid w:val="490E5A45"/>
    <w:rsid w:val="4A202849"/>
    <w:rsid w:val="4A710769"/>
    <w:rsid w:val="4AB4093D"/>
    <w:rsid w:val="4AE22F4C"/>
    <w:rsid w:val="4AF445A0"/>
    <w:rsid w:val="4B536EA5"/>
    <w:rsid w:val="4B6C79AC"/>
    <w:rsid w:val="4BDB2E9B"/>
    <w:rsid w:val="4C0E6E63"/>
    <w:rsid w:val="4C2A7CB6"/>
    <w:rsid w:val="4C7C667F"/>
    <w:rsid w:val="4CA91082"/>
    <w:rsid w:val="4CDF5A11"/>
    <w:rsid w:val="4CE031D2"/>
    <w:rsid w:val="4D673E15"/>
    <w:rsid w:val="4DB15E00"/>
    <w:rsid w:val="4E8F0D2C"/>
    <w:rsid w:val="4EAC3EF4"/>
    <w:rsid w:val="4EAC4ADD"/>
    <w:rsid w:val="4EB72836"/>
    <w:rsid w:val="4ED23FD5"/>
    <w:rsid w:val="4EE945C2"/>
    <w:rsid w:val="4EFB1FC3"/>
    <w:rsid w:val="4F1B3CF0"/>
    <w:rsid w:val="4F3C1178"/>
    <w:rsid w:val="4F661CEB"/>
    <w:rsid w:val="4FEB5C49"/>
    <w:rsid w:val="506365C5"/>
    <w:rsid w:val="50CD0643"/>
    <w:rsid w:val="514F0F53"/>
    <w:rsid w:val="51CD1CB6"/>
    <w:rsid w:val="52660DCF"/>
    <w:rsid w:val="527B1821"/>
    <w:rsid w:val="52E36B7D"/>
    <w:rsid w:val="5310611D"/>
    <w:rsid w:val="53276344"/>
    <w:rsid w:val="53293BFC"/>
    <w:rsid w:val="533D55CA"/>
    <w:rsid w:val="535D3032"/>
    <w:rsid w:val="53C97953"/>
    <w:rsid w:val="53F5577A"/>
    <w:rsid w:val="54104E3D"/>
    <w:rsid w:val="557D10C0"/>
    <w:rsid w:val="5590515E"/>
    <w:rsid w:val="55A34F73"/>
    <w:rsid w:val="562D2F69"/>
    <w:rsid w:val="56595575"/>
    <w:rsid w:val="5703196B"/>
    <w:rsid w:val="57140DA8"/>
    <w:rsid w:val="574A43AC"/>
    <w:rsid w:val="58077CBD"/>
    <w:rsid w:val="5812110B"/>
    <w:rsid w:val="582E1358"/>
    <w:rsid w:val="58705C1D"/>
    <w:rsid w:val="58F07D3C"/>
    <w:rsid w:val="58FD658D"/>
    <w:rsid w:val="594723CB"/>
    <w:rsid w:val="59A35A40"/>
    <w:rsid w:val="59A66C16"/>
    <w:rsid w:val="5A1C773F"/>
    <w:rsid w:val="5A29765C"/>
    <w:rsid w:val="5A2F717F"/>
    <w:rsid w:val="5B0C6CA4"/>
    <w:rsid w:val="5B9216C9"/>
    <w:rsid w:val="5BEB1849"/>
    <w:rsid w:val="5C7C747C"/>
    <w:rsid w:val="5CD864A5"/>
    <w:rsid w:val="5CFD3C28"/>
    <w:rsid w:val="5D6C6EF4"/>
    <w:rsid w:val="5E291658"/>
    <w:rsid w:val="5E2C7B65"/>
    <w:rsid w:val="5E4E3D76"/>
    <w:rsid w:val="5EB8046C"/>
    <w:rsid w:val="5EC23D91"/>
    <w:rsid w:val="5EEA6FD8"/>
    <w:rsid w:val="5EF27118"/>
    <w:rsid w:val="5F374EA3"/>
    <w:rsid w:val="5F91300B"/>
    <w:rsid w:val="5FBC5F82"/>
    <w:rsid w:val="5FBD74DE"/>
    <w:rsid w:val="601812B8"/>
    <w:rsid w:val="607E4371"/>
    <w:rsid w:val="60BD0412"/>
    <w:rsid w:val="61160D33"/>
    <w:rsid w:val="616C5D6E"/>
    <w:rsid w:val="616D73B4"/>
    <w:rsid w:val="61775FA5"/>
    <w:rsid w:val="619B680C"/>
    <w:rsid w:val="61D03C0D"/>
    <w:rsid w:val="62134625"/>
    <w:rsid w:val="62E53998"/>
    <w:rsid w:val="63456B25"/>
    <w:rsid w:val="63982BE7"/>
    <w:rsid w:val="63BC73C0"/>
    <w:rsid w:val="648D2FFF"/>
    <w:rsid w:val="656839C3"/>
    <w:rsid w:val="65725730"/>
    <w:rsid w:val="65B92974"/>
    <w:rsid w:val="65C80747"/>
    <w:rsid w:val="66006766"/>
    <w:rsid w:val="662C2796"/>
    <w:rsid w:val="666309EF"/>
    <w:rsid w:val="6663275D"/>
    <w:rsid w:val="672B7704"/>
    <w:rsid w:val="6753455D"/>
    <w:rsid w:val="67772858"/>
    <w:rsid w:val="67C81F6D"/>
    <w:rsid w:val="68594ADA"/>
    <w:rsid w:val="68741D48"/>
    <w:rsid w:val="68E9147D"/>
    <w:rsid w:val="696A4AA1"/>
    <w:rsid w:val="696F6DFA"/>
    <w:rsid w:val="6A4B6AF1"/>
    <w:rsid w:val="6A8B1DCF"/>
    <w:rsid w:val="6AB31C19"/>
    <w:rsid w:val="6B357A50"/>
    <w:rsid w:val="6B5B7DCB"/>
    <w:rsid w:val="6BB95672"/>
    <w:rsid w:val="6C1E4AF0"/>
    <w:rsid w:val="6C4712E8"/>
    <w:rsid w:val="6C9C46AE"/>
    <w:rsid w:val="6CE55F45"/>
    <w:rsid w:val="6CF84FFD"/>
    <w:rsid w:val="6D8D5D8A"/>
    <w:rsid w:val="6DAA52DA"/>
    <w:rsid w:val="6DE87E82"/>
    <w:rsid w:val="6DFC3DF2"/>
    <w:rsid w:val="6E206853"/>
    <w:rsid w:val="6E673C05"/>
    <w:rsid w:val="6E6F4DC3"/>
    <w:rsid w:val="6E7511ED"/>
    <w:rsid w:val="6E76180E"/>
    <w:rsid w:val="6ED546F7"/>
    <w:rsid w:val="6F272507"/>
    <w:rsid w:val="6F293148"/>
    <w:rsid w:val="6F732E09"/>
    <w:rsid w:val="6FF11A89"/>
    <w:rsid w:val="70117814"/>
    <w:rsid w:val="70602224"/>
    <w:rsid w:val="70C1699F"/>
    <w:rsid w:val="714C7118"/>
    <w:rsid w:val="71617265"/>
    <w:rsid w:val="71703975"/>
    <w:rsid w:val="71C32A07"/>
    <w:rsid w:val="71E53350"/>
    <w:rsid w:val="720E5D3A"/>
    <w:rsid w:val="72254E2A"/>
    <w:rsid w:val="722E7D41"/>
    <w:rsid w:val="72347FE7"/>
    <w:rsid w:val="72716A1C"/>
    <w:rsid w:val="72ED3426"/>
    <w:rsid w:val="73184127"/>
    <w:rsid w:val="73685760"/>
    <w:rsid w:val="73733509"/>
    <w:rsid w:val="73D40348"/>
    <w:rsid w:val="741E2D66"/>
    <w:rsid w:val="74A56362"/>
    <w:rsid w:val="74AB41BE"/>
    <w:rsid w:val="75CD58E4"/>
    <w:rsid w:val="75EA3934"/>
    <w:rsid w:val="7703633E"/>
    <w:rsid w:val="77207292"/>
    <w:rsid w:val="774700AD"/>
    <w:rsid w:val="777E0158"/>
    <w:rsid w:val="788A0F31"/>
    <w:rsid w:val="78F56DD8"/>
    <w:rsid w:val="7A77760E"/>
    <w:rsid w:val="7A8216E5"/>
    <w:rsid w:val="7AC70899"/>
    <w:rsid w:val="7B3F7553"/>
    <w:rsid w:val="7B7986D1"/>
    <w:rsid w:val="7B877587"/>
    <w:rsid w:val="7C78474C"/>
    <w:rsid w:val="7C8B18BC"/>
    <w:rsid w:val="7E3057F6"/>
    <w:rsid w:val="7ED3447F"/>
    <w:rsid w:val="7EE52F06"/>
    <w:rsid w:val="7F6766EF"/>
    <w:rsid w:val="7F7C60D3"/>
    <w:rsid w:val="7FA41301"/>
    <w:rsid w:val="7FAB31F4"/>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9"/>
    <w:qFormat/>
    <w:uiPriority w:val="0"/>
    <w:rPr>
      <w:rFonts w:ascii="Times New Roman" w:hAnsi="Times New Roman" w:eastAsia="宋体" w:cs="Times New Roman"/>
      <w:color w:val="FF0000"/>
      <w:sz w:val="24"/>
      <w:szCs w:val="24"/>
    </w:rPr>
  </w:style>
  <w:style w:type="paragraph" w:styleId="9">
    <w:name w:val="Body Text"/>
    <w:basedOn w:val="1"/>
    <w:link w:val="53"/>
    <w:unhideWhenUsed/>
    <w:qFormat/>
    <w:uiPriority w:val="99"/>
    <w:pPr>
      <w:spacing w:after="120"/>
    </w:pPr>
  </w:style>
  <w:style w:type="paragraph" w:styleId="10">
    <w:name w:val="Body Text Indent"/>
    <w:basedOn w:val="1"/>
    <w:qFormat/>
    <w:uiPriority w:val="0"/>
    <w:pPr>
      <w:spacing w:line="400" w:lineRule="exact"/>
      <w:ind w:left="630"/>
    </w:pPr>
    <w:rPr>
      <w:rFonts w:ascii="楷体_GB2312" w:eastAsia="宋体"/>
      <w:sz w:val="21"/>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5"/>
    <w:qFormat/>
    <w:uiPriority w:val="0"/>
    <w:rPr>
      <w:rFonts w:eastAsia="宋体"/>
      <w:sz w:val="24"/>
    </w:rPr>
  </w:style>
  <w:style w:type="paragraph" w:styleId="14">
    <w:name w:val="Date"/>
    <w:basedOn w:val="1"/>
    <w:next w:val="1"/>
    <w:link w:val="36"/>
    <w:unhideWhenUsed/>
    <w:qFormat/>
    <w:uiPriority w:val="99"/>
    <w:pPr>
      <w:ind w:left="100" w:leftChars="2500"/>
    </w:pPr>
  </w:style>
  <w:style w:type="paragraph" w:styleId="15">
    <w:name w:val="footer"/>
    <w:basedOn w:val="1"/>
    <w:link w:val="37"/>
    <w:unhideWhenUsed/>
    <w:qFormat/>
    <w:uiPriority w:val="99"/>
    <w:pPr>
      <w:tabs>
        <w:tab w:val="center" w:pos="4153"/>
        <w:tab w:val="right" w:pos="8306"/>
      </w:tabs>
      <w:snapToGrid w:val="0"/>
      <w:jc w:val="left"/>
    </w:pPr>
    <w:rPr>
      <w:sz w:val="18"/>
      <w:szCs w:val="18"/>
    </w:rPr>
  </w:style>
  <w:style w:type="paragraph" w:styleId="16">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9"/>
    <w:link w:val="54"/>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napToGrid/>
      <w:spacing w:after="120" w:line="240" w:lineRule="auto"/>
      <w:ind w:left="420" w:leftChars="200" w:firstLine="420" w:firstLineChars="200"/>
    </w:pPr>
    <w:rPr>
      <w:sz w:val="21"/>
      <w:szCs w:val="24"/>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4"/>
    <w:link w:val="2"/>
    <w:qFormat/>
    <w:uiPriority w:val="0"/>
    <w:rPr>
      <w:rFonts w:ascii="Calibri" w:hAnsi="Calibri" w:eastAsia="宋体" w:cs="Times New Roman"/>
      <w:b/>
      <w:bCs/>
      <w:kern w:val="44"/>
      <w:sz w:val="44"/>
      <w:szCs w:val="44"/>
    </w:rPr>
  </w:style>
  <w:style w:type="character" w:customStyle="1" w:styleId="32">
    <w:name w:val="标题 2 Char"/>
    <w:basedOn w:val="24"/>
    <w:link w:val="3"/>
    <w:qFormat/>
    <w:uiPriority w:val="0"/>
    <w:rPr>
      <w:rFonts w:ascii="Arial" w:hAnsi="Arial" w:eastAsia="黑体" w:cs="Times New Roman"/>
      <w:b/>
      <w:bCs/>
      <w:kern w:val="0"/>
      <w:sz w:val="32"/>
      <w:szCs w:val="32"/>
    </w:rPr>
  </w:style>
  <w:style w:type="character" w:customStyle="1" w:styleId="33">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4">
    <w:name w:val="标题 4 Char"/>
    <w:basedOn w:val="24"/>
    <w:link w:val="5"/>
    <w:qFormat/>
    <w:uiPriority w:val="0"/>
    <w:rPr>
      <w:rFonts w:ascii="Arial" w:hAnsi="Arial" w:eastAsia="黑体" w:cs="Times New Roman"/>
      <w:b/>
      <w:bCs/>
      <w:kern w:val="0"/>
      <w:sz w:val="28"/>
      <w:szCs w:val="28"/>
    </w:rPr>
  </w:style>
  <w:style w:type="character" w:customStyle="1" w:styleId="35">
    <w:name w:val="纯文本 Char"/>
    <w:basedOn w:val="24"/>
    <w:link w:val="13"/>
    <w:qFormat/>
    <w:uiPriority w:val="0"/>
    <w:rPr>
      <w:rFonts w:eastAsia="宋体"/>
      <w:sz w:val="24"/>
    </w:rPr>
  </w:style>
  <w:style w:type="character" w:customStyle="1" w:styleId="36">
    <w:name w:val="日期 Char"/>
    <w:basedOn w:val="24"/>
    <w:link w:val="14"/>
    <w:qFormat/>
    <w:uiPriority w:val="99"/>
  </w:style>
  <w:style w:type="character" w:customStyle="1" w:styleId="37">
    <w:name w:val="页脚 Char"/>
    <w:basedOn w:val="24"/>
    <w:link w:val="15"/>
    <w:qFormat/>
    <w:uiPriority w:val="99"/>
    <w:rPr>
      <w:sz w:val="18"/>
      <w:szCs w:val="18"/>
    </w:rPr>
  </w:style>
  <w:style w:type="character" w:customStyle="1" w:styleId="38">
    <w:name w:val="页眉 Char"/>
    <w:basedOn w:val="24"/>
    <w:link w:val="16"/>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4"/>
    <w:link w:val="8"/>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4"/>
    <w:link w:val="9"/>
    <w:semiHidden/>
    <w:qFormat/>
    <w:uiPriority w:val="99"/>
  </w:style>
  <w:style w:type="character" w:customStyle="1" w:styleId="54">
    <w:name w:val="正文首行缩进 Char"/>
    <w:basedOn w:val="53"/>
    <w:link w:val="20"/>
    <w:qFormat/>
    <w:uiPriority w:val="0"/>
    <w:rPr>
      <w:rFonts w:ascii="宋体" w:hAnsi="Times New Roman" w:eastAsia="宋体" w:cs="Times New Roman"/>
      <w:kern w:val="0"/>
      <w:sz w:val="34"/>
      <w:szCs w:val="20"/>
    </w:rPr>
  </w:style>
  <w:style w:type="character" w:customStyle="1" w:styleId="55">
    <w:name w:val="HTML 预设格式 Char"/>
    <w:basedOn w:val="24"/>
    <w:link w:val="18"/>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11</TotalTime>
  <ScaleCrop>false</ScaleCrop>
  <LinksUpToDate>false</LinksUpToDate>
  <CharactersWithSpaces>43544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禹州市公共资源交易中心:艾明辉</cp:lastModifiedBy>
  <cp:lastPrinted>2018-08-01T18:20:00Z</cp:lastPrinted>
  <dcterms:modified xsi:type="dcterms:W3CDTF">2019-08-26T04:16:46Z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