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eastAsia" w:ascii="宋体" w:hAnsi="宋体" w:eastAsia="宋体" w:cs="宋体"/>
          <w:b/>
          <w:bCs/>
          <w:color w:val="auto"/>
          <w:sz w:val="72"/>
          <w:szCs w:val="72"/>
        </w:rPr>
      </w:pPr>
      <w:r>
        <w:rPr>
          <w:rFonts w:hint="eastAsia" w:ascii="宋体" w:hAnsi="宋体" w:cs="宋体"/>
          <w:b/>
          <w:bCs/>
          <w:color w:val="auto"/>
          <w:sz w:val="56"/>
          <w:szCs w:val="56"/>
          <w:lang w:eastAsia="zh-CN"/>
        </w:rPr>
        <w:t>许昌经济技术开发区法制与社会服务局“许昌经济技术开发区河长制相关工作实施方案项目”</w:t>
      </w:r>
    </w:p>
    <w:p>
      <w:pPr>
        <w:pStyle w:val="31"/>
        <w:ind w:firstLine="240"/>
        <w:rPr>
          <w:rFonts w:hint="eastAsia" w:ascii="宋体" w:hAnsi="宋体" w:eastAsia="宋体" w:cs="宋体"/>
          <w:color w:val="auto"/>
        </w:rPr>
      </w:pPr>
    </w:p>
    <w:p>
      <w:pPr>
        <w:adjustRightInd w:val="0"/>
        <w:snapToGrid w:val="0"/>
        <w:jc w:val="center"/>
        <w:rPr>
          <w:rFonts w:hint="eastAsia" w:ascii="宋体" w:hAnsi="宋体" w:eastAsia="宋体" w:cs="宋体"/>
          <w:b/>
          <w:color w:val="auto"/>
          <w:sz w:val="72"/>
          <w:szCs w:val="72"/>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采 购 人：</w:t>
      </w:r>
      <w:r>
        <w:rPr>
          <w:rFonts w:hint="eastAsia" w:ascii="宋体" w:hAnsi="宋体" w:eastAsia="宋体" w:cs="宋体"/>
          <w:b/>
          <w:bCs/>
          <w:color w:val="auto"/>
          <w:sz w:val="28"/>
          <w:szCs w:val="28"/>
          <w:lang w:eastAsia="zh-CN"/>
        </w:rPr>
        <w:t>许昌经济技术开发区法制与社会服务局</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代理机构：</w:t>
      </w:r>
      <w:r>
        <w:rPr>
          <w:rFonts w:hint="eastAsia" w:ascii="宋体" w:hAnsi="宋体" w:cs="宋体"/>
          <w:b/>
          <w:bCs/>
          <w:color w:val="auto"/>
          <w:sz w:val="28"/>
          <w:szCs w:val="28"/>
          <w:lang w:eastAsia="zh-CN"/>
        </w:rPr>
        <w:t>河南鼎嘉招标代理有限公司</w:t>
      </w:r>
    </w:p>
    <w:p>
      <w:pPr>
        <w:adjustRightInd w:val="0"/>
        <w:snapToGrid w:val="0"/>
        <w:spacing w:line="360" w:lineRule="auto"/>
        <w:rPr>
          <w:rFonts w:hint="eastAsia" w:ascii="宋体" w:hAnsi="宋体" w:cs="宋体"/>
          <w:b/>
          <w:bCs/>
          <w:color w:val="auto"/>
          <w:sz w:val="28"/>
          <w:szCs w:val="28"/>
          <w:lang w:eastAsia="zh-CN"/>
        </w:rPr>
      </w:pPr>
      <w:r>
        <w:rPr>
          <w:rFonts w:hint="eastAsia" w:ascii="宋体" w:hAnsi="宋体" w:eastAsia="宋体" w:cs="宋体"/>
          <w:b/>
          <w:bCs/>
          <w:color w:val="auto"/>
          <w:sz w:val="28"/>
          <w:szCs w:val="28"/>
        </w:rPr>
        <w:t xml:space="preserve">   项目名称：</w:t>
      </w:r>
      <w:r>
        <w:rPr>
          <w:rFonts w:hint="eastAsia" w:ascii="宋体" w:hAnsi="宋体" w:cs="宋体"/>
          <w:b/>
          <w:bCs/>
          <w:color w:val="auto"/>
          <w:sz w:val="28"/>
          <w:szCs w:val="28"/>
          <w:lang w:eastAsia="zh-CN"/>
        </w:rPr>
        <w:t>许昌经济技术开发区法制与社会服务局“许昌经济技</w:t>
      </w:r>
    </w:p>
    <w:p>
      <w:pPr>
        <w:adjustRightInd w:val="0"/>
        <w:snapToGrid w:val="0"/>
        <w:spacing w:line="360" w:lineRule="auto"/>
        <w:ind w:left="0" w:leftChars="0" w:firstLine="1906" w:firstLineChars="678"/>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术开发区河长制相关工作实施方案项目”</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项目编号：JZFCG-T2019</w:t>
      </w:r>
      <w:r>
        <w:rPr>
          <w:rFonts w:hint="eastAsia" w:ascii="宋体" w:hAnsi="宋体" w:cs="宋体"/>
          <w:b/>
          <w:bCs/>
          <w:color w:val="auto"/>
          <w:sz w:val="28"/>
          <w:szCs w:val="28"/>
          <w:lang w:val="en-US" w:eastAsia="zh-CN"/>
        </w:rPr>
        <w:t>013号</w:t>
      </w:r>
    </w:p>
    <w:p>
      <w:pPr>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val="en-US" w:eastAsia="zh-CN"/>
        </w:rPr>
        <w:t>八</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widowControl/>
        <w:jc w:val="left"/>
        <w:rPr>
          <w:rFonts w:hint="eastAsia" w:ascii="宋体" w:hAnsi="宋体" w:eastAsia="宋体" w:cs="宋体"/>
          <w:b/>
          <w:color w:val="auto"/>
          <w:kern w:val="36"/>
          <w:sz w:val="44"/>
          <w:szCs w:val="44"/>
        </w:rPr>
      </w:pPr>
      <w:r>
        <w:rPr>
          <w:rFonts w:hint="eastAsia" w:ascii="宋体" w:hAnsi="宋体" w:eastAsia="宋体" w:cs="宋体"/>
          <w:b/>
          <w:color w:val="auto"/>
          <w:kern w:val="36"/>
          <w:sz w:val="44"/>
          <w:szCs w:val="44"/>
        </w:rPr>
        <w:br w:type="page"/>
      </w:r>
    </w:p>
    <w:p>
      <w:pPr>
        <w:widowControl/>
        <w:spacing w:line="480" w:lineRule="exact"/>
        <w:jc w:val="center"/>
        <w:rPr>
          <w:rFonts w:hint="eastAsia" w:ascii="宋体" w:hAnsi="宋体" w:eastAsia="宋体" w:cs="宋体"/>
          <w:b/>
          <w:color w:val="auto"/>
          <w:kern w:val="36"/>
          <w:sz w:val="44"/>
          <w:szCs w:val="44"/>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cs="宋体"/>
          <w:color w:val="auto"/>
          <w:kern w:val="0"/>
          <w:sz w:val="24"/>
          <w:lang w:eastAsia="zh-CN"/>
        </w:rPr>
        <w:t>河南鼎嘉招标代理有限公司</w:t>
      </w:r>
      <w:r>
        <w:rPr>
          <w:rFonts w:hint="eastAsia" w:ascii="宋体" w:hAnsi="宋体" w:eastAsia="宋体" w:cs="宋体"/>
          <w:color w:val="auto"/>
          <w:kern w:val="0"/>
          <w:sz w:val="24"/>
        </w:rPr>
        <w:t>受</w:t>
      </w:r>
      <w:r>
        <w:rPr>
          <w:rFonts w:hint="eastAsia" w:ascii="宋体" w:hAnsi="宋体" w:eastAsia="宋体" w:cs="宋体"/>
          <w:color w:val="auto"/>
          <w:kern w:val="0"/>
          <w:sz w:val="24"/>
          <w:lang w:eastAsia="zh-CN"/>
        </w:rPr>
        <w:t>许昌经济技术开发区法制与社会服务局</w:t>
      </w:r>
      <w:r>
        <w:rPr>
          <w:rFonts w:hint="eastAsia" w:ascii="宋体" w:hAnsi="宋体" w:eastAsia="宋体" w:cs="宋体"/>
          <w:color w:val="auto"/>
          <w:kern w:val="0"/>
          <w:sz w:val="24"/>
        </w:rPr>
        <w:t>的委托，根据委托协议委托的事项，就</w:t>
      </w:r>
      <w:r>
        <w:rPr>
          <w:rFonts w:hint="eastAsia" w:ascii="宋体" w:hAnsi="宋体" w:cs="宋体"/>
          <w:color w:val="auto"/>
          <w:kern w:val="0"/>
          <w:sz w:val="24"/>
          <w:lang w:eastAsia="zh-CN"/>
        </w:rPr>
        <w:t>许昌经济技术开发区法制与社会服务局“许昌经济技术开发区河长制相关工作实施方案项目”</w:t>
      </w:r>
      <w:r>
        <w:rPr>
          <w:rFonts w:hint="eastAsia" w:ascii="宋体" w:hAnsi="宋体" w:eastAsia="宋体" w:cs="宋体"/>
          <w:color w:val="auto"/>
          <w:kern w:val="0"/>
          <w:sz w:val="24"/>
        </w:rPr>
        <w:t>进行竞争性谈判采购，欢迎合格的供应商参加谈判。</w:t>
      </w:r>
    </w:p>
    <w:p>
      <w:pPr>
        <w:pStyle w:val="29"/>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cs="宋体"/>
          <w:color w:val="auto"/>
          <w:shd w:val="clear" w:color="auto" w:fill="FFFFFF"/>
          <w:lang w:eastAsia="zh-CN"/>
        </w:rPr>
        <w:t>许昌经济技术开发区法制与社会服务局“许昌经济技术开发区河长制相关工作实施方案项目”</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（二）项目编号：JZFCG-T2019</w:t>
      </w:r>
      <w:r>
        <w:rPr>
          <w:rFonts w:hint="eastAsia" w:cs="宋体"/>
          <w:color w:val="auto"/>
          <w:shd w:val="clear" w:color="auto" w:fill="FFFFFF"/>
          <w:lang w:val="en-US" w:eastAsia="zh-CN"/>
        </w:rPr>
        <w:t>013</w:t>
      </w:r>
      <w:r>
        <w:rPr>
          <w:rFonts w:hint="eastAsia" w:ascii="宋体" w:hAnsi="宋体" w:eastAsia="宋体" w:cs="宋体"/>
          <w:color w:val="auto"/>
          <w:shd w:val="clear" w:color="auto" w:fill="FFFFFF"/>
          <w:lang w:eastAsia="zh-CN"/>
        </w:rPr>
        <w:t>号</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cs="仿宋_GB2312"/>
          <w:color w:val="auto"/>
          <w:kern w:val="0"/>
          <w:sz w:val="24"/>
          <w:szCs w:val="24"/>
          <w:lang w:eastAsia="zh-CN"/>
        </w:rPr>
        <w:t>按照要求开展许昌经济技术开发区河（湖）现状调查、管理范围线测量划定及标识设置、建立“一河（湖）一档”、编制“一河（湖）一策”方案等</w:t>
      </w:r>
      <w:r>
        <w:rPr>
          <w:rFonts w:hint="eastAsia" w:ascii="宋体" w:hAnsi="宋体" w:cs="仿宋_GB2312"/>
          <w:color w:val="auto"/>
          <w:kern w:val="0"/>
          <w:sz w:val="24"/>
          <w:szCs w:val="24"/>
        </w:rPr>
        <w:t>。</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cs="宋体"/>
          <w:color w:val="auto"/>
          <w:shd w:val="clear" w:color="auto" w:fill="FFFFFF"/>
          <w:lang w:val="en-US" w:eastAsia="zh-CN"/>
        </w:rPr>
        <w:t>578761</w:t>
      </w:r>
      <w:r>
        <w:rPr>
          <w:rFonts w:hint="eastAsia" w:ascii="宋体" w:hAnsi="宋体" w:eastAsia="宋体" w:cs="宋体"/>
          <w:color w:val="auto"/>
          <w:shd w:val="clear" w:color="auto" w:fill="FFFFFF"/>
        </w:rPr>
        <w:t>元；最高限价：</w:t>
      </w:r>
      <w:r>
        <w:rPr>
          <w:rFonts w:hint="eastAsia" w:cs="宋体"/>
          <w:color w:val="auto"/>
          <w:shd w:val="clear" w:color="auto" w:fill="FFFFFF"/>
          <w:lang w:val="en-US" w:eastAsia="zh-CN"/>
        </w:rPr>
        <w:t>578761</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）交付（服务、完工）时间：合同签订后</w:t>
      </w:r>
      <w:r>
        <w:rPr>
          <w:rFonts w:hint="eastAsia" w:ascii="宋体" w:hAnsi="宋体" w:cs="宋体"/>
          <w:color w:val="auto"/>
          <w:kern w:val="0"/>
          <w:sz w:val="24"/>
          <w:szCs w:val="24"/>
          <w:shd w:val="clear" w:color="auto" w:fill="FFFFFF"/>
          <w:lang w:val="en-US" w:eastAsia="zh-CN"/>
        </w:rPr>
        <w:t>30</w:t>
      </w:r>
      <w:r>
        <w:rPr>
          <w:rFonts w:hint="eastAsia" w:ascii="宋体" w:hAnsi="宋体" w:eastAsia="宋体" w:cs="宋体"/>
          <w:color w:val="auto"/>
          <w:kern w:val="0"/>
          <w:sz w:val="24"/>
          <w:szCs w:val="24"/>
          <w:shd w:val="clear" w:color="auto" w:fill="FFFFFF"/>
        </w:rPr>
        <w:t>日历天</w:t>
      </w:r>
      <w:r>
        <w:rPr>
          <w:rFonts w:hint="eastAsia" w:ascii="宋体" w:hAnsi="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按照省市县要求时间节点准时完成</w:t>
      </w:r>
      <w:r>
        <w:rPr>
          <w:rFonts w:hint="eastAsia" w:ascii="宋体" w:hAnsi="宋体" w:cs="宋体"/>
          <w:color w:val="auto"/>
          <w:kern w:val="0"/>
          <w:sz w:val="24"/>
          <w:szCs w:val="24"/>
          <w:shd w:val="clear" w:color="auto" w:fill="FFFFFF"/>
          <w:lang w:eastAsia="zh-CN"/>
        </w:rPr>
        <w:t>。</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w:t>
      </w:r>
      <w:r>
        <w:rPr>
          <w:rFonts w:hint="eastAsia" w:ascii="宋体" w:hAnsi="宋体" w:cs="宋体"/>
          <w:color w:val="auto"/>
          <w:kern w:val="0"/>
          <w:sz w:val="24"/>
          <w:szCs w:val="24"/>
          <w:shd w:val="clear" w:color="auto" w:fill="FFFFFF"/>
          <w:lang w:eastAsia="zh-CN"/>
        </w:rPr>
        <w:t>服务</w:t>
      </w:r>
      <w:r>
        <w:rPr>
          <w:rFonts w:hint="eastAsia" w:ascii="宋体" w:hAnsi="宋体" w:eastAsia="宋体" w:cs="宋体"/>
          <w:color w:val="auto"/>
          <w:kern w:val="0"/>
          <w:sz w:val="24"/>
          <w:szCs w:val="24"/>
          <w:shd w:val="clear" w:color="auto" w:fill="FFFFFF"/>
        </w:rPr>
        <w:t>标准：河湖调查要全面细致，真实反映河湖现状；管理范围线划定要准确，相关标识设置要满足河长制工作要求，便于河长制工作开展；影像图要满足河长制工作开展需要，符合相关规范规定；“一河（湖）一档”、“一河（湖）一策”满足河南省编制大纲要求；“一河（湖）一策”切合每条河湖实际，可操作性要强。</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）交付（服务、完工）地点：</w:t>
      </w:r>
      <w:r>
        <w:rPr>
          <w:rFonts w:hint="eastAsia" w:ascii="宋体" w:hAnsi="宋体" w:eastAsia="宋体" w:cs="宋体"/>
          <w:color w:val="auto"/>
          <w:shd w:val="clear" w:color="auto" w:fill="FFFFFF"/>
          <w:lang w:eastAsia="zh-CN"/>
        </w:rPr>
        <w:t>许昌经济技术开发区</w:t>
      </w:r>
      <w:r>
        <w:rPr>
          <w:rFonts w:hint="eastAsia" w:ascii="宋体" w:hAnsi="宋体" w:eastAsia="宋体" w:cs="宋体"/>
          <w:color w:val="auto"/>
          <w:shd w:val="clear" w:color="auto" w:fill="FFFFFF"/>
        </w:rPr>
        <w:t>。</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29"/>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本项目落实节能环保、中小微型企业、残疾人福利性单位扶持等相关政府采购政策。。</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29"/>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29"/>
        <w:shd w:val="clear" w:color="auto" w:fill="FFFFFF"/>
        <w:spacing w:before="0" w:beforeAutospacing="0" w:after="0" w:afterAutospacing="0" w:line="360" w:lineRule="auto"/>
        <w:ind w:firstLine="556"/>
        <w:rPr>
          <w:rFonts w:hint="eastAsia" w:ascii="宋体" w:hAnsi="宋体" w:eastAsia="宋体" w:cs="宋体"/>
          <w:color w:val="auto"/>
          <w:lang w:val="en-US" w:eastAsia="zh-CN"/>
        </w:rPr>
      </w:pPr>
      <w:r>
        <w:rPr>
          <w:rFonts w:hint="eastAsia" w:ascii="宋体" w:hAnsi="宋体" w:eastAsia="宋体" w:cs="宋体"/>
          <w:color w:val="auto"/>
          <w:lang w:val="en-US" w:eastAsia="zh-CN"/>
        </w:rPr>
        <w:t>（二）</w:t>
      </w:r>
      <w:r>
        <w:rPr>
          <w:rFonts w:hint="eastAsia" w:cs="宋体"/>
          <w:color w:val="auto"/>
          <w:lang w:eastAsia="zh-CN"/>
        </w:rPr>
        <w:t>投标人须同时具备有效的水利行业（河道整治）专业乙级及以上设计资质和测绘行政主管部门颁发的测绘乙级及以上资质</w:t>
      </w:r>
      <w:r>
        <w:rPr>
          <w:rFonts w:hint="eastAsia" w:ascii="宋体" w:hAnsi="宋体" w:eastAsia="宋体" w:cs="宋体"/>
          <w:color w:val="auto"/>
          <w:lang w:val="en-US" w:eastAsia="zh-CN"/>
        </w:rPr>
        <w:t>；</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cs="宋体"/>
          <w:color w:val="auto"/>
          <w:shd w:val="clear" w:color="auto" w:fill="FFFFFF"/>
          <w:lang w:eastAsia="zh-CN"/>
        </w:rPr>
        <w:t>（</w:t>
      </w:r>
      <w:r>
        <w:rPr>
          <w:rFonts w:hint="eastAsia" w:cs="宋体"/>
          <w:color w:val="auto"/>
          <w:shd w:val="clear" w:color="auto" w:fill="FFFFFF"/>
          <w:lang w:val="en-US" w:eastAsia="zh-CN"/>
        </w:rPr>
        <w:t>三</w:t>
      </w:r>
      <w:r>
        <w:rPr>
          <w:rFonts w:hint="eastAsia" w:cs="宋体"/>
          <w:color w:val="auto"/>
          <w:shd w:val="clear" w:color="auto" w:fill="FFFFFF"/>
          <w:lang w:eastAsia="zh-CN"/>
        </w:rPr>
        <w:t>）</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cs="宋体"/>
          <w:color w:val="auto"/>
          <w:shd w:val="clear" w:color="auto" w:fill="FFFFFF"/>
          <w:lang w:eastAsia="zh-CN"/>
        </w:rPr>
        <w:t>（</w:t>
      </w:r>
      <w:r>
        <w:rPr>
          <w:rFonts w:hint="eastAsia" w:cs="宋体"/>
          <w:color w:val="auto"/>
          <w:shd w:val="clear" w:color="auto" w:fill="FFFFFF"/>
          <w:lang w:val="en-US" w:eastAsia="zh-CN"/>
        </w:rPr>
        <w:t>四</w:t>
      </w:r>
      <w:r>
        <w:rPr>
          <w:rFonts w:hint="eastAsia"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29"/>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29"/>
        <w:widowControl/>
        <w:shd w:val="clear" w:color="auto" w:fill="FFFFFF"/>
        <w:spacing w:line="360" w:lineRule="auto"/>
        <w:ind w:left="239" w:leftChars="114" w:firstLine="240" w:firstLineChars="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（一）响应文件提交截止时间及</w:t>
      </w:r>
      <w:r>
        <w:rPr>
          <w:rFonts w:hint="eastAsia" w:ascii="宋体" w:hAnsi="宋体" w:eastAsia="宋体" w:cs="宋体"/>
          <w:color w:val="auto"/>
          <w:sz w:val="24"/>
          <w:szCs w:val="24"/>
        </w:rPr>
        <w:t>谈判响应截止时间、谈判时间：2019年</w:t>
      </w:r>
      <w:r>
        <w:rPr>
          <w:rFonts w:hint="eastAsia" w:cs="宋体"/>
          <w:color w:val="auto"/>
          <w:sz w:val="24"/>
          <w:szCs w:val="24"/>
          <w:u w:val="single"/>
          <w:lang w:val="en-US" w:eastAsia="zh-CN"/>
        </w:rPr>
        <w:t>9</w:t>
      </w:r>
      <w:r>
        <w:rPr>
          <w:rFonts w:hint="eastAsia" w:ascii="宋体" w:hAnsi="宋体" w:eastAsia="宋体" w:cs="宋体"/>
          <w:color w:val="auto"/>
          <w:sz w:val="24"/>
          <w:szCs w:val="24"/>
        </w:rPr>
        <w:t>月</w:t>
      </w:r>
      <w:r>
        <w:rPr>
          <w:rFonts w:hint="eastAsia" w:cs="宋体"/>
          <w:color w:val="auto"/>
          <w:sz w:val="24"/>
          <w:szCs w:val="24"/>
          <w:u w:val="single"/>
          <w:lang w:val="en-US" w:eastAsia="zh-CN"/>
        </w:rPr>
        <w:t>2</w:t>
      </w:r>
      <w:r>
        <w:rPr>
          <w:rFonts w:hint="eastAsia" w:ascii="宋体" w:hAnsi="宋体" w:eastAsia="宋体" w:cs="宋体"/>
          <w:color w:val="auto"/>
          <w:sz w:val="24"/>
          <w:szCs w:val="24"/>
        </w:rPr>
        <w:t>日</w:t>
      </w:r>
      <w:r>
        <w:rPr>
          <w:rFonts w:hint="eastAsia" w:cs="宋体"/>
          <w:color w:val="auto"/>
          <w:sz w:val="24"/>
          <w:szCs w:val="24"/>
          <w:u w:val="single"/>
          <w:lang w:val="en-US" w:eastAsia="zh-CN"/>
        </w:rPr>
        <w:t>9</w:t>
      </w:r>
      <w:r>
        <w:rPr>
          <w:rFonts w:hint="eastAsia" w:ascii="宋体" w:hAnsi="宋体" w:eastAsia="宋体" w:cs="宋体"/>
          <w:color w:val="auto"/>
          <w:sz w:val="24"/>
          <w:szCs w:val="24"/>
        </w:rPr>
        <w:t>时</w:t>
      </w:r>
      <w:r>
        <w:rPr>
          <w:rFonts w:hint="eastAsia" w:cs="宋体"/>
          <w:color w:val="auto"/>
          <w:sz w:val="24"/>
          <w:szCs w:val="24"/>
          <w:u w:val="single"/>
          <w:lang w:val="en-US" w:eastAsia="zh-CN"/>
        </w:rPr>
        <w:t>30</w:t>
      </w:r>
      <w:r>
        <w:rPr>
          <w:rFonts w:hint="eastAsia" w:ascii="宋体" w:hAnsi="宋体" w:eastAsia="宋体" w:cs="宋体"/>
          <w:color w:val="auto"/>
          <w:sz w:val="24"/>
          <w:szCs w:val="24"/>
        </w:rPr>
        <w:t>分（北京时间），逾期送达或不符合规定的响应文件恕不接受。</w:t>
      </w:r>
    </w:p>
    <w:p>
      <w:pPr>
        <w:pStyle w:val="29"/>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4"/>
          <w:szCs w:val="24"/>
        </w:rPr>
        <w:t>（二）响应文件开启时间：</w:t>
      </w:r>
      <w:r>
        <w:rPr>
          <w:rFonts w:hint="eastAsia" w:ascii="宋体" w:hAnsi="宋体" w:eastAsia="宋体" w:cs="宋体"/>
          <w:color w:val="auto"/>
          <w:sz w:val="24"/>
          <w:szCs w:val="24"/>
          <w:shd w:val="clear" w:color="auto" w:fill="FFFFFF"/>
        </w:rPr>
        <w:t>同响应文件提交截止时间。</w:t>
      </w:r>
    </w:p>
    <w:p>
      <w:pPr>
        <w:pStyle w:val="29"/>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29"/>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val="en-US" w:eastAsia="zh-CN"/>
        </w:rPr>
        <w:t>五</w:t>
      </w:r>
      <w:r>
        <w:rPr>
          <w:rFonts w:hint="eastAsia" w:ascii="宋体" w:hAnsi="宋体" w:eastAsia="宋体" w:cs="宋体"/>
          <w:color w:val="auto"/>
          <w:sz w:val="24"/>
          <w:szCs w:val="24"/>
        </w:rPr>
        <w:t>室。</w:t>
      </w:r>
    </w:p>
    <w:p>
      <w:pPr>
        <w:pStyle w:val="29"/>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lang w:eastAsia="zh-CN"/>
        </w:rPr>
        <w:t>谈判</w:t>
      </w:r>
      <w:r>
        <w:rPr>
          <w:rFonts w:hint="eastAsia" w:cs="宋体"/>
          <w:color w:val="auto"/>
          <w:sz w:val="24"/>
          <w:szCs w:val="24"/>
          <w:u w:val="single"/>
          <w:lang w:val="en-US" w:eastAsia="zh-CN"/>
        </w:rPr>
        <w:t>二</w:t>
      </w:r>
      <w:r>
        <w:rPr>
          <w:rFonts w:hint="eastAsia" w:ascii="宋体" w:hAnsi="宋体" w:eastAsia="宋体" w:cs="宋体"/>
          <w:color w:val="auto"/>
          <w:sz w:val="24"/>
          <w:szCs w:val="24"/>
        </w:rPr>
        <w:t>室。</w:t>
      </w:r>
    </w:p>
    <w:p>
      <w:pPr>
        <w:pStyle w:val="29"/>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29"/>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2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2、纸质响应文件（正本、副本各1份）和备份文件1份（使用电子介质存储）在谈判响应截止时间（谈判时间）前须一并递交。</w:t>
      </w:r>
    </w:p>
    <w:p>
      <w:pPr>
        <w:pStyle w:val="29"/>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w:t>
      </w:r>
      <w:r>
        <w:rPr>
          <w:rFonts w:hint="eastAsia" w:cs="宋体"/>
          <w:color w:val="auto"/>
          <w:shd w:val="clear" w:color="auto" w:fill="FFFFFF"/>
          <w:lang w:eastAsia="zh-CN"/>
        </w:rPr>
        <w:t>、</w:t>
      </w:r>
      <w:r>
        <w:rPr>
          <w:rFonts w:hint="eastAsia" w:ascii="宋体" w:hAnsi="宋体" w:eastAsia="宋体" w:cs="宋体"/>
          <w:color w:val="auto"/>
          <w:shd w:val="clear" w:color="auto" w:fill="FFFFFF"/>
        </w:rPr>
        <w:t>《全国公共资源交易平台（河南省·许昌市）》发布。</w:t>
      </w:r>
    </w:p>
    <w:p>
      <w:pPr>
        <w:pStyle w:val="29"/>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29"/>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许昌经济技术开发区管理委员会（瑞祥路中段）</w:t>
      </w:r>
    </w:p>
    <w:p>
      <w:pPr>
        <w:spacing w:afterLines="1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李</w:t>
      </w:r>
      <w:r>
        <w:rPr>
          <w:rFonts w:hint="eastAsia" w:ascii="宋体" w:hAnsi="宋体" w:eastAsia="宋体" w:cs="宋体"/>
          <w:color w:val="auto"/>
          <w:kern w:val="0"/>
          <w:sz w:val="24"/>
          <w:szCs w:val="24"/>
          <w:shd w:val="clear" w:color="auto" w:fill="FFFFFF"/>
        </w:rPr>
        <w:t>先生    联系电话：</w:t>
      </w:r>
      <w:r>
        <w:rPr>
          <w:rFonts w:hint="eastAsia" w:ascii="宋体" w:hAnsi="宋体" w:eastAsia="宋体" w:cs="宋体"/>
          <w:color w:val="auto"/>
          <w:kern w:val="0"/>
          <w:sz w:val="24"/>
          <w:szCs w:val="24"/>
          <w:shd w:val="clear" w:color="auto" w:fill="FFFFFF"/>
          <w:lang w:val="en-US" w:eastAsia="zh-CN"/>
        </w:rPr>
        <w:t>13837489089</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cs="宋体"/>
          <w:color w:val="auto"/>
          <w:kern w:val="0"/>
          <w:sz w:val="24"/>
          <w:szCs w:val="24"/>
          <w:shd w:val="clear" w:color="auto" w:fill="FFFFFF"/>
          <w:lang w:eastAsia="zh-CN"/>
        </w:rPr>
        <w:t>河南鼎嘉招标代理有限公司</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cs="宋体"/>
          <w:color w:val="auto"/>
          <w:kern w:val="0"/>
          <w:sz w:val="24"/>
          <w:szCs w:val="24"/>
          <w:shd w:val="clear" w:color="auto" w:fill="FFFFFF"/>
          <w:lang w:eastAsia="zh-CN"/>
        </w:rPr>
        <w:t>许昌市新许路77号</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田女士</w:t>
      </w:r>
      <w:r>
        <w:rPr>
          <w:rFonts w:hint="eastAsia" w:ascii="宋体" w:hAnsi="宋体" w:eastAsia="宋体" w:cs="宋体"/>
          <w:color w:val="auto"/>
          <w:kern w:val="0"/>
          <w:sz w:val="24"/>
          <w:szCs w:val="24"/>
          <w:shd w:val="clear" w:color="auto" w:fill="FFFFFF"/>
        </w:rPr>
        <w:t xml:space="preserve">     联系电话：</w:t>
      </w:r>
      <w:r>
        <w:rPr>
          <w:rFonts w:hint="eastAsia" w:ascii="宋体" w:hAnsi="宋体" w:cs="宋体"/>
          <w:color w:val="auto"/>
          <w:kern w:val="0"/>
          <w:sz w:val="24"/>
          <w:szCs w:val="24"/>
          <w:shd w:val="clear" w:color="auto" w:fill="FFFFFF"/>
          <w:lang w:eastAsia="zh-CN"/>
        </w:rPr>
        <w:t>13633749696</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8</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23</w:t>
      </w:r>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一、本项目需实现的功能或者目标</w:t>
      </w:r>
    </w:p>
    <w:p>
      <w:pPr>
        <w:spacing w:line="560" w:lineRule="exact"/>
        <w:ind w:firstLine="480" w:firstLineChars="200"/>
        <w:rPr>
          <w:rFonts w:hint="eastAsia" w:ascii="宋体" w:hAnsi="宋体" w:cs="仿宋_GB2312"/>
          <w:color w:val="auto"/>
          <w:kern w:val="0"/>
          <w:sz w:val="24"/>
          <w:szCs w:val="24"/>
          <w:lang w:val="zh-CN"/>
        </w:rPr>
      </w:pPr>
      <w:r>
        <w:rPr>
          <w:rFonts w:hint="eastAsia" w:ascii="宋体" w:hAnsi="宋体" w:cs="仿宋_GB2312"/>
          <w:color w:val="auto"/>
          <w:kern w:val="0"/>
          <w:sz w:val="24"/>
          <w:szCs w:val="24"/>
          <w:lang w:val="zh-CN"/>
        </w:rPr>
        <w:t>受经济社会用水、排水影响，现状河流均在不同程度上存在水问题，按照省市县实施“河长制”工作要求，为加强河湖管理，必须针对每一条河流，摸清河流现状所存在的主要问题，围绕水资源保护、水域岸线管理保护、水污染防治、水环境治理、水生态修复、执法监管等六项任务，统筹上下游、左右岸，坚持问题导向，分类指导，科学制定一河一策方案，建立一河一档，为有效实施管理和保护、维护河流健康生命提供基本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lang w:val="zh-CN"/>
        </w:rPr>
      </w:pPr>
    </w:p>
    <w:p>
      <w:pPr>
        <w:spacing w:line="360" w:lineRule="auto"/>
        <w:ind w:firstLine="482" w:firstLineChars="200"/>
        <w:outlineLvl w:val="0"/>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zh-CN"/>
        </w:rPr>
        <w:t>二、</w:t>
      </w:r>
      <w:r>
        <w:rPr>
          <w:rFonts w:hint="eastAsia" w:ascii="宋体" w:hAnsi="宋体" w:cs="宋体"/>
          <w:b/>
          <w:color w:val="auto"/>
          <w:kern w:val="0"/>
          <w:sz w:val="24"/>
          <w:szCs w:val="24"/>
          <w:lang w:val="en-US" w:eastAsia="zh-CN"/>
        </w:rPr>
        <w:t>采购需</w:t>
      </w:r>
      <w:r>
        <w:rPr>
          <w:rFonts w:hint="eastAsia" w:ascii="宋体" w:hAnsi="宋体" w:eastAsia="宋体" w:cs="宋体"/>
          <w:b/>
          <w:color w:val="auto"/>
          <w:kern w:val="0"/>
          <w:sz w:val="24"/>
          <w:szCs w:val="24"/>
          <w:lang w:val="zh-CN"/>
        </w:rPr>
        <w:t>求</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根据中共中央办公厅、国务院办公厅《关于全面推行河长制的意见》和省委办公厅、省政府办公厅《河南省全面推行河长制工作方案》，开展一河一策方案编制，是河长制精准施策的关键。此次招标计划主要工作任务是按照要求开展河（湖）现状调查、管理范围线测量划定及标识设置、建立“一河（湖）一档”、编制“一河（湖）一策”方案等。</w:t>
      </w:r>
    </w:p>
    <w:p>
      <w:pPr>
        <w:spacing w:line="560" w:lineRule="exact"/>
        <w:rPr>
          <w:rFonts w:ascii="宋体" w:cs="仿宋_GB2312"/>
          <w:color w:val="auto"/>
          <w:kern w:val="0"/>
          <w:sz w:val="24"/>
          <w:szCs w:val="24"/>
        </w:rPr>
      </w:pPr>
      <w:r>
        <w:rPr>
          <w:rFonts w:ascii="宋体" w:hAnsi="宋体" w:cs="仿宋_GB2312"/>
          <w:color w:val="auto"/>
          <w:kern w:val="0"/>
          <w:sz w:val="24"/>
          <w:szCs w:val="24"/>
        </w:rPr>
        <w:t>1</w:t>
      </w:r>
      <w:r>
        <w:rPr>
          <w:rFonts w:hint="eastAsia" w:ascii="宋体" w:hAnsi="宋体" w:cs="仿宋_GB2312"/>
          <w:color w:val="auto"/>
          <w:kern w:val="0"/>
          <w:sz w:val="24"/>
          <w:szCs w:val="24"/>
        </w:rPr>
        <w:t>、河（湖）现状调查</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充分利用河湖已有普查、规划和方案等成果，安排专人对项目区内所有纳入“河长制”管理范围的河流（含湖、库）沿线进行摸底调查。调查主要包含河湖基本情况、水资源保护利用现状、水域岸线管理保护现状、沿线污染源分布、水环境现状、水生态现状、主要涉水工程及河湖管理现状等内容。</w:t>
      </w:r>
    </w:p>
    <w:p>
      <w:pPr>
        <w:spacing w:line="560" w:lineRule="exact"/>
        <w:rPr>
          <w:rFonts w:ascii="宋体" w:cs="仿宋_GB2312"/>
          <w:color w:val="auto"/>
          <w:kern w:val="0"/>
          <w:sz w:val="24"/>
          <w:szCs w:val="24"/>
        </w:rPr>
      </w:pPr>
      <w:r>
        <w:rPr>
          <w:rFonts w:ascii="宋体" w:hAnsi="宋体" w:cs="仿宋_GB2312"/>
          <w:color w:val="auto"/>
          <w:kern w:val="0"/>
          <w:sz w:val="24"/>
          <w:szCs w:val="24"/>
        </w:rPr>
        <w:t>2</w:t>
      </w:r>
      <w:r>
        <w:rPr>
          <w:rFonts w:hint="eastAsia" w:ascii="宋体" w:hAnsi="宋体" w:cs="仿宋_GB2312"/>
          <w:color w:val="auto"/>
          <w:kern w:val="0"/>
          <w:sz w:val="24"/>
          <w:szCs w:val="24"/>
        </w:rPr>
        <w:t>、建立“一河一档”</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按照“先易后难、先简后繁、先静后动”的原则，结合各条河流现状和“一河一策”方案编制、建立河长制考核机制等工作进展，分阶段推进“一河一档”台帐建设。主要包含河流基础台帐、动态管理台帐及建立责任与考核台帐</w:t>
      </w:r>
      <w:r>
        <w:rPr>
          <w:rFonts w:ascii="宋体" w:hAnsi="宋体" w:cs="仿宋_GB2312"/>
          <w:color w:val="auto"/>
          <w:kern w:val="0"/>
          <w:sz w:val="24"/>
          <w:szCs w:val="24"/>
        </w:rPr>
        <w:t>3</w:t>
      </w:r>
      <w:r>
        <w:rPr>
          <w:rFonts w:hint="eastAsia" w:ascii="宋体" w:hAnsi="宋体" w:cs="仿宋_GB2312"/>
          <w:color w:val="auto"/>
          <w:kern w:val="0"/>
          <w:sz w:val="24"/>
          <w:szCs w:val="24"/>
        </w:rPr>
        <w:t>方面内容，建立起河流动态监控和考核体系，录入河长制信息管理系统当中，为每条河流建立起属于自己的身份证。</w:t>
      </w:r>
    </w:p>
    <w:p>
      <w:pPr>
        <w:spacing w:line="560" w:lineRule="exact"/>
        <w:rPr>
          <w:rFonts w:ascii="宋体" w:cs="仿宋_GB2312"/>
          <w:color w:val="auto"/>
          <w:kern w:val="0"/>
          <w:sz w:val="24"/>
          <w:szCs w:val="24"/>
        </w:rPr>
      </w:pPr>
      <w:r>
        <w:rPr>
          <w:rFonts w:ascii="宋体" w:hAnsi="宋体" w:cs="仿宋_GB2312"/>
          <w:color w:val="auto"/>
          <w:kern w:val="0"/>
          <w:sz w:val="24"/>
          <w:szCs w:val="24"/>
        </w:rPr>
        <w:t>3</w:t>
      </w:r>
      <w:r>
        <w:rPr>
          <w:rFonts w:hint="eastAsia" w:ascii="宋体" w:hAnsi="宋体" w:cs="仿宋_GB2312"/>
          <w:color w:val="auto"/>
          <w:kern w:val="0"/>
          <w:sz w:val="24"/>
          <w:szCs w:val="24"/>
        </w:rPr>
        <w:t>、编制“一河一策”</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w:t>
      </w:r>
      <w:r>
        <w:rPr>
          <w:rFonts w:ascii="宋体" w:hAnsi="宋体" w:cs="仿宋_GB2312"/>
          <w:color w:val="auto"/>
          <w:kern w:val="0"/>
          <w:sz w:val="24"/>
          <w:szCs w:val="24"/>
        </w:rPr>
        <w:t>1</w:t>
      </w:r>
      <w:r>
        <w:rPr>
          <w:rFonts w:hint="eastAsia" w:ascii="宋体" w:hAnsi="宋体" w:cs="仿宋_GB2312"/>
          <w:color w:val="auto"/>
          <w:kern w:val="0"/>
          <w:sz w:val="24"/>
          <w:szCs w:val="24"/>
        </w:rPr>
        <w:t>）编制对象</w:t>
      </w:r>
      <w:r>
        <w:rPr>
          <w:rFonts w:ascii="宋体" w:hAnsi="宋体" w:cs="仿宋_GB2312"/>
          <w:color w:val="auto"/>
          <w:kern w:val="0"/>
          <w:sz w:val="24"/>
          <w:szCs w:val="24"/>
        </w:rPr>
        <w:t xml:space="preserve">   </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纳入本次一河一策编制范围的</w:t>
      </w:r>
      <w:r>
        <w:rPr>
          <w:rFonts w:hint="eastAsia" w:ascii="宋体" w:hAnsi="宋体" w:cs="仿宋_GB2312"/>
          <w:color w:val="auto"/>
          <w:kern w:val="0"/>
          <w:sz w:val="24"/>
        </w:rPr>
        <w:t>灞陵河、康庙沟、洗眉河、小泥河</w:t>
      </w:r>
      <w:r>
        <w:rPr>
          <w:rFonts w:hint="eastAsia" w:ascii="宋体" w:hAnsi="宋体" w:cs="仿宋_GB2312"/>
          <w:color w:val="auto"/>
          <w:kern w:val="0"/>
          <w:sz w:val="24"/>
          <w:szCs w:val="24"/>
        </w:rPr>
        <w:t>。</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w:t>
      </w:r>
      <w:r>
        <w:rPr>
          <w:rFonts w:ascii="宋体" w:hAnsi="宋体" w:cs="仿宋_GB2312"/>
          <w:color w:val="auto"/>
          <w:kern w:val="0"/>
          <w:sz w:val="24"/>
          <w:szCs w:val="24"/>
        </w:rPr>
        <w:t>2</w:t>
      </w:r>
      <w:r>
        <w:rPr>
          <w:rFonts w:hint="eastAsia" w:ascii="宋体" w:hAnsi="宋体" w:cs="仿宋_GB2312"/>
          <w:color w:val="auto"/>
          <w:kern w:val="0"/>
          <w:sz w:val="24"/>
          <w:szCs w:val="24"/>
        </w:rPr>
        <w:t>）编制基础</w:t>
      </w:r>
    </w:p>
    <w:p>
      <w:pPr>
        <w:spacing w:line="560" w:lineRule="exact"/>
        <w:ind w:firstLine="240" w:firstLineChars="100"/>
        <w:rPr>
          <w:rFonts w:ascii="宋体" w:cs="仿宋_GB2312"/>
          <w:color w:val="auto"/>
          <w:kern w:val="0"/>
          <w:sz w:val="24"/>
          <w:szCs w:val="24"/>
        </w:rPr>
      </w:pPr>
      <w:r>
        <w:rPr>
          <w:rFonts w:ascii="宋体" w:hAnsi="宋体" w:cs="仿宋_GB2312"/>
          <w:color w:val="auto"/>
          <w:kern w:val="0"/>
          <w:sz w:val="24"/>
          <w:szCs w:val="24"/>
        </w:rPr>
        <w:t xml:space="preserve"> </w:t>
      </w:r>
      <w:r>
        <w:rPr>
          <w:rFonts w:hint="eastAsia" w:ascii="宋体" w:hAnsi="宋体" w:cs="仿宋_GB2312"/>
          <w:color w:val="auto"/>
          <w:kern w:val="0"/>
          <w:sz w:val="24"/>
          <w:szCs w:val="24"/>
        </w:rPr>
        <w:t>在梳理现有相关涉水规划成果的基础上，先行开展河湖水资源保护、水域岸线管理保护、水污染、水环境、水生态等基本情况调查，摸清河湖管理保护存在的主要问题及原因，提出问题清单，以此作为确定河流管理保护目标任务和措施的基础。</w:t>
      </w:r>
    </w:p>
    <w:p>
      <w:pPr>
        <w:spacing w:line="560" w:lineRule="exact"/>
        <w:rPr>
          <w:rFonts w:ascii="宋体" w:cs="仿宋_GB2312"/>
          <w:color w:val="auto"/>
          <w:kern w:val="0"/>
          <w:sz w:val="24"/>
          <w:szCs w:val="24"/>
        </w:rPr>
      </w:pPr>
      <w:r>
        <w:rPr>
          <w:rFonts w:hint="eastAsia" w:ascii="宋体" w:hAnsi="宋体" w:cs="仿宋_GB2312"/>
          <w:color w:val="auto"/>
          <w:kern w:val="0"/>
          <w:sz w:val="24"/>
          <w:szCs w:val="24"/>
        </w:rPr>
        <w:t>（</w:t>
      </w:r>
      <w:r>
        <w:rPr>
          <w:rFonts w:ascii="宋体" w:hAnsi="宋体" w:cs="仿宋_GB2312"/>
          <w:color w:val="auto"/>
          <w:kern w:val="0"/>
          <w:sz w:val="24"/>
          <w:szCs w:val="24"/>
        </w:rPr>
        <w:t>3</w:t>
      </w:r>
      <w:r>
        <w:rPr>
          <w:rFonts w:hint="eastAsia" w:ascii="宋体" w:hAnsi="宋体" w:cs="仿宋_GB2312"/>
          <w:color w:val="auto"/>
          <w:kern w:val="0"/>
          <w:sz w:val="24"/>
          <w:szCs w:val="24"/>
        </w:rPr>
        <w:t>）方案主要内容</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一河一策”方案内容包括综合说明、现状分析与存在问题、管理保护目标、管理保护任务、管理保护措施、保障措施等。其中，关键在于制定好问题清单、目标清单、任务清单、措施及责任清单，以及目标分解表，形成“四单一表”。</w:t>
      </w:r>
    </w:p>
    <w:p>
      <w:pPr>
        <w:spacing w:line="560" w:lineRule="exact"/>
        <w:rPr>
          <w:rFonts w:ascii="宋体" w:cs="仿宋_GB2312"/>
          <w:color w:val="auto"/>
          <w:kern w:val="0"/>
          <w:sz w:val="24"/>
          <w:szCs w:val="24"/>
        </w:rPr>
      </w:pPr>
      <w:r>
        <w:rPr>
          <w:rFonts w:hint="eastAsia" w:ascii="宋体" w:hAnsi="宋体" w:cs="仿宋_GB2312"/>
          <w:color w:val="auto"/>
          <w:kern w:val="0"/>
          <w:sz w:val="24"/>
          <w:szCs w:val="24"/>
        </w:rPr>
        <w:t>（</w:t>
      </w:r>
      <w:r>
        <w:rPr>
          <w:rFonts w:ascii="宋体" w:hAnsi="宋体" w:cs="仿宋_GB2312"/>
          <w:color w:val="auto"/>
          <w:kern w:val="0"/>
          <w:sz w:val="24"/>
          <w:szCs w:val="24"/>
        </w:rPr>
        <w:t>4</w:t>
      </w:r>
      <w:r>
        <w:rPr>
          <w:rFonts w:hint="eastAsia" w:ascii="宋体" w:hAnsi="宋体" w:cs="仿宋_GB2312"/>
          <w:color w:val="auto"/>
          <w:kern w:val="0"/>
          <w:sz w:val="24"/>
          <w:szCs w:val="24"/>
        </w:rPr>
        <w:t>）实施周期</w:t>
      </w:r>
    </w:p>
    <w:p>
      <w:pPr>
        <w:spacing w:line="560" w:lineRule="exact"/>
        <w:ind w:firstLine="480" w:firstLineChars="200"/>
        <w:rPr>
          <w:rFonts w:ascii="宋体" w:cs="仿宋_GB2312"/>
          <w:color w:val="auto"/>
          <w:kern w:val="0"/>
          <w:sz w:val="24"/>
          <w:szCs w:val="24"/>
        </w:rPr>
      </w:pPr>
      <w:r>
        <w:rPr>
          <w:rFonts w:ascii="宋体" w:hAnsi="宋体" w:cs="仿宋_GB2312"/>
          <w:color w:val="auto"/>
          <w:kern w:val="0"/>
          <w:sz w:val="24"/>
          <w:szCs w:val="24"/>
        </w:rPr>
        <w:t xml:space="preserve"> </w:t>
      </w:r>
      <w:r>
        <w:rPr>
          <w:rFonts w:hint="eastAsia" w:ascii="宋体" w:hAnsi="宋体" w:cs="仿宋_GB2312"/>
          <w:color w:val="auto"/>
          <w:kern w:val="0"/>
          <w:sz w:val="24"/>
          <w:szCs w:val="24"/>
        </w:rPr>
        <w:t>“一河（湖）一策”方案实施周期原则上为</w:t>
      </w:r>
      <w:r>
        <w:rPr>
          <w:rFonts w:ascii="宋体" w:hAnsi="宋体" w:cs="仿宋_GB2312"/>
          <w:color w:val="auto"/>
          <w:kern w:val="0"/>
          <w:sz w:val="24"/>
          <w:szCs w:val="24"/>
        </w:rPr>
        <w:t>2-3</w:t>
      </w:r>
      <w:r>
        <w:rPr>
          <w:rFonts w:hint="eastAsia" w:ascii="宋体" w:hAnsi="宋体" w:cs="仿宋_GB2312"/>
          <w:color w:val="auto"/>
          <w:kern w:val="0"/>
          <w:sz w:val="24"/>
          <w:szCs w:val="24"/>
        </w:rPr>
        <w:t>年。河长最高层次为省级、市级的河湖，方案实施周期一般为</w:t>
      </w:r>
      <w:r>
        <w:rPr>
          <w:rFonts w:ascii="宋体" w:hAnsi="宋体" w:cs="仿宋_GB2312"/>
          <w:color w:val="auto"/>
          <w:kern w:val="0"/>
          <w:sz w:val="24"/>
          <w:szCs w:val="24"/>
        </w:rPr>
        <w:t>3</w:t>
      </w:r>
      <w:r>
        <w:rPr>
          <w:rFonts w:hint="eastAsia" w:ascii="宋体" w:hAnsi="宋体" w:cs="仿宋_GB2312"/>
          <w:color w:val="auto"/>
          <w:kern w:val="0"/>
          <w:sz w:val="24"/>
          <w:szCs w:val="24"/>
        </w:rPr>
        <w:t>年；河长最高层为县级、乡级的河湖，方案实施周期一般为</w:t>
      </w:r>
      <w:r>
        <w:rPr>
          <w:rFonts w:ascii="宋体" w:hAnsi="宋体" w:cs="仿宋_GB2312"/>
          <w:color w:val="auto"/>
          <w:kern w:val="0"/>
          <w:sz w:val="24"/>
          <w:szCs w:val="24"/>
        </w:rPr>
        <w:t>2</w:t>
      </w:r>
      <w:r>
        <w:rPr>
          <w:rFonts w:hint="eastAsia" w:ascii="宋体" w:hAnsi="宋体" w:cs="仿宋_GB2312"/>
          <w:color w:val="auto"/>
          <w:kern w:val="0"/>
          <w:sz w:val="24"/>
          <w:szCs w:val="24"/>
        </w:rPr>
        <w:t>年。</w:t>
      </w:r>
    </w:p>
    <w:p>
      <w:pPr>
        <w:spacing w:line="560" w:lineRule="exact"/>
        <w:rPr>
          <w:rFonts w:ascii="宋体" w:cs="仿宋_GB2312"/>
          <w:color w:val="auto"/>
          <w:kern w:val="0"/>
          <w:sz w:val="24"/>
          <w:szCs w:val="24"/>
        </w:rPr>
      </w:pPr>
      <w:bookmarkStart w:id="0" w:name="_Toc8583"/>
      <w:bookmarkStart w:id="1" w:name="_Toc27036"/>
      <w:bookmarkStart w:id="2" w:name="_Toc27261"/>
      <w:bookmarkStart w:id="3" w:name="_Toc7577"/>
      <w:r>
        <w:rPr>
          <w:rFonts w:ascii="宋体" w:hAnsi="宋体" w:cs="仿宋_GB2312"/>
          <w:color w:val="auto"/>
          <w:kern w:val="0"/>
          <w:sz w:val="24"/>
          <w:szCs w:val="24"/>
        </w:rPr>
        <w:t>4</w:t>
      </w:r>
      <w:r>
        <w:rPr>
          <w:rFonts w:hint="eastAsia" w:ascii="宋体" w:hAnsi="宋体" w:cs="仿宋_GB2312"/>
          <w:color w:val="auto"/>
          <w:kern w:val="0"/>
          <w:sz w:val="24"/>
          <w:szCs w:val="24"/>
        </w:rPr>
        <w:t>、管理范围线测量划定</w:t>
      </w:r>
      <w:bookmarkStart w:id="4" w:name="_Toc27124"/>
      <w:bookmarkStart w:id="5" w:name="_Toc23011"/>
      <w:bookmarkStart w:id="6" w:name="_Toc18824"/>
      <w:bookmarkStart w:id="7" w:name="_Toc30783"/>
      <w:r>
        <w:rPr>
          <w:rFonts w:hint="eastAsia" w:ascii="宋体" w:hAnsi="宋体" w:cs="仿宋_GB2312"/>
          <w:color w:val="auto"/>
          <w:kern w:val="0"/>
          <w:sz w:val="24"/>
          <w:szCs w:val="24"/>
        </w:rPr>
        <w:t>及标识设置</w:t>
      </w:r>
    </w:p>
    <w:bookmarkEnd w:id="0"/>
    <w:bookmarkEnd w:id="1"/>
    <w:bookmarkEnd w:id="2"/>
    <w:bookmarkEnd w:id="3"/>
    <w:bookmarkEnd w:id="4"/>
    <w:bookmarkEnd w:id="5"/>
    <w:bookmarkEnd w:id="6"/>
    <w:bookmarkEnd w:id="7"/>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在划界工作中，河湖岸线的特征线（有堤段采集堤脚外坡脚线，无堤段采集河湖河口线），应在当地河长办的指导下实地测量；收集国土部门施测的土地所有权资料，确定河（湖）的行政界线，相关标识应满足河长制工作要求及相关规定。</w:t>
      </w:r>
    </w:p>
    <w:p>
      <w:pPr>
        <w:spacing w:line="560" w:lineRule="exact"/>
        <w:rPr>
          <w:rFonts w:ascii="新宋体" w:hAnsi="新宋体" w:eastAsia="新宋体" w:cs="新宋体"/>
          <w:b/>
          <w:bCs/>
          <w:color w:val="auto"/>
          <w:sz w:val="24"/>
        </w:rPr>
      </w:pPr>
      <w:r>
        <w:rPr>
          <w:rFonts w:hint="eastAsia" w:ascii="宋体" w:hAnsi="宋体" w:cs="仿宋_GB2312"/>
          <w:b/>
          <w:bCs/>
          <w:color w:val="auto"/>
          <w:kern w:val="0"/>
          <w:sz w:val="24"/>
        </w:rPr>
        <w:t>（</w:t>
      </w:r>
      <w:r>
        <w:rPr>
          <w:rFonts w:ascii="宋体" w:hAnsi="宋体" w:cs="仿宋_GB2312"/>
          <w:b/>
          <w:bCs/>
          <w:color w:val="auto"/>
          <w:kern w:val="0"/>
          <w:sz w:val="24"/>
        </w:rPr>
        <w:t>1</w:t>
      </w:r>
      <w:r>
        <w:rPr>
          <w:rFonts w:hint="eastAsia" w:ascii="宋体" w:hAnsi="宋体" w:cs="仿宋_GB2312"/>
          <w:b/>
          <w:bCs/>
          <w:color w:val="auto"/>
          <w:kern w:val="0"/>
          <w:sz w:val="24"/>
        </w:rPr>
        <w:t>）</w:t>
      </w:r>
      <w:r>
        <w:rPr>
          <w:rFonts w:hint="eastAsia" w:ascii="新宋体" w:hAnsi="新宋体" w:eastAsia="新宋体" w:cs="新宋体"/>
          <w:b/>
          <w:bCs/>
          <w:color w:val="auto"/>
          <w:sz w:val="24"/>
        </w:rPr>
        <w:t>空间参考系</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a、坐标系统：采用2000国家大地坐标系，并将原有资料统一转换至该坐标系下。</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b、高程基准：采用</w:t>
      </w:r>
      <w:r>
        <w:rPr>
          <w:rFonts w:ascii="宋体" w:hAnsi="宋体" w:cs="仿宋_GB2312"/>
          <w:color w:val="auto"/>
          <w:kern w:val="0"/>
          <w:sz w:val="24"/>
        </w:rPr>
        <w:t>1985</w:t>
      </w:r>
      <w:r>
        <w:rPr>
          <w:rFonts w:hint="eastAsia" w:ascii="宋体" w:hAnsi="宋体" w:cs="仿宋_GB2312"/>
          <w:color w:val="auto"/>
          <w:kern w:val="0"/>
          <w:sz w:val="24"/>
        </w:rPr>
        <w:t>国家高程基准。</w:t>
      </w:r>
    </w:p>
    <w:p>
      <w:pPr>
        <w:spacing w:line="560" w:lineRule="exact"/>
        <w:rPr>
          <w:rFonts w:ascii="新宋体" w:hAnsi="新宋体" w:eastAsia="新宋体" w:cs="新宋体"/>
          <w:b/>
          <w:bCs/>
          <w:color w:val="auto"/>
          <w:sz w:val="24"/>
        </w:rPr>
      </w:pPr>
      <w:bookmarkStart w:id="8" w:name="_Toc26170"/>
      <w:bookmarkStart w:id="9" w:name="_Toc25"/>
      <w:bookmarkStart w:id="10" w:name="_Toc27636"/>
      <w:bookmarkStart w:id="11" w:name="_Toc15326"/>
      <w:r>
        <w:rPr>
          <w:rFonts w:hint="eastAsia" w:ascii="宋体" w:hAnsi="宋体" w:cs="仿宋_GB2312"/>
          <w:b/>
          <w:bCs/>
          <w:color w:val="auto"/>
          <w:kern w:val="0"/>
          <w:sz w:val="24"/>
        </w:rPr>
        <w:t>（</w:t>
      </w:r>
      <w:r>
        <w:rPr>
          <w:rFonts w:ascii="宋体" w:hAnsi="宋体" w:cs="仿宋_GB2312"/>
          <w:b/>
          <w:bCs/>
          <w:color w:val="auto"/>
          <w:kern w:val="0"/>
          <w:sz w:val="24"/>
        </w:rPr>
        <w:t>2</w:t>
      </w:r>
      <w:r>
        <w:rPr>
          <w:rFonts w:hint="eastAsia" w:ascii="宋体" w:hAnsi="宋体" w:cs="仿宋_GB2312"/>
          <w:b/>
          <w:bCs/>
          <w:color w:val="auto"/>
          <w:kern w:val="0"/>
          <w:sz w:val="24"/>
        </w:rPr>
        <w:t>）</w:t>
      </w:r>
      <w:r>
        <w:rPr>
          <w:rFonts w:hint="eastAsia" w:ascii="新宋体" w:hAnsi="新宋体" w:eastAsia="新宋体" w:cs="新宋体"/>
          <w:b/>
          <w:bCs/>
          <w:color w:val="auto"/>
          <w:sz w:val="24"/>
        </w:rPr>
        <w:t>水库特征线及行政界线的采集</w:t>
      </w:r>
      <w:bookmarkEnd w:id="8"/>
      <w:bookmarkEnd w:id="9"/>
      <w:bookmarkEnd w:id="10"/>
      <w:bookmarkEnd w:id="11"/>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a、划界工作中，河湖岸线、水库及水利工程的特征线（有堤段采集堤脚外坡脚线，无堤段采集河湖河口线）应在当地河长办的指导下实地测量。测量时可采用</w:t>
      </w:r>
      <w:r>
        <w:rPr>
          <w:rFonts w:ascii="宋体" w:hAnsi="宋体" w:cs="仿宋_GB2312"/>
          <w:color w:val="auto"/>
          <w:kern w:val="0"/>
          <w:sz w:val="24"/>
        </w:rPr>
        <w:t>GNSS</w:t>
      </w:r>
      <w:r>
        <w:rPr>
          <w:rFonts w:hint="eastAsia" w:ascii="宋体" w:hAnsi="宋体" w:cs="仿宋_GB2312"/>
          <w:color w:val="auto"/>
          <w:kern w:val="0"/>
          <w:sz w:val="24"/>
        </w:rPr>
        <w:t>接收机配合全站仪，平面精度控制在±</w:t>
      </w:r>
      <w:r>
        <w:rPr>
          <w:rFonts w:ascii="宋体" w:hAnsi="宋体" w:cs="仿宋_GB2312"/>
          <w:color w:val="auto"/>
          <w:kern w:val="0"/>
          <w:sz w:val="24"/>
        </w:rPr>
        <w:t>5cm</w:t>
      </w:r>
      <w:r>
        <w:rPr>
          <w:rFonts w:hint="eastAsia" w:ascii="宋体" w:hAnsi="宋体" w:cs="仿宋_GB2312"/>
          <w:color w:val="auto"/>
          <w:kern w:val="0"/>
          <w:sz w:val="24"/>
        </w:rPr>
        <w:t>以内，高程精度控制在±</w:t>
      </w:r>
      <w:r>
        <w:rPr>
          <w:rFonts w:ascii="宋体" w:hAnsi="宋体" w:cs="仿宋_GB2312"/>
          <w:color w:val="auto"/>
          <w:kern w:val="0"/>
          <w:sz w:val="24"/>
        </w:rPr>
        <w:t>10cm</w:t>
      </w:r>
      <w:r>
        <w:rPr>
          <w:rFonts w:hint="eastAsia" w:ascii="宋体" w:hAnsi="宋体" w:cs="仿宋_GB2312"/>
          <w:color w:val="auto"/>
          <w:kern w:val="0"/>
          <w:sz w:val="24"/>
        </w:rPr>
        <w:t>以内。</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b、收集国土部门施测的土地所有权资料，确定河湖、水库和水利工程的行政界线。如无法收集上述资料，需由当地河长办协调各行政区划（最低至行政村级）负责人到现场，三方共同指界确定行政界线。</w:t>
      </w:r>
    </w:p>
    <w:p>
      <w:pPr>
        <w:spacing w:line="560" w:lineRule="exact"/>
        <w:rPr>
          <w:rFonts w:ascii="新宋体" w:hAnsi="新宋体" w:eastAsia="新宋体" w:cs="新宋体"/>
          <w:b/>
          <w:bCs/>
          <w:color w:val="auto"/>
          <w:sz w:val="24"/>
        </w:rPr>
      </w:pPr>
      <w:r>
        <w:rPr>
          <w:rFonts w:hint="eastAsia" w:ascii="新宋体" w:hAnsi="新宋体" w:eastAsia="新宋体" w:cs="新宋体"/>
          <w:b/>
          <w:bCs/>
          <w:color w:val="auto"/>
          <w:sz w:val="24"/>
        </w:rPr>
        <w:t>（3）界桩测量技术要求</w:t>
      </w:r>
    </w:p>
    <w:p>
      <w:pPr>
        <w:spacing w:line="56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①界桩测量放样技术要求</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对于水利工程，内业划好界线并采集界桩坐标，外业对界桩点位置进行放样测量，并校核成果；河道正射影像图，均由外业详测特征线后，再由内业根据相关管理条例划定管理范围线，布设界桩，重点布置拐点处界桩。然后外业勘界定桩，并对成果校核；</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界桩理论位置在实地无法埋设时，必须进行横向位移时，应测量出实地位置点坐标，并编制《××河道</w:t>
      </w:r>
      <w:r>
        <w:rPr>
          <w:rFonts w:ascii="宋体" w:hAnsi="宋体" w:cs="仿宋_GB2312"/>
          <w:color w:val="auto"/>
          <w:kern w:val="0"/>
          <w:sz w:val="24"/>
        </w:rPr>
        <w:t>(</w:t>
      </w:r>
      <w:r>
        <w:rPr>
          <w:rFonts w:hint="eastAsia" w:ascii="宋体" w:hAnsi="宋体" w:cs="仿宋_GB2312"/>
          <w:color w:val="auto"/>
          <w:kern w:val="0"/>
          <w:sz w:val="24"/>
        </w:rPr>
        <w:t>堤防、水利工程</w:t>
      </w:r>
      <w:r>
        <w:rPr>
          <w:rFonts w:ascii="宋体" w:hAnsi="宋体" w:cs="仿宋_GB2312"/>
          <w:color w:val="auto"/>
          <w:kern w:val="0"/>
          <w:sz w:val="24"/>
        </w:rPr>
        <w:t>)</w:t>
      </w:r>
      <w:r>
        <w:rPr>
          <w:rFonts w:hint="eastAsia" w:ascii="宋体" w:hAnsi="宋体" w:cs="仿宋_GB2312"/>
          <w:color w:val="auto"/>
          <w:kern w:val="0"/>
          <w:sz w:val="24"/>
        </w:rPr>
        <w:t>管理范围划界测量移位界桩点之记》注明移位信息。内业在界线图上应将此类移位界桩点作明确标示，并在界桩点成果表中标注；</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一般情况下要求采用</w:t>
      </w:r>
      <w:r>
        <w:rPr>
          <w:rFonts w:ascii="宋体" w:hAnsi="宋体" w:cs="仿宋_GB2312"/>
          <w:color w:val="auto"/>
          <w:kern w:val="0"/>
          <w:sz w:val="24"/>
        </w:rPr>
        <w:t>GNSS RTK(HNCORS</w:t>
      </w:r>
      <w:r>
        <w:rPr>
          <w:rFonts w:hint="eastAsia" w:ascii="宋体" w:hAnsi="宋体" w:cs="仿宋_GB2312"/>
          <w:color w:val="auto"/>
          <w:kern w:val="0"/>
          <w:sz w:val="24"/>
        </w:rPr>
        <w:t>或单基站</w:t>
      </w:r>
      <w:r>
        <w:rPr>
          <w:rFonts w:ascii="宋体" w:hAnsi="宋体" w:cs="仿宋_GB2312"/>
          <w:color w:val="auto"/>
          <w:kern w:val="0"/>
          <w:sz w:val="24"/>
        </w:rPr>
        <w:t>RTK)</w:t>
      </w:r>
      <w:r>
        <w:rPr>
          <w:rFonts w:hint="eastAsia" w:ascii="宋体" w:hAnsi="宋体" w:cs="仿宋_GB2312"/>
          <w:color w:val="auto"/>
          <w:kern w:val="0"/>
          <w:sz w:val="24"/>
        </w:rPr>
        <w:t>进行界桩点放样，也可采用全站仪极坐标法进行放样；</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当采用全站仪在基本控制点上不能直接放样时，也可采用在图根导线点或增设支线点上放样。增设支线点不能超出</w:t>
      </w:r>
      <w:r>
        <w:rPr>
          <w:rFonts w:ascii="宋体" w:hAnsi="宋体" w:cs="仿宋_GB2312"/>
          <w:color w:val="auto"/>
          <w:kern w:val="0"/>
          <w:sz w:val="24"/>
        </w:rPr>
        <w:t>2</w:t>
      </w:r>
      <w:r>
        <w:rPr>
          <w:rFonts w:hint="eastAsia" w:ascii="宋体" w:hAnsi="宋体" w:cs="仿宋_GB2312"/>
          <w:color w:val="auto"/>
          <w:kern w:val="0"/>
          <w:sz w:val="24"/>
        </w:rPr>
        <w:t>站。使用全站仪放样时，边长不宜超过</w:t>
      </w:r>
      <w:r>
        <w:rPr>
          <w:rFonts w:ascii="宋体" w:hAnsi="宋体" w:cs="仿宋_GB2312"/>
          <w:color w:val="auto"/>
          <w:kern w:val="0"/>
          <w:sz w:val="24"/>
        </w:rPr>
        <w:t>300m</w:t>
      </w:r>
      <w:r>
        <w:rPr>
          <w:rFonts w:hint="eastAsia" w:ascii="宋体" w:hAnsi="宋体" w:cs="仿宋_GB2312"/>
          <w:color w:val="auto"/>
          <w:kern w:val="0"/>
          <w:sz w:val="24"/>
        </w:rPr>
        <w:t>；</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界桩点放样前应对测站和方向点的坐标和高程进行检核，满足规范要求后方能进行放样；</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界桩点相对于邻近控制点的点位中误差不应大于±</w:t>
      </w:r>
      <w:r>
        <w:rPr>
          <w:rFonts w:ascii="宋体" w:hAnsi="宋体" w:cs="仿宋_GB2312"/>
          <w:color w:val="auto"/>
          <w:kern w:val="0"/>
          <w:sz w:val="24"/>
        </w:rPr>
        <w:t>10cm</w:t>
      </w:r>
      <w:r>
        <w:rPr>
          <w:rFonts w:hint="eastAsia" w:ascii="宋体" w:hAnsi="宋体" w:cs="仿宋_GB2312"/>
          <w:color w:val="auto"/>
          <w:kern w:val="0"/>
          <w:sz w:val="24"/>
        </w:rPr>
        <w:t>；按洪水位确定的界桩点高程中误差不应大于±</w:t>
      </w:r>
      <w:r>
        <w:rPr>
          <w:rFonts w:ascii="宋体" w:hAnsi="宋体" w:cs="仿宋_GB2312"/>
          <w:color w:val="auto"/>
          <w:kern w:val="0"/>
          <w:sz w:val="24"/>
        </w:rPr>
        <w:t>10cm</w:t>
      </w:r>
      <w:r>
        <w:rPr>
          <w:rFonts w:hint="eastAsia" w:ascii="宋体" w:hAnsi="宋体" w:cs="仿宋_GB2312"/>
          <w:color w:val="auto"/>
          <w:kern w:val="0"/>
          <w:sz w:val="24"/>
        </w:rPr>
        <w:t>。</w:t>
      </w:r>
    </w:p>
    <w:p>
      <w:pPr>
        <w:spacing w:line="360" w:lineRule="auto"/>
        <w:ind w:firstLine="480" w:firstLineChars="200"/>
        <w:rPr>
          <w:rFonts w:ascii="新宋体" w:hAnsi="新宋体" w:eastAsia="新宋体" w:cs="新宋体"/>
          <w:color w:val="auto"/>
          <w:sz w:val="24"/>
        </w:rPr>
      </w:pPr>
      <w:bookmarkStart w:id="12" w:name="_Toc1476"/>
      <w:bookmarkStart w:id="13" w:name="_Toc7245"/>
      <w:bookmarkStart w:id="14" w:name="_Toc19006"/>
      <w:bookmarkStart w:id="15" w:name="_Toc25758"/>
      <w:bookmarkStart w:id="16" w:name="_Toc4608"/>
      <w:r>
        <w:rPr>
          <w:rFonts w:ascii="新宋体" w:hAnsi="新宋体" w:eastAsia="新宋体" w:cs="新宋体"/>
          <w:color w:val="auto"/>
          <w:sz w:val="24"/>
        </w:rPr>
        <w:fldChar w:fldCharType="begin"/>
      </w:r>
      <w:r>
        <w:rPr>
          <w:rFonts w:ascii="新宋体" w:hAnsi="新宋体" w:eastAsia="新宋体" w:cs="新宋体"/>
          <w:color w:val="auto"/>
          <w:sz w:val="24"/>
        </w:rPr>
        <w:instrText xml:space="preserve"> = 2 \* GB3 </w:instrText>
      </w:r>
      <w:r>
        <w:rPr>
          <w:rFonts w:ascii="新宋体" w:hAnsi="新宋体" w:eastAsia="新宋体" w:cs="新宋体"/>
          <w:color w:val="auto"/>
          <w:sz w:val="24"/>
        </w:rPr>
        <w:fldChar w:fldCharType="separate"/>
      </w:r>
      <w:r>
        <w:rPr>
          <w:rFonts w:hint="eastAsia" w:ascii="新宋体" w:hAnsi="新宋体" w:eastAsia="新宋体" w:cs="新宋体"/>
          <w:color w:val="auto"/>
          <w:sz w:val="24"/>
        </w:rPr>
        <w:t>②</w:t>
      </w:r>
      <w:r>
        <w:rPr>
          <w:rFonts w:ascii="新宋体" w:hAnsi="新宋体" w:eastAsia="新宋体" w:cs="新宋体"/>
          <w:color w:val="auto"/>
          <w:sz w:val="24"/>
        </w:rPr>
        <w:fldChar w:fldCharType="end"/>
      </w:r>
      <w:r>
        <w:rPr>
          <w:rFonts w:hint="eastAsia" w:ascii="新宋体" w:hAnsi="新宋体" w:eastAsia="新宋体" w:cs="新宋体"/>
          <w:color w:val="auto"/>
          <w:sz w:val="24"/>
        </w:rPr>
        <w:t>界桩布设</w:t>
      </w:r>
      <w:bookmarkEnd w:id="12"/>
      <w:bookmarkEnd w:id="13"/>
      <w:bookmarkEnd w:id="14"/>
      <w:bookmarkEnd w:id="15"/>
      <w:bookmarkEnd w:id="16"/>
      <w:r>
        <w:rPr>
          <w:rFonts w:hint="eastAsia" w:ascii="新宋体" w:hAnsi="新宋体" w:eastAsia="新宋体" w:cs="新宋体"/>
          <w:color w:val="auto"/>
          <w:sz w:val="24"/>
        </w:rPr>
        <w:t>的原则</w:t>
      </w:r>
    </w:p>
    <w:p>
      <w:pPr>
        <w:pStyle w:val="20"/>
        <w:numPr>
          <w:ilvl w:val="0"/>
          <w:numId w:val="4"/>
        </w:numPr>
        <w:tabs>
          <w:tab w:val="left" w:pos="170"/>
          <w:tab w:val="clear" w:pos="0"/>
        </w:tabs>
        <w:adjustRightInd w:val="0"/>
        <w:snapToGrid w:val="0"/>
        <w:spacing w:line="360" w:lineRule="auto"/>
        <w:rPr>
          <w:rFonts w:ascii="Times New Roman" w:hAnsi="Times New Roman"/>
          <w:color w:val="auto"/>
        </w:rPr>
      </w:pPr>
      <w:bookmarkStart w:id="17" w:name="_Toc26044"/>
      <w:bookmarkStart w:id="18" w:name="_Toc9018"/>
      <w:bookmarkStart w:id="19" w:name="_Toc14899"/>
      <w:bookmarkStart w:id="20" w:name="_Toc10581"/>
      <w:bookmarkStart w:id="21" w:name="_Toc25905"/>
      <w:r>
        <w:rPr>
          <w:rFonts w:hint="eastAsia"/>
          <w:color w:val="auto"/>
        </w:rPr>
        <w:t>界桩布设原则采用</w:t>
      </w:r>
      <w:r>
        <w:rPr>
          <w:color w:val="auto"/>
        </w:rPr>
        <w:t>300m</w:t>
      </w:r>
      <w:r>
        <w:rPr>
          <w:rFonts w:hint="eastAsia"/>
          <w:color w:val="auto"/>
        </w:rPr>
        <w:t>间距，管理范围发生变化处，应加设界桩，以能反映管理范围的变化；</w:t>
      </w:r>
      <w:r>
        <w:rPr>
          <w:rFonts w:hint="eastAsia" w:ascii="Times New Roman" w:hAnsi="Times New Roman"/>
          <w:color w:val="auto"/>
        </w:rPr>
        <w:t>界桩点应尽量设置在田块的交界处、田埂边、</w:t>
      </w:r>
      <w:r>
        <w:rPr>
          <w:rFonts w:hint="eastAsia"/>
          <w:color w:val="auto"/>
        </w:rPr>
        <w:t>河塘</w:t>
      </w:r>
      <w:r>
        <w:rPr>
          <w:rFonts w:hint="eastAsia" w:ascii="Times New Roman" w:hAnsi="Times New Roman"/>
          <w:color w:val="auto"/>
        </w:rPr>
        <w:t>边、道路边等不影响耕作和通行的位置。界线拐点处应设置界桩，圆弧段应加密以准确反应出界线走向为原则；</w:t>
      </w:r>
    </w:p>
    <w:p>
      <w:pPr>
        <w:pStyle w:val="20"/>
        <w:numPr>
          <w:ilvl w:val="0"/>
          <w:numId w:val="4"/>
        </w:numPr>
        <w:tabs>
          <w:tab w:val="left" w:pos="170"/>
          <w:tab w:val="clear" w:pos="0"/>
        </w:tabs>
        <w:adjustRightInd w:val="0"/>
        <w:snapToGrid w:val="0"/>
        <w:spacing w:line="360" w:lineRule="auto"/>
        <w:rPr>
          <w:rFonts w:ascii="Times New Roman" w:hAnsi="Times New Roman"/>
          <w:color w:val="auto"/>
        </w:rPr>
      </w:pPr>
      <w:r>
        <w:rPr>
          <w:rFonts w:hint="eastAsia"/>
          <w:color w:val="auto"/>
        </w:rPr>
        <w:t>河湖管理线与行政界线交叉初应以行政村为基本单位埋设行政界桩。</w:t>
      </w:r>
    </w:p>
    <w:p>
      <w:pPr>
        <w:numPr>
          <w:ilvl w:val="0"/>
          <w:numId w:val="4"/>
        </w:numPr>
        <w:adjustRightInd w:val="0"/>
        <w:snapToGrid w:val="0"/>
        <w:spacing w:line="360" w:lineRule="auto"/>
        <w:rPr>
          <w:color w:val="auto"/>
          <w:sz w:val="24"/>
        </w:rPr>
      </w:pPr>
      <w:r>
        <w:rPr>
          <w:rFonts w:hint="eastAsia" w:ascii="宋体" w:hAnsi="宋体"/>
          <w:color w:val="auto"/>
          <w:sz w:val="24"/>
        </w:rPr>
        <w:t>水事多发、易发河段可适当加密；</w:t>
      </w:r>
    </w:p>
    <w:p>
      <w:pPr>
        <w:numPr>
          <w:ilvl w:val="0"/>
          <w:numId w:val="4"/>
        </w:numPr>
        <w:adjustRightInd w:val="0"/>
        <w:snapToGrid w:val="0"/>
        <w:spacing w:line="360" w:lineRule="auto"/>
        <w:rPr>
          <w:color w:val="auto"/>
          <w:sz w:val="24"/>
        </w:rPr>
      </w:pPr>
      <w:r>
        <w:rPr>
          <w:rFonts w:hint="eastAsia"/>
          <w:color w:val="auto"/>
          <w:sz w:val="24"/>
        </w:rPr>
        <w:t>界牌布设。界线穿越密集居民地导致界桩不可埋设，又难以移位布设时，可设置界牌嵌入建筑物墙体。界牌布设数量较少，在界桩中一并统计，在实际作业时根据需要设置；</w:t>
      </w:r>
    </w:p>
    <w:p>
      <w:pPr>
        <w:numPr>
          <w:ilvl w:val="0"/>
          <w:numId w:val="4"/>
        </w:numPr>
        <w:adjustRightInd w:val="0"/>
        <w:snapToGrid w:val="0"/>
        <w:spacing w:line="360" w:lineRule="auto"/>
        <w:rPr>
          <w:color w:val="auto"/>
          <w:sz w:val="24"/>
        </w:rPr>
      </w:pPr>
      <w:r>
        <w:rPr>
          <w:rFonts w:hint="eastAsia"/>
          <w:color w:val="auto"/>
          <w:sz w:val="24"/>
        </w:rPr>
        <w:t>地牌布设。界线穿越大面积硬化地面或与临河道路平行时不可设置界桩和界牌，又难以移位布设时，可设置地牌嵌入地面或道路面。地牌布设数量较少，在界桩中一并统计，在实际作业时根据需要设置；</w:t>
      </w:r>
    </w:p>
    <w:p>
      <w:pPr>
        <w:numPr>
          <w:ilvl w:val="0"/>
          <w:numId w:val="4"/>
        </w:numPr>
        <w:adjustRightInd w:val="0"/>
        <w:snapToGrid w:val="0"/>
        <w:spacing w:line="360" w:lineRule="auto"/>
        <w:rPr>
          <w:color w:val="auto"/>
          <w:sz w:val="24"/>
        </w:rPr>
      </w:pPr>
      <w:r>
        <w:rPr>
          <w:rFonts w:hint="eastAsia"/>
          <w:color w:val="auto"/>
          <w:sz w:val="24"/>
        </w:rPr>
        <w:t>界桩点位能控制河道管理范围边界的基本走向。</w:t>
      </w:r>
    </w:p>
    <w:p>
      <w:pPr>
        <w:spacing w:line="560" w:lineRule="exact"/>
        <w:ind w:firstLine="480" w:firstLineChars="200"/>
        <w:rPr>
          <w:rFonts w:ascii="新宋体" w:hAnsi="新宋体" w:eastAsia="新宋体" w:cs="新宋体"/>
          <w:color w:val="auto"/>
          <w:sz w:val="24"/>
        </w:rPr>
      </w:pPr>
      <w:r>
        <w:rPr>
          <w:rFonts w:ascii="新宋体" w:hAnsi="新宋体" w:eastAsia="新宋体" w:cs="新宋体"/>
          <w:color w:val="auto"/>
          <w:sz w:val="24"/>
        </w:rPr>
        <w:fldChar w:fldCharType="begin"/>
      </w:r>
      <w:r>
        <w:rPr>
          <w:rFonts w:ascii="新宋体" w:hAnsi="新宋体" w:eastAsia="新宋体" w:cs="新宋体"/>
          <w:color w:val="auto"/>
          <w:sz w:val="24"/>
        </w:rPr>
        <w:instrText xml:space="preserve"> = 3 \* GB3 </w:instrText>
      </w:r>
      <w:r>
        <w:rPr>
          <w:rFonts w:ascii="新宋体" w:hAnsi="新宋体" w:eastAsia="新宋体" w:cs="新宋体"/>
          <w:color w:val="auto"/>
          <w:sz w:val="24"/>
        </w:rPr>
        <w:fldChar w:fldCharType="separate"/>
      </w:r>
      <w:r>
        <w:rPr>
          <w:rFonts w:hint="eastAsia" w:ascii="新宋体" w:hAnsi="新宋体" w:eastAsia="新宋体" w:cs="新宋体"/>
          <w:color w:val="auto"/>
          <w:sz w:val="24"/>
        </w:rPr>
        <w:t>③</w:t>
      </w:r>
      <w:r>
        <w:rPr>
          <w:rFonts w:ascii="新宋体" w:hAnsi="新宋体" w:eastAsia="新宋体" w:cs="新宋体"/>
          <w:color w:val="auto"/>
          <w:sz w:val="24"/>
        </w:rPr>
        <w:fldChar w:fldCharType="end"/>
      </w:r>
      <w:r>
        <w:rPr>
          <w:rFonts w:hint="eastAsia" w:ascii="新宋体" w:hAnsi="新宋体" w:eastAsia="新宋体" w:cs="新宋体"/>
          <w:color w:val="auto"/>
          <w:sz w:val="24"/>
        </w:rPr>
        <w:t>界桩规格设计</w:t>
      </w:r>
      <w:bookmarkEnd w:id="17"/>
      <w:bookmarkEnd w:id="18"/>
      <w:bookmarkEnd w:id="19"/>
      <w:bookmarkEnd w:id="20"/>
      <w:bookmarkEnd w:id="21"/>
    </w:p>
    <w:p>
      <w:pPr>
        <w:spacing w:line="560" w:lineRule="exact"/>
        <w:ind w:firstLine="480" w:firstLineChars="200"/>
        <w:rPr>
          <w:rFonts w:ascii="宋体" w:cs="仿宋_GB2312"/>
          <w:color w:val="auto"/>
          <w:kern w:val="0"/>
          <w:sz w:val="24"/>
        </w:rPr>
      </w:pPr>
      <w:r>
        <w:rPr>
          <w:rFonts w:ascii="宋体" w:hAnsi="宋体" w:cs="仿宋_GB2312"/>
          <w:color w:val="auto"/>
          <w:kern w:val="0"/>
          <w:sz w:val="24"/>
        </w:rPr>
        <w:t>A</w:t>
      </w:r>
      <w:r>
        <w:rPr>
          <w:rFonts w:hint="eastAsia" w:ascii="宋体" w:hAnsi="宋体" w:cs="仿宋_GB2312"/>
          <w:color w:val="auto"/>
          <w:kern w:val="0"/>
          <w:sz w:val="24"/>
        </w:rPr>
        <w:t>、行政界桩</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制作规格：形状为长方形柱体，高度为</w:t>
      </w:r>
      <w:r>
        <w:rPr>
          <w:rFonts w:ascii="宋体" w:hAnsi="宋体" w:cs="仿宋_GB2312"/>
          <w:color w:val="auto"/>
          <w:kern w:val="0"/>
          <w:sz w:val="24"/>
        </w:rPr>
        <w:t>1000mm</w:t>
      </w:r>
      <w:r>
        <w:rPr>
          <w:rFonts w:hint="eastAsia" w:ascii="宋体" w:hAnsi="宋体" w:cs="仿宋_GB2312"/>
          <w:color w:val="auto"/>
          <w:kern w:val="0"/>
          <w:sz w:val="24"/>
        </w:rPr>
        <w:t>，横截面长</w:t>
      </w:r>
      <w:r>
        <w:rPr>
          <w:rFonts w:ascii="宋体" w:hAnsi="宋体" w:cs="仿宋_GB2312"/>
          <w:color w:val="auto"/>
          <w:kern w:val="0"/>
          <w:sz w:val="24"/>
        </w:rPr>
        <w:t>150mm</w:t>
      </w:r>
      <w:r>
        <w:rPr>
          <w:rFonts w:hint="eastAsia" w:ascii="宋体" w:hAnsi="宋体" w:cs="仿宋_GB2312"/>
          <w:color w:val="auto"/>
          <w:kern w:val="0"/>
          <w:sz w:val="24"/>
        </w:rPr>
        <w:t>×宽</w:t>
      </w:r>
      <w:r>
        <w:rPr>
          <w:rFonts w:ascii="宋体" w:hAnsi="宋体" w:cs="仿宋_GB2312"/>
          <w:color w:val="auto"/>
          <w:kern w:val="0"/>
          <w:sz w:val="24"/>
        </w:rPr>
        <w:t>150mm</w:t>
      </w:r>
      <w:r>
        <w:rPr>
          <w:rFonts w:hint="eastAsia" w:ascii="宋体" w:hAnsi="宋体" w:cs="仿宋_GB2312"/>
          <w:color w:val="auto"/>
          <w:kern w:val="0"/>
          <w:sz w:val="24"/>
        </w:rPr>
        <w:t>。</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制作材料：钢筋混凝土预制，混凝土安装时现浇</w:t>
      </w:r>
      <w:r>
        <w:rPr>
          <w:rFonts w:ascii="宋体" w:hAnsi="宋体" w:cs="仿宋_GB2312"/>
          <w:color w:val="auto"/>
          <w:kern w:val="0"/>
          <w:sz w:val="24"/>
        </w:rPr>
        <w:t>(</w:t>
      </w:r>
      <w:r>
        <w:rPr>
          <w:rFonts w:hint="eastAsia" w:ascii="宋体" w:hAnsi="宋体" w:cs="仿宋_GB2312"/>
          <w:color w:val="auto"/>
          <w:kern w:val="0"/>
          <w:sz w:val="24"/>
        </w:rPr>
        <w:t>混凝土标号不低于</w:t>
      </w:r>
      <w:r>
        <w:rPr>
          <w:rFonts w:ascii="宋体" w:hAnsi="宋体" w:cs="仿宋_GB2312"/>
          <w:color w:val="auto"/>
          <w:kern w:val="0"/>
          <w:sz w:val="24"/>
        </w:rPr>
        <w:t>C20)</w:t>
      </w:r>
      <w:r>
        <w:rPr>
          <w:rFonts w:hint="eastAsia" w:ascii="宋体" w:hAnsi="宋体" w:cs="仿宋_GB2312"/>
          <w:color w:val="auto"/>
          <w:kern w:val="0"/>
          <w:sz w:val="24"/>
        </w:rPr>
        <w:t>；</w:t>
      </w:r>
    </w:p>
    <w:p>
      <w:pPr>
        <w:spacing w:line="560" w:lineRule="exact"/>
        <w:ind w:firstLine="480" w:firstLineChars="200"/>
        <w:rPr>
          <w:rFonts w:ascii="宋体" w:cs="仿宋_GB2312"/>
          <w:color w:val="auto"/>
          <w:kern w:val="0"/>
          <w:sz w:val="24"/>
        </w:rPr>
      </w:pPr>
      <w:r>
        <w:rPr>
          <w:rFonts w:ascii="宋体" w:hAnsi="宋体" w:cs="仿宋_GB2312"/>
          <w:color w:val="auto"/>
          <w:kern w:val="0"/>
          <w:sz w:val="24"/>
        </w:rPr>
        <w:t>B</w:t>
      </w:r>
      <w:r>
        <w:rPr>
          <w:rFonts w:hint="eastAsia" w:ascii="宋体" w:hAnsi="宋体" w:cs="仿宋_GB2312"/>
          <w:color w:val="auto"/>
          <w:kern w:val="0"/>
          <w:sz w:val="24"/>
        </w:rPr>
        <w:t>、管理范围线界桩</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制作规格：形状为长方形柱体，省、市级河道界桩高度为</w:t>
      </w:r>
      <w:r>
        <w:rPr>
          <w:rFonts w:ascii="宋体" w:hAnsi="宋体" w:cs="仿宋_GB2312"/>
          <w:color w:val="auto"/>
          <w:kern w:val="0"/>
          <w:sz w:val="24"/>
        </w:rPr>
        <w:t>1000mm</w:t>
      </w:r>
      <w:r>
        <w:rPr>
          <w:rFonts w:hint="eastAsia" w:ascii="宋体" w:hAnsi="宋体" w:cs="仿宋_GB2312"/>
          <w:color w:val="auto"/>
          <w:kern w:val="0"/>
          <w:sz w:val="24"/>
        </w:rPr>
        <w:t>，横截面长</w:t>
      </w:r>
      <w:r>
        <w:rPr>
          <w:rFonts w:ascii="宋体" w:hAnsi="宋体" w:cs="仿宋_GB2312"/>
          <w:color w:val="auto"/>
          <w:kern w:val="0"/>
          <w:sz w:val="24"/>
        </w:rPr>
        <w:t>150mm</w:t>
      </w:r>
      <w:r>
        <w:rPr>
          <w:rFonts w:hint="eastAsia" w:ascii="宋体" w:hAnsi="宋体" w:cs="仿宋_GB2312"/>
          <w:color w:val="auto"/>
          <w:kern w:val="0"/>
          <w:sz w:val="24"/>
        </w:rPr>
        <w:t>×宽</w:t>
      </w:r>
      <w:r>
        <w:rPr>
          <w:rFonts w:ascii="宋体" w:hAnsi="宋体" w:cs="仿宋_GB2312"/>
          <w:color w:val="auto"/>
          <w:kern w:val="0"/>
          <w:sz w:val="24"/>
        </w:rPr>
        <w:t>150mm</w:t>
      </w:r>
      <w:r>
        <w:rPr>
          <w:rFonts w:hint="eastAsia" w:ascii="宋体" w:hAnsi="宋体" w:cs="仿宋_GB2312"/>
          <w:color w:val="auto"/>
          <w:kern w:val="0"/>
          <w:sz w:val="24"/>
        </w:rPr>
        <w:t>；县级以下河道（含县级）界桩高度为</w:t>
      </w:r>
      <w:r>
        <w:rPr>
          <w:rFonts w:ascii="宋体" w:hAnsi="宋体" w:cs="仿宋_GB2312"/>
          <w:color w:val="auto"/>
          <w:kern w:val="0"/>
          <w:sz w:val="24"/>
        </w:rPr>
        <w:t>1000mm</w:t>
      </w:r>
      <w:r>
        <w:rPr>
          <w:rFonts w:hint="eastAsia" w:ascii="宋体" w:hAnsi="宋体" w:cs="仿宋_GB2312"/>
          <w:color w:val="auto"/>
          <w:kern w:val="0"/>
          <w:sz w:val="24"/>
        </w:rPr>
        <w:t>，横截面长</w:t>
      </w:r>
      <w:r>
        <w:rPr>
          <w:rFonts w:ascii="宋体" w:hAnsi="宋体" w:cs="仿宋_GB2312"/>
          <w:color w:val="auto"/>
          <w:kern w:val="0"/>
          <w:sz w:val="24"/>
        </w:rPr>
        <w:t>150mm</w:t>
      </w:r>
      <w:r>
        <w:rPr>
          <w:rFonts w:hint="eastAsia" w:ascii="宋体" w:hAnsi="宋体" w:cs="仿宋_GB2312"/>
          <w:color w:val="auto"/>
          <w:kern w:val="0"/>
          <w:sz w:val="24"/>
        </w:rPr>
        <w:t>×宽</w:t>
      </w:r>
      <w:r>
        <w:rPr>
          <w:rFonts w:ascii="宋体" w:hAnsi="宋体" w:cs="仿宋_GB2312"/>
          <w:color w:val="auto"/>
          <w:kern w:val="0"/>
          <w:sz w:val="24"/>
        </w:rPr>
        <w:t>100mm</w:t>
      </w:r>
      <w:r>
        <w:rPr>
          <w:rFonts w:hint="eastAsia" w:ascii="宋体" w:hAnsi="宋体" w:cs="仿宋_GB2312"/>
          <w:color w:val="auto"/>
          <w:kern w:val="0"/>
          <w:sz w:val="24"/>
        </w:rPr>
        <w:t>。</w:t>
      </w:r>
    </w:p>
    <w:p>
      <w:pPr>
        <w:spacing w:line="560" w:lineRule="exact"/>
        <w:ind w:firstLine="480" w:firstLineChars="200"/>
        <w:rPr>
          <w:rFonts w:ascii="宋体" w:cs="仿宋_GB2312"/>
          <w:color w:val="auto"/>
          <w:kern w:val="0"/>
          <w:sz w:val="24"/>
        </w:rPr>
      </w:pPr>
      <w:r>
        <w:rPr>
          <w:rFonts w:hint="eastAsia" w:ascii="宋体" w:hAnsi="宋体" w:cs="仿宋_GB2312"/>
          <w:color w:val="auto"/>
          <w:kern w:val="0"/>
          <w:sz w:val="24"/>
        </w:rPr>
        <w:t>制作材料：钢筋混凝土预制，混凝土安装时现浇</w:t>
      </w:r>
      <w:r>
        <w:rPr>
          <w:rFonts w:ascii="宋体" w:hAnsi="宋体" w:cs="仿宋_GB2312"/>
          <w:color w:val="auto"/>
          <w:kern w:val="0"/>
          <w:sz w:val="24"/>
        </w:rPr>
        <w:t>(</w:t>
      </w:r>
      <w:r>
        <w:rPr>
          <w:rFonts w:hint="eastAsia" w:ascii="宋体" w:hAnsi="宋体" w:cs="仿宋_GB2312"/>
          <w:color w:val="auto"/>
          <w:kern w:val="0"/>
          <w:sz w:val="24"/>
        </w:rPr>
        <w:t>混凝土标号不低于</w:t>
      </w:r>
      <w:r>
        <w:rPr>
          <w:rFonts w:ascii="宋体" w:hAnsi="宋体" w:cs="仿宋_GB2312"/>
          <w:color w:val="auto"/>
          <w:kern w:val="0"/>
          <w:sz w:val="24"/>
        </w:rPr>
        <w:t>C20)</w:t>
      </w:r>
      <w:r>
        <w:rPr>
          <w:rFonts w:hint="eastAsia" w:ascii="宋体" w:hAnsi="宋体" w:cs="仿宋_GB2312"/>
          <w:color w:val="auto"/>
          <w:kern w:val="0"/>
          <w:sz w:val="24"/>
        </w:rPr>
        <w:t>；</w:t>
      </w:r>
    </w:p>
    <w:p>
      <w:pPr>
        <w:spacing w:line="560" w:lineRule="exact"/>
        <w:ind w:firstLine="480" w:firstLineChars="200"/>
        <w:rPr>
          <w:rFonts w:ascii="新宋体" w:hAnsi="新宋体" w:eastAsia="新宋体" w:cs="新宋体"/>
          <w:color w:val="auto"/>
          <w:sz w:val="24"/>
        </w:rPr>
      </w:pPr>
      <w:r>
        <w:rPr>
          <w:rFonts w:ascii="新宋体" w:hAnsi="新宋体" w:eastAsia="新宋体" w:cs="新宋体"/>
          <w:color w:val="auto"/>
          <w:sz w:val="24"/>
        </w:rPr>
        <w:fldChar w:fldCharType="begin"/>
      </w:r>
      <w:r>
        <w:rPr>
          <w:rFonts w:ascii="新宋体" w:hAnsi="新宋体" w:eastAsia="新宋体" w:cs="新宋体"/>
          <w:color w:val="auto"/>
          <w:sz w:val="24"/>
        </w:rPr>
        <w:instrText xml:space="preserve"> = 4 \* GB3 </w:instrText>
      </w:r>
      <w:r>
        <w:rPr>
          <w:rFonts w:ascii="新宋体" w:hAnsi="新宋体" w:eastAsia="新宋体" w:cs="新宋体"/>
          <w:color w:val="auto"/>
          <w:sz w:val="24"/>
        </w:rPr>
        <w:fldChar w:fldCharType="separate"/>
      </w:r>
      <w:r>
        <w:rPr>
          <w:rFonts w:hint="eastAsia" w:ascii="新宋体" w:hAnsi="新宋体" w:eastAsia="新宋体" w:cs="新宋体"/>
          <w:color w:val="auto"/>
          <w:sz w:val="24"/>
        </w:rPr>
        <w:t>④</w:t>
      </w:r>
      <w:r>
        <w:rPr>
          <w:rFonts w:ascii="新宋体" w:hAnsi="新宋体" w:eastAsia="新宋体" w:cs="新宋体"/>
          <w:color w:val="auto"/>
          <w:sz w:val="24"/>
        </w:rPr>
        <w:fldChar w:fldCharType="end"/>
      </w:r>
      <w:r>
        <w:rPr>
          <w:rFonts w:hint="eastAsia" w:ascii="新宋体" w:hAnsi="新宋体" w:eastAsia="新宋体" w:cs="新宋体"/>
          <w:color w:val="auto"/>
          <w:sz w:val="24"/>
        </w:rPr>
        <w:t>界桩设置要求</w:t>
      </w:r>
    </w:p>
    <w:p>
      <w:pPr>
        <w:spacing w:line="560" w:lineRule="exact"/>
        <w:ind w:firstLine="480" w:firstLineChars="200"/>
        <w:rPr>
          <w:rFonts w:hint="eastAsia" w:ascii="宋体" w:hAnsi="宋体" w:eastAsia="宋体" w:cs="宋体"/>
          <w:color w:val="auto"/>
          <w:sz w:val="24"/>
          <w:szCs w:val="24"/>
          <w:lang w:val="zh-CN"/>
        </w:rPr>
      </w:pPr>
      <w:r>
        <w:rPr>
          <w:rFonts w:ascii="宋体" w:hAnsi="宋体" w:cs="仿宋_GB2312"/>
          <w:color w:val="auto"/>
          <w:kern w:val="0"/>
          <w:sz w:val="24"/>
        </w:rPr>
        <w:t>(1)</w:t>
      </w:r>
      <w:r>
        <w:rPr>
          <w:rFonts w:hint="eastAsia" w:ascii="宋体" w:hAnsi="宋体" w:cs="仿宋_GB2312"/>
          <w:color w:val="auto"/>
          <w:kern w:val="0"/>
          <w:sz w:val="24"/>
        </w:rPr>
        <w:t>行政界桩埋设要求：地面以下</w:t>
      </w:r>
      <w:r>
        <w:rPr>
          <w:rFonts w:ascii="宋体" w:hAnsi="宋体" w:cs="仿宋_GB2312"/>
          <w:color w:val="auto"/>
          <w:kern w:val="0"/>
          <w:sz w:val="24"/>
        </w:rPr>
        <w:t>600mm</w:t>
      </w:r>
      <w:r>
        <w:rPr>
          <w:rFonts w:hint="eastAsia" w:ascii="宋体" w:hAnsi="宋体" w:cs="仿宋_GB2312"/>
          <w:color w:val="auto"/>
          <w:kern w:val="0"/>
          <w:sz w:val="24"/>
        </w:rPr>
        <w:t>，地上露出</w:t>
      </w:r>
      <w:r>
        <w:rPr>
          <w:rFonts w:ascii="宋体" w:hAnsi="宋体" w:cs="仿宋_GB2312"/>
          <w:color w:val="auto"/>
          <w:kern w:val="0"/>
          <w:sz w:val="24"/>
        </w:rPr>
        <w:t>400mm</w:t>
      </w:r>
      <w:r>
        <w:rPr>
          <w:rFonts w:hint="eastAsia" w:ascii="宋体" w:hAnsi="宋体" w:cs="仿宋_GB2312"/>
          <w:color w:val="auto"/>
          <w:kern w:val="0"/>
          <w:sz w:val="24"/>
        </w:rPr>
        <w:t>，下设</w:t>
      </w:r>
      <w:r>
        <w:rPr>
          <w:rFonts w:ascii="宋体" w:hAnsi="宋体" w:cs="仿宋_GB2312"/>
          <w:color w:val="auto"/>
          <w:kern w:val="0"/>
          <w:sz w:val="24"/>
        </w:rPr>
        <w:t>50mm C10</w:t>
      </w:r>
      <w:r>
        <w:rPr>
          <w:rFonts w:hint="eastAsia" w:ascii="宋体" w:hAnsi="宋体" w:cs="仿宋_GB2312"/>
          <w:color w:val="auto"/>
          <w:kern w:val="0"/>
          <w:sz w:val="24"/>
        </w:rPr>
        <w:t>混凝土垫层，回填时先回填</w:t>
      </w:r>
      <w:r>
        <w:rPr>
          <w:rFonts w:ascii="宋体" w:hAnsi="宋体" w:cs="仿宋_GB2312"/>
          <w:color w:val="auto"/>
          <w:kern w:val="0"/>
          <w:sz w:val="24"/>
        </w:rPr>
        <w:t>C10</w:t>
      </w:r>
      <w:r>
        <w:rPr>
          <w:rFonts w:hint="eastAsia" w:ascii="宋体" w:hAnsi="宋体" w:cs="仿宋_GB2312"/>
          <w:color w:val="auto"/>
          <w:kern w:val="0"/>
          <w:sz w:val="24"/>
        </w:rPr>
        <w:t>混凝土</w:t>
      </w:r>
      <w:r>
        <w:rPr>
          <w:rFonts w:ascii="宋体" w:hAnsi="宋体" w:cs="仿宋_GB2312"/>
          <w:color w:val="auto"/>
          <w:kern w:val="0"/>
          <w:sz w:val="24"/>
        </w:rPr>
        <w:t>300mm</w:t>
      </w:r>
      <w:r>
        <w:rPr>
          <w:rFonts w:hint="eastAsia" w:ascii="宋体" w:hAnsi="宋体" w:cs="仿宋_GB2312"/>
          <w:color w:val="auto"/>
          <w:kern w:val="0"/>
          <w:sz w:val="24"/>
        </w:rPr>
        <w:t>，再回填土</w:t>
      </w:r>
      <w:r>
        <w:rPr>
          <w:rFonts w:ascii="宋体" w:hAnsi="宋体" w:cs="仿宋_GB2312"/>
          <w:color w:val="auto"/>
          <w:kern w:val="0"/>
          <w:sz w:val="24"/>
        </w:rPr>
        <w:t>300mm</w:t>
      </w:r>
      <w:r>
        <w:rPr>
          <w:rFonts w:hint="eastAsia" w:ascii="宋体" w:hAnsi="宋体" w:cs="仿宋_GB2312"/>
          <w:color w:val="auto"/>
          <w:kern w:val="0"/>
          <w:sz w:val="24"/>
        </w:rPr>
        <w:t>，保证填筑密实。界桩埋设时，顶盖行政地名要面向其所属的行政区域；“严禁移动”面应背向河道</w:t>
      </w:r>
      <w:r>
        <w:rPr>
          <w:rFonts w:ascii="宋体" w:hAnsi="宋体" w:cs="仿宋_GB2312"/>
          <w:color w:val="auto"/>
          <w:kern w:val="0"/>
          <w:sz w:val="24"/>
        </w:rPr>
        <w:t>(</w:t>
      </w:r>
      <w:r>
        <w:rPr>
          <w:rFonts w:hint="eastAsia" w:ascii="宋体" w:hAnsi="宋体" w:cs="仿宋_GB2312"/>
          <w:color w:val="auto"/>
          <w:kern w:val="0"/>
          <w:sz w:val="24"/>
        </w:rPr>
        <w:t>湖泊、水库、水利工程</w:t>
      </w:r>
      <w:r>
        <w:rPr>
          <w:rFonts w:ascii="宋体" w:hAnsi="宋体" w:cs="仿宋_GB2312"/>
          <w:color w:val="auto"/>
          <w:kern w:val="0"/>
          <w:sz w:val="24"/>
        </w:rPr>
        <w:t>)</w:t>
      </w:r>
      <w:r>
        <w:rPr>
          <w:rFonts w:hint="eastAsia" w:ascii="宋体" w:hAnsi="宋体" w:cs="仿宋_GB2312"/>
          <w:color w:val="auto"/>
          <w:kern w:val="0"/>
          <w:sz w:val="24"/>
        </w:rPr>
        <w:t>，并与河道岸线平行。界桩垂直方向上偏斜不应超过</w:t>
      </w:r>
      <w:r>
        <w:rPr>
          <w:rFonts w:ascii="宋体" w:hAnsi="宋体" w:cs="仿宋_GB2312"/>
          <w:color w:val="auto"/>
          <w:kern w:val="0"/>
          <w:sz w:val="24"/>
        </w:rPr>
        <w:t>5</w:t>
      </w:r>
      <w:r>
        <w:rPr>
          <w:rFonts w:hint="eastAsia" w:ascii="宋体" w:hAnsi="宋体" w:cs="仿宋_GB2312"/>
          <w:color w:val="auto"/>
          <w:kern w:val="0"/>
          <w:sz w:val="24"/>
        </w:rPr>
        <w:t>゜；水平方向上与河道岸线夹角偏斜不应超过</w:t>
      </w:r>
      <w:r>
        <w:rPr>
          <w:rFonts w:ascii="宋体" w:hAnsi="宋体" w:cs="仿宋_GB2312"/>
          <w:color w:val="auto"/>
          <w:kern w:val="0"/>
          <w:sz w:val="24"/>
        </w:rPr>
        <w:t>15</w:t>
      </w:r>
      <w:r>
        <w:rPr>
          <w:rFonts w:hint="eastAsia" w:ascii="宋体" w:hAnsi="宋体" w:cs="仿宋_GB2312"/>
          <w:color w:val="auto"/>
          <w:kern w:val="0"/>
          <w:sz w:val="24"/>
        </w:rPr>
        <w:t>゜。</w:t>
      </w:r>
    </w:p>
    <w:p>
      <w:pPr>
        <w:spacing w:line="360" w:lineRule="auto"/>
        <w:ind w:firstLine="480" w:firstLineChars="200"/>
        <w:outlineLvl w:val="0"/>
        <w:rPr>
          <w:rFonts w:hint="eastAsia" w:ascii="宋体" w:hAnsi="宋体" w:eastAsia="宋体" w:cs="宋体"/>
          <w:color w:val="auto"/>
          <w:sz w:val="24"/>
          <w:szCs w:val="24"/>
          <w:lang w:val="zh-CN"/>
        </w:rPr>
      </w:pPr>
    </w:p>
    <w:p>
      <w:pPr>
        <w:spacing w:line="360" w:lineRule="auto"/>
        <w:ind w:firstLine="480" w:firstLineChars="200"/>
        <w:outlineLvl w:val="0"/>
        <w:rPr>
          <w:rFonts w:hint="eastAsia" w:ascii="宋体" w:hAnsi="宋体" w:eastAsia="宋体" w:cs="宋体"/>
          <w:color w:val="auto"/>
          <w:kern w:val="0"/>
          <w:sz w:val="28"/>
          <w:szCs w:val="28"/>
          <w:lang w:val="zh-CN"/>
        </w:rPr>
      </w:pP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lang w:val="zh-CN"/>
        </w:rPr>
        <w:t>三、采购标的执行标准</w:t>
      </w:r>
    </w:p>
    <w:p>
      <w:pPr>
        <w:spacing w:line="560" w:lineRule="exact"/>
        <w:rPr>
          <w:rFonts w:ascii="宋体" w:cs="仿宋_GB2312"/>
          <w:color w:val="auto"/>
          <w:kern w:val="0"/>
          <w:sz w:val="24"/>
          <w:szCs w:val="24"/>
        </w:rPr>
      </w:pPr>
      <w:r>
        <w:rPr>
          <w:rFonts w:hint="eastAsia" w:ascii="宋体" w:hAnsi="宋体" w:cs="仿宋_GB2312"/>
          <w:color w:val="auto"/>
          <w:kern w:val="0"/>
          <w:sz w:val="24"/>
          <w:szCs w:val="24"/>
        </w:rPr>
        <w:t>（</w:t>
      </w:r>
      <w:r>
        <w:rPr>
          <w:rFonts w:ascii="宋体" w:hAnsi="宋体" w:cs="仿宋_GB2312"/>
          <w:color w:val="auto"/>
          <w:kern w:val="0"/>
          <w:sz w:val="24"/>
          <w:szCs w:val="24"/>
        </w:rPr>
        <w:t>1</w:t>
      </w:r>
      <w:r>
        <w:rPr>
          <w:rFonts w:hint="eastAsia" w:ascii="宋体" w:hAnsi="宋体" w:cs="仿宋_GB2312"/>
          <w:color w:val="auto"/>
          <w:kern w:val="0"/>
          <w:sz w:val="24"/>
          <w:szCs w:val="24"/>
        </w:rPr>
        <w:t>）、法律、法规、省政府规章（法规若有更新，以最新版为准）</w:t>
      </w:r>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《中华人民共和国水法》</w:t>
      </w:r>
      <w:r>
        <w:rPr>
          <w:rFonts w:ascii="宋体" w:hAnsi="宋体" w:cs="仿宋_GB2312"/>
          <w:color w:val="auto"/>
          <w:kern w:val="0"/>
          <w:sz w:val="24"/>
          <w:szCs w:val="24"/>
        </w:rPr>
        <w:t>(2002</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；《中华人民共和国防洪法》</w:t>
      </w:r>
      <w:r>
        <w:rPr>
          <w:rFonts w:ascii="宋体" w:hAnsi="宋体" w:cs="仿宋_GB2312"/>
          <w:color w:val="auto"/>
          <w:kern w:val="0"/>
          <w:sz w:val="24"/>
          <w:szCs w:val="24"/>
        </w:rPr>
        <w:t>(2015</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；《中华人民共和国土地管理法实施条例》</w:t>
      </w:r>
      <w:r>
        <w:rPr>
          <w:rFonts w:ascii="宋体" w:hAnsi="宋体" w:cs="仿宋_GB2312"/>
          <w:color w:val="auto"/>
          <w:kern w:val="0"/>
          <w:sz w:val="24"/>
          <w:szCs w:val="24"/>
        </w:rPr>
        <w:t>(2014</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；中华人民共和国河道管理条例》</w:t>
      </w:r>
      <w:r>
        <w:rPr>
          <w:rFonts w:ascii="宋体" w:hAnsi="宋体" w:cs="仿宋_GB2312"/>
          <w:color w:val="auto"/>
          <w:kern w:val="0"/>
          <w:sz w:val="24"/>
          <w:szCs w:val="24"/>
        </w:rPr>
        <w:t>(2011</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；河南省实施《土地管理法》办法</w:t>
      </w:r>
      <w:r>
        <w:rPr>
          <w:rFonts w:ascii="宋体" w:hAnsi="宋体" w:cs="仿宋_GB2312"/>
          <w:color w:val="auto"/>
          <w:kern w:val="0"/>
          <w:sz w:val="24"/>
          <w:szCs w:val="24"/>
        </w:rPr>
        <w:t>(1999</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；《河南省水利工程管理条例》</w:t>
      </w:r>
      <w:r>
        <w:rPr>
          <w:rFonts w:ascii="宋体" w:hAnsi="宋体" w:cs="仿宋_GB2312"/>
          <w:color w:val="auto"/>
          <w:kern w:val="0"/>
          <w:sz w:val="24"/>
          <w:szCs w:val="24"/>
        </w:rPr>
        <w:t>(2005</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；河南省《河道管理条例》实施办法</w:t>
      </w:r>
      <w:r>
        <w:rPr>
          <w:rFonts w:ascii="宋体" w:hAnsi="宋体" w:cs="仿宋_GB2312"/>
          <w:color w:val="auto"/>
          <w:kern w:val="0"/>
          <w:sz w:val="24"/>
          <w:szCs w:val="24"/>
        </w:rPr>
        <w:t>(1992</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；河南省实施《中华人民共和国水法》办法</w:t>
      </w:r>
      <w:r>
        <w:rPr>
          <w:rFonts w:ascii="宋体" w:hAnsi="宋体" w:cs="仿宋_GB2312"/>
          <w:color w:val="auto"/>
          <w:kern w:val="0"/>
          <w:sz w:val="24"/>
          <w:szCs w:val="24"/>
        </w:rPr>
        <w:t>(2006</w:t>
      </w:r>
      <w:r>
        <w:rPr>
          <w:rFonts w:hint="eastAsia" w:ascii="宋体" w:hAnsi="宋体" w:cs="仿宋_GB2312"/>
          <w:color w:val="auto"/>
          <w:kern w:val="0"/>
          <w:sz w:val="24"/>
          <w:szCs w:val="24"/>
        </w:rPr>
        <w:t>年</w:t>
      </w:r>
      <w:r>
        <w:rPr>
          <w:rFonts w:ascii="宋体" w:hAnsi="宋体" w:cs="仿宋_GB2312"/>
          <w:color w:val="auto"/>
          <w:kern w:val="0"/>
          <w:sz w:val="24"/>
          <w:szCs w:val="24"/>
        </w:rPr>
        <w:t>)</w:t>
      </w:r>
      <w:r>
        <w:rPr>
          <w:rFonts w:hint="eastAsia" w:ascii="宋体" w:hAnsi="宋体" w:cs="仿宋_GB2312"/>
          <w:color w:val="auto"/>
          <w:kern w:val="0"/>
          <w:sz w:val="24"/>
          <w:szCs w:val="24"/>
        </w:rPr>
        <w:t>。</w:t>
      </w:r>
    </w:p>
    <w:p>
      <w:pPr>
        <w:spacing w:line="560" w:lineRule="exact"/>
        <w:rPr>
          <w:rFonts w:ascii="宋体" w:cs="仿宋_GB2312"/>
          <w:color w:val="auto"/>
          <w:kern w:val="0"/>
          <w:sz w:val="24"/>
          <w:szCs w:val="24"/>
        </w:rPr>
      </w:pPr>
      <w:bookmarkStart w:id="22" w:name="_Toc758"/>
      <w:bookmarkStart w:id="23" w:name="_Toc27458"/>
      <w:bookmarkStart w:id="24" w:name="_Toc28652"/>
      <w:bookmarkStart w:id="25" w:name="_Toc17494"/>
      <w:r>
        <w:rPr>
          <w:rFonts w:hint="eastAsia" w:ascii="宋体" w:hAnsi="宋体" w:cs="仿宋_GB2312"/>
          <w:color w:val="auto"/>
          <w:kern w:val="0"/>
          <w:sz w:val="24"/>
          <w:szCs w:val="24"/>
        </w:rPr>
        <w:t>（</w:t>
      </w:r>
      <w:r>
        <w:rPr>
          <w:rFonts w:ascii="宋体" w:hAnsi="宋体" w:cs="仿宋_GB2312"/>
          <w:color w:val="auto"/>
          <w:kern w:val="0"/>
          <w:sz w:val="24"/>
          <w:szCs w:val="24"/>
        </w:rPr>
        <w:t>2</w:t>
      </w:r>
      <w:r>
        <w:rPr>
          <w:rFonts w:hint="eastAsia" w:ascii="宋体" w:hAnsi="宋体" w:cs="仿宋_GB2312"/>
          <w:color w:val="auto"/>
          <w:kern w:val="0"/>
          <w:sz w:val="24"/>
          <w:szCs w:val="24"/>
        </w:rPr>
        <w:t>）、规范、规程及标准</w:t>
      </w:r>
      <w:bookmarkEnd w:id="22"/>
      <w:bookmarkEnd w:id="23"/>
      <w:bookmarkEnd w:id="24"/>
      <w:bookmarkEnd w:id="25"/>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《堤防工程管理设计规范》</w:t>
      </w:r>
      <w:r>
        <w:rPr>
          <w:rFonts w:ascii="宋体" w:hAnsi="宋体" w:cs="仿宋_GB2312"/>
          <w:color w:val="auto"/>
          <w:kern w:val="0"/>
          <w:sz w:val="24"/>
          <w:szCs w:val="24"/>
        </w:rPr>
        <w:t>(SL 171—96)</w:t>
      </w:r>
      <w:r>
        <w:rPr>
          <w:rFonts w:hint="eastAsia" w:ascii="宋体" w:hAnsi="宋体" w:cs="仿宋_GB2312"/>
          <w:color w:val="auto"/>
          <w:kern w:val="0"/>
          <w:sz w:val="24"/>
          <w:szCs w:val="24"/>
        </w:rPr>
        <w:t>；《水利水电工程测量规范》</w:t>
      </w:r>
      <w:r>
        <w:rPr>
          <w:rFonts w:ascii="宋体" w:hAnsi="宋体" w:cs="仿宋_GB2312"/>
          <w:color w:val="auto"/>
          <w:kern w:val="0"/>
          <w:sz w:val="24"/>
          <w:szCs w:val="24"/>
        </w:rPr>
        <w:t>(SL 197—2013)</w:t>
      </w:r>
      <w:r>
        <w:rPr>
          <w:rFonts w:hint="eastAsia" w:ascii="宋体" w:hAnsi="宋体" w:cs="仿宋_GB2312"/>
          <w:color w:val="auto"/>
          <w:kern w:val="0"/>
          <w:sz w:val="24"/>
          <w:szCs w:val="24"/>
        </w:rPr>
        <w:t>；《全球定位系统</w:t>
      </w:r>
      <w:r>
        <w:rPr>
          <w:rFonts w:ascii="宋体" w:hAnsi="宋体" w:cs="仿宋_GB2312"/>
          <w:color w:val="auto"/>
          <w:kern w:val="0"/>
          <w:sz w:val="24"/>
          <w:szCs w:val="24"/>
        </w:rPr>
        <w:t>GPS</w:t>
      </w:r>
      <w:r>
        <w:rPr>
          <w:rFonts w:hint="eastAsia" w:ascii="宋体" w:hAnsi="宋体" w:cs="仿宋_GB2312"/>
          <w:color w:val="auto"/>
          <w:kern w:val="0"/>
          <w:sz w:val="24"/>
          <w:szCs w:val="24"/>
        </w:rPr>
        <w:t>测量规范》</w:t>
      </w:r>
      <w:r>
        <w:rPr>
          <w:rFonts w:ascii="宋体" w:hAnsi="宋体" w:cs="仿宋_GB2312"/>
          <w:color w:val="auto"/>
          <w:kern w:val="0"/>
          <w:sz w:val="24"/>
          <w:szCs w:val="24"/>
        </w:rPr>
        <w:t>(GB/T18314—2009)</w:t>
      </w:r>
      <w:r>
        <w:rPr>
          <w:rFonts w:hint="eastAsia" w:ascii="宋体" w:hAnsi="宋体" w:cs="仿宋_GB2312"/>
          <w:color w:val="auto"/>
          <w:kern w:val="0"/>
          <w:sz w:val="24"/>
          <w:szCs w:val="24"/>
        </w:rPr>
        <w:t>；《国家三、四等水准测量规范》</w:t>
      </w:r>
      <w:r>
        <w:rPr>
          <w:rFonts w:ascii="宋体" w:hAnsi="宋体" w:cs="仿宋_GB2312"/>
          <w:color w:val="auto"/>
          <w:kern w:val="0"/>
          <w:sz w:val="24"/>
          <w:szCs w:val="24"/>
        </w:rPr>
        <w:t>(GB12898—2009)</w:t>
      </w:r>
      <w:r>
        <w:rPr>
          <w:rFonts w:hint="eastAsia" w:ascii="宋体" w:hAnsi="宋体" w:cs="仿宋_GB2312"/>
          <w:color w:val="auto"/>
          <w:kern w:val="0"/>
          <w:sz w:val="24"/>
          <w:szCs w:val="24"/>
        </w:rPr>
        <w:t>；《全球定位系统实时动态测量</w:t>
      </w:r>
      <w:r>
        <w:rPr>
          <w:rFonts w:ascii="宋体" w:hAnsi="宋体" w:cs="仿宋_GB2312"/>
          <w:color w:val="auto"/>
          <w:kern w:val="0"/>
          <w:sz w:val="24"/>
          <w:szCs w:val="24"/>
        </w:rPr>
        <w:t>(RTK)</w:t>
      </w:r>
      <w:r>
        <w:rPr>
          <w:rFonts w:hint="eastAsia" w:ascii="宋体" w:hAnsi="宋体" w:cs="仿宋_GB2312"/>
          <w:color w:val="auto"/>
          <w:kern w:val="0"/>
          <w:sz w:val="24"/>
          <w:szCs w:val="24"/>
        </w:rPr>
        <w:t>技术规范》</w:t>
      </w:r>
      <w:r>
        <w:rPr>
          <w:rFonts w:ascii="宋体" w:hAnsi="宋体" w:cs="仿宋_GB2312"/>
          <w:color w:val="auto"/>
          <w:kern w:val="0"/>
          <w:sz w:val="24"/>
          <w:szCs w:val="24"/>
        </w:rPr>
        <w:t>(CH/T 2009—2010)</w:t>
      </w:r>
      <w:r>
        <w:rPr>
          <w:rFonts w:hint="eastAsia" w:ascii="宋体" w:hAnsi="宋体" w:cs="仿宋_GB2312"/>
          <w:color w:val="auto"/>
          <w:kern w:val="0"/>
          <w:sz w:val="24"/>
          <w:szCs w:val="24"/>
        </w:rPr>
        <w:t>；《数字航空摄影</w:t>
      </w:r>
      <w:r>
        <w:rPr>
          <w:rFonts w:ascii="宋体" w:hAnsi="宋体" w:cs="仿宋_GB2312"/>
          <w:color w:val="auto"/>
          <w:kern w:val="0"/>
          <w:sz w:val="24"/>
          <w:szCs w:val="24"/>
        </w:rPr>
        <w:t xml:space="preserve"> </w:t>
      </w:r>
      <w:r>
        <w:rPr>
          <w:rFonts w:hint="eastAsia" w:ascii="宋体" w:hAnsi="宋体" w:cs="仿宋_GB2312"/>
          <w:color w:val="auto"/>
          <w:kern w:val="0"/>
          <w:sz w:val="24"/>
          <w:szCs w:val="24"/>
        </w:rPr>
        <w:t>控制测量规范》</w:t>
      </w:r>
      <w:r>
        <w:rPr>
          <w:rFonts w:ascii="宋体" w:hAnsi="宋体" w:cs="仿宋_GB2312"/>
          <w:color w:val="auto"/>
          <w:kern w:val="0"/>
          <w:sz w:val="24"/>
          <w:szCs w:val="24"/>
        </w:rPr>
        <w:t>(CH/T3006—2011)</w:t>
      </w:r>
      <w:r>
        <w:rPr>
          <w:rFonts w:hint="eastAsia" w:ascii="宋体" w:hAnsi="宋体" w:cs="仿宋_GB2312"/>
          <w:color w:val="auto"/>
          <w:kern w:val="0"/>
          <w:sz w:val="24"/>
          <w:szCs w:val="24"/>
        </w:rPr>
        <w:t>；《数字航空摄影测量</w:t>
      </w:r>
      <w:r>
        <w:rPr>
          <w:rFonts w:ascii="宋体" w:hAnsi="宋体" w:cs="仿宋_GB2312"/>
          <w:color w:val="auto"/>
          <w:kern w:val="0"/>
          <w:sz w:val="24"/>
          <w:szCs w:val="24"/>
        </w:rPr>
        <w:t xml:space="preserve"> </w:t>
      </w:r>
      <w:r>
        <w:rPr>
          <w:rFonts w:hint="eastAsia" w:ascii="宋体" w:hAnsi="宋体" w:cs="仿宋_GB2312"/>
          <w:color w:val="auto"/>
          <w:kern w:val="0"/>
          <w:sz w:val="24"/>
          <w:szCs w:val="24"/>
        </w:rPr>
        <w:t>测图规范</w:t>
      </w:r>
      <w:r>
        <w:rPr>
          <w:rFonts w:ascii="宋体" w:hAnsi="宋体" w:cs="仿宋_GB2312"/>
          <w:color w:val="auto"/>
          <w:kern w:val="0"/>
          <w:sz w:val="24"/>
          <w:szCs w:val="24"/>
        </w:rPr>
        <w:t xml:space="preserve"> </w:t>
      </w:r>
      <w:r>
        <w:rPr>
          <w:rFonts w:hint="eastAsia" w:ascii="宋体" w:hAnsi="宋体" w:cs="仿宋_GB2312"/>
          <w:color w:val="auto"/>
          <w:kern w:val="0"/>
          <w:sz w:val="24"/>
          <w:szCs w:val="24"/>
        </w:rPr>
        <w:t>第</w:t>
      </w:r>
      <w:r>
        <w:rPr>
          <w:rFonts w:ascii="宋体" w:hAnsi="宋体" w:cs="仿宋_GB2312"/>
          <w:color w:val="auto"/>
          <w:kern w:val="0"/>
          <w:sz w:val="24"/>
          <w:szCs w:val="24"/>
        </w:rPr>
        <w:t>1</w:t>
      </w:r>
      <w:r>
        <w:rPr>
          <w:rFonts w:hint="eastAsia" w:ascii="宋体" w:hAnsi="宋体" w:cs="仿宋_GB2312"/>
          <w:color w:val="auto"/>
          <w:kern w:val="0"/>
          <w:sz w:val="24"/>
          <w:szCs w:val="24"/>
        </w:rPr>
        <w:t>部分：</w:t>
      </w:r>
      <w:r>
        <w:rPr>
          <w:rFonts w:ascii="宋体" w:hAnsi="宋体" w:cs="仿宋_GB2312"/>
          <w:color w:val="auto"/>
          <w:kern w:val="0"/>
          <w:sz w:val="24"/>
          <w:szCs w:val="24"/>
        </w:rPr>
        <w:t>1:500 1:1000 1:2000</w:t>
      </w:r>
      <w:r>
        <w:rPr>
          <w:rFonts w:hint="eastAsia" w:ascii="宋体" w:hAnsi="宋体" w:cs="仿宋_GB2312"/>
          <w:color w:val="auto"/>
          <w:kern w:val="0"/>
          <w:sz w:val="24"/>
          <w:szCs w:val="24"/>
        </w:rPr>
        <w:t>数字高程模型</w:t>
      </w:r>
      <w:r>
        <w:rPr>
          <w:rFonts w:ascii="宋体" w:hAnsi="宋体" w:cs="仿宋_GB2312"/>
          <w:color w:val="auto"/>
          <w:kern w:val="0"/>
          <w:sz w:val="24"/>
          <w:szCs w:val="24"/>
        </w:rPr>
        <w:t xml:space="preserve"> </w:t>
      </w:r>
      <w:r>
        <w:rPr>
          <w:rFonts w:hint="eastAsia" w:ascii="宋体" w:hAnsi="宋体" w:cs="仿宋_GB2312"/>
          <w:color w:val="auto"/>
          <w:kern w:val="0"/>
          <w:sz w:val="24"/>
          <w:szCs w:val="24"/>
        </w:rPr>
        <w:t>数字正射影像图</w:t>
      </w:r>
      <w:r>
        <w:rPr>
          <w:rFonts w:ascii="宋体" w:hAnsi="宋体" w:cs="仿宋_GB2312"/>
          <w:color w:val="auto"/>
          <w:kern w:val="0"/>
          <w:sz w:val="24"/>
          <w:szCs w:val="24"/>
        </w:rPr>
        <w:t xml:space="preserve"> </w:t>
      </w:r>
      <w:r>
        <w:rPr>
          <w:rFonts w:hint="eastAsia" w:ascii="宋体" w:hAnsi="宋体" w:cs="仿宋_GB2312"/>
          <w:color w:val="auto"/>
          <w:kern w:val="0"/>
          <w:sz w:val="24"/>
          <w:szCs w:val="24"/>
        </w:rPr>
        <w:t>数字线划图》</w:t>
      </w:r>
      <w:r>
        <w:rPr>
          <w:rFonts w:ascii="宋体" w:hAnsi="宋体" w:cs="仿宋_GB2312"/>
          <w:color w:val="auto"/>
          <w:kern w:val="0"/>
          <w:sz w:val="24"/>
          <w:szCs w:val="24"/>
        </w:rPr>
        <w:t>(CH/T3007.1—2011)</w:t>
      </w:r>
      <w:r>
        <w:rPr>
          <w:rFonts w:hint="eastAsia" w:ascii="宋体" w:hAnsi="宋体" w:cs="仿宋_GB2312"/>
          <w:color w:val="auto"/>
          <w:kern w:val="0"/>
          <w:sz w:val="24"/>
          <w:szCs w:val="24"/>
        </w:rPr>
        <w:t>；《国家基本比例尺地图图式第</w:t>
      </w:r>
      <w:r>
        <w:rPr>
          <w:rFonts w:ascii="宋体" w:hAnsi="宋体" w:cs="仿宋_GB2312"/>
          <w:color w:val="auto"/>
          <w:kern w:val="0"/>
          <w:sz w:val="24"/>
          <w:szCs w:val="24"/>
        </w:rPr>
        <w:t>1</w:t>
      </w:r>
      <w:r>
        <w:rPr>
          <w:rFonts w:hint="eastAsia" w:ascii="宋体" w:hAnsi="宋体" w:cs="仿宋_GB2312"/>
          <w:color w:val="auto"/>
          <w:kern w:val="0"/>
          <w:sz w:val="24"/>
          <w:szCs w:val="24"/>
        </w:rPr>
        <w:t>部分：</w:t>
      </w:r>
      <w:r>
        <w:rPr>
          <w:rFonts w:ascii="宋体" w:hAnsi="宋体" w:cs="仿宋_GB2312"/>
          <w:color w:val="auto"/>
          <w:kern w:val="0"/>
          <w:sz w:val="24"/>
          <w:szCs w:val="24"/>
        </w:rPr>
        <w:t>1:500 1:1000 1:2000</w:t>
      </w:r>
      <w:r>
        <w:rPr>
          <w:rFonts w:hint="eastAsia" w:ascii="宋体" w:hAnsi="宋体" w:cs="仿宋_GB2312"/>
          <w:color w:val="auto"/>
          <w:kern w:val="0"/>
          <w:sz w:val="24"/>
          <w:szCs w:val="24"/>
        </w:rPr>
        <w:t>地形图图式》</w:t>
      </w:r>
      <w:r>
        <w:rPr>
          <w:rFonts w:ascii="宋体" w:hAnsi="宋体" w:cs="仿宋_GB2312"/>
          <w:color w:val="auto"/>
          <w:kern w:val="0"/>
          <w:sz w:val="24"/>
          <w:szCs w:val="24"/>
        </w:rPr>
        <w:t>(GB/T 20257.1—2007)</w:t>
      </w:r>
      <w:r>
        <w:rPr>
          <w:rFonts w:hint="eastAsia" w:ascii="宋体" w:hAnsi="宋体" w:cs="仿宋_GB2312"/>
          <w:color w:val="auto"/>
          <w:kern w:val="0"/>
          <w:sz w:val="24"/>
          <w:szCs w:val="24"/>
        </w:rPr>
        <w:t>；《国家基本比例尺地图图式第</w:t>
      </w:r>
      <w:r>
        <w:rPr>
          <w:rFonts w:ascii="宋体" w:hAnsi="宋体" w:cs="仿宋_GB2312"/>
          <w:color w:val="auto"/>
          <w:kern w:val="0"/>
          <w:sz w:val="24"/>
          <w:szCs w:val="24"/>
        </w:rPr>
        <w:t>2</w:t>
      </w:r>
      <w:r>
        <w:rPr>
          <w:rFonts w:hint="eastAsia" w:ascii="宋体" w:hAnsi="宋体" w:cs="仿宋_GB2312"/>
          <w:color w:val="auto"/>
          <w:kern w:val="0"/>
          <w:sz w:val="24"/>
          <w:szCs w:val="24"/>
        </w:rPr>
        <w:t>部分：</w:t>
      </w:r>
      <w:r>
        <w:rPr>
          <w:rFonts w:ascii="宋体" w:hAnsi="宋体" w:cs="仿宋_GB2312"/>
          <w:color w:val="auto"/>
          <w:kern w:val="0"/>
          <w:sz w:val="24"/>
          <w:szCs w:val="24"/>
        </w:rPr>
        <w:t>1:5000 1:10000</w:t>
      </w:r>
      <w:r>
        <w:rPr>
          <w:rFonts w:hint="eastAsia" w:ascii="宋体" w:hAnsi="宋体" w:cs="仿宋_GB2312"/>
          <w:color w:val="auto"/>
          <w:kern w:val="0"/>
          <w:sz w:val="24"/>
          <w:szCs w:val="24"/>
        </w:rPr>
        <w:t>地形图图式》</w:t>
      </w:r>
      <w:r>
        <w:rPr>
          <w:rFonts w:ascii="宋体" w:hAnsi="宋体" w:cs="仿宋_GB2312"/>
          <w:color w:val="auto"/>
          <w:kern w:val="0"/>
          <w:sz w:val="24"/>
          <w:szCs w:val="24"/>
        </w:rPr>
        <w:t>(GB/T 20257.2—2006)</w:t>
      </w:r>
      <w:r>
        <w:rPr>
          <w:rFonts w:hint="eastAsia" w:ascii="宋体" w:hAnsi="宋体" w:cs="仿宋_GB2312"/>
          <w:color w:val="auto"/>
          <w:kern w:val="0"/>
          <w:sz w:val="24"/>
          <w:szCs w:val="24"/>
        </w:rPr>
        <w:t>；《测绘作业人员安全规范》</w:t>
      </w:r>
      <w:r>
        <w:rPr>
          <w:rFonts w:ascii="宋体" w:hAnsi="宋体" w:cs="仿宋_GB2312"/>
          <w:color w:val="auto"/>
          <w:kern w:val="0"/>
          <w:sz w:val="24"/>
          <w:szCs w:val="24"/>
        </w:rPr>
        <w:t>(CH 1016—2008)</w:t>
      </w:r>
      <w:r>
        <w:rPr>
          <w:rFonts w:hint="eastAsia" w:ascii="宋体" w:hAnsi="宋体" w:cs="仿宋_GB2312"/>
          <w:color w:val="auto"/>
          <w:kern w:val="0"/>
          <w:sz w:val="24"/>
          <w:szCs w:val="24"/>
        </w:rPr>
        <w:t>；《测绘成果质量检查与验收》</w:t>
      </w:r>
      <w:r>
        <w:rPr>
          <w:rFonts w:ascii="宋体" w:hAnsi="宋体" w:cs="仿宋_GB2312"/>
          <w:color w:val="auto"/>
          <w:kern w:val="0"/>
          <w:sz w:val="24"/>
          <w:szCs w:val="24"/>
        </w:rPr>
        <w:t>(GB/T 24356—2009)</w:t>
      </w:r>
      <w:r>
        <w:rPr>
          <w:rFonts w:hint="eastAsia" w:ascii="宋体" w:hAnsi="宋体" w:cs="仿宋_GB2312"/>
          <w:color w:val="auto"/>
          <w:kern w:val="0"/>
          <w:sz w:val="24"/>
          <w:szCs w:val="24"/>
        </w:rPr>
        <w:t>。</w:t>
      </w:r>
    </w:p>
    <w:p>
      <w:pPr>
        <w:spacing w:line="560" w:lineRule="exact"/>
        <w:rPr>
          <w:rFonts w:ascii="宋体" w:cs="仿宋_GB2312"/>
          <w:color w:val="auto"/>
          <w:kern w:val="0"/>
          <w:sz w:val="24"/>
          <w:szCs w:val="24"/>
        </w:rPr>
      </w:pPr>
      <w:bookmarkStart w:id="26" w:name="_Toc15137"/>
      <w:bookmarkStart w:id="27" w:name="_Toc17036"/>
      <w:bookmarkStart w:id="28" w:name="_Toc24853"/>
      <w:bookmarkStart w:id="29" w:name="_Toc11631"/>
      <w:r>
        <w:rPr>
          <w:rFonts w:hint="eastAsia" w:ascii="宋体" w:hAnsi="宋体" w:cs="仿宋_GB2312"/>
          <w:color w:val="auto"/>
          <w:kern w:val="0"/>
          <w:sz w:val="24"/>
          <w:szCs w:val="24"/>
        </w:rPr>
        <w:t>（</w:t>
      </w:r>
      <w:r>
        <w:rPr>
          <w:rFonts w:ascii="宋体" w:hAnsi="宋体" w:cs="仿宋_GB2312"/>
          <w:color w:val="auto"/>
          <w:kern w:val="0"/>
          <w:sz w:val="24"/>
          <w:szCs w:val="24"/>
        </w:rPr>
        <w:t>3</w:t>
      </w:r>
      <w:r>
        <w:rPr>
          <w:rFonts w:hint="eastAsia" w:ascii="宋体" w:hAnsi="宋体" w:cs="仿宋_GB2312"/>
          <w:color w:val="auto"/>
          <w:kern w:val="0"/>
          <w:sz w:val="24"/>
          <w:szCs w:val="24"/>
        </w:rPr>
        <w:t>）、有关政策文件</w:t>
      </w:r>
      <w:bookmarkEnd w:id="26"/>
      <w:bookmarkEnd w:id="27"/>
      <w:bookmarkEnd w:id="28"/>
      <w:bookmarkEnd w:id="29"/>
    </w:p>
    <w:p>
      <w:pPr>
        <w:spacing w:line="560" w:lineRule="exact"/>
        <w:ind w:firstLine="480" w:firstLineChars="200"/>
        <w:rPr>
          <w:rFonts w:ascii="宋体" w:cs="仿宋_GB2312"/>
          <w:color w:val="auto"/>
          <w:kern w:val="0"/>
          <w:sz w:val="24"/>
          <w:szCs w:val="24"/>
        </w:rPr>
      </w:pPr>
      <w:r>
        <w:rPr>
          <w:rFonts w:hint="eastAsia" w:ascii="宋体" w:hAnsi="宋体" w:cs="仿宋_GB2312"/>
          <w:color w:val="auto"/>
          <w:kern w:val="0"/>
          <w:sz w:val="24"/>
          <w:szCs w:val="24"/>
        </w:rPr>
        <w:t>《关于全面推行河长制的意见》（厅字【</w:t>
      </w:r>
      <w:r>
        <w:rPr>
          <w:rFonts w:ascii="宋体" w:hAnsi="宋体" w:cs="仿宋_GB2312"/>
          <w:color w:val="auto"/>
          <w:kern w:val="0"/>
          <w:sz w:val="24"/>
          <w:szCs w:val="24"/>
        </w:rPr>
        <w:t>2016</w:t>
      </w:r>
      <w:r>
        <w:rPr>
          <w:rFonts w:hint="eastAsia" w:ascii="宋体" w:hAnsi="宋体" w:cs="仿宋_GB2312"/>
          <w:color w:val="auto"/>
          <w:kern w:val="0"/>
          <w:sz w:val="24"/>
          <w:szCs w:val="24"/>
        </w:rPr>
        <w:t>】</w:t>
      </w:r>
      <w:r>
        <w:rPr>
          <w:rFonts w:ascii="宋体" w:hAnsi="宋体" w:cs="仿宋_GB2312"/>
          <w:color w:val="auto"/>
          <w:kern w:val="0"/>
          <w:sz w:val="24"/>
          <w:szCs w:val="24"/>
        </w:rPr>
        <w:t>42</w:t>
      </w:r>
      <w:r>
        <w:rPr>
          <w:rFonts w:hint="eastAsia" w:ascii="宋体" w:hAnsi="宋体" w:cs="仿宋_GB2312"/>
          <w:color w:val="auto"/>
          <w:kern w:val="0"/>
          <w:sz w:val="24"/>
          <w:szCs w:val="24"/>
        </w:rPr>
        <w:t>号文）、《水利部关于深化水利改革的指导意见》</w:t>
      </w:r>
      <w:r>
        <w:rPr>
          <w:rFonts w:ascii="宋体" w:hAnsi="宋体" w:cs="仿宋_GB2312"/>
          <w:color w:val="auto"/>
          <w:kern w:val="0"/>
          <w:sz w:val="24"/>
          <w:szCs w:val="24"/>
        </w:rPr>
        <w:t>(</w:t>
      </w:r>
      <w:r>
        <w:rPr>
          <w:rFonts w:hint="eastAsia" w:ascii="宋体" w:hAnsi="宋体" w:cs="仿宋_GB2312"/>
          <w:color w:val="auto"/>
          <w:kern w:val="0"/>
          <w:sz w:val="24"/>
          <w:szCs w:val="24"/>
        </w:rPr>
        <w:t>水规计〔</w:t>
      </w:r>
      <w:r>
        <w:rPr>
          <w:rFonts w:ascii="宋体" w:hAnsi="宋体" w:cs="仿宋_GB2312"/>
          <w:color w:val="auto"/>
          <w:kern w:val="0"/>
          <w:sz w:val="24"/>
          <w:szCs w:val="24"/>
        </w:rPr>
        <w:t>2014</w:t>
      </w:r>
      <w:r>
        <w:rPr>
          <w:rFonts w:hint="eastAsia" w:ascii="宋体" w:hAnsi="宋体" w:cs="仿宋_GB2312"/>
          <w:color w:val="auto"/>
          <w:kern w:val="0"/>
          <w:sz w:val="24"/>
          <w:szCs w:val="24"/>
        </w:rPr>
        <w:t>〕</w:t>
      </w:r>
      <w:r>
        <w:rPr>
          <w:rFonts w:ascii="宋体" w:hAnsi="宋体" w:cs="仿宋_GB2312"/>
          <w:color w:val="auto"/>
          <w:kern w:val="0"/>
          <w:sz w:val="24"/>
          <w:szCs w:val="24"/>
        </w:rPr>
        <w:t>48</w:t>
      </w:r>
      <w:r>
        <w:rPr>
          <w:rFonts w:hint="eastAsia" w:ascii="宋体" w:hAnsi="宋体" w:cs="仿宋_GB2312"/>
          <w:color w:val="auto"/>
          <w:kern w:val="0"/>
          <w:sz w:val="24"/>
          <w:szCs w:val="24"/>
        </w:rPr>
        <w:t>号</w:t>
      </w:r>
      <w:r>
        <w:rPr>
          <w:rFonts w:ascii="宋体" w:hAnsi="宋体" w:cs="仿宋_GB2312"/>
          <w:color w:val="auto"/>
          <w:kern w:val="0"/>
          <w:sz w:val="24"/>
          <w:szCs w:val="24"/>
        </w:rPr>
        <w:t>)</w:t>
      </w:r>
      <w:r>
        <w:rPr>
          <w:rFonts w:hint="eastAsia" w:ascii="宋体" w:hAnsi="宋体" w:cs="仿宋_GB2312"/>
          <w:color w:val="auto"/>
          <w:kern w:val="0"/>
          <w:sz w:val="24"/>
          <w:szCs w:val="24"/>
        </w:rPr>
        <w:t>；《水利部关于加强河湖管理工作的指导意见》</w:t>
      </w:r>
      <w:r>
        <w:rPr>
          <w:rFonts w:ascii="宋体" w:hAnsi="宋体" w:cs="仿宋_GB2312"/>
          <w:color w:val="auto"/>
          <w:kern w:val="0"/>
          <w:sz w:val="24"/>
          <w:szCs w:val="24"/>
        </w:rPr>
        <w:t>(</w:t>
      </w:r>
      <w:r>
        <w:rPr>
          <w:rFonts w:hint="eastAsia" w:ascii="宋体" w:hAnsi="宋体" w:cs="仿宋_GB2312"/>
          <w:color w:val="auto"/>
          <w:kern w:val="0"/>
          <w:sz w:val="24"/>
          <w:szCs w:val="24"/>
        </w:rPr>
        <w:t>水建管〔</w:t>
      </w:r>
      <w:r>
        <w:rPr>
          <w:rFonts w:ascii="宋体" w:hAnsi="宋体" w:cs="仿宋_GB2312"/>
          <w:color w:val="auto"/>
          <w:kern w:val="0"/>
          <w:sz w:val="24"/>
          <w:szCs w:val="24"/>
        </w:rPr>
        <w:t>2014</w:t>
      </w:r>
      <w:r>
        <w:rPr>
          <w:rFonts w:hint="eastAsia" w:ascii="宋体" w:hAnsi="宋体" w:cs="仿宋_GB2312"/>
          <w:color w:val="auto"/>
          <w:kern w:val="0"/>
          <w:sz w:val="24"/>
          <w:szCs w:val="24"/>
        </w:rPr>
        <w:t>〕</w:t>
      </w:r>
      <w:r>
        <w:rPr>
          <w:rFonts w:ascii="宋体" w:hAnsi="宋体" w:cs="仿宋_GB2312"/>
          <w:color w:val="auto"/>
          <w:kern w:val="0"/>
          <w:sz w:val="24"/>
          <w:szCs w:val="24"/>
        </w:rPr>
        <w:t>76</w:t>
      </w:r>
      <w:r>
        <w:rPr>
          <w:rFonts w:hint="eastAsia" w:ascii="宋体" w:hAnsi="宋体" w:cs="仿宋_GB2312"/>
          <w:color w:val="auto"/>
          <w:kern w:val="0"/>
          <w:sz w:val="24"/>
          <w:szCs w:val="24"/>
        </w:rPr>
        <w:t>号</w:t>
      </w:r>
      <w:r>
        <w:rPr>
          <w:rFonts w:ascii="宋体" w:hAnsi="宋体" w:cs="仿宋_GB2312"/>
          <w:color w:val="auto"/>
          <w:kern w:val="0"/>
          <w:sz w:val="24"/>
          <w:szCs w:val="24"/>
        </w:rPr>
        <w:t>)</w:t>
      </w:r>
      <w:r>
        <w:rPr>
          <w:rFonts w:hint="eastAsia" w:ascii="宋体" w:hAnsi="宋体" w:cs="仿宋_GB2312"/>
          <w:color w:val="auto"/>
          <w:kern w:val="0"/>
          <w:sz w:val="24"/>
          <w:szCs w:val="24"/>
        </w:rPr>
        <w:t>；《水利部关于开展河湖管理范围和水利工程管理与保护范围划定工作的通知》</w:t>
      </w:r>
      <w:r>
        <w:rPr>
          <w:rFonts w:ascii="宋体" w:hAnsi="宋体" w:cs="仿宋_GB2312"/>
          <w:color w:val="auto"/>
          <w:kern w:val="0"/>
          <w:sz w:val="24"/>
          <w:szCs w:val="24"/>
        </w:rPr>
        <w:t>(</w:t>
      </w:r>
      <w:r>
        <w:rPr>
          <w:rFonts w:hint="eastAsia" w:ascii="宋体" w:hAnsi="宋体" w:cs="仿宋_GB2312"/>
          <w:color w:val="auto"/>
          <w:kern w:val="0"/>
          <w:sz w:val="24"/>
          <w:szCs w:val="24"/>
        </w:rPr>
        <w:t>水建管〔</w:t>
      </w:r>
      <w:r>
        <w:rPr>
          <w:rFonts w:ascii="宋体" w:hAnsi="宋体" w:cs="仿宋_GB2312"/>
          <w:color w:val="auto"/>
          <w:kern w:val="0"/>
          <w:sz w:val="24"/>
          <w:szCs w:val="24"/>
        </w:rPr>
        <w:t>2014</w:t>
      </w:r>
      <w:r>
        <w:rPr>
          <w:rFonts w:hint="eastAsia" w:ascii="宋体" w:hAnsi="宋体" w:cs="仿宋_GB2312"/>
          <w:color w:val="auto"/>
          <w:kern w:val="0"/>
          <w:sz w:val="24"/>
          <w:szCs w:val="24"/>
        </w:rPr>
        <w:t>〕</w:t>
      </w:r>
      <w:r>
        <w:rPr>
          <w:rFonts w:ascii="宋体" w:hAnsi="宋体" w:cs="仿宋_GB2312"/>
          <w:color w:val="auto"/>
          <w:kern w:val="0"/>
          <w:sz w:val="24"/>
          <w:szCs w:val="24"/>
        </w:rPr>
        <w:t xml:space="preserve"> 285</w:t>
      </w:r>
      <w:r>
        <w:rPr>
          <w:rFonts w:hint="eastAsia" w:ascii="宋体" w:hAnsi="宋体" w:cs="仿宋_GB2312"/>
          <w:color w:val="auto"/>
          <w:kern w:val="0"/>
          <w:sz w:val="24"/>
          <w:szCs w:val="24"/>
        </w:rPr>
        <w:t>号</w:t>
      </w:r>
      <w:r>
        <w:rPr>
          <w:rFonts w:ascii="宋体" w:hAnsi="宋体" w:cs="仿宋_GB2312"/>
          <w:color w:val="auto"/>
          <w:kern w:val="0"/>
          <w:sz w:val="24"/>
          <w:szCs w:val="24"/>
        </w:rPr>
        <w:t>)</w:t>
      </w:r>
      <w:r>
        <w:rPr>
          <w:rFonts w:hint="eastAsia" w:ascii="宋体" w:hAnsi="宋体" w:cs="仿宋_GB2312"/>
          <w:color w:val="auto"/>
          <w:kern w:val="0"/>
          <w:sz w:val="24"/>
          <w:szCs w:val="24"/>
        </w:rPr>
        <w:t>；《关于全面推行河长制的意见》实施方案（水建管函【</w:t>
      </w:r>
      <w:r>
        <w:rPr>
          <w:rFonts w:ascii="宋体" w:hAnsi="宋体" w:cs="仿宋_GB2312"/>
          <w:color w:val="auto"/>
          <w:kern w:val="0"/>
          <w:sz w:val="24"/>
          <w:szCs w:val="24"/>
        </w:rPr>
        <w:t>2016</w:t>
      </w:r>
      <w:r>
        <w:rPr>
          <w:rFonts w:hint="eastAsia" w:ascii="宋体" w:hAnsi="宋体" w:cs="仿宋_GB2312"/>
          <w:color w:val="auto"/>
          <w:kern w:val="0"/>
          <w:sz w:val="24"/>
          <w:szCs w:val="24"/>
        </w:rPr>
        <w:t>】</w:t>
      </w:r>
      <w:r>
        <w:rPr>
          <w:rFonts w:ascii="宋体" w:hAnsi="宋体" w:cs="仿宋_GB2312"/>
          <w:color w:val="auto"/>
          <w:kern w:val="0"/>
          <w:sz w:val="24"/>
          <w:szCs w:val="24"/>
        </w:rPr>
        <w:t>449</w:t>
      </w:r>
      <w:r>
        <w:rPr>
          <w:rFonts w:hint="eastAsia" w:ascii="宋体" w:hAnsi="宋体" w:cs="仿宋_GB2312"/>
          <w:color w:val="auto"/>
          <w:kern w:val="0"/>
          <w:sz w:val="24"/>
          <w:szCs w:val="24"/>
        </w:rPr>
        <w:t>号文）、《关于全面推行河长制工作制度的通知》（办建管函【</w:t>
      </w:r>
      <w:r>
        <w:rPr>
          <w:rFonts w:ascii="宋体" w:hAnsi="宋体" w:cs="仿宋_GB2312"/>
          <w:color w:val="auto"/>
          <w:kern w:val="0"/>
          <w:sz w:val="24"/>
          <w:szCs w:val="24"/>
        </w:rPr>
        <w:t>2017</w:t>
      </w:r>
      <w:r>
        <w:rPr>
          <w:rFonts w:hint="eastAsia" w:ascii="宋体" w:hAnsi="宋体" w:cs="仿宋_GB2312"/>
          <w:color w:val="auto"/>
          <w:kern w:val="0"/>
          <w:sz w:val="24"/>
          <w:szCs w:val="24"/>
        </w:rPr>
        <w:t>】</w:t>
      </w:r>
      <w:r>
        <w:rPr>
          <w:rFonts w:ascii="宋体" w:hAnsi="宋体" w:cs="仿宋_GB2312"/>
          <w:color w:val="auto"/>
          <w:kern w:val="0"/>
          <w:sz w:val="24"/>
          <w:szCs w:val="24"/>
        </w:rPr>
        <w:t>544</w:t>
      </w:r>
      <w:r>
        <w:rPr>
          <w:rFonts w:hint="eastAsia" w:ascii="宋体" w:hAnsi="宋体" w:cs="仿宋_GB2312"/>
          <w:color w:val="auto"/>
          <w:kern w:val="0"/>
          <w:sz w:val="24"/>
          <w:szCs w:val="24"/>
        </w:rPr>
        <w:t>号文）、《河南省全面推行河长制工作方案》（厅文【</w:t>
      </w:r>
      <w:r>
        <w:rPr>
          <w:rFonts w:ascii="宋体" w:hAnsi="宋体" w:cs="仿宋_GB2312"/>
          <w:color w:val="auto"/>
          <w:kern w:val="0"/>
          <w:sz w:val="24"/>
          <w:szCs w:val="24"/>
        </w:rPr>
        <w:t>2017</w:t>
      </w:r>
      <w:r>
        <w:rPr>
          <w:rFonts w:hint="eastAsia" w:ascii="宋体" w:hAnsi="宋体" w:cs="仿宋_GB2312"/>
          <w:color w:val="auto"/>
          <w:kern w:val="0"/>
          <w:sz w:val="24"/>
          <w:szCs w:val="24"/>
        </w:rPr>
        <w:t>】</w:t>
      </w:r>
      <w:r>
        <w:rPr>
          <w:rFonts w:ascii="宋体" w:hAnsi="宋体" w:cs="仿宋_GB2312"/>
          <w:color w:val="auto"/>
          <w:kern w:val="0"/>
          <w:sz w:val="24"/>
          <w:szCs w:val="24"/>
        </w:rPr>
        <w:t>21</w:t>
      </w:r>
      <w:r>
        <w:rPr>
          <w:rFonts w:hint="eastAsia" w:ascii="宋体" w:hAnsi="宋体" w:cs="仿宋_GB2312"/>
          <w:color w:val="auto"/>
          <w:kern w:val="0"/>
          <w:sz w:val="24"/>
          <w:szCs w:val="24"/>
        </w:rPr>
        <w:t>号文）、《河南省“一河（湖）一策”方案编制技术大纲》（豫河办【</w:t>
      </w:r>
      <w:r>
        <w:rPr>
          <w:rFonts w:ascii="宋体" w:hAnsi="宋体" w:cs="仿宋_GB2312"/>
          <w:color w:val="auto"/>
          <w:kern w:val="0"/>
          <w:sz w:val="24"/>
          <w:szCs w:val="24"/>
        </w:rPr>
        <w:t>2017</w:t>
      </w:r>
      <w:r>
        <w:rPr>
          <w:rFonts w:hint="eastAsia" w:ascii="宋体" w:hAnsi="宋体" w:cs="仿宋_GB2312"/>
          <w:color w:val="auto"/>
          <w:kern w:val="0"/>
          <w:sz w:val="24"/>
          <w:szCs w:val="24"/>
        </w:rPr>
        <w:t>】</w:t>
      </w:r>
      <w:r>
        <w:rPr>
          <w:rFonts w:ascii="宋体" w:hAnsi="宋体" w:cs="仿宋_GB2312"/>
          <w:color w:val="auto"/>
          <w:kern w:val="0"/>
          <w:sz w:val="24"/>
          <w:szCs w:val="24"/>
        </w:rPr>
        <w:t>18</w:t>
      </w:r>
      <w:r>
        <w:rPr>
          <w:rFonts w:hint="eastAsia" w:ascii="宋体" w:hAnsi="宋体" w:cs="仿宋_GB2312"/>
          <w:color w:val="auto"/>
          <w:kern w:val="0"/>
          <w:sz w:val="24"/>
          <w:szCs w:val="24"/>
        </w:rPr>
        <w:t>号文）；《河南省河长制公示牌设立方案》（豫河办【</w:t>
      </w:r>
      <w:r>
        <w:rPr>
          <w:rFonts w:ascii="宋体" w:hAnsi="宋体" w:cs="仿宋_GB2312"/>
          <w:color w:val="auto"/>
          <w:kern w:val="0"/>
          <w:sz w:val="24"/>
          <w:szCs w:val="24"/>
        </w:rPr>
        <w:t>2017</w:t>
      </w:r>
      <w:r>
        <w:rPr>
          <w:rFonts w:hint="eastAsia" w:ascii="宋体" w:hAnsi="宋体" w:cs="仿宋_GB2312"/>
          <w:color w:val="auto"/>
          <w:kern w:val="0"/>
          <w:sz w:val="24"/>
          <w:szCs w:val="24"/>
        </w:rPr>
        <w:t>】</w:t>
      </w:r>
      <w:r>
        <w:rPr>
          <w:rFonts w:ascii="宋体" w:hAnsi="宋体" w:cs="仿宋_GB2312"/>
          <w:color w:val="auto"/>
          <w:kern w:val="0"/>
          <w:sz w:val="24"/>
          <w:szCs w:val="24"/>
        </w:rPr>
        <w:t>5</w:t>
      </w:r>
      <w:r>
        <w:rPr>
          <w:rFonts w:hint="eastAsia" w:ascii="宋体" w:hAnsi="宋体" w:cs="仿宋_GB2312"/>
          <w:color w:val="auto"/>
          <w:kern w:val="0"/>
          <w:sz w:val="24"/>
          <w:szCs w:val="24"/>
        </w:rPr>
        <w:t>号文）；《许昌市实施河长制工作方案》（室文【</w:t>
      </w:r>
      <w:r>
        <w:rPr>
          <w:rFonts w:ascii="宋体" w:hAnsi="宋体" w:cs="仿宋_GB2312"/>
          <w:color w:val="auto"/>
          <w:kern w:val="0"/>
          <w:sz w:val="24"/>
          <w:szCs w:val="24"/>
        </w:rPr>
        <w:t>2017</w:t>
      </w:r>
      <w:r>
        <w:rPr>
          <w:rFonts w:hint="eastAsia" w:ascii="宋体" w:hAnsi="宋体" w:cs="仿宋_GB2312"/>
          <w:color w:val="auto"/>
          <w:kern w:val="0"/>
          <w:sz w:val="24"/>
          <w:szCs w:val="24"/>
        </w:rPr>
        <w:t>】</w:t>
      </w:r>
      <w:r>
        <w:rPr>
          <w:rFonts w:ascii="宋体" w:hAnsi="宋体" w:cs="仿宋_GB2312"/>
          <w:color w:val="auto"/>
          <w:kern w:val="0"/>
          <w:sz w:val="24"/>
          <w:szCs w:val="24"/>
        </w:rPr>
        <w:t>56</w:t>
      </w:r>
      <w:r>
        <w:rPr>
          <w:rFonts w:hint="eastAsia" w:ascii="宋体" w:hAnsi="宋体" w:cs="仿宋_GB2312"/>
          <w:color w:val="auto"/>
          <w:kern w:val="0"/>
          <w:sz w:val="24"/>
          <w:szCs w:val="24"/>
        </w:rPr>
        <w:t>号）；《许昌经济开发区实施河长制工作方案》（许开管文[2017]73号）。</w:t>
      </w:r>
    </w:p>
    <w:p>
      <w:pPr>
        <w:spacing w:line="360" w:lineRule="auto"/>
        <w:ind w:firstLine="480" w:firstLineChars="200"/>
        <w:outlineLvl w:val="0"/>
        <w:rPr>
          <w:rFonts w:hint="eastAsia" w:ascii="宋体" w:hAnsi="宋体" w:eastAsia="宋体" w:cs="宋体"/>
          <w:color w:val="auto"/>
          <w:sz w:val="24"/>
          <w:szCs w:val="24"/>
          <w:lang w:val="zh-CN"/>
        </w:rPr>
      </w:pPr>
    </w:p>
    <w:p>
      <w:pPr>
        <w:spacing w:line="360" w:lineRule="auto"/>
        <w:ind w:firstLine="480" w:firstLineChars="200"/>
        <w:outlineLvl w:val="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四</w:t>
      </w:r>
      <w:r>
        <w:rPr>
          <w:rFonts w:hint="eastAsia" w:ascii="宋体" w:hAnsi="宋体" w:eastAsia="宋体" w:cs="宋体"/>
          <w:b/>
          <w:color w:val="auto"/>
          <w:sz w:val="24"/>
          <w:szCs w:val="24"/>
          <w:lang w:val="zh-CN"/>
        </w:rPr>
        <w:t>、验收标准</w:t>
      </w:r>
    </w:p>
    <w:p>
      <w:pPr>
        <w:spacing w:line="560" w:lineRule="exact"/>
        <w:ind w:firstLine="600" w:firstLineChars="250"/>
        <w:rPr>
          <w:rFonts w:ascii="仿宋" w:hAnsi="仿宋" w:eastAsia="仿宋" w:cs="仿宋"/>
          <w:color w:val="auto"/>
          <w:sz w:val="32"/>
          <w:szCs w:val="32"/>
        </w:rPr>
      </w:pPr>
      <w:r>
        <w:rPr>
          <w:rFonts w:ascii="宋体" w:hAnsi="宋体" w:cs="仿宋_GB2312"/>
          <w:color w:val="auto"/>
          <w:kern w:val="0"/>
          <w:sz w:val="24"/>
          <w:szCs w:val="24"/>
        </w:rPr>
        <w:t>1</w:t>
      </w:r>
      <w:r>
        <w:rPr>
          <w:rFonts w:hint="eastAsia" w:ascii="宋体" w:hAnsi="宋体" w:cs="仿宋_GB2312"/>
          <w:color w:val="auto"/>
          <w:kern w:val="0"/>
          <w:sz w:val="24"/>
          <w:szCs w:val="24"/>
        </w:rPr>
        <w:t>、由采购人成立验收小组</w:t>
      </w:r>
      <w:r>
        <w:rPr>
          <w:rFonts w:ascii="宋体" w:cs="仿宋_GB2312"/>
          <w:color w:val="auto"/>
          <w:kern w:val="0"/>
          <w:sz w:val="24"/>
          <w:szCs w:val="24"/>
        </w:rPr>
        <w:t>,</w:t>
      </w:r>
      <w:r>
        <w:rPr>
          <w:rFonts w:hint="eastAsia" w:ascii="宋体" w:hAnsi="宋体" w:cs="仿宋_GB2312"/>
          <w:color w:val="auto"/>
          <w:kern w:val="0"/>
          <w:sz w:val="24"/>
          <w:szCs w:val="24"/>
        </w:rPr>
        <w:t>按照采购合同的约定对中标人履约情况进行验收。验收时</w:t>
      </w:r>
      <w:r>
        <w:rPr>
          <w:rFonts w:ascii="宋体" w:cs="仿宋_GB2312"/>
          <w:color w:val="auto"/>
          <w:kern w:val="0"/>
          <w:sz w:val="24"/>
          <w:szCs w:val="24"/>
        </w:rPr>
        <w:t>,</w:t>
      </w:r>
      <w:r>
        <w:rPr>
          <w:rFonts w:hint="eastAsia" w:ascii="宋体" w:hAnsi="宋体" w:cs="仿宋_GB2312"/>
          <w:color w:val="auto"/>
          <w:kern w:val="0"/>
          <w:sz w:val="24"/>
          <w:szCs w:val="24"/>
        </w:rPr>
        <w:t>按照采购合同的约定对每一项技术、服务、安全标准的履约情况进行确认。验收结束后</w:t>
      </w:r>
      <w:r>
        <w:rPr>
          <w:rFonts w:ascii="宋体" w:cs="仿宋_GB2312"/>
          <w:color w:val="auto"/>
          <w:kern w:val="0"/>
          <w:sz w:val="24"/>
          <w:szCs w:val="24"/>
        </w:rPr>
        <w:t>,</w:t>
      </w:r>
      <w:r>
        <w:rPr>
          <w:rFonts w:hint="eastAsia" w:ascii="宋体" w:hAnsi="宋体" w:cs="仿宋_GB2312"/>
          <w:color w:val="auto"/>
          <w:kern w:val="0"/>
          <w:sz w:val="24"/>
          <w:szCs w:val="24"/>
        </w:rPr>
        <w:t>出具验收书</w:t>
      </w:r>
      <w:r>
        <w:rPr>
          <w:rFonts w:ascii="宋体" w:cs="仿宋_GB2312"/>
          <w:color w:val="auto"/>
          <w:kern w:val="0"/>
          <w:sz w:val="24"/>
          <w:szCs w:val="24"/>
        </w:rPr>
        <w:t>,</w:t>
      </w:r>
      <w:r>
        <w:rPr>
          <w:rFonts w:hint="eastAsia" w:ascii="宋体" w:hAnsi="宋体" w:cs="仿宋_GB2312"/>
          <w:color w:val="auto"/>
          <w:kern w:val="0"/>
          <w:sz w:val="24"/>
          <w:szCs w:val="24"/>
        </w:rPr>
        <w:t>列明各项标准的验收情况及项目总体评价</w:t>
      </w:r>
      <w:r>
        <w:rPr>
          <w:rFonts w:ascii="宋体" w:cs="仿宋_GB2312"/>
          <w:color w:val="auto"/>
          <w:kern w:val="0"/>
          <w:sz w:val="24"/>
          <w:szCs w:val="24"/>
        </w:rPr>
        <w:t>,</w:t>
      </w:r>
      <w:r>
        <w:rPr>
          <w:rFonts w:hint="eastAsia" w:ascii="宋体" w:hAnsi="宋体" w:cs="仿宋_GB2312"/>
          <w:color w:val="auto"/>
          <w:kern w:val="0"/>
          <w:sz w:val="24"/>
          <w:szCs w:val="24"/>
        </w:rPr>
        <w:t>由验收双方共同签署。</w:t>
      </w:r>
    </w:p>
    <w:p>
      <w:pPr>
        <w:spacing w:line="560" w:lineRule="exact"/>
        <w:ind w:firstLine="600" w:firstLineChars="250"/>
        <w:rPr>
          <w:rFonts w:ascii="宋体" w:cs="仿宋_GB2312"/>
          <w:color w:val="auto"/>
          <w:kern w:val="0"/>
          <w:sz w:val="24"/>
          <w:szCs w:val="24"/>
        </w:rPr>
      </w:pPr>
      <w:r>
        <w:rPr>
          <w:rFonts w:ascii="宋体" w:hAnsi="宋体" w:cs="仿宋_GB2312"/>
          <w:color w:val="auto"/>
          <w:kern w:val="0"/>
          <w:sz w:val="24"/>
          <w:szCs w:val="24"/>
        </w:rPr>
        <w:t>2</w:t>
      </w:r>
      <w:r>
        <w:rPr>
          <w:rFonts w:hint="eastAsia" w:ascii="宋体" w:hAnsi="宋体" w:cs="仿宋_GB2312"/>
          <w:color w:val="auto"/>
          <w:kern w:val="0"/>
          <w:sz w:val="24"/>
          <w:szCs w:val="24"/>
        </w:rPr>
        <w:t>、按照招标文件要求、投标文件响应和承诺验收。</w:t>
      </w:r>
    </w:p>
    <w:p>
      <w:pPr>
        <w:spacing w:line="360" w:lineRule="auto"/>
        <w:ind w:firstLine="480" w:firstLineChars="2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eastAsia="zh-CN"/>
        </w:rPr>
        <w:t>五</w:t>
      </w:r>
      <w:r>
        <w:rPr>
          <w:rFonts w:hint="eastAsia" w:ascii="宋体" w:hAnsi="宋体" w:eastAsia="宋体" w:cs="宋体"/>
          <w:b/>
          <w:color w:val="auto"/>
          <w:sz w:val="24"/>
          <w:szCs w:val="24"/>
          <w:lang w:val="zh-CN"/>
        </w:rPr>
        <w:t>、本项目预算金额</w:t>
      </w:r>
      <w:r>
        <w:rPr>
          <w:rFonts w:hint="eastAsia" w:ascii="宋体" w:hAnsi="宋体" w:cs="宋体"/>
          <w:b/>
          <w:color w:val="auto"/>
          <w:sz w:val="24"/>
          <w:szCs w:val="24"/>
          <w:lang w:val="zh-CN" w:eastAsia="zh-CN"/>
        </w:rPr>
        <w:t>578761</w:t>
      </w:r>
      <w:r>
        <w:rPr>
          <w:rFonts w:hint="eastAsia" w:ascii="宋体" w:hAnsi="宋体" w:eastAsia="宋体" w:cs="宋体"/>
          <w:b/>
          <w:color w:val="auto"/>
          <w:sz w:val="24"/>
          <w:szCs w:val="24"/>
          <w:lang w:val="zh-CN"/>
        </w:rPr>
        <w:t>元。超出预算金额的谈判响应无效。</w:t>
      </w:r>
    </w:p>
    <w:p>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六</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支付方式</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eastAsia"/>
          <w:color w:val="auto"/>
          <w:lang w:val="zh-CN"/>
        </w:rPr>
      </w:pPr>
      <w:r>
        <w:rPr>
          <w:rFonts w:hint="eastAsia" w:ascii="宋体" w:hAnsi="宋体" w:eastAsia="宋体" w:cs="宋体"/>
          <w:color w:val="auto"/>
          <w:sz w:val="24"/>
          <w:szCs w:val="24"/>
          <w:lang w:val="zh-CN"/>
        </w:rPr>
        <w:t>2、支付时间及条件：支付时间及条件：一河一策成果报告交付后支付合同额的50%，河流界限测量及界桩埋设工作完成验收合格后支付剩余的50%。</w:t>
      </w:r>
    </w:p>
    <w:p>
      <w:pPr>
        <w:widowControl/>
        <w:numPr>
          <w:ilvl w:val="0"/>
          <w:numId w:val="5"/>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许昌经济技术开发区法制与社会服务局“许昌经济技术开发区河长制相关工作实施方案项目”</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项目编号：JZFCG-T2019</w:t>
            </w:r>
            <w:r>
              <w:rPr>
                <w:rFonts w:hint="eastAsia" w:ascii="宋体" w:hAnsi="宋体" w:cs="宋体"/>
                <w:color w:val="auto"/>
                <w:szCs w:val="21"/>
                <w:lang w:val="en-US" w:eastAsia="zh-CN"/>
              </w:rPr>
              <w:t>013</w:t>
            </w:r>
            <w:r>
              <w:rPr>
                <w:rFonts w:hint="eastAsia" w:ascii="宋体" w:hAnsi="宋体" w:eastAsia="宋体" w:cs="宋体"/>
                <w:color w:val="auto"/>
                <w:szCs w:val="21"/>
              </w:rPr>
              <w:t>号</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项目内容：按照要求开展许昌经济技术开发区河（湖）现状调查、管理范围线测量划定及标识设置、建立“一河（湖）一档”、编制“一河（湖）一策”方案等。</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采购人：许昌经济技术开发区法制与社会服务局</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 址：许昌经济技术开发区管理委员会（瑞祥路中段）</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cs="宋体"/>
                <w:color w:val="auto"/>
                <w:szCs w:val="21"/>
                <w:lang w:val="en-US" w:eastAsia="zh-CN"/>
              </w:rPr>
              <w:t>李</w:t>
            </w:r>
            <w:r>
              <w:rPr>
                <w:rFonts w:hint="eastAsia" w:ascii="宋体" w:hAnsi="宋体" w:eastAsia="宋体" w:cs="宋体"/>
                <w:color w:val="auto"/>
                <w:szCs w:val="21"/>
              </w:rPr>
              <w:t>先生    联系电话：13837489089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代理机构：</w:t>
            </w:r>
            <w:r>
              <w:rPr>
                <w:rFonts w:hint="eastAsia" w:ascii="宋体" w:hAnsi="宋体" w:cs="宋体"/>
                <w:color w:val="auto"/>
                <w:szCs w:val="21"/>
                <w:lang w:eastAsia="zh-CN"/>
              </w:rPr>
              <w:t>河南鼎嘉招标代理有限公司</w:t>
            </w:r>
          </w:p>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地 址：</w:t>
            </w:r>
            <w:r>
              <w:rPr>
                <w:rFonts w:hint="eastAsia" w:ascii="宋体" w:hAnsi="宋体" w:cs="宋体"/>
                <w:color w:val="auto"/>
                <w:szCs w:val="21"/>
                <w:lang w:eastAsia="zh-CN"/>
              </w:rPr>
              <w:t>许昌市新许路77号</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eastAsia="zh-CN"/>
              </w:rPr>
              <w:t>田女士</w:t>
            </w:r>
            <w:r>
              <w:rPr>
                <w:rFonts w:hint="eastAsia" w:ascii="宋体" w:hAnsi="宋体" w:eastAsia="宋体" w:cs="宋体"/>
                <w:color w:val="auto"/>
                <w:szCs w:val="21"/>
              </w:rPr>
              <w:t xml:space="preserve">     联系电话：</w:t>
            </w:r>
            <w:r>
              <w:rPr>
                <w:rFonts w:hint="eastAsia" w:ascii="宋体" w:hAnsi="宋体" w:cs="宋体"/>
                <w:color w:val="auto"/>
                <w:szCs w:val="21"/>
                <w:lang w:eastAsia="zh-CN"/>
              </w:rPr>
              <w:t>13633749696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numPr>
                <w:ilvl w:val="0"/>
                <w:numId w:val="6"/>
              </w:numPr>
              <w:autoSpaceDE w:val="0"/>
              <w:autoSpaceDN w:val="0"/>
              <w:spacing w:line="360" w:lineRule="auto"/>
              <w:contextualSpacing/>
              <w:jc w:val="left"/>
              <w:rPr>
                <w:rFonts w:hint="eastAsia" w:ascii="宋体" w:hAnsi="宋体" w:cs="宋体"/>
                <w:b/>
                <w:color w:val="auto"/>
                <w:szCs w:val="21"/>
                <w:shd w:val="clear" w:color="auto" w:fill="FFFFFF"/>
                <w:lang w:eastAsia="zh-CN"/>
              </w:rPr>
            </w:pPr>
            <w:r>
              <w:rPr>
                <w:rFonts w:hint="eastAsia" w:ascii="宋体" w:hAnsi="宋体" w:cs="宋体"/>
                <w:b/>
                <w:color w:val="auto"/>
                <w:szCs w:val="21"/>
                <w:shd w:val="clear" w:color="auto" w:fill="FFFFFF"/>
                <w:lang w:eastAsia="zh-CN"/>
              </w:rPr>
              <w:t>投标人须同时具备有效的水利行业（河道整治）专业乙级及以上设计资质和测绘行政主管部门颁发的测绘乙级及以上资质</w:t>
            </w:r>
          </w:p>
          <w:p>
            <w:p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cs="宋体"/>
                <w:b/>
                <w:bCs/>
                <w:color w:val="auto"/>
                <w:szCs w:val="21"/>
                <w:lang w:val="en-US" w:eastAsia="zh-CN"/>
              </w:rPr>
              <w:t>八</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cs="宋体"/>
                <w:bCs/>
                <w:color w:val="auto"/>
                <w:szCs w:val="21"/>
                <w:lang w:val="zh-CN"/>
              </w:rPr>
              <w:t>578761</w:t>
            </w:r>
            <w:r>
              <w:rPr>
                <w:rFonts w:hint="eastAsia" w:ascii="宋体" w:hAnsi="宋体" w:eastAsia="宋体" w:cs="宋体"/>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2019年9月2日9时30分（北京时间）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五</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二</w:t>
            </w:r>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cs="宋体" w:asciiTheme="minorEastAsia" w:hAnsiTheme="minorEastAsia"/>
                <w:color w:val="auto"/>
                <w:szCs w:val="21"/>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 w:val="24"/>
                <w:szCs w:val="24"/>
                <w:lang w:val="en-US" w:eastAsia="zh-CN"/>
              </w:rPr>
              <w:t>3616937339</w:t>
            </w:r>
            <w:r>
              <w:rPr>
                <w:rFonts w:hint="eastAsia" w:ascii="宋体" w:hAnsi="宋体" w:eastAsia="宋体" w:cs="宋体"/>
                <w:bCs/>
                <w:color w:val="auto"/>
                <w:sz w:val="24"/>
                <w:szCs w:val="24"/>
                <w:lang w:val="en-US" w:eastAsia="zh-CN"/>
              </w:rPr>
              <w:t>@qq.com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pStyle w:val="31"/>
        <w:ind w:firstLine="0" w:firstLineChars="0"/>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autoSpaceDE w:val="0"/>
        <w:autoSpaceDN w:val="0"/>
        <w:spacing w:line="360" w:lineRule="auto"/>
        <w:contextualSpacing/>
        <w:rPr>
          <w:rFonts w:hint="eastAsia" w:ascii="宋体" w:hAnsi="宋体" w:eastAsia="宋体" w:cs="宋体"/>
          <w:color w:val="auto"/>
          <w:kern w:val="0"/>
          <w:szCs w:val="21"/>
        </w:rPr>
      </w:pP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最低报价不能做为成交的保证。</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本项目不收取谈判保证金。</w:t>
      </w:r>
    </w:p>
    <w:p>
      <w:pPr>
        <w:pStyle w:val="121"/>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供应商应提供投标承诺函。</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我方</w:t>
      </w:r>
      <w:r>
        <w:rPr>
          <w:rFonts w:hint="eastAsia" w:cs="Courier New" w:asciiTheme="minorEastAsia" w:hAnsiTheme="minorEastAsia" w:eastAsiaTheme="minorEastAsia"/>
          <w:color w:val="auto"/>
          <w:sz w:val="21"/>
          <w:szCs w:val="21"/>
        </w:rPr>
        <w:t>明白并同意，在规定的</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响应时间截止之后，响应有效期之内撤销</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响应的，则我方将承担违背投标承诺函的责任追究</w:t>
      </w:r>
      <w:r>
        <w:rPr>
          <w:rFonts w:hint="eastAsia" w:cs="Courier New" w:asciiTheme="minorEastAsia" w:hAnsiTheme="minorEastAsia"/>
          <w:color w:val="auto"/>
          <w:sz w:val="21"/>
          <w:szCs w:val="21"/>
          <w:lang w:eastAsia="zh-CN"/>
        </w:rPr>
        <w:t>。</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2"/>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4"/>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7"/>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7"/>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2"/>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6"/>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w:t>
      </w:r>
      <w:r>
        <w:rPr>
          <w:rFonts w:hint="eastAsia" w:cs="宋体" w:asciiTheme="minorEastAsia" w:hAnsiTheme="minorEastAsia"/>
          <w:color w:val="auto"/>
          <w:kern w:val="0"/>
          <w:szCs w:val="21"/>
        </w:rPr>
        <w:t>投标承诺函</w:t>
      </w:r>
      <w:r>
        <w:rPr>
          <w:rFonts w:hint="eastAsia" w:ascii="宋体" w:hAnsi="宋体" w:eastAsia="宋体" w:cs="宋体"/>
          <w:color w:val="auto"/>
          <w:kern w:val="0"/>
          <w:szCs w:val="21"/>
        </w:rPr>
        <w:t>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w:t>
      </w: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2"/>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b/>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2"/>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8"/>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2"/>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2"/>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20"/>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bookmarkStart w:id="30" w:name="_GoBack"/>
      <w:bookmarkEnd w:id="30"/>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br w:type="page"/>
      </w:r>
    </w:p>
    <w:p>
      <w:pPr>
        <w:ind w:firstLine="420" w:firstLineChars="200"/>
        <w:jc w:val="center"/>
        <w:rPr>
          <w:rFonts w:hint="eastAsia" w:ascii="宋体" w:hAnsi="宋体" w:eastAsia="宋体" w:cs="宋体"/>
          <w:b/>
          <w:color w:val="auto"/>
          <w:kern w:val="0"/>
          <w:sz w:val="32"/>
          <w:szCs w:val="32"/>
        </w:rPr>
      </w:pPr>
      <w:r>
        <w:rPr>
          <w:rFonts w:hint="eastAsia" w:ascii="宋体" w:hAnsi="宋体" w:eastAsia="宋体" w:cs="宋体"/>
          <w:color w:val="auto"/>
          <w:sz w:val="21"/>
          <w:szCs w:val="21"/>
          <w:lang w:val="zh-CN"/>
        </w:rPr>
        <w:br w:type="textWrapping"/>
      </w: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供应商须具备的特殊</w:t>
            </w:r>
          </w:p>
          <w:p>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hint="eastAsia" w:ascii="宋体" w:hAnsi="宋体" w:eastAsia="宋体" w:cs="宋体"/>
                <w:b/>
                <w:bCs/>
                <w:color w:val="auto"/>
                <w:szCs w:val="21"/>
              </w:rPr>
            </w:pPr>
            <w:r>
              <w:rPr>
                <w:rFonts w:hint="eastAsia" w:ascii="宋体" w:hAnsi="宋体" w:cs="宋体"/>
                <w:color w:val="auto"/>
                <w:szCs w:val="21"/>
                <w:lang w:val="zh-CN"/>
              </w:rPr>
              <w:t>投标人须同时具备有效的水利行业（河道整治）专业乙级及以上设计资质和测绘行政主管部门颁发的测绘乙级及以上资质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hint="eastAsia" w:ascii="宋体" w:hAnsi="宋体" w:eastAsia="宋体" w:cs="宋体"/>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hint="eastAsia" w:ascii="宋体" w:hAnsi="宋体" w:eastAsia="宋体" w:cs="宋体"/>
                <w:b/>
                <w:color w:val="auto"/>
                <w:szCs w:val="21"/>
              </w:rPr>
            </w:pPr>
            <w:r>
              <w:rPr>
                <w:rFonts w:hint="eastAsia" w:asciiTheme="minorEastAsia" w:hAnsiTheme="minorEastAsia"/>
                <w:color w:val="auto"/>
                <w:szCs w:val="21"/>
                <w:lang w:eastAsia="zh-CN"/>
              </w:rPr>
              <w:t>供应商</w:t>
            </w:r>
            <w:r>
              <w:rPr>
                <w:rFonts w:hint="eastAsia" w:asciiTheme="minorEastAsia" w:hAnsiTheme="minorEastAsia"/>
                <w:color w:val="auto"/>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21"/>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29"/>
        <w:spacing w:before="75" w:after="75" w:line="360" w:lineRule="auto"/>
        <w:rPr>
          <w:rFonts w:hint="eastAsia" w:ascii="宋体" w:hAnsi="宋体" w:eastAsia="宋体" w:cs="宋体"/>
          <w:color w:val="auto"/>
          <w:highlight w:val="none"/>
          <w:u w:val="single"/>
        </w:rPr>
      </w:pP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2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29"/>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2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2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29"/>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29"/>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2"/>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注：1、交付（服务、完工）指完成该项目的最终时间（日历天）。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2、如谈判公告明确项目交付（服务、完工）以年为单位，本表应填写完成该项目的年限。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9"/>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w:t>
      </w:r>
      <w:r>
        <w:rPr>
          <w:rFonts w:hint="eastAsia" w:cs="宋体"/>
          <w:color w:val="auto"/>
          <w:sz w:val="21"/>
          <w:szCs w:val="21"/>
          <w:lang w:val="en-US" w:eastAsia="zh-CN"/>
        </w:rPr>
        <w:t>不会</w:t>
      </w:r>
      <w:r>
        <w:rPr>
          <w:rFonts w:hint="eastAsia" w:ascii="宋体" w:hAnsi="宋体" w:eastAsia="宋体" w:cs="宋体"/>
          <w:color w:val="auto"/>
          <w:sz w:val="21"/>
          <w:szCs w:val="21"/>
        </w:rPr>
        <w:t>撤销谈判响应。</w:t>
      </w:r>
    </w:p>
    <w:p>
      <w:pPr>
        <w:pStyle w:val="29"/>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29"/>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29"/>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29"/>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3.3 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 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eastAsia="宋体" w:cs="宋体"/>
          <w:b/>
          <w:bCs/>
          <w:color w:val="auto"/>
          <w:sz w:val="24"/>
          <w:szCs w:val="24"/>
        </w:rPr>
        <w:t>3.5</w:t>
      </w:r>
      <w:r>
        <w:rPr>
          <w:rFonts w:hint="eastAsia" w:ascii="宋体" w:hAnsi="宋体"/>
          <w:b/>
          <w:bCs/>
          <w:color w:val="auto"/>
          <w:sz w:val="24"/>
          <w:szCs w:val="24"/>
        </w:rPr>
        <w:t>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rFonts w:hint="eastAsia"/>
          <w:color w:val="auto"/>
          <w:sz w:val="28"/>
          <w:szCs w:val="28"/>
          <w:u w:val="single"/>
        </w:rPr>
      </w:pPr>
    </w:p>
    <w:p>
      <w:pPr>
        <w:rPr>
          <w:color w:val="auto"/>
          <w:sz w:val="28"/>
          <w:szCs w:val="28"/>
          <w:u w:val="single"/>
        </w:rPr>
      </w:pPr>
    </w:p>
    <w:p>
      <w:pPr>
        <w:spacing w:line="480" w:lineRule="auto"/>
        <w:ind w:firstLine="4357" w:firstLineChars="2075"/>
        <w:rPr>
          <w:rFonts w:hint="eastAsia"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3.6 其他资格证书或材料 </w:t>
      </w:r>
    </w:p>
    <w:p>
      <w:pPr>
        <w:pStyle w:val="32"/>
        <w:rPr>
          <w:rFonts w:hint="eastAsia"/>
          <w:color w:val="auto"/>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3"/>
              <w:spacing w:line="360" w:lineRule="auto"/>
              <w:rPr>
                <w:rFonts w:hint="eastAsia" w:ascii="宋体" w:hAnsi="宋体" w:eastAsia="宋体" w:cs="宋体"/>
                <w:color w:val="auto"/>
                <w:sz w:val="21"/>
                <w:szCs w:val="21"/>
              </w:rPr>
            </w:pPr>
          </w:p>
        </w:tc>
        <w:tc>
          <w:tcPr>
            <w:tcW w:w="3579" w:type="dxa"/>
            <w:vAlign w:val="center"/>
          </w:tcPr>
          <w:p>
            <w:pPr>
              <w:pStyle w:val="13"/>
              <w:spacing w:line="360" w:lineRule="auto"/>
              <w:rPr>
                <w:rFonts w:hint="eastAsia" w:ascii="宋体" w:hAnsi="宋体" w:eastAsia="宋体" w:cs="宋体"/>
                <w:color w:val="auto"/>
                <w:sz w:val="21"/>
                <w:szCs w:val="21"/>
              </w:rPr>
            </w:pPr>
          </w:p>
        </w:tc>
        <w:tc>
          <w:tcPr>
            <w:tcW w:w="1440" w:type="dxa"/>
            <w:vAlign w:val="center"/>
          </w:tcPr>
          <w:p>
            <w:pPr>
              <w:pStyle w:val="13"/>
              <w:spacing w:line="360" w:lineRule="auto"/>
              <w:rPr>
                <w:rFonts w:hint="eastAsia" w:ascii="宋体" w:hAnsi="宋体" w:eastAsia="宋体" w:cs="宋体"/>
                <w:color w:val="auto"/>
                <w:sz w:val="21"/>
                <w:szCs w:val="21"/>
              </w:rPr>
            </w:pPr>
          </w:p>
        </w:tc>
        <w:tc>
          <w:tcPr>
            <w:tcW w:w="1706" w:type="dxa"/>
            <w:vAlign w:val="center"/>
          </w:tcPr>
          <w:p>
            <w:pPr>
              <w:pStyle w:val="13"/>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3"/>
              <w:spacing w:line="360" w:lineRule="auto"/>
              <w:rPr>
                <w:rFonts w:hint="eastAsia" w:ascii="宋体" w:hAnsi="宋体" w:eastAsia="宋体" w:cs="宋体"/>
                <w:color w:val="auto"/>
                <w:sz w:val="21"/>
                <w:szCs w:val="21"/>
              </w:rPr>
            </w:pPr>
          </w:p>
        </w:tc>
        <w:tc>
          <w:tcPr>
            <w:tcW w:w="3579" w:type="dxa"/>
            <w:vAlign w:val="center"/>
          </w:tcPr>
          <w:p>
            <w:pPr>
              <w:pStyle w:val="13"/>
              <w:spacing w:line="360" w:lineRule="auto"/>
              <w:rPr>
                <w:rFonts w:hint="eastAsia" w:ascii="宋体" w:hAnsi="宋体" w:eastAsia="宋体" w:cs="宋体"/>
                <w:color w:val="auto"/>
                <w:sz w:val="21"/>
                <w:szCs w:val="21"/>
              </w:rPr>
            </w:pPr>
          </w:p>
        </w:tc>
        <w:tc>
          <w:tcPr>
            <w:tcW w:w="1440" w:type="dxa"/>
            <w:vAlign w:val="center"/>
          </w:tcPr>
          <w:p>
            <w:pPr>
              <w:pStyle w:val="13"/>
              <w:spacing w:line="360" w:lineRule="auto"/>
              <w:rPr>
                <w:rFonts w:hint="eastAsia" w:ascii="宋体" w:hAnsi="宋体" w:eastAsia="宋体" w:cs="宋体"/>
                <w:color w:val="auto"/>
                <w:sz w:val="21"/>
                <w:szCs w:val="21"/>
              </w:rPr>
            </w:pPr>
          </w:p>
        </w:tc>
        <w:tc>
          <w:tcPr>
            <w:tcW w:w="1706" w:type="dxa"/>
            <w:vAlign w:val="center"/>
          </w:tcPr>
          <w:p>
            <w:pPr>
              <w:pStyle w:val="13"/>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3"/>
              <w:spacing w:line="360" w:lineRule="auto"/>
              <w:rPr>
                <w:rFonts w:hint="eastAsia" w:ascii="宋体" w:hAnsi="宋体" w:eastAsia="宋体" w:cs="宋体"/>
                <w:color w:val="auto"/>
                <w:sz w:val="21"/>
                <w:szCs w:val="21"/>
              </w:rPr>
            </w:pPr>
          </w:p>
        </w:tc>
        <w:tc>
          <w:tcPr>
            <w:tcW w:w="3579" w:type="dxa"/>
            <w:vAlign w:val="center"/>
          </w:tcPr>
          <w:p>
            <w:pPr>
              <w:pStyle w:val="13"/>
              <w:spacing w:line="360" w:lineRule="auto"/>
              <w:rPr>
                <w:rFonts w:hint="eastAsia" w:ascii="宋体" w:hAnsi="宋体" w:eastAsia="宋体" w:cs="宋体"/>
                <w:color w:val="auto"/>
                <w:sz w:val="21"/>
                <w:szCs w:val="21"/>
              </w:rPr>
            </w:pPr>
          </w:p>
        </w:tc>
        <w:tc>
          <w:tcPr>
            <w:tcW w:w="1440" w:type="dxa"/>
            <w:vAlign w:val="center"/>
          </w:tcPr>
          <w:p>
            <w:pPr>
              <w:pStyle w:val="13"/>
              <w:spacing w:line="360" w:lineRule="auto"/>
              <w:rPr>
                <w:rFonts w:hint="eastAsia" w:ascii="宋体" w:hAnsi="宋体" w:eastAsia="宋体" w:cs="宋体"/>
                <w:color w:val="auto"/>
                <w:sz w:val="21"/>
                <w:szCs w:val="21"/>
              </w:rPr>
            </w:pPr>
          </w:p>
        </w:tc>
        <w:tc>
          <w:tcPr>
            <w:tcW w:w="1706" w:type="dxa"/>
            <w:vAlign w:val="center"/>
          </w:tcPr>
          <w:p>
            <w:pPr>
              <w:pStyle w:val="13"/>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40" w:right="1800" w:bottom="1440" w:left="1800"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hint="eastAsia" w:ascii="隶书" w:hAnsi="宋体" w:eastAsia="隶书"/>
      </w:rPr>
    </w:pPr>
    <w:r>
      <w:rPr>
        <w:rFonts w:hint="eastAsia" w:ascii="隶书" w:hAnsi="宋体" w:eastAsia="隶书"/>
      </w:rPr>
      <w:tab/>
    </w:r>
    <w:r>
      <w:rPr>
        <w:rFonts w:hint="eastAsia" w:ascii="隶书" w:hAnsi="宋体" w:eastAsia="隶书"/>
      </w:rPr>
      <w:t xml:space="preserve">           </w:t>
    </w:r>
  </w:p>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15E2468"/>
    <w:multiLevelType w:val="singleLevel"/>
    <w:tmpl w:val="D15E2468"/>
    <w:lvl w:ilvl="0" w:tentative="0">
      <w:start w:val="7"/>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0938F0"/>
    <w:multiLevelType w:val="singleLevel"/>
    <w:tmpl w:val="4C0938F0"/>
    <w:lvl w:ilvl="0" w:tentative="0">
      <w:start w:val="3"/>
      <w:numFmt w:val="chineseCounting"/>
      <w:suff w:val="space"/>
      <w:lvlText w:val="第%1章"/>
      <w:lvlJc w:val="left"/>
      <w:rPr>
        <w:rFonts w:hint="eastAsia"/>
      </w:rPr>
    </w:lvl>
  </w:abstractNum>
  <w:abstractNum w:abstractNumId="15">
    <w:nsid w:val="59946469"/>
    <w:multiLevelType w:val="singleLevel"/>
    <w:tmpl w:val="59946469"/>
    <w:lvl w:ilvl="0" w:tentative="0">
      <w:start w:val="1"/>
      <w:numFmt w:val="decimal"/>
      <w:suff w:val="nothing"/>
      <w:lvlText w:val="（%1）"/>
      <w:lvlJc w:val="left"/>
      <w:pPr>
        <w:tabs>
          <w:tab w:val="left" w:pos="0"/>
        </w:tabs>
        <w:ind w:firstLine="400"/>
      </w:pPr>
      <w:rPr>
        <w:rFonts w:hint="default" w:ascii="宋体" w:hAnsi="宋体" w:eastAsia="宋体" w:cs="宋体"/>
      </w:rPr>
    </w:lvl>
  </w:abstractNum>
  <w:abstractNum w:abstractNumId="16">
    <w:nsid w:val="59F817E8"/>
    <w:multiLevelType w:val="singleLevel"/>
    <w:tmpl w:val="59F817E8"/>
    <w:lvl w:ilvl="0" w:tentative="0">
      <w:start w:val="1"/>
      <w:numFmt w:val="chineseCounting"/>
      <w:pStyle w:val="122"/>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6"/>
  </w:num>
  <w:num w:numId="4">
    <w:abstractNumId w:val="15"/>
  </w:num>
  <w:num w:numId="5">
    <w:abstractNumId w:val="14"/>
  </w:num>
  <w:num w:numId="6">
    <w:abstractNumId w:val="1"/>
  </w:num>
  <w:num w:numId="7">
    <w:abstractNumId w:val="11"/>
  </w:num>
  <w:num w:numId="8">
    <w:abstractNumId w:val="17"/>
  </w:num>
  <w:num w:numId="9">
    <w:abstractNumId w:val="8"/>
  </w:num>
  <w:num w:numId="10">
    <w:abstractNumId w:val="3"/>
  </w:num>
  <w:num w:numId="11">
    <w:abstractNumId w:val="10"/>
  </w:num>
  <w:num w:numId="12">
    <w:abstractNumId w:val="12"/>
  </w:num>
  <w:num w:numId="13">
    <w:abstractNumId w:val="20"/>
  </w:num>
  <w:num w:numId="14">
    <w:abstractNumId w:val="7"/>
  </w:num>
  <w:num w:numId="15">
    <w:abstractNumId w:val="4"/>
  </w:num>
  <w:num w:numId="16">
    <w:abstractNumId w:val="18"/>
  </w:num>
  <w:num w:numId="17">
    <w:abstractNumId w:val="13"/>
  </w:num>
  <w:num w:numId="18">
    <w:abstractNumId w:val="6"/>
  </w:num>
  <w:num w:numId="19">
    <w:abstractNumId w:val="19"/>
  </w:num>
  <w:num w:numId="20">
    <w:abstractNumId w:val="2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3314"/>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9C6E7B"/>
    <w:rsid w:val="02AA226C"/>
    <w:rsid w:val="02D47D1E"/>
    <w:rsid w:val="032F2F41"/>
    <w:rsid w:val="0351778C"/>
    <w:rsid w:val="03597BB0"/>
    <w:rsid w:val="03697175"/>
    <w:rsid w:val="03960C45"/>
    <w:rsid w:val="03CD01C1"/>
    <w:rsid w:val="03F35D05"/>
    <w:rsid w:val="03FB46A9"/>
    <w:rsid w:val="043E39C3"/>
    <w:rsid w:val="046B34A3"/>
    <w:rsid w:val="04E41DD5"/>
    <w:rsid w:val="05046BDC"/>
    <w:rsid w:val="0509798A"/>
    <w:rsid w:val="05493F08"/>
    <w:rsid w:val="055D79E5"/>
    <w:rsid w:val="05650C0A"/>
    <w:rsid w:val="063211C1"/>
    <w:rsid w:val="06715EA8"/>
    <w:rsid w:val="06BD79B6"/>
    <w:rsid w:val="075464DE"/>
    <w:rsid w:val="07A45B36"/>
    <w:rsid w:val="080525CC"/>
    <w:rsid w:val="08485304"/>
    <w:rsid w:val="08507AC3"/>
    <w:rsid w:val="088B2AB6"/>
    <w:rsid w:val="08CF54DB"/>
    <w:rsid w:val="092E53B1"/>
    <w:rsid w:val="096D32A9"/>
    <w:rsid w:val="09784F1E"/>
    <w:rsid w:val="09A8079E"/>
    <w:rsid w:val="09E17638"/>
    <w:rsid w:val="09FB1B9F"/>
    <w:rsid w:val="0A21279D"/>
    <w:rsid w:val="0A236FF4"/>
    <w:rsid w:val="0A53407A"/>
    <w:rsid w:val="0A651670"/>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CDF4A8C"/>
    <w:rsid w:val="0DB83337"/>
    <w:rsid w:val="0E140517"/>
    <w:rsid w:val="0E1A3AD1"/>
    <w:rsid w:val="0E8526DE"/>
    <w:rsid w:val="0E8A0B38"/>
    <w:rsid w:val="0EA125A2"/>
    <w:rsid w:val="0EF0627C"/>
    <w:rsid w:val="0F2E6E23"/>
    <w:rsid w:val="0FAA40BA"/>
    <w:rsid w:val="10772D1D"/>
    <w:rsid w:val="108D0DB5"/>
    <w:rsid w:val="10D52198"/>
    <w:rsid w:val="113C19D0"/>
    <w:rsid w:val="11A46367"/>
    <w:rsid w:val="11A73FC2"/>
    <w:rsid w:val="120C7431"/>
    <w:rsid w:val="12B65988"/>
    <w:rsid w:val="12B808E7"/>
    <w:rsid w:val="1308275A"/>
    <w:rsid w:val="135925DF"/>
    <w:rsid w:val="13851EEC"/>
    <w:rsid w:val="13B27C3E"/>
    <w:rsid w:val="13E253DB"/>
    <w:rsid w:val="148A7024"/>
    <w:rsid w:val="14AC5D2D"/>
    <w:rsid w:val="14E27154"/>
    <w:rsid w:val="15267F9C"/>
    <w:rsid w:val="153F65E8"/>
    <w:rsid w:val="15864884"/>
    <w:rsid w:val="159B7FB3"/>
    <w:rsid w:val="15BD1DD2"/>
    <w:rsid w:val="160B3E63"/>
    <w:rsid w:val="1667328A"/>
    <w:rsid w:val="16AB0F9A"/>
    <w:rsid w:val="16EF655D"/>
    <w:rsid w:val="175C208D"/>
    <w:rsid w:val="17767EF2"/>
    <w:rsid w:val="17F507D1"/>
    <w:rsid w:val="17F872D1"/>
    <w:rsid w:val="180010FF"/>
    <w:rsid w:val="188B1EE8"/>
    <w:rsid w:val="19117150"/>
    <w:rsid w:val="191C7CEB"/>
    <w:rsid w:val="1935292C"/>
    <w:rsid w:val="19442542"/>
    <w:rsid w:val="19806EAA"/>
    <w:rsid w:val="19AA7D6A"/>
    <w:rsid w:val="1A290D6B"/>
    <w:rsid w:val="1A5943FB"/>
    <w:rsid w:val="1A746628"/>
    <w:rsid w:val="1AC32709"/>
    <w:rsid w:val="1ACB042B"/>
    <w:rsid w:val="1ACB74F2"/>
    <w:rsid w:val="1B6C4927"/>
    <w:rsid w:val="1B770DD3"/>
    <w:rsid w:val="1BB0202F"/>
    <w:rsid w:val="1BE44736"/>
    <w:rsid w:val="1BE65CC8"/>
    <w:rsid w:val="1BEA00D1"/>
    <w:rsid w:val="1C383824"/>
    <w:rsid w:val="1C407658"/>
    <w:rsid w:val="1CB00BB2"/>
    <w:rsid w:val="1D5A5F68"/>
    <w:rsid w:val="1D613E1E"/>
    <w:rsid w:val="1D704579"/>
    <w:rsid w:val="1EBA5ED6"/>
    <w:rsid w:val="1EBD273E"/>
    <w:rsid w:val="1EDD3788"/>
    <w:rsid w:val="1EE5603D"/>
    <w:rsid w:val="1EF87465"/>
    <w:rsid w:val="1F294332"/>
    <w:rsid w:val="1F347C37"/>
    <w:rsid w:val="1F483A7D"/>
    <w:rsid w:val="1F6D41C0"/>
    <w:rsid w:val="1FB766D1"/>
    <w:rsid w:val="20562A02"/>
    <w:rsid w:val="2056492B"/>
    <w:rsid w:val="20610C76"/>
    <w:rsid w:val="20784C7B"/>
    <w:rsid w:val="20B136DD"/>
    <w:rsid w:val="20E31259"/>
    <w:rsid w:val="20E95E96"/>
    <w:rsid w:val="20F00D1D"/>
    <w:rsid w:val="216F142E"/>
    <w:rsid w:val="217C3862"/>
    <w:rsid w:val="21F74F4F"/>
    <w:rsid w:val="21F96BCC"/>
    <w:rsid w:val="221450AB"/>
    <w:rsid w:val="22255E18"/>
    <w:rsid w:val="22350A1A"/>
    <w:rsid w:val="224C536C"/>
    <w:rsid w:val="22B01C18"/>
    <w:rsid w:val="23154DA9"/>
    <w:rsid w:val="23172DF8"/>
    <w:rsid w:val="231F43AF"/>
    <w:rsid w:val="232C185A"/>
    <w:rsid w:val="233919BB"/>
    <w:rsid w:val="23A7190B"/>
    <w:rsid w:val="23C346C6"/>
    <w:rsid w:val="23D61F38"/>
    <w:rsid w:val="23FC24D8"/>
    <w:rsid w:val="24312922"/>
    <w:rsid w:val="24557947"/>
    <w:rsid w:val="24567449"/>
    <w:rsid w:val="24D16D5C"/>
    <w:rsid w:val="24EB00D9"/>
    <w:rsid w:val="2521507B"/>
    <w:rsid w:val="25357BB0"/>
    <w:rsid w:val="25AC0470"/>
    <w:rsid w:val="25BB60B1"/>
    <w:rsid w:val="26373B7B"/>
    <w:rsid w:val="26CE5B71"/>
    <w:rsid w:val="2719221F"/>
    <w:rsid w:val="271E0072"/>
    <w:rsid w:val="27726A4E"/>
    <w:rsid w:val="27C44396"/>
    <w:rsid w:val="27DE7413"/>
    <w:rsid w:val="284A71A9"/>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A271BA"/>
    <w:rsid w:val="2AB2778A"/>
    <w:rsid w:val="2ABC3520"/>
    <w:rsid w:val="2B2C0D2C"/>
    <w:rsid w:val="2B562E23"/>
    <w:rsid w:val="2B5B42EA"/>
    <w:rsid w:val="2BA25B80"/>
    <w:rsid w:val="2BA5149C"/>
    <w:rsid w:val="2BB658F9"/>
    <w:rsid w:val="2BDD0EEA"/>
    <w:rsid w:val="2C7A6B94"/>
    <w:rsid w:val="2CAC542C"/>
    <w:rsid w:val="2CAD4518"/>
    <w:rsid w:val="2CB01872"/>
    <w:rsid w:val="2CD67175"/>
    <w:rsid w:val="2D6362D3"/>
    <w:rsid w:val="2E4F24A0"/>
    <w:rsid w:val="2E6A59CF"/>
    <w:rsid w:val="2F4F1DE1"/>
    <w:rsid w:val="2FAB15D2"/>
    <w:rsid w:val="2FF93897"/>
    <w:rsid w:val="30844466"/>
    <w:rsid w:val="30B159DD"/>
    <w:rsid w:val="30EB3D78"/>
    <w:rsid w:val="30EE28D0"/>
    <w:rsid w:val="310272B4"/>
    <w:rsid w:val="3107452E"/>
    <w:rsid w:val="310932F2"/>
    <w:rsid w:val="31405B68"/>
    <w:rsid w:val="31C5220B"/>
    <w:rsid w:val="31FB7DDB"/>
    <w:rsid w:val="32436CE6"/>
    <w:rsid w:val="329B2BF7"/>
    <w:rsid w:val="32AC364E"/>
    <w:rsid w:val="32BB3CDD"/>
    <w:rsid w:val="32C21237"/>
    <w:rsid w:val="33732267"/>
    <w:rsid w:val="338744FE"/>
    <w:rsid w:val="33C1433C"/>
    <w:rsid w:val="33C57CA6"/>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B0E7A38"/>
    <w:rsid w:val="3BD57476"/>
    <w:rsid w:val="3C20303D"/>
    <w:rsid w:val="3C5B5E1C"/>
    <w:rsid w:val="3CB66F48"/>
    <w:rsid w:val="3D787185"/>
    <w:rsid w:val="3DA76EFE"/>
    <w:rsid w:val="3DCD75E3"/>
    <w:rsid w:val="3DF63399"/>
    <w:rsid w:val="3E5F19E9"/>
    <w:rsid w:val="3E7C7F4D"/>
    <w:rsid w:val="3E9D0242"/>
    <w:rsid w:val="3F140E9A"/>
    <w:rsid w:val="3F541805"/>
    <w:rsid w:val="3F7457AF"/>
    <w:rsid w:val="3F933318"/>
    <w:rsid w:val="3FB869B8"/>
    <w:rsid w:val="40132978"/>
    <w:rsid w:val="403D36F4"/>
    <w:rsid w:val="40471266"/>
    <w:rsid w:val="40560D75"/>
    <w:rsid w:val="40621376"/>
    <w:rsid w:val="40A35070"/>
    <w:rsid w:val="41273207"/>
    <w:rsid w:val="41543EE9"/>
    <w:rsid w:val="416C1384"/>
    <w:rsid w:val="41B660BB"/>
    <w:rsid w:val="423D4D75"/>
    <w:rsid w:val="425A706C"/>
    <w:rsid w:val="428F78D3"/>
    <w:rsid w:val="42C54B18"/>
    <w:rsid w:val="43420C0E"/>
    <w:rsid w:val="43717460"/>
    <w:rsid w:val="43A834C2"/>
    <w:rsid w:val="43EA4668"/>
    <w:rsid w:val="43FC54AB"/>
    <w:rsid w:val="440304BA"/>
    <w:rsid w:val="442B0C80"/>
    <w:rsid w:val="445319CA"/>
    <w:rsid w:val="4456107B"/>
    <w:rsid w:val="44D36D16"/>
    <w:rsid w:val="450D3E1C"/>
    <w:rsid w:val="45132963"/>
    <w:rsid w:val="455970FD"/>
    <w:rsid w:val="458B79CA"/>
    <w:rsid w:val="45AA691F"/>
    <w:rsid w:val="45B87217"/>
    <w:rsid w:val="45DA43EA"/>
    <w:rsid w:val="460322AD"/>
    <w:rsid w:val="460E5C70"/>
    <w:rsid w:val="461E780F"/>
    <w:rsid w:val="46D11679"/>
    <w:rsid w:val="46FE4F7A"/>
    <w:rsid w:val="47036F6C"/>
    <w:rsid w:val="477830D2"/>
    <w:rsid w:val="47E76852"/>
    <w:rsid w:val="48391728"/>
    <w:rsid w:val="4844594B"/>
    <w:rsid w:val="4864773D"/>
    <w:rsid w:val="486D17CE"/>
    <w:rsid w:val="4872481A"/>
    <w:rsid w:val="487E5404"/>
    <w:rsid w:val="48FB14E2"/>
    <w:rsid w:val="491948A8"/>
    <w:rsid w:val="494257CC"/>
    <w:rsid w:val="494E454C"/>
    <w:rsid w:val="49796E27"/>
    <w:rsid w:val="49C40DF6"/>
    <w:rsid w:val="4A2D0812"/>
    <w:rsid w:val="4A690DA2"/>
    <w:rsid w:val="4A6D24FF"/>
    <w:rsid w:val="4B74759C"/>
    <w:rsid w:val="4B923520"/>
    <w:rsid w:val="4BE05207"/>
    <w:rsid w:val="4C8706B6"/>
    <w:rsid w:val="4CA95CA7"/>
    <w:rsid w:val="4CDB31D7"/>
    <w:rsid w:val="4CEB2F56"/>
    <w:rsid w:val="4CF16D8A"/>
    <w:rsid w:val="4D25409B"/>
    <w:rsid w:val="4D2729A1"/>
    <w:rsid w:val="4D896328"/>
    <w:rsid w:val="4E002587"/>
    <w:rsid w:val="4E23511E"/>
    <w:rsid w:val="4E570C2E"/>
    <w:rsid w:val="4E691682"/>
    <w:rsid w:val="4EC25A34"/>
    <w:rsid w:val="4F411E86"/>
    <w:rsid w:val="4F5C4B3F"/>
    <w:rsid w:val="4F7934F5"/>
    <w:rsid w:val="4FD1347A"/>
    <w:rsid w:val="500E6070"/>
    <w:rsid w:val="504317A7"/>
    <w:rsid w:val="50441E01"/>
    <w:rsid w:val="50A04479"/>
    <w:rsid w:val="50A908CA"/>
    <w:rsid w:val="50C7145E"/>
    <w:rsid w:val="50DE656D"/>
    <w:rsid w:val="50E511D7"/>
    <w:rsid w:val="511438C2"/>
    <w:rsid w:val="514A5ED5"/>
    <w:rsid w:val="51E45484"/>
    <w:rsid w:val="520523F5"/>
    <w:rsid w:val="52127757"/>
    <w:rsid w:val="523A774A"/>
    <w:rsid w:val="52D3219F"/>
    <w:rsid w:val="52E3326E"/>
    <w:rsid w:val="53244DB9"/>
    <w:rsid w:val="53BE0B3F"/>
    <w:rsid w:val="541D7038"/>
    <w:rsid w:val="544717E3"/>
    <w:rsid w:val="5451299D"/>
    <w:rsid w:val="546A6786"/>
    <w:rsid w:val="550C3471"/>
    <w:rsid w:val="551A57ED"/>
    <w:rsid w:val="555722B0"/>
    <w:rsid w:val="559823B8"/>
    <w:rsid w:val="55AE23A0"/>
    <w:rsid w:val="55E90A4C"/>
    <w:rsid w:val="565C3D2E"/>
    <w:rsid w:val="56634B3B"/>
    <w:rsid w:val="56665AA9"/>
    <w:rsid w:val="56676289"/>
    <w:rsid w:val="56A32CC7"/>
    <w:rsid w:val="573864B2"/>
    <w:rsid w:val="579656BA"/>
    <w:rsid w:val="57AC2A60"/>
    <w:rsid w:val="58A84444"/>
    <w:rsid w:val="58FE65AD"/>
    <w:rsid w:val="594A5481"/>
    <w:rsid w:val="5A551D6A"/>
    <w:rsid w:val="5ADA4BD5"/>
    <w:rsid w:val="5B0B5ED5"/>
    <w:rsid w:val="5B2E7BE3"/>
    <w:rsid w:val="5B8F6B0D"/>
    <w:rsid w:val="5D324280"/>
    <w:rsid w:val="5D5C7799"/>
    <w:rsid w:val="5DA5352D"/>
    <w:rsid w:val="5DC025A7"/>
    <w:rsid w:val="5DD23DBD"/>
    <w:rsid w:val="5E5A12C4"/>
    <w:rsid w:val="5E88036F"/>
    <w:rsid w:val="5EBA127A"/>
    <w:rsid w:val="5EC823E0"/>
    <w:rsid w:val="5F2D0585"/>
    <w:rsid w:val="5F927315"/>
    <w:rsid w:val="5FAD16ED"/>
    <w:rsid w:val="5FEE6B02"/>
    <w:rsid w:val="5FF87915"/>
    <w:rsid w:val="600E2031"/>
    <w:rsid w:val="601A3DD6"/>
    <w:rsid w:val="60A66C3C"/>
    <w:rsid w:val="60DB5548"/>
    <w:rsid w:val="6113580F"/>
    <w:rsid w:val="61364B33"/>
    <w:rsid w:val="61481D34"/>
    <w:rsid w:val="62537A75"/>
    <w:rsid w:val="627153F8"/>
    <w:rsid w:val="62A34D91"/>
    <w:rsid w:val="62ED3579"/>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323574"/>
    <w:rsid w:val="654736FD"/>
    <w:rsid w:val="656804C8"/>
    <w:rsid w:val="665B21E1"/>
    <w:rsid w:val="667D7C35"/>
    <w:rsid w:val="66AB78E3"/>
    <w:rsid w:val="66B137E9"/>
    <w:rsid w:val="66D519C9"/>
    <w:rsid w:val="67062E96"/>
    <w:rsid w:val="675B3DD3"/>
    <w:rsid w:val="678C1181"/>
    <w:rsid w:val="67AF2518"/>
    <w:rsid w:val="67C245FA"/>
    <w:rsid w:val="67E858EB"/>
    <w:rsid w:val="68075FA1"/>
    <w:rsid w:val="681A4E23"/>
    <w:rsid w:val="690D5E3D"/>
    <w:rsid w:val="693D28E3"/>
    <w:rsid w:val="69C27B82"/>
    <w:rsid w:val="69D41B06"/>
    <w:rsid w:val="6A0E6A75"/>
    <w:rsid w:val="6A1C17E5"/>
    <w:rsid w:val="6ABA08C1"/>
    <w:rsid w:val="6AE5503B"/>
    <w:rsid w:val="6AE9324E"/>
    <w:rsid w:val="6AF57F78"/>
    <w:rsid w:val="6B2C1023"/>
    <w:rsid w:val="6B4A519D"/>
    <w:rsid w:val="6B5E4527"/>
    <w:rsid w:val="6B6601A1"/>
    <w:rsid w:val="6BBB51C4"/>
    <w:rsid w:val="6BD33D31"/>
    <w:rsid w:val="6C0A1C09"/>
    <w:rsid w:val="6C1B4F0F"/>
    <w:rsid w:val="6C4B0F58"/>
    <w:rsid w:val="6C71644E"/>
    <w:rsid w:val="6CDA5121"/>
    <w:rsid w:val="6D04469C"/>
    <w:rsid w:val="6D0B07B6"/>
    <w:rsid w:val="6D396B48"/>
    <w:rsid w:val="6D773602"/>
    <w:rsid w:val="6DA24987"/>
    <w:rsid w:val="6E1F380D"/>
    <w:rsid w:val="6E223060"/>
    <w:rsid w:val="6E7C1A7C"/>
    <w:rsid w:val="6E961609"/>
    <w:rsid w:val="6E9D6C43"/>
    <w:rsid w:val="6EC56D4A"/>
    <w:rsid w:val="6F3B57C8"/>
    <w:rsid w:val="6F450411"/>
    <w:rsid w:val="6F72409B"/>
    <w:rsid w:val="6F9B3A2C"/>
    <w:rsid w:val="6FAE7442"/>
    <w:rsid w:val="6FB43DC7"/>
    <w:rsid w:val="6FC43A72"/>
    <w:rsid w:val="6FFE7454"/>
    <w:rsid w:val="70597661"/>
    <w:rsid w:val="70F76A59"/>
    <w:rsid w:val="718A743B"/>
    <w:rsid w:val="7192467D"/>
    <w:rsid w:val="719E3960"/>
    <w:rsid w:val="71A0304F"/>
    <w:rsid w:val="71DD369E"/>
    <w:rsid w:val="71E8686E"/>
    <w:rsid w:val="72173490"/>
    <w:rsid w:val="72A956FF"/>
    <w:rsid w:val="72AF27EE"/>
    <w:rsid w:val="72B33E38"/>
    <w:rsid w:val="72BD3B10"/>
    <w:rsid w:val="72D17DE3"/>
    <w:rsid w:val="72DE19D9"/>
    <w:rsid w:val="72E81654"/>
    <w:rsid w:val="731F65D2"/>
    <w:rsid w:val="733F7034"/>
    <w:rsid w:val="735E7295"/>
    <w:rsid w:val="73773B1B"/>
    <w:rsid w:val="73C90996"/>
    <w:rsid w:val="73D5662D"/>
    <w:rsid w:val="73DB551B"/>
    <w:rsid w:val="73EF7953"/>
    <w:rsid w:val="74193A43"/>
    <w:rsid w:val="74193A55"/>
    <w:rsid w:val="74213957"/>
    <w:rsid w:val="745F66ED"/>
    <w:rsid w:val="74857FF0"/>
    <w:rsid w:val="748D53A3"/>
    <w:rsid w:val="74996878"/>
    <w:rsid w:val="74A40D07"/>
    <w:rsid w:val="74B07D3F"/>
    <w:rsid w:val="74E90345"/>
    <w:rsid w:val="74FD1133"/>
    <w:rsid w:val="756532D7"/>
    <w:rsid w:val="757872FF"/>
    <w:rsid w:val="75AB102C"/>
    <w:rsid w:val="75B7322A"/>
    <w:rsid w:val="75C122FD"/>
    <w:rsid w:val="75EB695D"/>
    <w:rsid w:val="765F7C55"/>
    <w:rsid w:val="76E6019F"/>
    <w:rsid w:val="772752EC"/>
    <w:rsid w:val="778C25A1"/>
    <w:rsid w:val="77DF76F9"/>
    <w:rsid w:val="7809439C"/>
    <w:rsid w:val="7838256E"/>
    <w:rsid w:val="78AC5F4E"/>
    <w:rsid w:val="78C114A6"/>
    <w:rsid w:val="78FC788A"/>
    <w:rsid w:val="79826C53"/>
    <w:rsid w:val="79BB3636"/>
    <w:rsid w:val="79D46A44"/>
    <w:rsid w:val="79F838F2"/>
    <w:rsid w:val="7A004278"/>
    <w:rsid w:val="7A17238D"/>
    <w:rsid w:val="7A533329"/>
    <w:rsid w:val="7A7F0DE9"/>
    <w:rsid w:val="7A7F26E4"/>
    <w:rsid w:val="7AB35E28"/>
    <w:rsid w:val="7ADB562F"/>
    <w:rsid w:val="7AF45559"/>
    <w:rsid w:val="7B472661"/>
    <w:rsid w:val="7B505A98"/>
    <w:rsid w:val="7B661BE0"/>
    <w:rsid w:val="7B8D20BF"/>
    <w:rsid w:val="7BBA04AD"/>
    <w:rsid w:val="7BBE296A"/>
    <w:rsid w:val="7C1C2800"/>
    <w:rsid w:val="7C1E1860"/>
    <w:rsid w:val="7C4043F7"/>
    <w:rsid w:val="7C651C4A"/>
    <w:rsid w:val="7C8F2142"/>
    <w:rsid w:val="7C9F4D22"/>
    <w:rsid w:val="7CFA0A36"/>
    <w:rsid w:val="7CFF77E6"/>
    <w:rsid w:val="7D02404E"/>
    <w:rsid w:val="7D910386"/>
    <w:rsid w:val="7DB027D0"/>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2"/>
    <w:qFormat/>
    <w:uiPriority w:val="9"/>
    <w:pPr>
      <w:keepNext/>
      <w:keepLines/>
      <w:spacing w:before="340" w:after="330" w:line="576" w:lineRule="auto"/>
      <w:outlineLvl w:val="0"/>
    </w:pPr>
    <w:rPr>
      <w:b/>
      <w:kern w:val="44"/>
      <w:sz w:val="44"/>
      <w:szCs w:val="20"/>
    </w:rPr>
  </w:style>
  <w:style w:type="paragraph" w:styleId="4">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9"/>
    <w:qFormat/>
    <w:uiPriority w:val="0"/>
    <w:pPr>
      <w:keepNext/>
      <w:keepLines/>
      <w:spacing w:before="260" w:after="260" w:line="415" w:lineRule="auto"/>
      <w:outlineLvl w:val="2"/>
    </w:pPr>
    <w:rPr>
      <w:b/>
      <w:sz w:val="32"/>
      <w:szCs w:val="20"/>
    </w:rPr>
  </w:style>
  <w:style w:type="paragraph" w:styleId="6">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0"/>
    <w:qFormat/>
    <w:uiPriority w:val="0"/>
    <w:rPr>
      <w:rFonts w:ascii="宋体"/>
      <w:kern w:val="0"/>
      <w:sz w:val="18"/>
      <w:szCs w:val="18"/>
    </w:rPr>
  </w:style>
  <w:style w:type="paragraph" w:styleId="15">
    <w:name w:val="annotation text"/>
    <w:basedOn w:val="1"/>
    <w:link w:val="61"/>
    <w:qFormat/>
    <w:uiPriority w:val="0"/>
    <w:pPr>
      <w:jc w:val="left"/>
    </w:pPr>
  </w:style>
  <w:style w:type="paragraph" w:styleId="16">
    <w:name w:val="Body Text 3"/>
    <w:basedOn w:val="1"/>
    <w:link w:val="50"/>
    <w:qFormat/>
    <w:uiPriority w:val="0"/>
    <w:pPr>
      <w:spacing w:after="120"/>
    </w:pPr>
    <w:rPr>
      <w:sz w:val="16"/>
      <w:szCs w:val="20"/>
    </w:rPr>
  </w:style>
  <w:style w:type="paragraph" w:styleId="17">
    <w:name w:val="Body Text"/>
    <w:basedOn w:val="1"/>
    <w:link w:val="66"/>
    <w:qFormat/>
    <w:uiPriority w:val="0"/>
    <w:pPr>
      <w:adjustRightInd w:val="0"/>
      <w:spacing w:after="120" w:line="360" w:lineRule="atLeast"/>
      <w:jc w:val="left"/>
      <w:textAlignment w:val="baseline"/>
    </w:pPr>
    <w:rPr>
      <w:kern w:val="0"/>
      <w:sz w:val="24"/>
      <w:szCs w:val="20"/>
    </w:rPr>
  </w:style>
  <w:style w:type="paragraph" w:styleId="18">
    <w:name w:val="Body Text Indent"/>
    <w:basedOn w:val="1"/>
    <w:link w:val="75"/>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5"/>
    <w:next w:val="15"/>
    <w:link w:val="58"/>
    <w:qFormat/>
    <w:uiPriority w:val="0"/>
    <w:rPr>
      <w:b/>
      <w:bCs/>
    </w:rPr>
  </w:style>
  <w:style w:type="paragraph" w:styleId="31">
    <w:name w:val="Body Text First Indent"/>
    <w:basedOn w:val="17"/>
    <w:link w:val="54"/>
    <w:qFormat/>
    <w:uiPriority w:val="0"/>
    <w:pPr>
      <w:ind w:firstLine="420" w:firstLineChars="100"/>
    </w:pPr>
  </w:style>
  <w:style w:type="paragraph" w:styleId="32">
    <w:name w:val="Body Text First Indent 2"/>
    <w:basedOn w:val="18"/>
    <w:qFormat/>
    <w:uiPriority w:val="99"/>
    <w:pPr>
      <w:tabs>
        <w:tab w:val="left" w:pos="945"/>
        <w:tab w:val="left" w:pos="1155"/>
      </w:tabs>
      <w:spacing w:after="120"/>
      <w:ind w:left="420" w:leftChars="200" w:firstLine="420" w:firstLineChars="2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17"/>
    <w:qFormat/>
    <w:uiPriority w:val="0"/>
    <w:pPr>
      <w:adjustRightInd w:val="0"/>
      <w:spacing w:line="420" w:lineRule="atLeast"/>
      <w:jc w:val="left"/>
      <w:textAlignment w:val="baseline"/>
    </w:pPr>
    <w:rPr>
      <w:kern w:val="0"/>
      <w:szCs w:val="20"/>
    </w:rPr>
  </w:style>
  <w:style w:type="character" w:customStyle="1" w:styleId="43">
    <w:name w:val="标题 7 Char"/>
    <w:link w:val="9"/>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1"/>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6"/>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31"/>
    <w:qFormat/>
    <w:uiPriority w:val="0"/>
    <w:rPr>
      <w:sz w:val="24"/>
    </w:rPr>
  </w:style>
  <w:style w:type="character" w:customStyle="1" w:styleId="55">
    <w:name w:val="标题 4 Char"/>
    <w:link w:val="6"/>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0"/>
    <w:qFormat/>
    <w:uiPriority w:val="0"/>
    <w:rPr>
      <w:b/>
      <w:bCs/>
      <w:kern w:val="2"/>
      <w:sz w:val="21"/>
      <w:szCs w:val="22"/>
    </w:rPr>
  </w:style>
  <w:style w:type="character" w:customStyle="1" w:styleId="59">
    <w:name w:val="标题 3 Char"/>
    <w:link w:val="5"/>
    <w:qFormat/>
    <w:uiPriority w:val="0"/>
    <w:rPr>
      <w:rFonts w:ascii="Times New Roman" w:hAnsi="Times New Roman"/>
      <w:b/>
      <w:kern w:val="2"/>
      <w:sz w:val="32"/>
    </w:rPr>
  </w:style>
  <w:style w:type="character" w:customStyle="1" w:styleId="60">
    <w:name w:val="标题 5 Char"/>
    <w:link w:val="7"/>
    <w:qFormat/>
    <w:uiPriority w:val="0"/>
    <w:rPr>
      <w:rFonts w:ascii="Times New Roman" w:hAnsi="Times New Roman"/>
      <w:b/>
      <w:bCs/>
      <w:sz w:val="28"/>
      <w:szCs w:val="28"/>
    </w:rPr>
  </w:style>
  <w:style w:type="character" w:customStyle="1" w:styleId="61">
    <w:name w:val="批注文字 Char"/>
    <w:link w:val="15"/>
    <w:qFormat/>
    <w:uiPriority w:val="0"/>
    <w:rPr>
      <w:kern w:val="2"/>
      <w:sz w:val="21"/>
      <w:szCs w:val="22"/>
    </w:rPr>
  </w:style>
  <w:style w:type="character" w:customStyle="1" w:styleId="62">
    <w:name w:val="标题 1 Char"/>
    <w:link w:val="3"/>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17"/>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4"/>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8"/>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18"/>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4"/>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0"/>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4"/>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3"/>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2</TotalTime>
  <ScaleCrop>false</ScaleCrop>
  <LinksUpToDate>false</LinksUpToDate>
  <CharactersWithSpaces>28879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Administrator</cp:lastModifiedBy>
  <cp:lastPrinted>2019-07-01T04:03:00Z</cp:lastPrinted>
  <dcterms:modified xsi:type="dcterms:W3CDTF">2019-08-22T07:00:03Z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