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简隶书" w:eastAsia="微软简隶书"/>
          <w:color w:val="000000"/>
        </w:rPr>
      </w:pPr>
    </w:p>
    <w:p>
      <w:pPr>
        <w:pStyle w:val="2"/>
        <w:rPr>
          <w:rFonts w:ascii="微软简隶书" w:eastAsia="微软简隶书"/>
          <w:color w:val="000000"/>
        </w:rPr>
      </w:pPr>
    </w:p>
    <w:p>
      <w:pPr>
        <w:spacing w:line="600" w:lineRule="exact"/>
        <w:jc w:val="center"/>
        <w:rPr>
          <w:rFonts w:hint="eastAsia" w:ascii="黑体" w:hAnsi="黑体" w:eastAsia="黑体" w:cs="黑体"/>
          <w:b/>
          <w:bCs/>
          <w:sz w:val="48"/>
          <w:szCs w:val="48"/>
        </w:rPr>
      </w:pPr>
      <w:r>
        <w:rPr>
          <w:rFonts w:hint="eastAsia" w:ascii="黑体" w:hAnsi="黑体" w:eastAsia="黑体" w:cs="黑体"/>
          <w:b/>
          <w:bCs/>
          <w:sz w:val="48"/>
          <w:szCs w:val="48"/>
        </w:rPr>
        <w:t>禹州市产业集聚区智能化园区建设项目</w:t>
      </w:r>
    </w:p>
    <w:p>
      <w:pPr>
        <w:pStyle w:val="2"/>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产业集聚区管理委员会</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196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
      </w:pPr>
    </w:p>
    <w:p>
      <w:pPr>
        <w:pStyle w:val="2"/>
      </w:pPr>
    </w:p>
    <w:p>
      <w:pPr>
        <w:pStyle w:val="2"/>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禹州市产业集聚区智能化园区建设项目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ascii="仿宋" w:hAnsi="仿宋" w:eastAsia="仿宋" w:cs="仿宋"/>
          <w:b/>
          <w:bCs/>
          <w:sz w:val="36"/>
          <w:szCs w:val="36"/>
        </w:rPr>
      </w:pPr>
    </w:p>
    <w:p>
      <w:pPr>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产业集聚区管理委员会</w:t>
      </w:r>
      <w:r>
        <w:rPr>
          <w:rFonts w:hint="eastAsia" w:ascii="仿宋" w:hAnsi="仿宋" w:eastAsia="仿宋" w:cs="仿宋"/>
          <w:sz w:val="24"/>
          <w:szCs w:val="24"/>
        </w:rPr>
        <w:t>的委托，就“禹州市产业集聚区智能化园区建设项目”进行公开招标，欢迎合格的投标人前来投标。</w:t>
      </w:r>
    </w:p>
    <w:p>
      <w:pPr>
        <w:pStyle w:val="59"/>
        <w:widowControl/>
        <w:numPr>
          <w:ilvl w:val="0"/>
          <w:numId w:val="5"/>
        </w:numPr>
        <w:shd w:val="clear" w:color="auto" w:fill="FFFFFF"/>
        <w:spacing w:line="400" w:lineRule="exact"/>
        <w:ind w:firstLineChars="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采购人：禹州市产业集聚区管理委员会</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2.项目名称</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禹州市产业集聚区智能化园区建设项目</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196</w:t>
      </w:r>
    </w:p>
    <w:p>
      <w:pPr>
        <w:widowControl/>
        <w:numPr>
          <w:ilvl w:val="0"/>
          <w:numId w:val="0"/>
        </w:numPr>
        <w:shd w:val="clear" w:color="auto" w:fill="FFFFFF"/>
        <w:spacing w:line="400" w:lineRule="exact"/>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项目需求：</w:t>
      </w:r>
      <w:r>
        <w:rPr>
          <w:rFonts w:hint="eastAsia" w:ascii="仿宋" w:hAnsi="仿宋" w:eastAsia="仿宋" w:cs="仿宋"/>
          <w:color w:val="000000"/>
          <w:kern w:val="0"/>
          <w:sz w:val="24"/>
          <w:szCs w:val="24"/>
          <w:lang w:eastAsia="zh-CN"/>
        </w:rPr>
        <w:t>园区服务系统、园区招商系统、云资源、产业系统等</w:t>
      </w:r>
      <w:r>
        <w:rPr>
          <w:rFonts w:hint="eastAsia" w:ascii="仿宋" w:hAnsi="仿宋" w:eastAsia="仿宋" w:cs="仿宋"/>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390.975</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widowControl/>
        <w:numPr>
          <w:ilvl w:val="0"/>
          <w:numId w:val="0"/>
        </w:numPr>
        <w:shd w:val="clear" w:color="auto" w:fill="FFFFFF"/>
        <w:spacing w:line="400" w:lineRule="exact"/>
        <w:ind w:firstLine="240" w:firstLineChars="100"/>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采购限价：</w:t>
      </w:r>
      <w:r>
        <w:rPr>
          <w:rFonts w:hint="eastAsia" w:ascii="仿宋" w:hAnsi="仿宋" w:eastAsia="仿宋" w:cs="仿宋"/>
          <w:sz w:val="24"/>
          <w:szCs w:val="24"/>
          <w:lang w:val="en-US" w:eastAsia="zh-CN"/>
        </w:rPr>
        <w:t>390.975</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hint="eastAsia" w:ascii="仿宋" w:hAnsi="仿宋" w:eastAsia="仿宋" w:cs="仿宋"/>
          <w:sz w:val="24"/>
          <w:szCs w:val="24"/>
          <w:lang w:val="en-US" w:eastAsia="zh-CN"/>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营业执照</w:t>
      </w:r>
      <w:r>
        <w:rPr>
          <w:rFonts w:hint="eastAsia" w:ascii="仿宋" w:hAnsi="仿宋" w:eastAsia="仿宋" w:cs="宋体"/>
          <w:iCs/>
          <w:color w:val="000000"/>
          <w:kern w:val="0"/>
          <w:sz w:val="24"/>
          <w:szCs w:val="24"/>
        </w:rPr>
        <w:t>含计算机软、硬件开发及销售，IT技术服务，计算机信息系统集成</w:t>
      </w:r>
      <w:r>
        <w:rPr>
          <w:rFonts w:hint="eastAsia" w:ascii="仿宋" w:hAnsi="仿宋" w:eastAsia="仿宋" w:cs="仿宋"/>
          <w:sz w:val="24"/>
          <w:szCs w:val="24"/>
        </w:rPr>
        <w:t>）；</w:t>
      </w:r>
    </w:p>
    <w:p>
      <w:pPr>
        <w:spacing w:line="400" w:lineRule="exact"/>
        <w:ind w:left="319" w:leftChars="152" w:firstLine="120" w:firstLineChars="50"/>
        <w:rPr>
          <w:rFonts w:hint="eastAsia" w:ascii="仿宋" w:hAnsi="仿宋" w:eastAsia="仿宋" w:cs="仿宋"/>
          <w:sz w:val="24"/>
          <w:szCs w:val="24"/>
        </w:rPr>
      </w:pPr>
      <w:r>
        <w:rPr>
          <w:rFonts w:hint="eastAsia" w:ascii="仿宋" w:hAnsi="仿宋" w:eastAsia="仿宋" w:cs="仿宋"/>
          <w:sz w:val="24"/>
          <w:szCs w:val="24"/>
        </w:rPr>
        <w:t>2、被委托人是须是本单位职工，须提供公司为本人缴纳社会保险证明；</w:t>
      </w:r>
    </w:p>
    <w:p>
      <w:pPr>
        <w:spacing w:line="400" w:lineRule="exact"/>
        <w:ind w:left="319" w:leftChars="152" w:firstLine="120" w:firstLineChars="50"/>
        <w:rPr>
          <w:rFonts w:ascii="仿宋" w:hAnsi="仿宋" w:eastAsia="仿宋" w:cs="仿宋"/>
          <w:sz w:val="24"/>
          <w:szCs w:val="24"/>
        </w:rPr>
      </w:pPr>
      <w:r>
        <w:rPr>
          <w:rFonts w:hint="eastAsia" w:ascii="仿宋" w:hAnsi="仿宋" w:eastAsia="仿宋" w:cs="仿宋"/>
          <w:sz w:val="24"/>
          <w:szCs w:val="24"/>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w:t>
      </w:r>
      <w:r>
        <w:rPr>
          <w:rStyle w:val="28"/>
          <w:rFonts w:hint="eastAsia" w:ascii="仿宋" w:hAnsi="仿宋" w:eastAsia="仿宋" w:cs="仿宋"/>
          <w:sz w:val="24"/>
          <w:szCs w:val="24"/>
          <w:lang w:val="en-US" w:eastAsia="zh-CN"/>
        </w:rPr>
        <w:t>ggzy.xuchang.gov.cn/</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w:t>
      </w:r>
      <w:r>
        <w:rPr>
          <w:rFonts w:hint="eastAsia" w:ascii="仿宋" w:hAnsi="仿宋" w:eastAsia="仿宋" w:cs="仿宋"/>
          <w:sz w:val="24"/>
          <w:szCs w:val="24"/>
          <w:lang w:eastAsia="zh-CN"/>
        </w:rPr>
        <w:t>币</w:t>
      </w:r>
      <w:r>
        <w:rPr>
          <w:rFonts w:hint="eastAsia" w:ascii="仿宋" w:hAnsi="仿宋" w:eastAsia="仿宋" w:cs="仿宋"/>
          <w:sz w:val="24"/>
          <w:szCs w:val="24"/>
        </w:rPr>
        <w:t>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16</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：00（北京时间），逾期送达或不符合规定的投标文件不予接受。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widowControl/>
        <w:shd w:val="clear" w:color="auto" w:fill="FFFFFF"/>
        <w:spacing w:line="400" w:lineRule="exact"/>
        <w:ind w:left="481"/>
        <w:jc w:val="left"/>
        <w:rPr>
          <w:rFonts w:hint="eastAsia" w:ascii="仿宋" w:hAnsi="仿宋" w:eastAsia="仿宋" w:cs="仿宋"/>
          <w:sz w:val="24"/>
          <w:szCs w:val="24"/>
          <w:lang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产业集聚区管理委员会</w:t>
      </w:r>
    </w:p>
    <w:p>
      <w:pPr>
        <w:widowControl/>
        <w:shd w:val="clear" w:color="auto" w:fill="FFFFFF"/>
        <w:spacing w:line="400" w:lineRule="exact"/>
        <w:ind w:firstLine="720" w:firstLineChars="3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行政北路</w:t>
      </w:r>
    </w:p>
    <w:p>
      <w:pPr>
        <w:widowControl/>
        <w:shd w:val="clear" w:color="auto" w:fill="FFFFFF"/>
        <w:spacing w:line="400" w:lineRule="exact"/>
        <w:ind w:firstLine="641"/>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安女士</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13782392872</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2640" w:firstLineChars="11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2019年 </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p>
    <w:p>
      <w:pPr>
        <w:spacing w:line="360" w:lineRule="auto"/>
        <w:rPr>
          <w:rFonts w:ascii="仿宋" w:hAnsi="仿宋" w:eastAsia="仿宋" w:cs="仿宋"/>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keepNext w:val="0"/>
        <w:keepLines w:val="0"/>
        <w:pageBreakBefore w:val="0"/>
        <w:widowControl/>
        <w:numPr>
          <w:ilvl w:val="0"/>
          <w:numId w:val="7"/>
        </w:numPr>
        <w:shd w:val="clear" w:color="auto" w:fill="FFFFFF"/>
        <w:kinsoku/>
        <w:overflowPunct/>
        <w:bidi w:val="0"/>
        <w:snapToGrid/>
        <w:spacing w:line="360" w:lineRule="auto"/>
        <w:jc w:val="left"/>
        <w:rPr>
          <w:rFonts w:hint="eastAsia" w:ascii="新宋体" w:hAnsi="新宋体" w:eastAsia="新宋体" w:cs="新宋体"/>
          <w:lang w:val="en-US" w:eastAsia="zh-CN"/>
        </w:rPr>
      </w:pPr>
      <w:r>
        <w:rPr>
          <w:rFonts w:hint="eastAsia" w:ascii="新宋体" w:hAnsi="新宋体" w:eastAsia="新宋体" w:cs="新宋体"/>
          <w:b/>
          <w:bCs/>
          <w:color w:val="000000"/>
          <w:kern w:val="0"/>
          <w:sz w:val="24"/>
          <w:szCs w:val="24"/>
        </w:rPr>
        <w:t>本项目需实现的功能或者目标</w:t>
      </w:r>
    </w:p>
    <w:p>
      <w:pPr>
        <w:pStyle w:val="2"/>
        <w:ind w:firstLine="480" w:firstLineChars="200"/>
        <w:rPr>
          <w:rFonts w:hint="eastAsia"/>
          <w:lang w:val="en-US" w:eastAsia="zh-CN"/>
        </w:rPr>
      </w:pPr>
      <w:r>
        <w:rPr>
          <w:rFonts w:hint="eastAsia"/>
          <w:lang w:val="en-US" w:eastAsia="zh-CN"/>
        </w:rPr>
        <w:t>园区综合管理服务水平的提升是集聚区智能化的基础和重要抓手。通过建设园区服务系统、园区招商系统、产业监测系统、大数据分析平台，为“禹州智能化示范园区”建设各项工程奠定信息化和智能化基础，从利于显示实效的方面入手推动项目建设，同时打通体制机制壁垒，推进信息资源共享，带动基础数据库建设，逐步实现“园区管理服务信息化”的目标。</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p>
      <w:pPr>
        <w:widowControl/>
        <w:numPr>
          <w:ilvl w:val="0"/>
          <w:numId w:val="0"/>
        </w:numPr>
        <w:shd w:val="clear" w:color="auto" w:fill="FFFFFF"/>
        <w:spacing w:line="360" w:lineRule="auto"/>
        <w:ind w:leftChars="0"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1、软件系统采购清单</w:t>
      </w:r>
    </w:p>
    <w:tbl>
      <w:tblPr>
        <w:tblStyle w:val="23"/>
        <w:tblW w:w="8824" w:type="dxa"/>
        <w:jc w:val="center"/>
        <w:tblInd w:w="0" w:type="dxa"/>
        <w:tblLayout w:type="fixed"/>
        <w:tblCellMar>
          <w:top w:w="0" w:type="dxa"/>
          <w:left w:w="108" w:type="dxa"/>
          <w:bottom w:w="0" w:type="dxa"/>
          <w:right w:w="108" w:type="dxa"/>
        </w:tblCellMar>
      </w:tblPr>
      <w:tblGrid>
        <w:gridCol w:w="606"/>
        <w:gridCol w:w="706"/>
        <w:gridCol w:w="605"/>
        <w:gridCol w:w="1332"/>
        <w:gridCol w:w="4368"/>
        <w:gridCol w:w="605"/>
        <w:gridCol w:w="602"/>
      </w:tblGrid>
      <w:tr>
        <w:tblPrEx>
          <w:tblLayout w:type="fixed"/>
          <w:tblCellMar>
            <w:top w:w="0" w:type="dxa"/>
            <w:left w:w="108" w:type="dxa"/>
            <w:bottom w:w="0" w:type="dxa"/>
            <w:right w:w="108" w:type="dxa"/>
          </w:tblCellMar>
        </w:tblPrEx>
        <w:trPr>
          <w:trHeight w:val="300" w:hRule="atLeast"/>
          <w:tblHeader/>
          <w:jc w:val="center"/>
        </w:trPr>
        <w:tc>
          <w:tcPr>
            <w:tcW w:w="606" w:type="dxa"/>
            <w:tcBorders>
              <w:top w:val="single" w:color="auto" w:sz="8" w:space="0"/>
              <w:left w:val="single" w:color="auto" w:sz="8" w:space="0"/>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序号</w:t>
            </w:r>
          </w:p>
        </w:tc>
        <w:tc>
          <w:tcPr>
            <w:tcW w:w="706"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系统名称</w:t>
            </w:r>
          </w:p>
        </w:tc>
        <w:tc>
          <w:tcPr>
            <w:tcW w:w="1937" w:type="dxa"/>
            <w:gridSpan w:val="2"/>
            <w:tcBorders>
              <w:top w:val="single" w:color="auto" w:sz="8" w:space="0"/>
              <w:left w:val="nil"/>
              <w:bottom w:val="single" w:color="auto" w:sz="8" w:space="0"/>
              <w:right w:val="single" w:color="000000"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子系统模块</w:t>
            </w:r>
          </w:p>
        </w:tc>
        <w:tc>
          <w:tcPr>
            <w:tcW w:w="4368"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功能概述</w:t>
            </w:r>
          </w:p>
        </w:tc>
        <w:tc>
          <w:tcPr>
            <w:tcW w:w="605"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单位</w:t>
            </w:r>
          </w:p>
        </w:tc>
        <w:tc>
          <w:tcPr>
            <w:tcW w:w="602"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数量</w:t>
            </w:r>
          </w:p>
        </w:tc>
      </w:tr>
      <w:tr>
        <w:tblPrEx>
          <w:tblLayout w:type="fixed"/>
          <w:tblCellMar>
            <w:top w:w="0" w:type="dxa"/>
            <w:left w:w="108" w:type="dxa"/>
            <w:bottom w:w="0" w:type="dxa"/>
            <w:right w:w="108" w:type="dxa"/>
          </w:tblCellMar>
        </w:tblPrEx>
        <w:trPr>
          <w:trHeight w:val="285" w:hRule="atLeast"/>
          <w:jc w:val="center"/>
        </w:trPr>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7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园区服务系统</w:t>
            </w: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园区动态</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新闻动态、资讯、公告活动、安全生产与环保科普等信息展示</w:t>
            </w: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园区概览</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介绍园区的发展历史和园区现状，让企业员工及社会公众方便快捷地了解园区的外貌及综合情况。包括历史沿革、园区现状、地理环境、政策法规等内容展示</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政策申报</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政策管理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提供各类政策发布、管理、维护；已发政策的查询、编辑、删除；查看政策详情和导出政策信息</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企业申报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企业填写申报信息，上传相应附件，申报后进入待审批状态，并可实时查看最新的状态信息</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政府审核</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管委会人员查看企业申报材料并进行审批操作，对于审批不通过的申报单据，需要给出原因说明</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公共服务</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行政审批</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企业和个人可在线了解各类行政审批程序，通过单点登录在行政审批系统提交审批申请和所需材料，查看审批状态及结果</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企业孵化服务</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针对孵化企业提供不同的孵化服务，企业在线提交孵化需求，园区对孵化需求审核，对企业进行辅导、咨询，并可统计出孵化的情况等</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入驻代办</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入驻企业提供资料，工作人员收取文件并反馈办理进度</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新入住引导</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为新入住园区的企业提供入驻流程引导指南</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专业服务</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需求发布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企业发布需求</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服务查找</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企业查找所需专业服务资源</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服务推荐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根据用户需求，向用户精准推荐投融资、市场拓展、管理咨询、商务服务、法律服务等专业服务资源，也可向服务机构推荐潜在需求的企业</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服务评价</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供需双方可对进行的服务活动进行线上互评</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服务资源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管理和发布服务资源信息，主要包含投融资、市场拓展、管理咨询、商务服务、法律服务等</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会议通知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管委会可以通过在园区动态及首页发送会议通知并短信同步发送至企业侧</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纪检监察举报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themeColor="text1"/>
                <w:kern w:val="0"/>
                <w:sz w:val="24"/>
                <w:szCs w:val="24"/>
              </w:rPr>
              <w:t>通过对接中央纪委国家监委举报网站，园区企业或个人可以向禹州市纪检委及禹州监委进行实名或匿名举报</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园区人员信息管理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themeColor="text1"/>
                <w:kern w:val="0"/>
                <w:sz w:val="24"/>
                <w:szCs w:val="24"/>
              </w:rPr>
              <w:t>企业可通过线上填报企业员工身份信息，系统支持线上填报和一键导入功能</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投诉建议</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园区企业可以针对园区服务提供投诉建议，管委会了解投诉建议的跟踪处理情况，包括投诉受理、结果反馈、问题回访等功能</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后台管理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用户权限管理、用户信息维护、后台信息统计等</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企业数据上报管理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企业上报数据，实现对企业各项直报数据进行集中式管理，可设置上报模板</w:t>
            </w:r>
          </w:p>
        </w:tc>
        <w:tc>
          <w:tcPr>
            <w:tcW w:w="605"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555" w:hRule="atLeast"/>
          <w:jc w:val="center"/>
        </w:trPr>
        <w:tc>
          <w:tcPr>
            <w:tcW w:w="606" w:type="dxa"/>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706" w:type="dxa"/>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园区招商系统</w:t>
            </w: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招商项目中心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招商项目报备、项目查询、项目状态管理、项目资源关联、项目准入初审审批、项目准入定审审批等功能</w:t>
            </w:r>
          </w:p>
        </w:tc>
        <w:tc>
          <w:tcPr>
            <w:tcW w:w="605" w:type="dxa"/>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招商资源中心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土地资源管理、厂房资源管理、楼宇资源管理</w:t>
            </w:r>
          </w:p>
        </w:tc>
        <w:tc>
          <w:tcPr>
            <w:tcW w:w="605"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重点企业中心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重点企业库列表、新增重点企业以及对重点企业信息的查询、修改、上传和导出功能</w:t>
            </w:r>
          </w:p>
        </w:tc>
        <w:tc>
          <w:tcPr>
            <w:tcW w:w="605"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后台配置管理子系统</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查看项目审批流程、审批进度</w:t>
            </w:r>
          </w:p>
        </w:tc>
        <w:tc>
          <w:tcPr>
            <w:tcW w:w="605"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706"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产业监测</w:t>
            </w: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经济监测子系统</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经济运行监测</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对产业规模、支柱产业、龙头企业、经济总量、财务指标（营业收入、税收、利润）、经济发展评价指标、目标完成情况、主要运行指标同比、万元产值综合能耗等进行监控</w:t>
            </w:r>
          </w:p>
        </w:tc>
        <w:tc>
          <w:tcPr>
            <w:tcW w:w="605"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经济运行专报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根据上述指标生产专报，可导出报表</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重点指标统计查询</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重点指标的查询、异常指标波动能智能触发报警机制、用户可后台设置报警范围</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产业要素分析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从区域产业结构、产业图谱、产业画像等产业要素层面进一步分析园区各产业发展状况。</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重点项目专题分析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跟踪并管理禹州市产业集聚区全部重大项目，分析重大项目进展、投资情况、分布情况，协助领导时刻掌握禹州产业集聚区重大项目建设情况。</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自定义报表查询</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实现数据自定义查询，灵活导出各类办公报表，提升业务办公效率。</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109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企业评价子系统</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企业档案库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为每个企业建立企业档案，用户直接可以在档案中，查看到企业的最新信息，包括企业的亩均税收、亩均主营业务收入、亩均利润、研发投入强度纳税等信息，提高园区管理者对区内企业的把控力度，方便管理者从纵向和横向全面掌握企业经营动态。</w:t>
            </w:r>
          </w:p>
        </w:tc>
        <w:tc>
          <w:tcPr>
            <w:tcW w:w="605" w:type="dxa"/>
            <w:tcBorders>
              <w:top w:val="nil"/>
              <w:left w:val="nil"/>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p>
          <w:p>
            <w:pPr>
              <w:rPr>
                <w:rFonts w:hint="eastAsia" w:ascii="新宋体" w:hAnsi="新宋体" w:eastAsia="新宋体" w:cs="新宋体"/>
                <w:sz w:val="24"/>
                <w:szCs w:val="24"/>
              </w:rPr>
            </w:pPr>
          </w:p>
          <w:p>
            <w:pPr>
              <w:rPr>
                <w:rFonts w:hint="eastAsia" w:ascii="新宋体" w:hAnsi="新宋体" w:eastAsia="新宋体" w:cs="新宋体"/>
                <w:sz w:val="24"/>
                <w:szCs w:val="24"/>
              </w:rPr>
            </w:pPr>
          </w:p>
          <w:p>
            <w:pPr>
              <w:rPr>
                <w:rFonts w:hint="eastAsia" w:ascii="新宋体" w:hAnsi="新宋体" w:eastAsia="新宋体" w:cs="新宋体"/>
                <w:sz w:val="24"/>
                <w:szCs w:val="24"/>
              </w:rPr>
            </w:pPr>
          </w:p>
          <w:p>
            <w:pP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02" w:type="dxa"/>
            <w:tcBorders>
              <w:top w:val="nil"/>
              <w:left w:val="nil"/>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          1</w:t>
            </w: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企业综合评价</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评价查询、评价结果展示、评价年报等功能，重点反映被评企业的亩均产出、创新引领、绿色发展等水平。</w:t>
            </w:r>
          </w:p>
        </w:tc>
        <w:tc>
          <w:tcPr>
            <w:tcW w:w="605" w:type="dxa"/>
            <w:tcBorders>
              <w:top w:val="nil"/>
              <w:left w:val="nil"/>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p>
        </w:tc>
        <w:tc>
          <w:tcPr>
            <w:tcW w:w="602" w:type="dxa"/>
            <w:tcBorders>
              <w:top w:val="nil"/>
              <w:left w:val="nil"/>
              <w:bottom w:val="nil"/>
              <w:right w:val="single" w:color="auto" w:sz="8" w:space="0"/>
            </w:tcBorders>
            <w:shd w:val="clear" w:color="auto" w:fill="auto"/>
            <w:vAlign w:val="center"/>
          </w:tcPr>
          <w:p>
            <w:pPr>
              <w:widowControl/>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p>
        </w:tc>
        <w:tc>
          <w:tcPr>
            <w:tcW w:w="7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大数据分析平台</w:t>
            </w: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信息资源库</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基础数据库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基础数据库是项目运行的基本要素，是园区管理及服务过程中产生的最基本的数据。</w:t>
            </w:r>
          </w:p>
        </w:tc>
        <w:tc>
          <w:tcPr>
            <w:tcW w:w="605"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模块化政策匹配库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模块化政策匹配库主要是企业在政策申报过程中产生的数据。</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公共服务资源库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公共服务资源库主要是在行政审批、企业孵化服务、入住代办、入驻引导模块中产生的数据。</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专业服务资源库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专业服务资源库主要是在为园区企业提供需求发布、资源查找、资源推荐、服务评价、服务资源等专业服务时产生的数据。</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招商主题库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招商主题库主要是在园区招商过程中产生的数据。这些数据主要包括招商项目数据、招商资源数据、重点企业数据等。</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nil"/>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环境质量分析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对接禹州准备建的环保平台的数据，进行环境分析展示</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安全监管分析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对接园区上报数据及安监系统数据，查看园区企业的重大危险源分布情况和，查看该企业的详细信息以及监控点信息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经济运行分析</w:t>
            </w:r>
          </w:p>
        </w:tc>
        <w:tc>
          <w:tcPr>
            <w:tcW w:w="1332" w:type="dxa"/>
            <w:tcBorders>
              <w:top w:val="nil"/>
              <w:left w:val="nil"/>
              <w:bottom w:val="single" w:color="auto"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经济发展综合展示</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可视化展示禹州产业集聚区的经济发展成果，包括核心指标趋势监控、任务指标完成率、支柱产业分析、龙头企业分析、税收分析等</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经济发展分析与预测</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对工业总产值、规上工业总产值、规上工业增加值、税收总额、规上主营业务收入、进出口总额、固定资产投资等指标的预测（同比、环比分析）</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明星企业分析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展示禹州产业集聚区各行业、各区域明星企业，包含企业简介、图片视频、核心产品、先进技术、资质专利、营业额、利润、税收等信息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产业结构分析和展示</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从产业投入、产出两个维度分析企业的累计投资、产出的排名及投资分类分析、产品销售分析</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数字地图</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展示园区用地规划、园区面积变化、园区产业与企业分布、分区对比等信息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企业评价分析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基于GIS地图进行企业分布的展示，同时在地图上以不同颜色区分显示不同的企业经营状态</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招商成果分析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对集聚区所招商的重点企业信息进行可视化的呈现，包括招商企业分布、汇总、历史招商信息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bl>
    <w:p>
      <w:pPr>
        <w:pStyle w:val="29"/>
        <w:spacing w:after="120"/>
        <w:ind w:firstLine="0" w:firstLineChars="0"/>
        <w:rPr>
          <w:rFonts w:hint="eastAsia" w:ascii="新宋体" w:hAnsi="新宋体" w:eastAsia="新宋体" w:cs="新宋体"/>
          <w:sz w:val="24"/>
          <w:szCs w:val="24"/>
        </w:rPr>
      </w:pPr>
    </w:p>
    <w:p>
      <w:pPr>
        <w:rPr>
          <w:rFonts w:hint="eastAsia" w:ascii="新宋体" w:hAnsi="新宋体" w:eastAsia="新宋体" w:cs="新宋体"/>
          <w:sz w:val="24"/>
          <w:szCs w:val="24"/>
        </w:rPr>
        <w:sectPr>
          <w:pgSz w:w="11907" w:h="16840"/>
          <w:pgMar w:top="1440" w:right="1080" w:bottom="1440" w:left="1080" w:header="907" w:footer="907" w:gutter="0"/>
          <w:cols w:space="720" w:num="1"/>
          <w:docGrid w:linePitch="286" w:charSpace="0"/>
        </w:sectPr>
      </w:pPr>
    </w:p>
    <w:p>
      <w:pPr>
        <w:pStyle w:val="5"/>
      </w:pPr>
      <w:r>
        <w:t>2 云资源采购清单</w:t>
      </w:r>
    </w:p>
    <w:tbl>
      <w:tblPr>
        <w:tblStyle w:val="23"/>
        <w:tblW w:w="8834" w:type="dxa"/>
        <w:jc w:val="center"/>
        <w:tblInd w:w="0" w:type="dxa"/>
        <w:tblLayout w:type="fixed"/>
        <w:tblCellMar>
          <w:top w:w="0" w:type="dxa"/>
          <w:left w:w="108" w:type="dxa"/>
          <w:bottom w:w="0" w:type="dxa"/>
          <w:right w:w="108" w:type="dxa"/>
        </w:tblCellMar>
      </w:tblPr>
      <w:tblGrid>
        <w:gridCol w:w="638"/>
        <w:gridCol w:w="1492"/>
        <w:gridCol w:w="3314"/>
        <w:gridCol w:w="2114"/>
        <w:gridCol w:w="638"/>
        <w:gridCol w:w="638"/>
      </w:tblGrid>
      <w:tr>
        <w:tblPrEx>
          <w:tblLayout w:type="fixed"/>
          <w:tblCellMar>
            <w:top w:w="0" w:type="dxa"/>
            <w:left w:w="108" w:type="dxa"/>
            <w:bottom w:w="0" w:type="dxa"/>
            <w:right w:w="108" w:type="dxa"/>
          </w:tblCellMar>
        </w:tblPrEx>
        <w:trPr>
          <w:trHeight w:val="240" w:hRule="atLeast"/>
          <w:jc w:val="center"/>
        </w:trPr>
        <w:tc>
          <w:tcPr>
            <w:tcW w:w="638"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序号</w:t>
            </w:r>
          </w:p>
        </w:tc>
        <w:tc>
          <w:tcPr>
            <w:tcW w:w="4806" w:type="dxa"/>
            <w:gridSpan w:val="2"/>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服务类型</w:t>
            </w:r>
          </w:p>
        </w:tc>
        <w:tc>
          <w:tcPr>
            <w:tcW w:w="2114"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服务配置</w:t>
            </w:r>
          </w:p>
        </w:tc>
        <w:tc>
          <w:tcPr>
            <w:tcW w:w="638"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单位</w:t>
            </w:r>
          </w:p>
        </w:tc>
        <w:tc>
          <w:tcPr>
            <w:tcW w:w="638"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数量</w:t>
            </w:r>
          </w:p>
        </w:tc>
      </w:tr>
      <w:tr>
        <w:tblPrEx>
          <w:tblLayout w:type="fixed"/>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应用服务器</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云服务器ECS</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规格：通用计算型 | C3 | 8核 | 16GB</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镜像：Windows Server 2016 Standard 64bit</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系统盘：高IO 100GB</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数据盘：高IO 1000GB</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台/年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r>
      <w:tr>
        <w:tblPrEx>
          <w:tblLayout w:type="fixed"/>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存储服务器</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存储服务器</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存储类型：标准存储；</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存储容量：50T；</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公网流出流量包规格：50GB；</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回源流量：1TB</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台/年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r>
        <w:tblPrEx>
          <w:tblLayout w:type="fixed"/>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数据库服务器</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关系型数据库RDS</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数据库类型：MySQL</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数据库版本：5.6</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高可用类型：主备</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公共类型：通用增强型</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性能规格：8核16G</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存储空间：超高IO, 200GB</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台/年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r>
      <w:tr>
        <w:tblPrEx>
          <w:tblLayout w:type="fixed"/>
          <w:tblCellMar>
            <w:top w:w="0" w:type="dxa"/>
            <w:left w:w="108" w:type="dxa"/>
            <w:bottom w:w="0" w:type="dxa"/>
            <w:right w:w="108" w:type="dxa"/>
          </w:tblCellMar>
        </w:tblPrEx>
        <w:trPr>
          <w:trHeight w:val="72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网络</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带宽和弹性公网IP</w:t>
            </w:r>
          </w:p>
        </w:tc>
        <w:tc>
          <w:tcPr>
            <w:tcW w:w="2114"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共享类型：共享</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规格：静态BGP</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带宽：100Mbit/s</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套/年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r>
        <w:tblPrEx>
          <w:tblLayout w:type="fixed"/>
          <w:tblCellMar>
            <w:top w:w="0" w:type="dxa"/>
            <w:left w:w="108" w:type="dxa"/>
            <w:bottom w:w="0" w:type="dxa"/>
            <w:right w:w="108" w:type="dxa"/>
          </w:tblCellMar>
        </w:tblPrEx>
        <w:trPr>
          <w:trHeight w:val="240" w:hRule="atLeast"/>
          <w:jc w:val="center"/>
        </w:trPr>
        <w:tc>
          <w:tcPr>
            <w:tcW w:w="6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14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域名与网站</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域名注册服务</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.com的域名</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套/年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r>
      <w:tr>
        <w:tblPrEx>
          <w:tblLayout w:type="fixed"/>
          <w:tblCellMar>
            <w:top w:w="0" w:type="dxa"/>
            <w:left w:w="108" w:type="dxa"/>
            <w:bottom w:w="0" w:type="dxa"/>
            <w:right w:w="108" w:type="dxa"/>
          </w:tblCellMar>
        </w:tblPrEx>
        <w:trPr>
          <w:trHeight w:val="480"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SSL证书管理（域名型，多域名）</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证书类型：企业型（OV）</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多域名（3个）</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套/年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bl>
    <w:p>
      <w:pPr>
        <w:keepNext w:val="0"/>
        <w:keepLines w:val="0"/>
        <w:pageBreakBefore w:val="0"/>
        <w:widowControl/>
        <w:kinsoku/>
        <w:overflowPunct/>
        <w:bidi w:val="0"/>
        <w:snapToGrid/>
        <w:spacing w:line="360" w:lineRule="auto"/>
        <w:jc w:val="both"/>
        <w:textAlignment w:val="center"/>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注：以上要求为最低要求，投标商不能低于此要求，否则为无效投标。</w:t>
      </w:r>
    </w:p>
    <w:p>
      <w:pPr>
        <w:keepNext w:val="0"/>
        <w:keepLines w:val="0"/>
        <w:pageBreakBefore w:val="0"/>
        <w:widowControl/>
        <w:kinsoku/>
        <w:overflowPunct/>
        <w:bidi w:val="0"/>
        <w:snapToGrid/>
        <w:spacing w:line="360" w:lineRule="auto"/>
        <w:jc w:val="both"/>
        <w:textAlignment w:val="center"/>
        <w:rPr>
          <w:rFonts w:hint="eastAsia" w:ascii="新宋体" w:hAnsi="新宋体" w:eastAsia="新宋体" w:cs="新宋体"/>
          <w:color w:val="000000"/>
          <w:kern w:val="0"/>
          <w:sz w:val="24"/>
          <w:szCs w:val="24"/>
          <w:lang w:val="zh-CN"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ascii="新宋体" w:hAnsi="新宋体" w:eastAsia="新宋体" w:cs="新宋体"/>
          <w:color w:val="000000"/>
          <w:kern w:val="0"/>
          <w:sz w:val="24"/>
          <w:szCs w:val="24"/>
          <w:lang w:val="en-US" w:eastAsia="zh-CN" w:bidi="ar-SA"/>
        </w:rPr>
        <w:t>：根据国家相关标准、行业标准、地方标准等执行。</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kern w:val="0"/>
          <w:sz w:val="24"/>
          <w:szCs w:val="24"/>
          <w:lang w:val="en-US" w:eastAsia="zh-CN" w:bidi="ar-SA"/>
        </w:rPr>
        <w:t>（四）服务标准、期限、效率等要求</w:t>
      </w:r>
    </w:p>
    <w:p>
      <w:pPr>
        <w:keepNext w:val="0"/>
        <w:keepLines w:val="0"/>
        <w:pageBreakBefore w:val="0"/>
        <w:widowControl/>
        <w:shd w:val="clear" w:color="auto" w:fill="FFFFFF"/>
        <w:kinsoku/>
        <w:overflowPunct/>
        <w:bidi w:val="0"/>
        <w:snapToGrid/>
        <w:spacing w:line="360" w:lineRule="auto"/>
        <w:ind w:firstLine="240" w:firstLineChars="100"/>
        <w:contextualSpacing/>
        <w:jc w:val="left"/>
        <w:rPr>
          <w:rFonts w:hint="eastAsia" w:ascii="新宋体" w:hAnsi="新宋体" w:eastAsia="新宋体" w:cs="新宋体"/>
          <w:sz w:val="24"/>
          <w:lang w:val="zh-CN"/>
        </w:rPr>
      </w:pPr>
      <w:r>
        <w:rPr>
          <w:rFonts w:hint="eastAsia" w:ascii="新宋体" w:hAnsi="新宋体" w:eastAsia="新宋体" w:cs="新宋体"/>
          <w:kern w:val="0"/>
          <w:sz w:val="24"/>
          <w:szCs w:val="24"/>
          <w:lang w:val="en-US" w:eastAsia="zh-CN" w:bidi="ar-SA"/>
        </w:rPr>
        <w:t>按照目前产业集聚区发展现状进行软件系统建设，项目在2020年12月31日完成。</w:t>
      </w:r>
      <w:r>
        <w:rPr>
          <w:rFonts w:hint="eastAsia" w:ascii="新宋体" w:hAnsi="新宋体" w:eastAsia="新宋体" w:cs="新宋体"/>
          <w:b/>
          <w:color w:val="000000"/>
          <w:kern w:val="0"/>
          <w:sz w:val="24"/>
          <w:szCs w:val="24"/>
          <w:lang w:val="zh-CN"/>
        </w:rPr>
        <w:t>（五）采购标的的其他技术、服务等要求</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1</w:t>
      </w:r>
      <w:r>
        <w:rPr>
          <w:rFonts w:hint="eastAsia" w:ascii="新宋体" w:hAnsi="新宋体" w:eastAsia="新宋体" w:cs="新宋体"/>
          <w:sz w:val="24"/>
          <w:lang w:val="zh-CN"/>
        </w:rPr>
        <w:t>、投标人应就该项目完整投标（报价含运输费、税费等综合费用），否则为无效投标。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zh-CN" w:eastAsia="zh-CN" w:bidi="ar-SA"/>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1、按照国家相关标准、行业标准、地方标准或者其他标准、规范验收。</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2、按照招标文件要求、投标文件响应和承诺验收。</w:t>
      </w:r>
    </w:p>
    <w:p>
      <w:pPr>
        <w:pStyle w:val="10"/>
        <w:keepNext w:val="0"/>
        <w:keepLines w:val="0"/>
        <w:pageBreakBefore w:val="0"/>
        <w:kinsoku/>
        <w:overflowPunct/>
        <w:bidi w:val="0"/>
        <w:snapToGrid/>
        <w:spacing w:line="360" w:lineRule="auto"/>
        <w:ind w:firstLine="241" w:firstLineChars="100"/>
        <w:rPr>
          <w:rFonts w:hint="eastAsia" w:ascii="新宋体" w:hAnsi="新宋体" w:eastAsia="新宋体" w:cs="新宋体"/>
          <w:b/>
          <w:kern w:val="0"/>
          <w:sz w:val="36"/>
          <w:szCs w:val="36"/>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Cs w:val="21"/>
              </w:rPr>
              <w:t>项目名称：禹州市产业集聚区智能化园区建设项目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YZCG-G2019196</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val="en-US" w:eastAsia="zh-CN"/>
              </w:rPr>
              <w:t>工期：2020年12月31日前完工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名称：禹州市产业集聚区管理委员会</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禹州市行政北路</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安女士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13782392872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390.975</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16</w:t>
            </w:r>
            <w:bookmarkStart w:id="9" w:name="_GoBack"/>
            <w:bookmarkEnd w:id="9"/>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en-US" w:eastAsia="zh-CN"/>
              </w:rPr>
              <w:t>1.</w:t>
            </w:r>
            <w:r>
              <w:rPr>
                <w:rFonts w:hint="eastAsia"/>
                <w:lang w:val="zh-CN"/>
              </w:rPr>
              <w:t>不收取</w:t>
            </w:r>
          </w:p>
          <w:p>
            <w:pPr>
              <w:pStyle w:val="2"/>
              <w:rPr>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lang w:eastAsia="zh-CN"/>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default" w:asciiTheme="minorEastAsia" w:hAnsiTheme="minorEastAsia" w:eastAsiaTheme="minorEastAsia"/>
                <w:b/>
                <w:bCs/>
                <w:szCs w:val="21"/>
                <w:lang w:val="en-US" w:eastAsia="zh-CN"/>
              </w:rPr>
            </w:pPr>
            <w:r>
              <w:rPr>
                <w:rFonts w:hint="eastAsia" w:asciiTheme="minorEastAsia" w:hAnsiTheme="minorEastAsia"/>
                <w:b/>
                <w:bCs/>
                <w:szCs w:val="21"/>
                <w:lang w:eastAsia="zh-CN"/>
              </w:rPr>
              <w:t>投标承诺函</w:t>
            </w:r>
          </w:p>
        </w:tc>
        <w:tc>
          <w:tcPr>
            <w:tcW w:w="5954" w:type="dxa"/>
          </w:tcPr>
          <w:p>
            <w:pPr>
              <w:spacing w:line="360" w:lineRule="auto"/>
              <w:rPr>
                <w:rFonts w:hint="eastAsia" w:cs="仿宋_GB2312" w:asciiTheme="minorEastAsia" w:hAnsiTheme="minorEastAsia"/>
                <w:szCs w:val="21"/>
                <w:lang w:val="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szCs w:val="21"/>
              </w:rPr>
              <w:t>1</w:t>
            </w:r>
            <w:r>
              <w:rPr>
                <w:rFonts w:hint="eastAsia" w:asciiTheme="minorEastAsia" w:hAnsiTheme="minorEastAsia"/>
                <w:b/>
                <w:szCs w:val="21"/>
                <w:lang w:val="en-US" w:eastAsia="zh-CN"/>
              </w:rPr>
              <w:t>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hint="eastAsia" w:asciiTheme="minorEastAsia" w:hAnsiTheme="minorEastAsia" w:eastAsiaTheme="minorEastAsia"/>
                <w:b/>
                <w:szCs w:val="21"/>
                <w:lang w:val="en-US" w:eastAsia="zh-CN"/>
              </w:rPr>
            </w:pPr>
            <w:r>
              <w:rPr>
                <w:rFonts w:hint="eastAsia" w:asciiTheme="minorEastAsia" w:hAnsiTheme="minorEastAsia"/>
                <w:b/>
                <w:szCs w:val="21"/>
              </w:rPr>
              <w:t>1</w:t>
            </w:r>
            <w:r>
              <w:rPr>
                <w:rFonts w:hint="eastAsia" w:asciiTheme="minorEastAsia" w:hAnsiTheme="minorEastAsia"/>
                <w:b/>
                <w:szCs w:val="21"/>
                <w:lang w:val="en-US" w:eastAsia="zh-CN"/>
              </w:rPr>
              <w:t>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default"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本项目采用综合评分法，分值</w:t>
      </w:r>
      <w:r>
        <w:rPr>
          <w:rFonts w:hint="eastAsia" w:cs="仿宋_GB2312" w:asciiTheme="minorEastAsia" w:hAnsiTheme="minorEastAsia" w:eastAsiaTheme="minorEastAsia"/>
          <w:sz w:val="21"/>
          <w:szCs w:val="21"/>
          <w:lang w:val="en-US" w:eastAsia="zh-CN"/>
        </w:rPr>
        <w:t>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pPr w:leftFromText="180" w:rightFromText="180" w:vertAnchor="text" w:horzAnchor="page" w:tblpXSpec="center" w:tblpY="718"/>
        <w:tblOverlap w:val="never"/>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34"/>
        <w:gridCol w:w="609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分值构成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(总分100分)</w:t>
            </w:r>
          </w:p>
        </w:tc>
        <w:tc>
          <w:tcPr>
            <w:tcW w:w="7092"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价格分值：20 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商务部分：37分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技术部分：43分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42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投标报价</w:t>
            </w:r>
          </w:p>
        </w:tc>
        <w:tc>
          <w:tcPr>
            <w:tcW w:w="6090"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tabs>
                <w:tab w:val="left" w:pos="1260"/>
              </w:tabs>
              <w:autoSpaceDE w:val="0"/>
              <w:autoSpaceDN w:val="0"/>
              <w:spacing w:line="360" w:lineRule="auto"/>
              <w:ind w:firstLine="420" w:firstLineChars="200"/>
              <w:contextualSpacing/>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zh-CN"/>
              </w:rPr>
              <w:t>投标报价得分=（评标基准价/投标报价）×</w:t>
            </w:r>
            <w:r>
              <w:rPr>
                <w:rFonts w:hint="eastAsia" w:cs="仿宋_GB2312" w:asciiTheme="minorEastAsia" w:hAnsiTheme="minorEastAsia"/>
                <w:szCs w:val="21"/>
                <w:lang w:val="en-US" w:eastAsia="zh-CN"/>
              </w:rPr>
              <w:t>20</w:t>
            </w:r>
          </w:p>
          <w:p>
            <w:pPr>
              <w:widowControl/>
              <w:shd w:val="clear" w:color="auto" w:fill="FFFFFF"/>
              <w:spacing w:line="360" w:lineRule="auto"/>
              <w:ind w:firstLine="420" w:firstLineChars="200"/>
              <w:jc w:val="left"/>
              <w:rPr>
                <w:rFonts w:ascii="宋体" w:hAnsi="宋体" w:cs="宋体"/>
                <w:color w:val="000000"/>
                <w:sz w:val="24"/>
                <w:szCs w:val="24"/>
                <w:lang w:val="en-GB"/>
              </w:rPr>
            </w:pPr>
            <w:r>
              <w:rPr>
                <w:rFonts w:hint="eastAsia" w:cs="仿宋_GB2312" w:asciiTheme="minorEastAsia" w:hAnsiTheme="minor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color w:val="000000"/>
                <w:sz w:val="24"/>
                <w:szCs w:val="24"/>
                <w:lang w:val="en-GB"/>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2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二、商务部分（满分37分）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5" w:hRule="atLeast"/>
        </w:trPr>
        <w:tc>
          <w:tcPr>
            <w:tcW w:w="795"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rPr>
                <w:rFonts w:ascii="宋体" w:hAnsi="宋体" w:cs="宋体"/>
                <w:color w:val="000000"/>
                <w:sz w:val="24"/>
                <w:szCs w:val="24"/>
                <w:lang w:val="en-GB"/>
              </w:rPr>
            </w:pPr>
            <w:r>
              <w:rPr>
                <w:rFonts w:hint="eastAsia" w:ascii="宋体" w:hAnsi="宋体" w:cs="宋体"/>
                <w:color w:val="000000"/>
                <w:sz w:val="24"/>
                <w:szCs w:val="24"/>
                <w:lang w:val="en-GB"/>
              </w:rPr>
              <w:t>企业</w:t>
            </w:r>
          </w:p>
          <w:p>
            <w:pPr>
              <w:widowControl/>
              <w:shd w:val="clear" w:color="auto" w:fill="FFFFFF"/>
              <w:spacing w:line="360" w:lineRule="auto"/>
              <w:rPr>
                <w:rFonts w:ascii="宋体" w:hAnsi="宋体" w:cs="宋体"/>
                <w:color w:val="000000"/>
                <w:sz w:val="24"/>
                <w:szCs w:val="24"/>
                <w:lang w:val="en-GB"/>
              </w:rPr>
            </w:pPr>
            <w:r>
              <w:rPr>
                <w:rFonts w:hint="eastAsia" w:ascii="宋体" w:hAnsi="宋体" w:cs="宋体"/>
                <w:color w:val="000000"/>
                <w:sz w:val="24"/>
                <w:szCs w:val="24"/>
                <w:lang w:val="en-GB"/>
              </w:rPr>
              <w:t>实力</w:t>
            </w:r>
          </w:p>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资质证书</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1、质量管理体系认证（ISO9001）证书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2、信息技术服务管理体系认证（ISO20000）证书；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3、信息安全管理体系认证（ISO27001）证书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4、信息技术服务运行维护(ITSS)证书；</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5、安防工程企业设计施工维护能力证书 一级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6、企业信用等级证书AAA级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7、安全生产许可证；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8、高新技术企业证书。</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具有8个得4分；5-7个，得3分；其他不得分。</w:t>
            </w:r>
          </w:p>
        </w:tc>
        <w:tc>
          <w:tcPr>
            <w:tcW w:w="1002" w:type="dxa"/>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95" w:type="dxa"/>
            <w:vMerge w:val="continue"/>
            <w:tcBorders>
              <w:left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建筑企业资质证书（电子与智能化工程专业承包贰级及以上）； </w:t>
            </w:r>
          </w:p>
        </w:tc>
        <w:tc>
          <w:tcPr>
            <w:tcW w:w="1002" w:type="dxa"/>
            <w:tcBorders>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vMerge w:val="continue"/>
            <w:tcBorders>
              <w:left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软件成熟度模型</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提供软件成熟度CMMI5认证得2分，CMMI4得1分，CMMI3级及以下不得分。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信息系统集成及服务行业大型骨干企业</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提供上一年度“信息系统集成及服务行业大型骨干企业”称号得3分，未提供不得分。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自主研发和服务能力</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投标人具备城市智慧园区项目软件开发能力，获得与本项目建设内容相关自主知识产权的软件著作权证书，证书名称必须包含与本项目相关的关键字：</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“园区智脑”、“园区IOC”、“招商规划”、“产业经济监测”、“产业运行监测分析”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 每提供一个得2分，本项最高得10分，不提供不得分。</w:t>
            </w:r>
          </w:p>
          <w:p>
            <w:pPr>
              <w:widowControl/>
              <w:shd w:val="clear" w:color="auto" w:fill="FFFFFF"/>
              <w:spacing w:line="360" w:lineRule="auto"/>
              <w:ind w:firstLine="480" w:firstLineChars="200"/>
              <w:jc w:val="left"/>
              <w:rPr>
                <w:rFonts w:ascii="宋体" w:hAnsi="宋体" w:cs="宋体"/>
                <w:color w:val="000000"/>
                <w:sz w:val="24"/>
                <w:szCs w:val="24"/>
                <w:lang w:val="en-GB"/>
              </w:rPr>
            </w:pP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10</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项目团队成员中具有高级项目经理证书，1人得1分，最高得2分；不提供不得分。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项目建设经验</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必须具备自2016年1月1日至本项目招标公告发布之日为止政府信息化项目，合同项目名称中包含“智慧园区”或“大数据”或“数据中心”或“园区数据管理”或“运营中心”或“指挥中心”或“大数据”、“数据资源”或“数据共享”字样 且单项合同金额≥300万元。 投标人须提供合同关键页（封面、金额页、签章页）。</w:t>
            </w:r>
          </w:p>
          <w:p>
            <w:pPr>
              <w:widowControl/>
              <w:shd w:val="clear" w:color="auto" w:fill="FFFFFF"/>
              <w:spacing w:line="360" w:lineRule="auto"/>
              <w:ind w:firstLine="480" w:firstLineChars="200"/>
              <w:jc w:val="left"/>
              <w:rPr>
                <w:rFonts w:ascii="宋体" w:hAnsi="宋体" w:cs="宋体"/>
                <w:color w:val="000000"/>
                <w:sz w:val="24"/>
                <w:szCs w:val="24"/>
                <w:lang w:val="en-GB"/>
              </w:rPr>
            </w:pP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每提供一个得1.5分，本项最高得15分，不提供不得分。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42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三、技术部分（满分43分）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对项目的理解程度、实施方案、进度计划的完整性、合理性</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人提供的相关描述，考察各投标人是否深入阐述客户建设现状及项目需求的理解，建设方案和进度计划的完整性、合理性，进行详细描述。由评委在各投标人之间进行横向比较后分档给分：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 xml:space="preserve">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数据库建设方案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人提供的数据库建设方案，须包含基础数据库、模块化政策匹配库、公共服务资源库、专业服务资源库、招商主题库等数据库设计内容。内容详细，思路清晰，根据响应程度优得5分，中得3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园区服务系统建设方案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根据投标人提供的园区服务系统建设方案，须实现企业行政事项申报和园区服务信息推送一体化服务，实现推动园区管理向园区服务转变。内容详细，思路清晰，根据响应程度优得2分，中得1分，差不得分。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2</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为满足园区服务系统建设要求，保证建设效果，投标人应具备园区服务系统相关软件著作权，著作权名称含关键字:“服务门户”、“信息服务”、“运营服务”、“信息管理”、“数据上报”、“行政审批”。</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园区招商系统建设方案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提供的园区招商系统建设方案，须实时呈现集聚区招商成果、重大项目情况、各类招商资源利用情况等产业招商动态与进展。形成产业招商大数据资产，建立产业招商资源库、产业招商项目库、产业招商业务库；建立产业招商大数据采集、清洗、融合一体化标准体系。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为满足园区招商系统建设要求，保证建设效果，投标人应具备园区招商系统相关软件著作权，著作权名称含关键字:“招商规划”、“招商评测”、“资源”、“流程”、“资源分析”、“企业资源”。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r>
              <w:rPr>
                <w:rFonts w:hint="eastAsia" w:ascii="宋体" w:hAnsi="宋体" w:cs="宋体"/>
                <w:color w:val="000000"/>
                <w:sz w:val="24"/>
                <w:szCs w:val="24"/>
                <w:lang w:val="en-GB"/>
              </w:rPr>
              <w:t>产业监测系统建设方案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提供的产业监测系统建设方案，能够全面监测产业集聚区的产业经济运行情况以及企业评价水平。对集聚区经济总量、质量、效益等综合指标等多维度监测分析和趋势研判；通过建立数据分析和综合评价模型，对企业实施分类综合评价，为推进企业提供决策支持。内容详细，思路清晰，根据响应程度优得2分，中得1分，差不得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2</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产业监测系统建设要求，保证建设效果，投标人应具备产业监测系统相关软件软件著作权，著作权名称含关键字:“产业分析”、“产业发展”、“产业经济”、“产业监测”、“产业大数据”、“产业大数据分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大数据分析平台建设方案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提供的大数据分析平台建设方案，须对禹州产业集聚区的产业运行状况、环境质量、企业安全生产情况、能耗监测以及招商成果等进行分析，同时借助分析结果及园区相关历史数据对各种情况进行趋势预测，辅助园区管理者进行各类园区发展决策。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2</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大数据分析平台建设要求，保证建设效果，投标人应具备大数据分析平台相关软件软件著作权，著作权名称含关键字:“大数据建模”、“大数据应用”、“大数据可视化”、“城市大数据”、“数据资源管理”、“数据采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实施方案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实施方案需要描述招标人的实际，详实、合理，包括实施步骤和实施方法论，计划的可操作性的。</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优得1分，中得0.5分，差不得分。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项目管理</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项目计划（完整性、可行性）；项目的组织保障体系、过程管理、项目管理方法组成和项目质量保障措施和手段，内容编制完整合理。</w:t>
            </w:r>
          </w:p>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优得1分，中得0.5分，差不得分。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售后服务</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1）根据投标人须提供明确的、完善的、服务措施具体的、具备可操作性和响应及时的售后服务方案。针对本项目免费质保期1年；响应时间：接用户报修电话 12 小时内到达现场，24 小时内解决问题。</w:t>
            </w:r>
          </w:p>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2）投标企业</w:t>
            </w:r>
            <w:r>
              <w:rPr>
                <w:rFonts w:hint="eastAsia" w:asciiTheme="majorEastAsia" w:hAnsiTheme="majorEastAsia" w:eastAsiaTheme="majorEastAsia" w:cstheme="majorEastAsia"/>
                <w:color w:val="000000"/>
                <w:kern w:val="0"/>
                <w:sz w:val="24"/>
                <w:szCs w:val="24"/>
                <w:lang w:eastAsia="zh-CN"/>
              </w:rPr>
              <w:t>承诺</w:t>
            </w:r>
            <w:r>
              <w:rPr>
                <w:rFonts w:hint="eastAsia" w:asciiTheme="majorEastAsia" w:hAnsiTheme="majorEastAsia" w:eastAsiaTheme="majorEastAsia" w:cstheme="majorEastAsia"/>
                <w:color w:val="000000"/>
                <w:kern w:val="0"/>
                <w:sz w:val="24"/>
                <w:szCs w:val="24"/>
              </w:rPr>
              <w:t>能够</w:t>
            </w:r>
            <w:r>
              <w:rPr>
                <w:rFonts w:hint="eastAsia" w:asciiTheme="majorEastAsia" w:hAnsiTheme="majorEastAsia" w:eastAsiaTheme="majorEastAsia" w:cstheme="majorEastAsia"/>
                <w:color w:val="000000"/>
                <w:kern w:val="0"/>
                <w:sz w:val="24"/>
                <w:szCs w:val="24"/>
                <w:lang w:eastAsia="zh-CN"/>
              </w:rPr>
              <w:t>在</w:t>
            </w:r>
            <w:r>
              <w:rPr>
                <w:rFonts w:hint="eastAsia" w:asciiTheme="majorEastAsia" w:hAnsiTheme="majorEastAsia" w:eastAsiaTheme="majorEastAsia" w:cstheme="majorEastAsia"/>
                <w:color w:val="000000"/>
                <w:kern w:val="0"/>
                <w:sz w:val="24"/>
                <w:szCs w:val="24"/>
              </w:rPr>
              <w:t>项目地明确售后服务网点名称、地址、联系人和联系电话；且在项目地的售后服务网点能够对项目运维服务</w:t>
            </w:r>
            <w:r>
              <w:rPr>
                <w:rFonts w:hint="eastAsia" w:asciiTheme="majorEastAsia" w:hAnsiTheme="majorEastAsia" w:eastAsiaTheme="majorEastAsia" w:cstheme="majorEastAsia"/>
                <w:color w:val="000000"/>
                <w:kern w:val="0"/>
                <w:sz w:val="24"/>
                <w:szCs w:val="24"/>
                <w:lang w:eastAsia="zh-CN"/>
              </w:rPr>
              <w:t>的。</w:t>
            </w:r>
          </w:p>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以上均满足得1分，不满足不得分。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投标文件的规范性和完整性</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根据投标文件对招标文件的响应程度评分，做到内容齐全、详实，评委评分导览清晰，评委在0-1分之间打分。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5D1F0770"/>
    <w:multiLevelType w:val="singleLevel"/>
    <w:tmpl w:val="5D1F0770"/>
    <w:lvl w:ilvl="0" w:tentative="0">
      <w:start w:val="1"/>
      <w:numFmt w:val="chineseCounting"/>
      <w:suff w:val="nothing"/>
      <w:lvlText w:val="（%1）"/>
      <w:lvlJc w:val="left"/>
      <w:rPr>
        <w:rFonts w:hint="eastAsia"/>
      </w:r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3"/>
  </w:num>
  <w:num w:numId="6">
    <w:abstractNumId w:val="7"/>
  </w:num>
  <w:num w:numId="7">
    <w:abstractNumId w:val="9"/>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106A9A"/>
    <w:rsid w:val="027C7D92"/>
    <w:rsid w:val="032449BC"/>
    <w:rsid w:val="037217D3"/>
    <w:rsid w:val="03A87C38"/>
    <w:rsid w:val="03C54AE6"/>
    <w:rsid w:val="067B2CDB"/>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CF46B6D"/>
    <w:rsid w:val="0D403087"/>
    <w:rsid w:val="0E42546E"/>
    <w:rsid w:val="0F485C64"/>
    <w:rsid w:val="0FD30C14"/>
    <w:rsid w:val="0FDD5B4D"/>
    <w:rsid w:val="101B403B"/>
    <w:rsid w:val="110E6851"/>
    <w:rsid w:val="116D26CD"/>
    <w:rsid w:val="11C23651"/>
    <w:rsid w:val="11E13F76"/>
    <w:rsid w:val="129267D1"/>
    <w:rsid w:val="12C422CE"/>
    <w:rsid w:val="13903C42"/>
    <w:rsid w:val="13EB69AF"/>
    <w:rsid w:val="13EF7D11"/>
    <w:rsid w:val="140778EB"/>
    <w:rsid w:val="155C6126"/>
    <w:rsid w:val="158908A7"/>
    <w:rsid w:val="160E3E81"/>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8E722F"/>
    <w:rsid w:val="1F8E45BB"/>
    <w:rsid w:val="1FE15514"/>
    <w:rsid w:val="1FF158F3"/>
    <w:rsid w:val="208614E5"/>
    <w:rsid w:val="2157706F"/>
    <w:rsid w:val="21DC7D3C"/>
    <w:rsid w:val="21DD4A96"/>
    <w:rsid w:val="2298317C"/>
    <w:rsid w:val="22CE29EE"/>
    <w:rsid w:val="24D35795"/>
    <w:rsid w:val="255E48CD"/>
    <w:rsid w:val="26355E59"/>
    <w:rsid w:val="26B87348"/>
    <w:rsid w:val="271F4B16"/>
    <w:rsid w:val="275038F3"/>
    <w:rsid w:val="27CD14F5"/>
    <w:rsid w:val="27EA1DCB"/>
    <w:rsid w:val="28E96646"/>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2006E5"/>
    <w:rsid w:val="3CBF1608"/>
    <w:rsid w:val="3CC749D9"/>
    <w:rsid w:val="3CFB31CE"/>
    <w:rsid w:val="3D6D24AD"/>
    <w:rsid w:val="3DCA2531"/>
    <w:rsid w:val="3DDA3322"/>
    <w:rsid w:val="3E3A26DB"/>
    <w:rsid w:val="3EA20E92"/>
    <w:rsid w:val="3EB5338A"/>
    <w:rsid w:val="3F263B0E"/>
    <w:rsid w:val="414D7438"/>
    <w:rsid w:val="41572B91"/>
    <w:rsid w:val="41A16B13"/>
    <w:rsid w:val="41EF3AE9"/>
    <w:rsid w:val="42065704"/>
    <w:rsid w:val="423A7A11"/>
    <w:rsid w:val="428968C5"/>
    <w:rsid w:val="430D37F8"/>
    <w:rsid w:val="43420F67"/>
    <w:rsid w:val="43553AAC"/>
    <w:rsid w:val="43AF27C5"/>
    <w:rsid w:val="443E3AC2"/>
    <w:rsid w:val="444772BC"/>
    <w:rsid w:val="444A0A6A"/>
    <w:rsid w:val="444D773E"/>
    <w:rsid w:val="44972791"/>
    <w:rsid w:val="44BF39EE"/>
    <w:rsid w:val="458D2A4C"/>
    <w:rsid w:val="459D509E"/>
    <w:rsid w:val="45A926DC"/>
    <w:rsid w:val="45FC4042"/>
    <w:rsid w:val="477C4489"/>
    <w:rsid w:val="477E79DB"/>
    <w:rsid w:val="47EC2F8F"/>
    <w:rsid w:val="48BB1E61"/>
    <w:rsid w:val="48E44347"/>
    <w:rsid w:val="4AB4093D"/>
    <w:rsid w:val="4AE22F4C"/>
    <w:rsid w:val="4B536EA5"/>
    <w:rsid w:val="4CA91082"/>
    <w:rsid w:val="4D1C4C00"/>
    <w:rsid w:val="4E8F0D2C"/>
    <w:rsid w:val="4E9D24DB"/>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5EF2276"/>
    <w:rsid w:val="562D2F69"/>
    <w:rsid w:val="5703196B"/>
    <w:rsid w:val="57140DA8"/>
    <w:rsid w:val="574A43AC"/>
    <w:rsid w:val="58077CBD"/>
    <w:rsid w:val="5812110B"/>
    <w:rsid w:val="581E7A14"/>
    <w:rsid w:val="582E1358"/>
    <w:rsid w:val="58323449"/>
    <w:rsid w:val="58FD658D"/>
    <w:rsid w:val="59454145"/>
    <w:rsid w:val="5B0C6CA4"/>
    <w:rsid w:val="5BCD4474"/>
    <w:rsid w:val="5CEE43D7"/>
    <w:rsid w:val="5CFD3C28"/>
    <w:rsid w:val="5E2C7B65"/>
    <w:rsid w:val="5EB8046C"/>
    <w:rsid w:val="5EC23D91"/>
    <w:rsid w:val="5EEA6FD8"/>
    <w:rsid w:val="5F5D3B89"/>
    <w:rsid w:val="5F91300B"/>
    <w:rsid w:val="5FBD74DE"/>
    <w:rsid w:val="601812B8"/>
    <w:rsid w:val="60BD0412"/>
    <w:rsid w:val="60ED4CD7"/>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744F84"/>
    <w:rsid w:val="6D8D5D8A"/>
    <w:rsid w:val="6DE87E82"/>
    <w:rsid w:val="6DFC3DF2"/>
    <w:rsid w:val="6E673C05"/>
    <w:rsid w:val="6E6F4DC3"/>
    <w:rsid w:val="6E7511ED"/>
    <w:rsid w:val="6E76180E"/>
    <w:rsid w:val="6ED546F7"/>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EA3934"/>
    <w:rsid w:val="76AF6448"/>
    <w:rsid w:val="774700AD"/>
    <w:rsid w:val="777E0158"/>
    <w:rsid w:val="788A0F31"/>
    <w:rsid w:val="789A7C82"/>
    <w:rsid w:val="78F56DD8"/>
    <w:rsid w:val="79373D17"/>
    <w:rsid w:val="7A77760E"/>
    <w:rsid w:val="7AC70899"/>
    <w:rsid w:val="7B3F7553"/>
    <w:rsid w:val="7B7986D1"/>
    <w:rsid w:val="7B877587"/>
    <w:rsid w:val="7BC608BE"/>
    <w:rsid w:val="7E0F106D"/>
    <w:rsid w:val="7EE52F06"/>
    <w:rsid w:val="7F7C60D3"/>
    <w:rsid w:val="7FD373AA"/>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2019-08-21T08:15:22Z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