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华文中宋" w:hAnsi="华文中宋" w:eastAsia="华文中宋"/>
          <w:sz w:val="28"/>
          <w:szCs w:val="28"/>
        </w:rPr>
      </w:pPr>
    </w:p>
    <w:p>
      <w:pPr>
        <w:jc w:val="center"/>
        <w:rPr>
          <w:rFonts w:hint="default" w:eastAsia="宋体"/>
          <w:sz w:val="72"/>
          <w:szCs w:val="72"/>
          <w:lang w:val="en-US" w:eastAsia="zh-CN"/>
        </w:rPr>
      </w:pPr>
      <w:r>
        <w:rPr>
          <w:rFonts w:hint="eastAsia" w:ascii="隶书" w:hAnsi="宋体" w:eastAsia="黑体"/>
          <w:b/>
          <w:bCs/>
          <w:sz w:val="48"/>
          <w:szCs w:val="48"/>
          <w:lang w:val="en-US" w:eastAsia="zh-CN"/>
        </w:rPr>
        <w:t>双洎河湿地公园防洪影响评价（二次）</w:t>
      </w:r>
    </w:p>
    <w:p>
      <w:pPr>
        <w:pStyle w:val="18"/>
      </w:pPr>
    </w:p>
    <w:p>
      <w:pPr>
        <w:adjustRightInd w:val="0"/>
        <w:snapToGrid w:val="0"/>
        <w:rPr>
          <w:rFonts w:ascii="楷体" w:hAnsi="楷体" w:eastAsia="楷体" w:cs="楷体"/>
          <w:b/>
          <w:sz w:val="72"/>
          <w:szCs w:val="96"/>
        </w:rPr>
      </w:pPr>
    </w:p>
    <w:p>
      <w:pPr>
        <w:adjustRightInd w:val="0"/>
        <w:snapToGrid w:val="0"/>
        <w:jc w:val="center"/>
        <w:rPr>
          <w:rFonts w:ascii="楷体" w:hAnsi="楷体" w:eastAsia="楷体"/>
          <w:b/>
          <w:bCs/>
          <w:sz w:val="96"/>
          <w:szCs w:val="96"/>
        </w:rPr>
      </w:pPr>
      <w:r>
        <w:rPr>
          <w:rFonts w:hint="eastAsia" w:ascii="楷体" w:hAnsi="楷体" w:eastAsia="楷体" w:cs="楷体"/>
          <w:b/>
          <w:bCs/>
          <w:sz w:val="96"/>
          <w:szCs w:val="96"/>
        </w:rPr>
        <w:t>竞争性谈判文件</w:t>
      </w:r>
    </w:p>
    <w:p/>
    <w:p/>
    <w:p>
      <w:pPr>
        <w:pStyle w:val="32"/>
        <w:ind w:firstLine="240"/>
      </w:pPr>
    </w:p>
    <w:p/>
    <w:p/>
    <w:p>
      <w:pPr>
        <w:adjustRightInd w:val="0"/>
        <w:snapToGrid w:val="0"/>
        <w:spacing w:line="300" w:lineRule="auto"/>
        <w:rPr>
          <w:rFonts w:ascii="隶书" w:eastAsia="隶书"/>
          <w:b/>
          <w:bCs/>
          <w:sz w:val="28"/>
        </w:rPr>
      </w:pPr>
    </w:p>
    <w:p>
      <w:pPr>
        <w:pStyle w:val="18"/>
      </w:pP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项目编号：长招采竞字【2019】0</w:t>
      </w:r>
      <w:r>
        <w:rPr>
          <w:rFonts w:hint="eastAsia" w:asciiTheme="minorEastAsia" w:hAnsiTheme="minorEastAsia" w:eastAsiaTheme="minorEastAsia" w:cstheme="minorEastAsia"/>
          <w:b/>
          <w:bCs/>
          <w:sz w:val="28"/>
          <w:szCs w:val="28"/>
          <w:lang w:val="en-US" w:eastAsia="zh-CN"/>
        </w:rPr>
        <w:t>83</w:t>
      </w:r>
      <w:r>
        <w:rPr>
          <w:rFonts w:hint="eastAsia" w:asciiTheme="minorEastAsia" w:hAnsiTheme="minorEastAsia" w:eastAsiaTheme="minorEastAsia" w:cstheme="minorEastAsia"/>
          <w:b/>
          <w:bCs/>
          <w:sz w:val="28"/>
          <w:szCs w:val="28"/>
        </w:rPr>
        <w:t>号</w:t>
      </w:r>
    </w:p>
    <w:p>
      <w:pPr>
        <w:adjustRightInd w:val="0"/>
        <w:snapToGrid w:val="0"/>
        <w:spacing w:line="360" w:lineRule="auto"/>
        <w:ind w:left="3081" w:leftChars="798" w:hanging="1405" w:hangingChars="500"/>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项目名称：双洎河湿地公园防洪影响评价</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lang w:val="en-US" w:eastAsia="zh-CN"/>
        </w:rPr>
        <w:t>二次</w:t>
      </w:r>
      <w:r>
        <w:rPr>
          <w:rFonts w:hint="eastAsia" w:asciiTheme="minorEastAsia" w:hAnsiTheme="minorEastAsia" w:eastAsiaTheme="minorEastAsia" w:cstheme="minorEastAsia"/>
          <w:b/>
          <w:bCs/>
          <w:sz w:val="28"/>
          <w:szCs w:val="28"/>
          <w:lang w:eastAsia="zh-CN"/>
        </w:rPr>
        <w:t>）</w:t>
      </w:r>
    </w:p>
    <w:p>
      <w:pPr>
        <w:adjustRightInd w:val="0"/>
        <w:snapToGrid w:val="0"/>
        <w:spacing w:line="360" w:lineRule="auto"/>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 xml:space="preserve">            采 购 人：长葛市</w:t>
      </w:r>
      <w:r>
        <w:rPr>
          <w:rFonts w:hint="eastAsia" w:asciiTheme="minorEastAsia" w:hAnsiTheme="minorEastAsia" w:eastAsiaTheme="minorEastAsia" w:cstheme="minorEastAsia"/>
          <w:b/>
          <w:bCs/>
          <w:sz w:val="28"/>
          <w:szCs w:val="28"/>
          <w:lang w:val="en-US" w:eastAsia="zh-CN"/>
        </w:rPr>
        <w:t>双洎河国家湿地公园管理中心</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集中采购机构：长葛市公共资源交易中心</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ind w:firstLine="3373" w:firstLineChars="1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二〇一九年八月</w:t>
      </w:r>
    </w:p>
    <w:p>
      <w:pPr>
        <w:spacing w:line="360" w:lineRule="auto"/>
        <w:rPr>
          <w:rFonts w:ascii="宋体"/>
        </w:rPr>
      </w:pPr>
    </w:p>
    <w:p>
      <w:pPr>
        <w:pStyle w:val="32"/>
        <w:ind w:firstLine="281"/>
        <w:rPr>
          <w:rFonts w:ascii="宋体" w:cs="宋体"/>
          <w:b/>
          <w:bCs/>
          <w:sz w:val="28"/>
          <w:szCs w:val="28"/>
        </w:rPr>
        <w:sectPr>
          <w:headerReference r:id="rId5" w:type="first"/>
          <w:headerReference r:id="rId3" w:type="default"/>
          <w:footerReference r:id="rId6" w:type="default"/>
          <w:headerReference r:id="rId4" w:type="even"/>
          <w:footerReference r:id="rId7" w:type="even"/>
          <w:pgSz w:w="11910" w:h="16840"/>
          <w:pgMar w:top="1440" w:right="1800" w:bottom="1440" w:left="1800" w:header="0" w:footer="894" w:gutter="0"/>
          <w:pgNumType w:start="1"/>
          <w:cols w:space="720" w:num="1"/>
          <w:titlePg/>
        </w:sectPr>
      </w:pPr>
    </w:p>
    <w:p>
      <w:pPr>
        <w:widowControl/>
        <w:jc w:val="left"/>
        <w:rPr>
          <w:rFonts w:ascii="华文中宋" w:hAnsi="华文中宋" w:eastAsia="华文中宋"/>
          <w:b/>
          <w:kern w:val="36"/>
          <w:sz w:val="44"/>
          <w:szCs w:val="44"/>
        </w:rPr>
      </w:pPr>
    </w:p>
    <w:p>
      <w:pPr>
        <w:widowControl/>
        <w:spacing w:line="480" w:lineRule="exact"/>
        <w:jc w:val="center"/>
        <w:rPr>
          <w:rFonts w:ascii="华文中宋" w:hAnsi="华文中宋" w:eastAsia="华文中宋"/>
          <w:b/>
          <w:kern w:val="36"/>
          <w:sz w:val="44"/>
          <w:szCs w:val="44"/>
        </w:rPr>
      </w:pPr>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采购合同专用条款</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第七章  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p>
    <w:p>
      <w:pPr>
        <w:adjustRightInd w:val="0"/>
        <w:snapToGrid w:val="0"/>
        <w:spacing w:afterLines="50" w:line="320" w:lineRule="exact"/>
        <w:ind w:right="521" w:rightChars="248"/>
        <w:rPr>
          <w:rFonts w:ascii="楷体_GB2312" w:hAnsi="宋体" w:eastAsia="楷体_GB2312"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cs="Arial" w:asciiTheme="minorEastAsia" w:hAnsiTheme="minorEastAsia" w:eastAsiaTheme="minorEastAsia"/>
          <w:sz w:val="32"/>
          <w:szCs w:val="28"/>
        </w:rPr>
      </w:pPr>
      <w:r>
        <w:rPr>
          <w:rFonts w:hint="eastAsia" w:ascii="宋体" w:hAnsi="宋体"/>
          <w:b/>
          <w:kern w:val="36"/>
          <w:sz w:val="24"/>
          <w:szCs w:val="24"/>
        </w:rPr>
        <w:br w:type="page"/>
      </w:r>
      <w:r>
        <w:rPr>
          <w:rFonts w:hint="eastAsia" w:asciiTheme="minorEastAsia" w:hAnsiTheme="minorEastAsia" w:eastAsiaTheme="minorEastAsia"/>
          <w:b/>
          <w:sz w:val="40"/>
          <w:szCs w:val="40"/>
        </w:rPr>
        <w:t>第</w:t>
      </w:r>
      <w:r>
        <w:rPr>
          <w:rFonts w:asciiTheme="minorEastAsia" w:hAnsiTheme="minorEastAsia" w:eastAsiaTheme="minorEastAsia"/>
          <w:b/>
          <w:sz w:val="40"/>
          <w:szCs w:val="40"/>
        </w:rPr>
        <w:t>一章</w:t>
      </w:r>
      <w:r>
        <w:rPr>
          <w:rFonts w:hint="eastAsia" w:asciiTheme="minorEastAsia" w:hAnsiTheme="minorEastAsia" w:eastAsiaTheme="minorEastAsia"/>
          <w:b/>
          <w:sz w:val="40"/>
          <w:szCs w:val="40"/>
        </w:rPr>
        <w:t xml:space="preserve">  竞争性谈判邀请函</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u w:val="single"/>
        </w:rPr>
        <w:t>长葛市公共资源交易中心</w:t>
      </w:r>
      <w:r>
        <w:rPr>
          <w:rFonts w:hint="eastAsia" w:ascii="宋体" w:hAnsi="宋体" w:cs="宋体"/>
          <w:kern w:val="0"/>
          <w:sz w:val="24"/>
        </w:rPr>
        <w:t>受</w:t>
      </w:r>
      <w:r>
        <w:rPr>
          <w:rFonts w:hint="eastAsia" w:ascii="宋体" w:hAnsi="宋体" w:cs="宋体"/>
          <w:kern w:val="0"/>
          <w:sz w:val="24"/>
          <w:u w:val="single"/>
        </w:rPr>
        <w:t>长葛市双洎河国家湿地公园管理中心</w:t>
      </w:r>
      <w:r>
        <w:rPr>
          <w:rFonts w:hint="eastAsia" w:ascii="宋体" w:hAnsi="宋体" w:cs="宋体"/>
          <w:kern w:val="0"/>
          <w:sz w:val="24"/>
        </w:rPr>
        <w:t>的委托，根据委托协议委托的事项，就“双洎河湿地公园防洪影响评价</w:t>
      </w:r>
      <w:r>
        <w:rPr>
          <w:rFonts w:hint="eastAsia" w:ascii="宋体" w:hAnsi="宋体" w:cs="宋体"/>
          <w:kern w:val="0"/>
          <w:sz w:val="24"/>
          <w:lang w:eastAsia="zh-CN"/>
        </w:rPr>
        <w:t>（</w:t>
      </w:r>
      <w:r>
        <w:rPr>
          <w:rFonts w:hint="eastAsia" w:ascii="宋体" w:hAnsi="宋体" w:cs="宋体"/>
          <w:kern w:val="0"/>
          <w:sz w:val="24"/>
          <w:lang w:val="en-US" w:eastAsia="zh-CN"/>
        </w:rPr>
        <w:t>二次</w:t>
      </w:r>
      <w:r>
        <w:rPr>
          <w:rFonts w:hint="eastAsia" w:ascii="宋体" w:hAnsi="宋体" w:cs="宋体"/>
          <w:kern w:val="0"/>
          <w:sz w:val="24"/>
          <w:lang w:eastAsia="zh-CN"/>
        </w:rPr>
        <w:t>）</w:t>
      </w:r>
      <w:r>
        <w:rPr>
          <w:rFonts w:hint="eastAsia" w:ascii="宋体" w:hAnsi="宋体" w:cs="宋体"/>
          <w:kern w:val="0"/>
          <w:sz w:val="24"/>
        </w:rPr>
        <w:t>”项目进行竞争性谈判采购，欢迎合格的供应商参加谈判。</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一、项目基本情况</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（一）项目名称：双洎河湿地公园防洪影响评价</w:t>
      </w:r>
      <w:r>
        <w:rPr>
          <w:rFonts w:hint="eastAsia" w:ascii="宋体" w:hAnsi="宋体" w:cs="宋体"/>
          <w:kern w:val="0"/>
          <w:sz w:val="24"/>
          <w:lang w:eastAsia="zh-CN"/>
        </w:rPr>
        <w:t>（</w:t>
      </w:r>
      <w:r>
        <w:rPr>
          <w:rFonts w:hint="eastAsia" w:ascii="宋体" w:hAnsi="宋体" w:cs="宋体"/>
          <w:kern w:val="0"/>
          <w:sz w:val="24"/>
          <w:lang w:val="en-US" w:eastAsia="zh-CN"/>
        </w:rPr>
        <w:t>二次</w:t>
      </w:r>
      <w:r>
        <w:rPr>
          <w:rFonts w:hint="eastAsia" w:ascii="宋体" w:hAnsi="宋体" w:cs="宋体"/>
          <w:kern w:val="0"/>
          <w:sz w:val="24"/>
          <w:lang w:eastAsia="zh-CN"/>
        </w:rPr>
        <w:t>）</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（二）项目编号：长招采竞字【2019】0</w:t>
      </w:r>
      <w:r>
        <w:rPr>
          <w:rFonts w:hint="eastAsia"/>
          <w:shd w:val="clear" w:color="auto" w:fill="FFFFFF"/>
          <w:lang w:val="en-US" w:eastAsia="zh-CN"/>
        </w:rPr>
        <w:t>83</w:t>
      </w:r>
      <w:r>
        <w:rPr>
          <w:rFonts w:hint="eastAsia"/>
          <w:shd w:val="clear" w:color="auto" w:fill="FFFFFF"/>
        </w:rPr>
        <w:t>号</w:t>
      </w:r>
    </w:p>
    <w:p>
      <w:pPr>
        <w:pStyle w:val="126"/>
        <w:adjustRightInd w:val="0"/>
        <w:snapToGrid w:val="0"/>
        <w:spacing w:line="360" w:lineRule="auto"/>
        <w:ind w:firstLine="480"/>
        <w:jc w:val="both"/>
        <w:rPr>
          <w:rFonts w:hint="default" w:ascii="宋体" w:hAnsi="宋体" w:eastAsia="宋体" w:cs="宋体"/>
          <w:sz w:val="24"/>
          <w:szCs w:val="22"/>
          <w:lang w:val="en-US" w:eastAsia="zh-CN"/>
        </w:rPr>
      </w:pPr>
      <w:r>
        <w:rPr>
          <w:rFonts w:hint="eastAsia" w:ascii="宋体" w:hAnsi="宋体" w:cs="宋体"/>
          <w:sz w:val="24"/>
          <w:szCs w:val="22"/>
        </w:rPr>
        <w:t>（三）项目需求：</w:t>
      </w:r>
      <w:r>
        <w:rPr>
          <w:rFonts w:hint="eastAsia" w:ascii="宋体" w:hAnsi="宋体" w:cs="宋体"/>
          <w:sz w:val="24"/>
          <w:szCs w:val="22"/>
          <w:lang w:val="en-US" w:eastAsia="zh-CN"/>
        </w:rPr>
        <w:t>防洪影响评价报告编制</w:t>
      </w:r>
    </w:p>
    <w:p>
      <w:pPr>
        <w:pStyle w:val="30"/>
        <w:shd w:val="clear" w:color="auto" w:fill="FFFFFF"/>
        <w:spacing w:before="0" w:beforeAutospacing="0" w:after="0" w:afterAutospacing="0" w:line="360" w:lineRule="auto"/>
        <w:ind w:firstLine="556"/>
        <w:rPr>
          <w:szCs w:val="22"/>
        </w:rPr>
      </w:pPr>
      <w:r>
        <w:rPr>
          <w:rFonts w:hint="eastAsia"/>
          <w:szCs w:val="22"/>
        </w:rPr>
        <w:t>（四）预算金额：¥</w:t>
      </w:r>
      <w:r>
        <w:rPr>
          <w:rFonts w:hint="eastAsia"/>
          <w:szCs w:val="22"/>
          <w:lang w:val="en-US" w:eastAsia="zh-CN"/>
        </w:rPr>
        <w:t>18</w:t>
      </w:r>
      <w:r>
        <w:rPr>
          <w:rFonts w:hint="eastAsia"/>
          <w:szCs w:val="22"/>
        </w:rPr>
        <w:t>万元。（此预算金额为预算上限，超过此预算为无效报价）</w:t>
      </w:r>
    </w:p>
    <w:p>
      <w:pPr>
        <w:pStyle w:val="23"/>
        <w:spacing w:line="360" w:lineRule="auto"/>
        <w:ind w:firstLine="120" w:firstLineChars="50"/>
        <w:rPr>
          <w:rFonts w:ascii="宋体" w:hAnsi="宋体" w:cs="宋体"/>
          <w:kern w:val="0"/>
          <w:sz w:val="24"/>
          <w:szCs w:val="22"/>
        </w:rPr>
      </w:pPr>
      <w:r>
        <w:rPr>
          <w:rFonts w:hint="eastAsia" w:ascii="宋体" w:hAnsi="宋体" w:cs="宋体"/>
          <w:kern w:val="0"/>
          <w:sz w:val="24"/>
          <w:szCs w:val="22"/>
        </w:rPr>
        <w:t>（五）交付（服务、完工）时间：合同签订后</w:t>
      </w:r>
      <w:r>
        <w:rPr>
          <w:rFonts w:hint="eastAsia" w:ascii="宋体" w:hAnsi="宋体" w:cs="宋体"/>
          <w:kern w:val="0"/>
          <w:sz w:val="24"/>
          <w:szCs w:val="22"/>
          <w:lang w:val="en-US" w:eastAsia="zh-CN"/>
        </w:rPr>
        <w:t>30</w:t>
      </w:r>
      <w:r>
        <w:rPr>
          <w:rFonts w:hint="eastAsia" w:ascii="宋体" w:hAnsi="宋体" w:cs="宋体"/>
          <w:kern w:val="0"/>
          <w:sz w:val="24"/>
          <w:szCs w:val="22"/>
        </w:rPr>
        <w:t>日内。</w:t>
      </w:r>
    </w:p>
    <w:p>
      <w:pPr>
        <w:pStyle w:val="23"/>
        <w:spacing w:line="360" w:lineRule="auto"/>
        <w:ind w:firstLine="120" w:firstLineChars="50"/>
        <w:rPr>
          <w:rFonts w:ascii="宋体" w:hAnsi="宋体" w:cs="宋体"/>
          <w:kern w:val="0"/>
          <w:sz w:val="24"/>
          <w:szCs w:val="22"/>
        </w:rPr>
      </w:pPr>
      <w:r>
        <w:rPr>
          <w:rFonts w:hint="eastAsia" w:ascii="宋体" w:hAnsi="宋体" w:cs="宋体"/>
          <w:kern w:val="0"/>
          <w:sz w:val="24"/>
          <w:szCs w:val="22"/>
        </w:rPr>
        <w:t>（六）质量标准：合格（符合国家现行规范、规程、规定、标准的要求）。</w:t>
      </w:r>
    </w:p>
    <w:p>
      <w:pPr>
        <w:pStyle w:val="30"/>
        <w:shd w:val="clear" w:color="auto" w:fill="FFFFFF"/>
        <w:spacing w:before="0" w:beforeAutospacing="0" w:after="0" w:afterAutospacing="0" w:line="360" w:lineRule="auto"/>
        <w:ind w:firstLine="556"/>
        <w:rPr>
          <w:szCs w:val="22"/>
        </w:rPr>
      </w:pPr>
      <w:r>
        <w:rPr>
          <w:rFonts w:hint="eastAsia"/>
          <w:szCs w:val="22"/>
        </w:rPr>
        <w:t>（七）交付地点：采购人指定地点。</w:t>
      </w:r>
    </w:p>
    <w:p>
      <w:pPr>
        <w:pStyle w:val="30"/>
        <w:shd w:val="clear" w:color="auto" w:fill="FFFFFF"/>
        <w:spacing w:before="0" w:beforeAutospacing="0" w:after="0" w:afterAutospacing="0" w:line="360" w:lineRule="auto"/>
        <w:ind w:firstLine="562"/>
        <w:rPr>
          <w:b/>
          <w:bCs/>
        </w:rPr>
      </w:pPr>
      <w:r>
        <w:rPr>
          <w:rFonts w:hint="eastAsia"/>
          <w:b/>
          <w:bCs/>
        </w:rPr>
        <w:t>二、需要落实的政府采购政策</w:t>
      </w:r>
    </w:p>
    <w:p>
      <w:pPr>
        <w:pStyle w:val="30"/>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 xml:space="preserve">三、供应商资格要求 </w:t>
      </w:r>
    </w:p>
    <w:p>
      <w:pPr>
        <w:pStyle w:val="30"/>
        <w:shd w:val="clear" w:color="auto" w:fill="FFFFFF"/>
        <w:spacing w:before="0" w:beforeAutospacing="0" w:after="0" w:afterAutospacing="0" w:line="360" w:lineRule="auto"/>
        <w:ind w:firstLine="562"/>
      </w:pPr>
      <w:r>
        <w:rPr>
          <w:rFonts w:hint="eastAsia"/>
        </w:rPr>
        <w:t>（一）符合《中华人民共和国政府采购法》第二十二条之规定；</w:t>
      </w:r>
    </w:p>
    <w:p>
      <w:pPr>
        <w:spacing w:line="360" w:lineRule="auto"/>
      </w:pPr>
      <w:r>
        <w:rPr>
          <w:rFonts w:hint="eastAsia" w:ascii="宋体" w:hAnsi="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 （二）具有</w:t>
      </w:r>
      <w:r>
        <w:rPr>
          <w:rFonts w:hint="eastAsia" w:ascii="宋体" w:hAnsi="宋体" w:cs="宋体"/>
          <w:kern w:val="0"/>
          <w:sz w:val="24"/>
          <w:szCs w:val="24"/>
          <w:lang w:val="en-US" w:eastAsia="zh-CN"/>
        </w:rPr>
        <w:t>相应的业务经营范围</w:t>
      </w:r>
      <w:r>
        <w:rPr>
          <w:rFonts w:hint="eastAsia" w:ascii="宋体" w:hAnsi="宋体" w:cs="宋体"/>
          <w:kern w:val="0"/>
          <w:sz w:val="24"/>
          <w:szCs w:val="24"/>
        </w:rPr>
        <w:t>。</w:t>
      </w:r>
    </w:p>
    <w:p>
      <w:pPr>
        <w:pStyle w:val="30"/>
        <w:shd w:val="clear" w:color="auto" w:fill="FFFFFF"/>
        <w:spacing w:before="0" w:beforeAutospacing="0" w:after="0" w:afterAutospacing="0" w:line="360" w:lineRule="auto"/>
        <w:ind w:firstLine="562"/>
      </w:pPr>
      <w:r>
        <w:rPr>
          <w:rFonts w:hint="eastAsia"/>
        </w:rPr>
        <w:t>（三）未被列入“信用中国”网站(www.creditchina.gov.cn)失信被执行人、重大税收违法案件当事人名单、政府采购严重违法失信名单的供应商；“中国政府采购网” (www.ccgp.gov.cn)政府采购严重违法失信行为记录名单的供应商。</w:t>
      </w:r>
    </w:p>
    <w:p>
      <w:pPr>
        <w:pStyle w:val="30"/>
        <w:shd w:val="clear" w:color="auto" w:fill="FFFFFF"/>
        <w:spacing w:before="0" w:beforeAutospacing="0" w:after="0" w:afterAutospacing="0" w:line="360" w:lineRule="auto"/>
        <w:ind w:firstLine="562"/>
      </w:pPr>
      <w:r>
        <w:rPr>
          <w:rFonts w:hint="eastAsia"/>
        </w:rPr>
        <w:t>（四）本项目不接受联合体参加谈判。</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四、获取谈判文件的时间、地点、方式</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（一）网上下载谈判文件</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2、在谈判截止时间前均可登录【全国公共资源交易平台（河南省·许昌市）】“投标人/供应商登录”入口（http://221.14.6.70:8088/ggzy/）自行下载谈判文件（详见“常见问题解答-交易系统操作手册”）。</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（二）未通过【全国公共资源交易平台（河南省·许昌市）】下载谈判文件的供应商,拒收其递交的谈判响应文件。</w:t>
      </w:r>
    </w:p>
    <w:p>
      <w:pPr>
        <w:pStyle w:val="30"/>
        <w:shd w:val="clear" w:color="auto" w:fill="FFFFFF"/>
        <w:spacing w:before="0" w:beforeAutospacing="0" w:after="0" w:afterAutospacing="0" w:line="360" w:lineRule="auto"/>
        <w:ind w:firstLine="482" w:firstLineChars="200"/>
        <w:rPr>
          <w:b/>
          <w:bCs/>
        </w:rPr>
      </w:pPr>
      <w:r>
        <w:rPr>
          <w:rFonts w:hint="eastAsia"/>
          <w:b/>
          <w:bCs/>
          <w:shd w:val="clear" w:color="auto" w:fill="FFFFFF"/>
        </w:rPr>
        <w:t>五、谈判文件接收截止时间、谈判时间及地点</w:t>
      </w:r>
    </w:p>
    <w:p>
      <w:pPr>
        <w:pStyle w:val="30"/>
        <w:shd w:val="clear" w:color="auto" w:fill="FFFFFF"/>
        <w:spacing w:before="0" w:beforeAutospacing="0" w:after="0" w:afterAutospacing="0" w:line="360" w:lineRule="auto"/>
        <w:ind w:firstLine="562"/>
      </w:pPr>
      <w:r>
        <w:rPr>
          <w:rFonts w:hint="eastAsia"/>
          <w:shd w:val="clear" w:color="auto" w:fill="FFFFFF"/>
        </w:rPr>
        <w:t>（一）谈判文件接收截止及谈判时间：</w:t>
      </w:r>
      <w:r>
        <w:rPr>
          <w:rFonts w:hint="eastAsia"/>
          <w:color w:val="FF0000"/>
          <w:shd w:val="clear" w:color="auto" w:fill="FFFFFF"/>
        </w:rPr>
        <w:t>2019年</w:t>
      </w:r>
      <w:r>
        <w:rPr>
          <w:rFonts w:hint="eastAsia"/>
          <w:color w:val="FF0000"/>
          <w:shd w:val="clear" w:color="auto" w:fill="FFFFFF"/>
          <w:lang w:val="en-US" w:eastAsia="zh-CN"/>
        </w:rPr>
        <w:t>8</w:t>
      </w:r>
      <w:r>
        <w:rPr>
          <w:rFonts w:hint="eastAsia"/>
          <w:color w:val="FF0000"/>
          <w:shd w:val="clear" w:color="auto" w:fill="FFFFFF"/>
        </w:rPr>
        <w:t>月</w:t>
      </w:r>
      <w:r>
        <w:rPr>
          <w:rFonts w:hint="eastAsia"/>
          <w:color w:val="FF0000"/>
          <w:shd w:val="clear" w:color="auto" w:fill="FFFFFF"/>
          <w:lang w:val="en-US" w:eastAsia="zh-CN"/>
        </w:rPr>
        <w:t>26</w:t>
      </w:r>
      <w:r>
        <w:rPr>
          <w:rFonts w:hint="eastAsia"/>
          <w:color w:val="FF0000"/>
          <w:shd w:val="clear" w:color="auto" w:fill="FFFFFF"/>
        </w:rPr>
        <w:t>日</w:t>
      </w:r>
      <w:r>
        <w:rPr>
          <w:rFonts w:hint="eastAsia"/>
          <w:color w:val="FF0000"/>
          <w:shd w:val="clear" w:color="auto" w:fill="FFFFFF"/>
          <w:lang w:val="en-US" w:eastAsia="zh-CN"/>
        </w:rPr>
        <w:t xml:space="preserve">09 </w:t>
      </w:r>
      <w:r>
        <w:rPr>
          <w:rFonts w:hint="eastAsia"/>
          <w:color w:val="FF0000"/>
          <w:shd w:val="clear" w:color="auto" w:fill="FFFFFF"/>
        </w:rPr>
        <w:t>时</w:t>
      </w:r>
      <w:r>
        <w:rPr>
          <w:rFonts w:hint="eastAsia"/>
          <w:color w:val="FF0000"/>
          <w:shd w:val="clear" w:color="auto" w:fill="FFFFFF"/>
          <w:lang w:val="en-US" w:eastAsia="zh-CN"/>
        </w:rPr>
        <w:t>00</w:t>
      </w:r>
      <w:r>
        <w:rPr>
          <w:rFonts w:hint="eastAsia"/>
          <w:color w:val="FF0000"/>
          <w:shd w:val="clear" w:color="auto" w:fill="FFFFFF"/>
        </w:rPr>
        <w:t>分</w:t>
      </w:r>
      <w:r>
        <w:rPr>
          <w:rFonts w:hint="eastAsia"/>
          <w:shd w:val="clear" w:color="auto" w:fill="FFFFFF"/>
        </w:rPr>
        <w:t>（北京时间），逾期送达或不符合规定的响应文件不予接受。</w:t>
      </w:r>
    </w:p>
    <w:p>
      <w:pPr>
        <w:pStyle w:val="30"/>
        <w:shd w:val="clear" w:color="auto" w:fill="FFFFFF"/>
        <w:spacing w:before="0" w:beforeAutospacing="0" w:after="0" w:afterAutospacing="0" w:line="360" w:lineRule="auto"/>
        <w:rPr>
          <w:shd w:val="clear" w:color="auto" w:fill="FFFFFF"/>
        </w:rPr>
      </w:pPr>
      <w:r>
        <w:rPr>
          <w:rFonts w:hint="eastAsia"/>
          <w:shd w:val="clear" w:color="auto" w:fill="FFFFFF"/>
        </w:rPr>
        <w:t xml:space="preserve">    （二）谈判响应文件递交地点：</w:t>
      </w:r>
      <w:r>
        <w:rPr>
          <w:rFonts w:hint="eastAsia"/>
          <w:color w:val="FF0000"/>
          <w:shd w:val="clear" w:color="auto" w:fill="FFFFFF"/>
        </w:rPr>
        <w:t>长葛市</w:t>
      </w:r>
      <w:r>
        <w:rPr>
          <w:rFonts w:hint="eastAsia"/>
          <w:color w:val="FF0000"/>
        </w:rPr>
        <w:t>公共资源交易中心楼</w:t>
      </w:r>
      <w:r>
        <w:rPr>
          <w:rFonts w:hint="eastAsia"/>
          <w:color w:val="FF0000"/>
          <w:lang w:val="en-US" w:eastAsia="zh-CN"/>
        </w:rPr>
        <w:t>四</w:t>
      </w:r>
      <w:r>
        <w:rPr>
          <w:rFonts w:hint="eastAsia"/>
          <w:color w:val="FF0000"/>
        </w:rPr>
        <w:t>楼开标</w:t>
      </w:r>
      <w:r>
        <w:rPr>
          <w:rFonts w:hint="eastAsia"/>
          <w:color w:val="FF0000"/>
          <w:lang w:val="en-US" w:eastAsia="zh-CN"/>
        </w:rPr>
        <w:t>二</w:t>
      </w:r>
      <w:r>
        <w:rPr>
          <w:rFonts w:hint="eastAsia"/>
          <w:color w:val="FF0000"/>
        </w:rPr>
        <w:t>室</w:t>
      </w:r>
      <w:r>
        <w:rPr>
          <w:rFonts w:hint="eastAsia"/>
          <w:shd w:val="clear" w:color="auto" w:fill="FFFFFF"/>
        </w:rPr>
        <w:t>。</w:t>
      </w:r>
    </w:p>
    <w:p>
      <w:pPr>
        <w:pStyle w:val="30"/>
        <w:shd w:val="clear" w:color="auto" w:fill="FFFFFF"/>
        <w:spacing w:before="0" w:beforeAutospacing="0" w:after="0" w:afterAutospacing="0" w:line="360" w:lineRule="auto"/>
        <w:rPr>
          <w:shd w:val="clear" w:color="auto" w:fill="FFFFFF"/>
        </w:rPr>
      </w:pPr>
      <w:r>
        <w:rPr>
          <w:rFonts w:hint="eastAsia" w:cs="仿宋_GB2312"/>
          <w:color w:val="000000"/>
        </w:rPr>
        <w:t xml:space="preserve">    （三）谈判地点：</w:t>
      </w:r>
      <w:r>
        <w:rPr>
          <w:rFonts w:hint="eastAsia"/>
          <w:shd w:val="clear" w:color="auto" w:fill="FFFFFF"/>
        </w:rPr>
        <w:t>长葛市</w:t>
      </w:r>
      <w:r>
        <w:rPr>
          <w:rFonts w:hint="eastAsia"/>
        </w:rPr>
        <w:t>公共资源交易中心楼</w:t>
      </w:r>
      <w:r>
        <w:rPr>
          <w:rFonts w:hint="eastAsia"/>
          <w:lang w:val="en-US" w:eastAsia="zh-CN"/>
        </w:rPr>
        <w:t>五</w:t>
      </w:r>
      <w:r>
        <w:rPr>
          <w:rFonts w:hint="eastAsia"/>
        </w:rPr>
        <w:t>楼评标</w:t>
      </w:r>
      <w:r>
        <w:rPr>
          <w:rFonts w:hint="eastAsia"/>
          <w:lang w:val="en-US" w:eastAsia="zh-CN"/>
        </w:rPr>
        <w:t>二</w:t>
      </w:r>
      <w:r>
        <w:rPr>
          <w:rFonts w:hint="eastAsia"/>
        </w:rPr>
        <w:t>室</w:t>
      </w:r>
      <w:r>
        <w:rPr>
          <w:rFonts w:hint="eastAsia"/>
          <w:shd w:val="clear" w:color="auto" w:fill="FFFFFF"/>
        </w:rPr>
        <w:t>。</w:t>
      </w:r>
    </w:p>
    <w:p>
      <w:pPr>
        <w:pStyle w:val="30"/>
        <w:shd w:val="clear" w:color="auto" w:fill="FFFFFF"/>
        <w:spacing w:line="360" w:lineRule="auto"/>
        <w:ind w:firstLine="420"/>
        <w:rPr>
          <w:rFonts w:cs="仿宋_GB2312"/>
          <w:color w:val="000000"/>
        </w:rPr>
      </w:pPr>
      <w:r>
        <w:rPr>
          <w:rFonts w:hint="eastAsia" w:cs="仿宋_GB2312"/>
          <w:color w:val="000000"/>
        </w:rPr>
        <w:t>（四）本项目为全流程电子化交易项目，供应商须提交电子响应文件和纸质响应文件。</w:t>
      </w:r>
    </w:p>
    <w:p>
      <w:pPr>
        <w:pStyle w:val="30"/>
        <w:shd w:val="clear" w:color="auto" w:fill="FFFFFF"/>
        <w:spacing w:line="360" w:lineRule="auto"/>
        <w:ind w:firstLine="420"/>
        <w:rPr>
          <w:rFonts w:cs="仿宋_GB2312"/>
          <w:color w:val="000000"/>
        </w:rPr>
      </w:pPr>
      <w:r>
        <w:rPr>
          <w:rFonts w:hint="eastAsia" w:cs="仿宋_GB2312"/>
          <w:color w:val="000000"/>
        </w:rPr>
        <w:t>1、加密电子响应文件（.file格式）须在投标截止时间（开标时间）前通过《全国公共资源交易平台(河南省</w:t>
      </w:r>
      <w:r>
        <w:rPr>
          <w:rFonts w:hint="eastAsia" w:ascii="MS Mincho" w:hAnsi="MS Mincho" w:eastAsia="MS Mincho" w:cs="MS Mincho"/>
          <w:color w:val="000000"/>
        </w:rPr>
        <w:t>▪</w:t>
      </w:r>
      <w:r>
        <w:rPr>
          <w:rFonts w:hint="eastAsia"/>
          <w:color w:val="000000"/>
        </w:rPr>
        <w:t>许昌市</w:t>
      </w:r>
      <w:r>
        <w:rPr>
          <w:rFonts w:hint="eastAsia" w:cs="仿宋_GB2312"/>
          <w:color w:val="000000"/>
        </w:rPr>
        <w:t>)》公共资源交易系统成功上传。</w:t>
      </w:r>
    </w:p>
    <w:p>
      <w:pPr>
        <w:pStyle w:val="30"/>
        <w:shd w:val="clear" w:color="auto" w:fill="FFFFFF"/>
        <w:spacing w:line="360" w:lineRule="auto"/>
        <w:ind w:firstLine="420"/>
        <w:rPr>
          <w:rFonts w:cs="仿宋_GB2312"/>
          <w:color w:val="000000"/>
        </w:rPr>
      </w:pPr>
      <w:r>
        <w:rPr>
          <w:rFonts w:hint="eastAsia" w:cs="仿宋_GB2312"/>
          <w:color w:val="000000"/>
        </w:rPr>
        <w:t>2、纸质响应文件（正本1份、副本1份）和备份文件1份（使用电子介质存储）在投标截止时间（开标时间）前递交至本项目开标地点。</w:t>
      </w:r>
    </w:p>
    <w:p>
      <w:pPr>
        <w:pStyle w:val="30"/>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六、本次谈判公告同时在《河南省政府采购网》、《许昌市政府采购网》、《全国公共资源交易平台（河南省·许昌市）》发布。</w:t>
      </w:r>
    </w:p>
    <w:p>
      <w:pPr>
        <w:pStyle w:val="30"/>
        <w:shd w:val="clear" w:color="auto" w:fill="FFFFFF"/>
        <w:spacing w:before="0" w:beforeAutospacing="0" w:after="0" w:afterAutospacing="0" w:line="360" w:lineRule="auto"/>
        <w:ind w:firstLine="482" w:firstLineChars="200"/>
        <w:rPr>
          <w:shd w:val="clear" w:color="auto" w:fill="FFFFFF"/>
        </w:rPr>
      </w:pPr>
      <w:r>
        <w:rPr>
          <w:rFonts w:hint="eastAsia"/>
          <w:b/>
          <w:bCs/>
          <w:shd w:val="clear" w:color="auto" w:fill="FFFFFF"/>
        </w:rPr>
        <w:t>七、公告期限：</w:t>
      </w:r>
      <w:r>
        <w:rPr>
          <w:rFonts w:hint="eastAsia"/>
          <w:shd w:val="clear" w:color="auto" w:fill="FFFFFF"/>
        </w:rPr>
        <w:t>自本公告发布之日起3个工作日。</w:t>
      </w:r>
    </w:p>
    <w:p>
      <w:pPr>
        <w:pStyle w:val="30"/>
        <w:shd w:val="clear" w:color="auto" w:fill="FFFFFF"/>
        <w:spacing w:before="0" w:beforeAutospacing="0" w:after="0" w:afterAutospacing="0" w:line="360" w:lineRule="auto"/>
        <w:ind w:firstLine="482" w:firstLineChars="200"/>
        <w:rPr>
          <w:b/>
          <w:bCs/>
        </w:rPr>
      </w:pPr>
      <w:r>
        <w:rPr>
          <w:rFonts w:hint="eastAsia"/>
          <w:b/>
          <w:bCs/>
          <w:shd w:val="clear" w:color="auto" w:fill="FFFFFF"/>
        </w:rPr>
        <w:t>八、联系方式</w:t>
      </w:r>
    </w:p>
    <w:p>
      <w:pPr>
        <w:pStyle w:val="30"/>
        <w:shd w:val="clear" w:color="auto" w:fill="FFFFFF"/>
        <w:spacing w:line="360" w:lineRule="auto"/>
        <w:ind w:firstLine="420"/>
        <w:rPr>
          <w:rFonts w:cs="仿宋_GB2312"/>
        </w:rPr>
      </w:pPr>
      <w:r>
        <w:rPr>
          <w:rFonts w:hint="eastAsia" w:cs="仿宋_GB2312"/>
        </w:rPr>
        <w:t>招 标 人：长葛市双洎河国家湿地公园管理中心</w:t>
      </w:r>
    </w:p>
    <w:p>
      <w:pPr>
        <w:pStyle w:val="30"/>
        <w:shd w:val="clear" w:color="auto" w:fill="FFFFFF"/>
        <w:spacing w:line="360" w:lineRule="auto"/>
        <w:ind w:firstLine="420"/>
        <w:rPr>
          <w:rFonts w:cs="仿宋_GB2312"/>
        </w:rPr>
      </w:pPr>
      <w:r>
        <w:rPr>
          <w:rFonts w:hint="eastAsia" w:cs="仿宋_GB2312"/>
        </w:rPr>
        <w:t>地    址：长葛市葛天大道6号楼</w:t>
      </w:r>
    </w:p>
    <w:p>
      <w:pPr>
        <w:pStyle w:val="30"/>
        <w:shd w:val="clear" w:color="auto" w:fill="FFFFFF"/>
        <w:spacing w:line="360" w:lineRule="auto"/>
        <w:ind w:firstLine="420"/>
        <w:rPr>
          <w:rFonts w:cs="仿宋_GB2312"/>
        </w:rPr>
      </w:pPr>
      <w:r>
        <w:rPr>
          <w:rFonts w:hint="eastAsia" w:cs="仿宋_GB2312"/>
        </w:rPr>
        <w:t>联 系 人：</w:t>
      </w:r>
      <w:r>
        <w:rPr>
          <w:rFonts w:hint="eastAsia" w:cs="仿宋_GB2312"/>
          <w:lang w:val="en-US" w:eastAsia="zh-CN"/>
        </w:rPr>
        <w:t>张</w:t>
      </w:r>
      <w:r>
        <w:rPr>
          <w:rFonts w:hint="eastAsia" w:cs="仿宋_GB2312"/>
        </w:rPr>
        <w:t>先生</w:t>
      </w:r>
    </w:p>
    <w:p>
      <w:pPr>
        <w:pStyle w:val="30"/>
        <w:shd w:val="clear" w:color="auto" w:fill="FFFFFF"/>
        <w:spacing w:line="360" w:lineRule="auto"/>
        <w:ind w:firstLine="420"/>
        <w:rPr>
          <w:rFonts w:hint="default" w:eastAsia="宋体" w:cs="仿宋_GB2312"/>
          <w:lang w:val="en-US" w:eastAsia="zh-CN"/>
        </w:rPr>
      </w:pPr>
      <w:r>
        <w:rPr>
          <w:rFonts w:hint="eastAsia" w:cs="仿宋_GB2312"/>
        </w:rPr>
        <w:t>联系电话：</w:t>
      </w:r>
      <w:r>
        <w:rPr>
          <w:rFonts w:hint="eastAsia" w:cs="仿宋_GB2312"/>
          <w:lang w:val="en-US" w:eastAsia="zh-CN"/>
        </w:rPr>
        <w:t>15936312340</w:t>
      </w:r>
    </w:p>
    <w:p>
      <w:pPr>
        <w:pStyle w:val="30"/>
        <w:shd w:val="clear" w:color="auto" w:fill="FFFFFF"/>
        <w:spacing w:line="360" w:lineRule="auto"/>
        <w:ind w:firstLine="420"/>
        <w:rPr>
          <w:rFonts w:cs="仿宋_GB2312"/>
        </w:rPr>
      </w:pPr>
      <w:r>
        <w:rPr>
          <w:rFonts w:hint="eastAsia" w:cs="仿宋_GB2312"/>
        </w:rPr>
        <w:t>集中采购机构：长葛市公共资源交易中心</w:t>
      </w:r>
    </w:p>
    <w:p>
      <w:pPr>
        <w:pStyle w:val="30"/>
        <w:shd w:val="clear" w:color="auto" w:fill="FFFFFF"/>
        <w:spacing w:line="360" w:lineRule="auto"/>
        <w:ind w:firstLine="420"/>
        <w:rPr>
          <w:rFonts w:cs="仿宋_GB2312"/>
        </w:rPr>
      </w:pPr>
      <w:r>
        <w:rPr>
          <w:rFonts w:hint="eastAsia" w:cs="仿宋_GB2312"/>
        </w:rPr>
        <w:t>地  址：长葛市葛天大道商务区6号楼</w:t>
      </w:r>
    </w:p>
    <w:p>
      <w:pPr>
        <w:pStyle w:val="30"/>
        <w:shd w:val="clear" w:color="auto" w:fill="FFFFFF"/>
        <w:spacing w:line="360" w:lineRule="auto"/>
        <w:ind w:firstLine="420"/>
        <w:rPr>
          <w:rFonts w:hint="default" w:eastAsia="宋体" w:cs="仿宋_GB2312"/>
          <w:lang w:val="en-US" w:eastAsia="zh-CN"/>
        </w:rPr>
      </w:pPr>
      <w:r>
        <w:rPr>
          <w:rFonts w:hint="eastAsia" w:cs="仿宋_GB2312"/>
        </w:rPr>
        <w:t>联系人：政府采购</w:t>
      </w:r>
      <w:r>
        <w:rPr>
          <w:rFonts w:hint="eastAsia" w:cs="仿宋_GB2312"/>
          <w:lang w:val="en-US" w:eastAsia="zh-CN"/>
        </w:rPr>
        <w:t>一</w:t>
      </w:r>
      <w:r>
        <w:rPr>
          <w:rFonts w:hint="eastAsia" w:cs="仿宋_GB2312"/>
        </w:rPr>
        <w:t>部    联系电话：0374—6189</w:t>
      </w:r>
      <w:r>
        <w:rPr>
          <w:rFonts w:hint="eastAsia" w:cs="仿宋_GB2312"/>
          <w:lang w:val="en-US" w:eastAsia="zh-CN"/>
        </w:rPr>
        <w:t>379</w:t>
      </w:r>
    </w:p>
    <w:p>
      <w:pPr>
        <w:pStyle w:val="30"/>
        <w:shd w:val="clear" w:color="auto" w:fill="FFFFFF"/>
        <w:spacing w:line="360" w:lineRule="auto"/>
        <w:ind w:left="5759" w:leftChars="228" w:hanging="5280" w:hangingChars="2200"/>
        <w:contextualSpacing/>
        <w:jc w:val="right"/>
        <w:rPr>
          <w:rFonts w:cs="仿宋_GB2312"/>
        </w:rPr>
      </w:pPr>
    </w:p>
    <w:p>
      <w:pPr>
        <w:widowControl/>
        <w:shd w:val="clear" w:color="auto" w:fill="FFFFFF"/>
        <w:spacing w:line="360" w:lineRule="auto"/>
        <w:jc w:val="left"/>
        <w:rPr>
          <w:rFonts w:ascii="宋体" w:hAnsi="宋体" w:cs="宋体"/>
          <w:sz w:val="24"/>
          <w:szCs w:val="24"/>
        </w:rPr>
      </w:pPr>
      <w:r>
        <w:rPr>
          <w:rFonts w:hint="eastAsia" w:ascii="宋体" w:hAnsi="宋体" w:cs="宋体"/>
          <w:b/>
          <w:kern w:val="0"/>
          <w:sz w:val="24"/>
          <w:szCs w:val="24"/>
          <w:shd w:val="clear" w:color="auto" w:fill="FFFFFF"/>
        </w:rPr>
        <w:t>温馨提示：</w:t>
      </w:r>
    </w:p>
    <w:p>
      <w:pPr>
        <w:widowControl/>
        <w:shd w:val="clear" w:color="auto" w:fill="FFFFFF"/>
        <w:spacing w:line="360" w:lineRule="auto"/>
        <w:ind w:firstLine="643"/>
        <w:jc w:val="left"/>
        <w:rPr>
          <w:rFonts w:ascii="宋体" w:hAnsi="宋体" w:cs="宋体"/>
          <w:sz w:val="24"/>
          <w:szCs w:val="24"/>
        </w:rPr>
      </w:pPr>
      <w:r>
        <w:rPr>
          <w:rFonts w:hint="eastAsia" w:ascii="宋体" w:hAnsi="宋体" w:cs="宋体"/>
          <w:b/>
          <w:kern w:val="0"/>
          <w:sz w:val="24"/>
          <w:szCs w:val="24"/>
          <w:shd w:val="clear" w:color="auto" w:fill="FFFFFF"/>
        </w:rPr>
        <w:t>本项目为全流程电子化交易项目，请认真阅读采购文件，并注意以下事项。</w:t>
      </w:r>
    </w:p>
    <w:p>
      <w:pPr>
        <w:pStyle w:val="30"/>
        <w:shd w:val="clear" w:color="auto" w:fill="FFFFFF"/>
        <w:spacing w:before="0" w:beforeAutospacing="0" w:after="0" w:afterAutospacing="0" w:line="360" w:lineRule="auto"/>
        <w:ind w:firstLine="321"/>
      </w:pPr>
      <w:r>
        <w:rPr>
          <w:rFonts w:hint="eastAsia"/>
          <w:b/>
          <w:shd w:val="clear" w:color="auto" w:fill="FFFFFF"/>
        </w:rPr>
        <w:t> </w:t>
      </w:r>
    </w:p>
    <w:p>
      <w:pPr>
        <w:pStyle w:val="30"/>
        <w:shd w:val="clear" w:color="auto" w:fill="FFFFFF"/>
        <w:spacing w:before="0" w:beforeAutospacing="0" w:after="0" w:afterAutospacing="0" w:line="360" w:lineRule="auto"/>
        <w:ind w:firstLine="643"/>
      </w:pPr>
      <w:r>
        <w:rPr>
          <w:rFonts w:hint="eastAsia"/>
          <w:b/>
          <w:shd w:val="clear" w:color="auto" w:fill="FFFFFF"/>
        </w:rPr>
        <w:t>1.供应商应按采购文件规定编制、提交电子响应文件和纸质响应文件。开、评标现场不接受供应商递交的备份电子响应文件和纸质响应文件以外的其他资料。</w:t>
      </w:r>
    </w:p>
    <w:p>
      <w:pPr>
        <w:pStyle w:val="30"/>
        <w:shd w:val="clear" w:color="auto" w:fill="FFFFFF"/>
        <w:spacing w:before="0" w:beforeAutospacing="0" w:after="0" w:afterAutospacing="0" w:line="360" w:lineRule="auto"/>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pPr>
        <w:pStyle w:val="30"/>
        <w:shd w:val="clear" w:color="auto" w:fill="FFFFFF"/>
        <w:spacing w:before="0" w:beforeAutospacing="0" w:after="0" w:afterAutospacing="0" w:line="360" w:lineRule="auto"/>
        <w:ind w:firstLine="643"/>
      </w:pPr>
      <w:r>
        <w:rPr>
          <w:rFonts w:hint="eastAsia"/>
          <w:b/>
          <w:shd w:val="clear" w:color="auto" w:fill="FFFFFF"/>
        </w:rPr>
        <w:t>3.电子响应文件的制作</w:t>
      </w:r>
    </w:p>
    <w:p>
      <w:pPr>
        <w:pStyle w:val="30"/>
        <w:shd w:val="clear" w:color="auto" w:fill="FFFFFF"/>
        <w:spacing w:before="0" w:beforeAutospacing="0" w:after="0" w:afterAutospacing="0" w:line="360" w:lineRule="auto"/>
        <w:ind w:firstLine="640"/>
      </w:pPr>
      <w:r>
        <w:rPr>
          <w:rFonts w:hint="eastAsia"/>
          <w:shd w:val="clear" w:color="auto" w:fill="FFFFFF"/>
        </w:rPr>
        <w:t>3.1 供应商登录《全国公共资源交易平台(河南省</w:t>
      </w:r>
      <w:r>
        <w:rPr>
          <w:rFonts w:hint="eastAsia" w:ascii="MS Mincho" w:hAnsi="MS Mincho" w:eastAsia="MS Mincho" w:cs="MS Mincho"/>
          <w:shd w:val="clear" w:color="auto" w:fill="FFFFFF"/>
        </w:rPr>
        <w:t>▪</w:t>
      </w:r>
      <w:r>
        <w:rPr>
          <w:rFonts w:hint="eastAsia"/>
          <w:shd w:val="clear" w:color="auto" w:fill="FFFFFF"/>
        </w:rPr>
        <w:t>许昌市)》公共资源交易系统（</w:t>
      </w:r>
      <w:r>
        <w:fldChar w:fldCharType="begin"/>
      </w:r>
      <w:r>
        <w:instrText xml:space="preserve">HYPERLINK "http://221.14.6.70:8088/ggzy/"</w:instrText>
      </w:r>
      <w:r>
        <w:fldChar w:fldCharType="separate"/>
      </w:r>
      <w:r>
        <w:rPr>
          <w:rStyle w:val="40"/>
          <w:rFonts w:hint="eastAsia"/>
          <w:shd w:val="clear" w:color="auto" w:fill="FFFFFF"/>
        </w:rPr>
        <w:t>http://221.14.6.70:8088/ggzy/</w:t>
      </w:r>
      <w:r>
        <w:fldChar w:fldCharType="end"/>
      </w:r>
      <w:r>
        <w:rPr>
          <w:rFonts w:hint="eastAsia"/>
          <w:shd w:val="clear" w:color="auto" w:fill="FFFFFF"/>
        </w:rPr>
        <w:t>）下载“许昌响应文件制作系统SEARUN V1.1”，按采购文件要求制作电子响应文件。</w:t>
      </w:r>
    </w:p>
    <w:p>
      <w:pPr>
        <w:pStyle w:val="30"/>
        <w:shd w:val="clear" w:color="auto" w:fill="FFFFFF"/>
        <w:spacing w:before="0" w:beforeAutospacing="0" w:after="0" w:afterAutospacing="0" w:line="360" w:lineRule="auto"/>
        <w:ind w:firstLine="640"/>
      </w:pPr>
      <w:r>
        <w:rPr>
          <w:rFonts w:hint="eastAsia"/>
          <w:shd w:val="clear" w:color="auto" w:fill="FFFFFF"/>
        </w:rPr>
        <w:t>电子响应文件的制作，参考《全国公共资源交易平台(河南省</w:t>
      </w:r>
      <w:r>
        <w:rPr>
          <w:rFonts w:hint="eastAsia" w:ascii="MS Mincho" w:hAnsi="MS Mincho" w:eastAsia="MS Mincho" w:cs="MS Mincho"/>
          <w:shd w:val="clear" w:color="auto" w:fill="FFFFFF"/>
        </w:rPr>
        <w:t>▪</w:t>
      </w:r>
      <w:r>
        <w:rPr>
          <w:rFonts w:hint="eastAsia"/>
          <w:shd w:val="clear" w:color="auto" w:fill="FFFFFF"/>
        </w:rPr>
        <w:t>许昌市)》公共资源交易系统——组件下载——交易系统操作手册（供应商、供应商）。</w:t>
      </w:r>
    </w:p>
    <w:p>
      <w:pPr>
        <w:pStyle w:val="30"/>
        <w:shd w:val="clear" w:color="auto" w:fill="FFFFFF"/>
        <w:spacing w:before="0" w:beforeAutospacing="0" w:after="0" w:afterAutospacing="0" w:line="360" w:lineRule="auto"/>
        <w:ind w:firstLine="640"/>
      </w:pPr>
      <w:r>
        <w:rPr>
          <w:rFonts w:hint="eastAsia"/>
          <w:shd w:val="clear" w:color="auto" w:fill="FFFFFF"/>
        </w:rPr>
        <w:t>3.2 供应商须将采购文件要求的资质、业绩、荣誉及相关人员证明材料等资料原件扫描件（或图片）制作到所提交的电子响应文件中。</w:t>
      </w:r>
    </w:p>
    <w:p>
      <w:pPr>
        <w:pStyle w:val="30"/>
        <w:shd w:val="clear" w:color="auto" w:fill="FFFFFF"/>
        <w:spacing w:before="0" w:beforeAutospacing="0" w:after="0" w:afterAutospacing="0" w:line="360" w:lineRule="auto"/>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30"/>
        <w:shd w:val="clear" w:color="auto" w:fill="FFFFFF"/>
        <w:spacing w:before="0" w:beforeAutospacing="0" w:after="0" w:afterAutospacing="0" w:line="360" w:lineRule="auto"/>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30"/>
        <w:shd w:val="clear" w:color="auto" w:fill="FFFFFF"/>
        <w:spacing w:before="0" w:beforeAutospacing="0" w:after="0" w:afterAutospacing="0" w:line="360" w:lineRule="auto"/>
        <w:ind w:firstLine="643"/>
      </w:pPr>
      <w:r>
        <w:rPr>
          <w:rFonts w:hint="eastAsia"/>
          <w:b/>
          <w:shd w:val="clear" w:color="auto" w:fill="FFFFFF"/>
        </w:rPr>
        <w:t>4.加密电子响应文件的提交</w:t>
      </w:r>
    </w:p>
    <w:p>
      <w:pPr>
        <w:pStyle w:val="30"/>
        <w:shd w:val="clear" w:color="auto" w:fill="FFFFFF"/>
        <w:spacing w:before="0" w:beforeAutospacing="0" w:after="0" w:afterAutospacing="0" w:line="360" w:lineRule="auto"/>
        <w:ind w:firstLine="634"/>
      </w:pPr>
      <w:r>
        <w:rPr>
          <w:rFonts w:hint="eastAsia"/>
          <w:shd w:val="clear" w:color="auto" w:fill="FFFFFF"/>
        </w:rPr>
        <w:t>4.1加密电子响应文件应在采购文件规定的投标截止时间（开标时间）之前成功提交至《全国公共资源交易平台(河南省</w:t>
      </w:r>
      <w:r>
        <w:rPr>
          <w:rFonts w:hint="eastAsia" w:ascii="MS Mincho"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w:t>
      </w:r>
    </w:p>
    <w:p>
      <w:pPr>
        <w:pStyle w:val="30"/>
        <w:shd w:val="clear" w:color="auto" w:fill="FFFFFF"/>
        <w:spacing w:before="0" w:beforeAutospacing="0" w:after="0" w:afterAutospacing="0" w:line="360" w:lineRule="auto"/>
        <w:ind w:firstLine="640"/>
      </w:pPr>
      <w:r>
        <w:rPr>
          <w:rFonts w:hint="eastAsia"/>
          <w:shd w:val="clear" w:color="auto" w:fill="FFFFFF"/>
        </w:rPr>
        <w:t>供应商应充分考虑并预留技术处理和上传数据所需时间。</w:t>
      </w:r>
    </w:p>
    <w:p>
      <w:pPr>
        <w:pStyle w:val="30"/>
        <w:shd w:val="clear" w:color="auto" w:fill="FFFFFF"/>
        <w:spacing w:before="0" w:beforeAutospacing="0" w:after="0" w:afterAutospacing="0" w:line="360" w:lineRule="auto"/>
        <w:ind w:firstLine="640"/>
      </w:pPr>
      <w:r>
        <w:rPr>
          <w:rFonts w:hint="eastAsia"/>
          <w:shd w:val="clear" w:color="auto" w:fill="FFFFFF"/>
        </w:rPr>
        <w:t>4.2供应商对同一项目多个标段进行投标的，加密电子响应文件应按标段分别提交。</w:t>
      </w:r>
    </w:p>
    <w:p>
      <w:pPr>
        <w:pStyle w:val="30"/>
        <w:shd w:val="clear" w:color="auto" w:fill="FFFFFF"/>
        <w:spacing w:before="0" w:beforeAutospacing="0" w:after="0" w:afterAutospacing="0" w:line="360" w:lineRule="auto"/>
        <w:ind w:firstLine="640"/>
      </w:pPr>
      <w:r>
        <w:rPr>
          <w:rFonts w:hint="eastAsia"/>
          <w:shd w:val="clear" w:color="auto" w:fill="FFFFFF"/>
        </w:rPr>
        <w:t>4.3加密电子响应文件成功提交后，供应商应打印“响应文件提交回执单”供开标现场备查。</w:t>
      </w:r>
    </w:p>
    <w:p>
      <w:pPr>
        <w:pStyle w:val="30"/>
        <w:shd w:val="clear" w:color="auto" w:fill="FFFFFF"/>
        <w:spacing w:before="0" w:beforeAutospacing="0" w:after="0" w:afterAutospacing="0" w:line="360" w:lineRule="auto"/>
        <w:ind w:firstLine="643"/>
      </w:pPr>
      <w:r>
        <w:rPr>
          <w:rFonts w:hint="eastAsia"/>
          <w:b/>
          <w:shd w:val="clear" w:color="auto" w:fill="FFFFFF"/>
        </w:rPr>
        <w:t>5.评标依据</w:t>
      </w:r>
    </w:p>
    <w:p>
      <w:pPr>
        <w:pStyle w:val="30"/>
        <w:shd w:val="clear" w:color="auto" w:fill="FFFFFF"/>
        <w:spacing w:before="0" w:beforeAutospacing="0" w:after="0" w:afterAutospacing="0" w:line="360" w:lineRule="auto"/>
        <w:ind w:firstLine="640"/>
      </w:pPr>
      <w:r>
        <w:rPr>
          <w:rFonts w:hint="eastAsia"/>
          <w:shd w:val="clear" w:color="auto" w:fill="FFFFFF"/>
        </w:rPr>
        <w:t>5.1采用全流程电子化交易评标时，谈判小组以电子响应文件为依据评标。</w:t>
      </w:r>
    </w:p>
    <w:p>
      <w:pPr>
        <w:widowControl/>
        <w:spacing w:line="360" w:lineRule="auto"/>
        <w:jc w:val="center"/>
        <w:rPr>
          <w:rFonts w:ascii="宋体" w:hAnsi="宋体" w:cs="仿宋_GB2312"/>
          <w:b/>
          <w:kern w:val="0"/>
          <w:sz w:val="24"/>
          <w:szCs w:val="24"/>
        </w:rPr>
      </w:pPr>
      <w:r>
        <w:rPr>
          <w:rFonts w:cs="仿宋_GB2312"/>
          <w:b/>
        </w:rPr>
        <w:br w:type="page"/>
      </w: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rPr>
          <w:rFonts w:ascii="宋体" w:hAnsi="宋体" w:cs="宋体"/>
          <w:b/>
          <w:sz w:val="24"/>
          <w:szCs w:val="24"/>
        </w:rPr>
      </w:pP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3"/>
        <w:tblW w:w="9787"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2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502"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226"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226" w:type="dxa"/>
            <w:vAlign w:val="center"/>
          </w:tcPr>
          <w:p>
            <w:pPr>
              <w:spacing w:line="300" w:lineRule="auto"/>
              <w:rPr>
                <w:rFonts w:ascii="宋体" w:hAnsi="宋体" w:cs="宋体"/>
                <w:bCs/>
                <w:szCs w:val="21"/>
              </w:rPr>
            </w:pPr>
            <w:r>
              <w:rPr>
                <w:rFonts w:hint="eastAsia" w:ascii="宋体" w:hAnsi="宋体" w:cs="仿宋_GB2312"/>
              </w:rPr>
              <w:t>长葛市双洎河国家湿地公园管理中心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5"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项目名称</w:t>
            </w:r>
          </w:p>
        </w:tc>
        <w:tc>
          <w:tcPr>
            <w:tcW w:w="8226" w:type="dxa"/>
            <w:vAlign w:val="center"/>
          </w:tcPr>
          <w:p>
            <w:pPr>
              <w:spacing w:line="300" w:lineRule="auto"/>
              <w:rPr>
                <w:rFonts w:hint="default" w:ascii="宋体" w:hAnsi="宋体" w:eastAsia="宋体" w:cs="宋体"/>
                <w:bCs/>
                <w:szCs w:val="21"/>
                <w:lang w:val="en-US" w:eastAsia="zh-CN"/>
              </w:rPr>
            </w:pPr>
            <w:r>
              <w:rPr>
                <w:rFonts w:hint="eastAsia" w:ascii="宋体" w:hAnsi="宋体" w:cs="仿宋_GB2312"/>
              </w:rPr>
              <w:t>双洎河</w:t>
            </w:r>
            <w:r>
              <w:rPr>
                <w:rFonts w:hint="eastAsia" w:ascii="宋体" w:hAnsi="宋体" w:cs="仿宋_GB2312"/>
                <w:lang w:val="en-US" w:eastAsia="zh-CN"/>
              </w:rPr>
              <w:t>湿地公园防洪影响评价</w:t>
            </w:r>
            <w:r>
              <w:rPr>
                <w:rFonts w:hint="eastAsia" w:ascii="宋体" w:hAnsi="宋体" w:cs="宋体"/>
                <w:kern w:val="0"/>
                <w:sz w:val="24"/>
                <w:lang w:eastAsia="zh-CN"/>
              </w:rPr>
              <w:t>（</w:t>
            </w:r>
            <w:r>
              <w:rPr>
                <w:rFonts w:hint="eastAsia" w:ascii="宋体" w:hAnsi="宋体" w:cs="宋体"/>
                <w:kern w:val="0"/>
                <w:sz w:val="24"/>
                <w:lang w:val="en-US" w:eastAsia="zh-CN"/>
              </w:rPr>
              <w:t>二次</w:t>
            </w:r>
            <w:r>
              <w:rPr>
                <w:rFonts w:hint="eastAsia" w:ascii="宋体" w:hAnsi="宋体" w:cs="宋体"/>
                <w:kern w:val="0"/>
                <w:sz w:val="24"/>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长招采竞字【2019】0</w:t>
            </w:r>
            <w:r>
              <w:rPr>
                <w:rFonts w:hint="eastAsia" w:ascii="宋体" w:hAnsi="宋体" w:cs="宋体"/>
                <w:bCs/>
                <w:szCs w:val="21"/>
                <w:lang w:val="en-US" w:eastAsia="zh-CN"/>
              </w:rPr>
              <w:t>83</w:t>
            </w:r>
            <w:r>
              <w:rPr>
                <w:rFonts w:hint="eastAsia" w:ascii="宋体" w:hAnsi="宋体" w:cs="宋体"/>
                <w:bCs/>
                <w:szCs w:val="21"/>
              </w:rPr>
              <w:t>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集中采购机构</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长葛市公共资源交易中心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8"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226"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226"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continue"/>
            <w:vAlign w:val="center"/>
          </w:tcPr>
          <w:p>
            <w:pPr>
              <w:widowControl/>
              <w:spacing w:line="300" w:lineRule="auto"/>
              <w:jc w:val="center"/>
              <w:rPr>
                <w:rFonts w:ascii="宋体" w:hAnsi="宋体"/>
                <w:bCs/>
                <w:szCs w:val="21"/>
              </w:rPr>
            </w:pPr>
          </w:p>
        </w:tc>
        <w:tc>
          <w:tcPr>
            <w:tcW w:w="8226" w:type="dxa"/>
            <w:vAlign w:val="center"/>
          </w:tcPr>
          <w:p>
            <w:pPr>
              <w:spacing w:line="360" w:lineRule="auto"/>
              <w:rPr>
                <w:rFonts w:ascii="宋体" w:hAnsi="宋体" w:cs="宋体"/>
                <w:bCs/>
                <w:szCs w:val="21"/>
              </w:rPr>
            </w:pPr>
            <w:r>
              <w:rPr>
                <w:rFonts w:hint="eastAsia" w:ascii="宋体" w:hAnsi="宋体" w:cs="宋体"/>
                <w:bCs/>
                <w:szCs w:val="21"/>
              </w:rPr>
              <w:t>2.具</w:t>
            </w:r>
            <w:r>
              <w:rPr>
                <w:rFonts w:hint="eastAsia" w:ascii="宋体" w:hAnsi="宋体" w:cs="宋体"/>
                <w:bCs/>
                <w:szCs w:val="21"/>
                <w:lang w:val="en-US" w:eastAsia="zh-CN"/>
              </w:rPr>
              <w:t>有相应的业务经营范围</w:t>
            </w:r>
            <w:r>
              <w:rPr>
                <w:rFonts w:hint="eastAsia" w:ascii="宋体" w:hAnsi="宋体" w:cs="宋体"/>
                <w:bCs/>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rPr>
                <w:rFonts w:ascii="宋体" w:hAnsi="宋体" w:cs="宋体"/>
                <w:bCs/>
                <w:szCs w:val="21"/>
              </w:rPr>
            </w:pPr>
            <w:r>
              <w:rPr>
                <w:rFonts w:hint="eastAsia" w:ascii="宋体" w:hAnsi="宋体" w:cs="宋体"/>
                <w:bCs/>
                <w:szCs w:val="21"/>
              </w:rPr>
              <w:t>3.未被列入“信用中国”网站(www.creditchina.gov.cn)失信被执行人、重大税收违法案件当事人名单、政府采购严重违法失信名单的供应商；“中国政府采购网” (www.ccgp.gov.cn)政府采购严重违法失信行为记录名单的供应商。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4.满足本谈判文件的规定其他条件，完全响应谈判文件的实质性要求。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226" w:type="dxa"/>
            <w:vAlign w:val="center"/>
          </w:tcPr>
          <w:p>
            <w:pPr>
              <w:spacing w:line="300" w:lineRule="auto"/>
              <w:rPr>
                <w:rFonts w:ascii="宋体" w:hAnsi="宋体" w:cs="宋体"/>
                <w:bCs/>
                <w:szCs w:val="21"/>
              </w:rPr>
            </w:pPr>
            <w:r>
              <w:rPr>
                <w:rFonts w:hint="eastAsia" w:ascii="宋体" w:hAnsi="宋体" w:cs="宋体"/>
                <w:bCs/>
                <w:szCs w:val="21"/>
              </w:rPr>
              <w:t>1.财政资金。</w:t>
            </w:r>
          </w:p>
          <w:p>
            <w:pPr>
              <w:spacing w:line="300" w:lineRule="auto"/>
              <w:rPr>
                <w:rFonts w:ascii="宋体" w:hAnsi="宋体" w:cs="宋体"/>
                <w:szCs w:val="21"/>
              </w:rPr>
            </w:pPr>
            <w:r>
              <w:rPr>
                <w:rFonts w:hint="eastAsia" w:ascii="宋体" w:hAnsi="宋体" w:cs="宋体"/>
                <w:bCs/>
                <w:szCs w:val="21"/>
              </w:rPr>
              <w:t>2.预算金额：</w:t>
            </w:r>
            <w:r>
              <w:rPr>
                <w:rFonts w:hint="eastAsia" w:ascii="宋体" w:hAnsi="宋体" w:cs="宋体"/>
                <w:bCs/>
                <w:szCs w:val="21"/>
                <w:lang w:val="en-US" w:eastAsia="zh-CN"/>
              </w:rPr>
              <w:t>18</w:t>
            </w:r>
            <w:r>
              <w:rPr>
                <w:rFonts w:hint="eastAsia" w:ascii="宋体" w:hAnsi="宋体" w:cs="宋体"/>
                <w:bCs/>
                <w:szCs w:val="21"/>
              </w:rPr>
              <w:t>万元。（此预算金额为预算上限，超过此预算为无效报价）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项目地点</w:t>
            </w:r>
          </w:p>
        </w:tc>
        <w:tc>
          <w:tcPr>
            <w:tcW w:w="8226" w:type="dxa"/>
            <w:vAlign w:val="center"/>
          </w:tcPr>
          <w:p>
            <w:pPr>
              <w:spacing w:line="300" w:lineRule="auto"/>
              <w:rPr>
                <w:rFonts w:ascii="宋体" w:hAnsi="宋体" w:cs="宋体"/>
                <w:szCs w:val="21"/>
              </w:rPr>
            </w:pPr>
            <w:r>
              <w:rPr>
                <w:rFonts w:hint="eastAsia" w:ascii="宋体" w:hAnsi="宋体" w:cs="宋体"/>
                <w:szCs w:val="21"/>
              </w:rPr>
              <w:t>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采购范围</w:t>
            </w:r>
          </w:p>
        </w:tc>
        <w:tc>
          <w:tcPr>
            <w:tcW w:w="8226" w:type="dxa"/>
            <w:vAlign w:val="center"/>
          </w:tcPr>
          <w:p>
            <w:pPr>
              <w:pStyle w:val="126"/>
              <w:adjustRightInd w:val="0"/>
              <w:snapToGrid w:val="0"/>
              <w:ind w:firstLine="0" w:firstLineChars="0"/>
              <w:jc w:val="both"/>
              <w:rPr>
                <w:rFonts w:ascii="宋体" w:hAnsi="宋体" w:cs="宋体"/>
                <w:bCs/>
                <w:kern w:val="2"/>
                <w:sz w:val="21"/>
                <w:szCs w:val="21"/>
              </w:rPr>
            </w:pPr>
            <w:r>
              <w:rPr>
                <w:rFonts w:hint="eastAsia" w:ascii="宋体" w:hAnsi="宋体" w:cs="宋体"/>
                <w:bCs/>
                <w:kern w:val="2"/>
                <w:sz w:val="21"/>
                <w:szCs w:val="21"/>
                <w:lang w:val="en-US" w:eastAsia="zh-CN"/>
              </w:rPr>
              <w:t>防洪影响评价报告编制</w:t>
            </w:r>
            <w:r>
              <w:rPr>
                <w:rFonts w:hint="eastAsia" w:ascii="宋体" w:hAnsi="宋体" w:cs="宋体"/>
                <w:bCs/>
                <w:kern w:val="2"/>
                <w:sz w:val="21"/>
                <w:szCs w:val="21"/>
              </w:rPr>
              <w:t>。（详见谈判文件）</w:t>
            </w:r>
          </w:p>
          <w:p>
            <w:pPr>
              <w:spacing w:line="300" w:lineRule="auto"/>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szCs w:val="21"/>
              </w:rPr>
              <w:t>交付（服务、完工）时间</w:t>
            </w:r>
          </w:p>
        </w:tc>
        <w:tc>
          <w:tcPr>
            <w:tcW w:w="8226" w:type="dxa"/>
            <w:vAlign w:val="center"/>
          </w:tcPr>
          <w:p>
            <w:pPr>
              <w:spacing w:line="300" w:lineRule="auto"/>
              <w:rPr>
                <w:rFonts w:ascii="宋体" w:hAnsi="宋体" w:cs="宋体"/>
                <w:szCs w:val="21"/>
              </w:rPr>
            </w:pPr>
            <w:r>
              <w:rPr>
                <w:rFonts w:hint="eastAsia" w:ascii="宋体" w:hAnsi="宋体" w:cs="宋体"/>
                <w:szCs w:val="21"/>
              </w:rPr>
              <w:t>合同签订后</w:t>
            </w:r>
            <w:r>
              <w:rPr>
                <w:rFonts w:hint="eastAsia" w:ascii="宋体" w:hAnsi="宋体" w:cs="宋体"/>
                <w:szCs w:val="21"/>
                <w:lang w:val="en-US" w:eastAsia="zh-CN"/>
              </w:rPr>
              <w:t>30</w:t>
            </w:r>
            <w:r>
              <w:rPr>
                <w:rFonts w:hint="eastAsia" w:ascii="宋体" w:hAnsi="宋体" w:cs="宋体"/>
                <w:szCs w:val="21"/>
              </w:rPr>
              <w:t>日内。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226" w:type="dxa"/>
            <w:vAlign w:val="center"/>
          </w:tcPr>
          <w:p>
            <w:pPr>
              <w:spacing w:line="300" w:lineRule="auto"/>
              <w:rPr>
                <w:rFonts w:ascii="宋体" w:hAnsi="宋体" w:cs="宋体"/>
                <w:szCs w:val="21"/>
              </w:rPr>
            </w:pPr>
            <w:r>
              <w:rPr>
                <w:rFonts w:hint="eastAsia" w:ascii="宋体" w:hAnsi="宋体" w:cs="宋体"/>
                <w:szCs w:val="21"/>
              </w:rPr>
              <w:t>合格（符合国家现行规范、规程、规定、标准的要求）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226"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226" w:type="dxa"/>
            <w:vAlign w:val="center"/>
          </w:tcPr>
          <w:p>
            <w:pPr>
              <w:spacing w:line="300" w:lineRule="auto"/>
              <w:rPr>
                <w:rFonts w:ascii="宋体" w:hAnsi="宋体"/>
                <w:bCs/>
                <w:szCs w:val="21"/>
              </w:rPr>
            </w:pPr>
            <w:r>
              <w:rPr>
                <w:rFonts w:hint="eastAsia" w:ascii="宋体" w:hAnsi="宋体"/>
                <w:bCs/>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226" w:type="dxa"/>
            <w:vAlign w:val="center"/>
          </w:tcPr>
          <w:p>
            <w:pPr>
              <w:spacing w:line="300" w:lineRule="auto"/>
              <w:rPr>
                <w:rFonts w:ascii="宋体" w:hAnsi="宋体"/>
                <w:bCs/>
                <w:szCs w:val="21"/>
              </w:rPr>
            </w:pPr>
            <w:r>
              <w:rPr>
                <w:rFonts w:hint="eastAsia" w:ascii="宋体" w:hAnsi="宋体"/>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pPr>
              <w:spacing w:line="300" w:lineRule="auto"/>
              <w:rPr>
                <w:rFonts w:ascii="宋体" w:hAnsi="宋体"/>
                <w:bCs/>
                <w:szCs w:val="21"/>
              </w:rPr>
            </w:pPr>
            <w:r>
              <w:rPr>
                <w:rFonts w:hint="eastAsia" w:ascii="宋体" w:hAnsi="宋体"/>
                <w:bCs/>
                <w:szCs w:val="21"/>
              </w:rPr>
              <w:t>纸质响应文件：正本一份，副本一份。使用格式为“响应文件（供打印）.PDF”的文件。</w:t>
            </w:r>
          </w:p>
          <w:p>
            <w:pPr>
              <w:spacing w:line="300" w:lineRule="auto"/>
              <w:rPr>
                <w:rFonts w:ascii="宋体" w:hAnsi="宋体"/>
                <w:bCs/>
                <w:szCs w:val="21"/>
              </w:rPr>
            </w:pPr>
            <w:r>
              <w:rPr>
                <w:rFonts w:hint="eastAsia" w:ascii="宋体" w:hAnsi="宋体"/>
                <w:bCs/>
                <w:szCs w:val="21"/>
              </w:rPr>
              <w:t>电子响应文件和纸质响应文件的内容、格式、水印码、签章应一致。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20" w:lineRule="exact"/>
              <w:jc w:val="center"/>
              <w:rPr>
                <w:rFonts w:ascii="宋体" w:hAnsi="宋体"/>
                <w:bCs/>
                <w:szCs w:val="21"/>
              </w:rPr>
            </w:pPr>
            <w:r>
              <w:rPr>
                <w:rFonts w:hint="eastAsia" w:ascii="宋体" w:hAnsi="宋体"/>
                <w:bCs/>
                <w:szCs w:val="21"/>
              </w:rPr>
              <w:t>响应文件的</w:t>
            </w:r>
          </w:p>
          <w:p>
            <w:pPr>
              <w:spacing w:line="320" w:lineRule="exact"/>
              <w:jc w:val="center"/>
              <w:rPr>
                <w:rFonts w:ascii="宋体" w:hAnsi="宋体"/>
                <w:bCs/>
                <w:szCs w:val="21"/>
              </w:rPr>
            </w:pPr>
            <w:r>
              <w:rPr>
                <w:rFonts w:hint="eastAsia" w:ascii="宋体" w:hAnsi="宋体"/>
                <w:bCs/>
                <w:szCs w:val="21"/>
              </w:rPr>
              <w:t>签署盖章</w:t>
            </w:r>
          </w:p>
        </w:tc>
        <w:tc>
          <w:tcPr>
            <w:tcW w:w="8226" w:type="dxa"/>
            <w:vAlign w:val="center"/>
          </w:tcPr>
          <w:p>
            <w:pPr>
              <w:spacing w:line="320" w:lineRule="exact"/>
              <w:rPr>
                <w:rFonts w:ascii="宋体" w:hAnsi="宋体"/>
                <w:bCs/>
                <w:szCs w:val="21"/>
              </w:rPr>
            </w:pPr>
            <w:r>
              <w:rPr>
                <w:rFonts w:hint="eastAsia" w:ascii="宋体" w:hAnsi="宋体"/>
                <w:bCs/>
                <w:szCs w:val="21"/>
              </w:rPr>
              <w:t>电子响应文件：按采购文件要求加盖电子印章和法人电子印章。</w:t>
            </w:r>
          </w:p>
          <w:p>
            <w:pPr>
              <w:spacing w:line="320" w:lineRule="exact"/>
              <w:rPr>
                <w:rFonts w:ascii="宋体" w:hAnsi="宋体"/>
                <w:bCs/>
                <w:szCs w:val="21"/>
              </w:rPr>
            </w:pPr>
            <w:r>
              <w:rPr>
                <w:rFonts w:hint="eastAsia" w:ascii="宋体" w:hAnsi="宋体"/>
                <w:bCs/>
                <w:szCs w:val="21"/>
              </w:rPr>
              <w:t>纸质响应文件：响应文件封面加盖供应商公章（响应文件是指供应商电子响应文件制作完成后生成的后缀名为“.PDF”的文件打印的纸质响应文件）。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226" w:type="dxa"/>
            <w:vAlign w:val="center"/>
          </w:tcPr>
          <w:p>
            <w:pPr>
              <w:spacing w:line="300" w:lineRule="auto"/>
              <w:rPr>
                <w:rFonts w:ascii="宋体" w:hAnsi="宋体"/>
                <w:bCs/>
                <w:color w:val="C00000"/>
                <w:szCs w:val="21"/>
              </w:rPr>
            </w:pPr>
            <w:r>
              <w:rPr>
                <w:rFonts w:hint="eastAsia" w:ascii="宋体" w:hAnsi="宋体"/>
                <w:bCs/>
                <w:color w:val="C00000"/>
                <w:szCs w:val="21"/>
              </w:rPr>
              <w:t>长葛市公共资源交易中心</w:t>
            </w:r>
            <w:r>
              <w:rPr>
                <w:rFonts w:hint="eastAsia" w:ascii="宋体" w:hAnsi="宋体"/>
                <w:bCs/>
                <w:color w:val="C00000"/>
                <w:szCs w:val="21"/>
                <w:lang w:val="en-US" w:eastAsia="zh-CN"/>
              </w:rPr>
              <w:t>四</w:t>
            </w:r>
            <w:r>
              <w:rPr>
                <w:rFonts w:hint="eastAsia" w:ascii="宋体" w:hAnsi="宋体"/>
                <w:bCs/>
                <w:color w:val="C00000"/>
                <w:szCs w:val="21"/>
              </w:rPr>
              <w:t>楼开标</w:t>
            </w:r>
            <w:r>
              <w:rPr>
                <w:rFonts w:hint="eastAsia" w:ascii="宋体" w:hAnsi="宋体"/>
                <w:bCs/>
                <w:color w:val="C00000"/>
                <w:szCs w:val="21"/>
                <w:lang w:val="en-US" w:eastAsia="zh-CN"/>
              </w:rPr>
              <w:t>二</w:t>
            </w:r>
            <w:r>
              <w:rPr>
                <w:rFonts w:hint="eastAsia" w:ascii="宋体" w:hAnsi="宋体"/>
                <w:bCs/>
                <w:color w:val="C00000"/>
                <w:szCs w:val="21"/>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226" w:type="dxa"/>
            <w:vAlign w:val="center"/>
          </w:tcPr>
          <w:p>
            <w:pPr>
              <w:spacing w:line="300" w:lineRule="auto"/>
              <w:rPr>
                <w:rFonts w:ascii="宋体" w:hAnsi="宋体"/>
                <w:bCs/>
                <w:color w:val="C00000"/>
                <w:szCs w:val="21"/>
              </w:rPr>
            </w:pPr>
            <w:r>
              <w:rPr>
                <w:rFonts w:hint="eastAsia" w:ascii="宋体" w:hAnsi="宋体"/>
                <w:bCs/>
                <w:color w:val="C00000"/>
                <w:szCs w:val="21"/>
              </w:rPr>
              <w:t>谈判文件接收截止时间及谈判时间：</w:t>
            </w:r>
            <w:r>
              <w:rPr>
                <w:rFonts w:hint="eastAsia"/>
                <w:color w:val="C00000"/>
                <w:shd w:val="clear" w:color="auto" w:fill="FFFFFF"/>
              </w:rPr>
              <w:t>2019年</w:t>
            </w:r>
            <w:r>
              <w:rPr>
                <w:rFonts w:hint="eastAsia"/>
                <w:color w:val="C00000"/>
                <w:shd w:val="clear" w:color="auto" w:fill="FFFFFF"/>
                <w:lang w:val="en-US" w:eastAsia="zh-CN"/>
              </w:rPr>
              <w:t>08</w:t>
            </w:r>
            <w:r>
              <w:rPr>
                <w:rFonts w:hint="eastAsia"/>
                <w:color w:val="C00000"/>
                <w:shd w:val="clear" w:color="auto" w:fill="FFFFFF"/>
              </w:rPr>
              <w:t>月</w:t>
            </w:r>
            <w:r>
              <w:rPr>
                <w:rFonts w:hint="eastAsia"/>
                <w:color w:val="C00000"/>
                <w:shd w:val="clear" w:color="auto" w:fill="FFFFFF"/>
                <w:lang w:val="en-US" w:eastAsia="zh-CN"/>
              </w:rPr>
              <w:t>26</w:t>
            </w:r>
            <w:r>
              <w:rPr>
                <w:rFonts w:hint="eastAsia"/>
                <w:color w:val="C00000"/>
                <w:shd w:val="clear" w:color="auto" w:fill="FFFFFF"/>
              </w:rPr>
              <w:t>日</w:t>
            </w:r>
            <w:r>
              <w:rPr>
                <w:rFonts w:hint="eastAsia"/>
                <w:color w:val="C00000"/>
                <w:shd w:val="clear" w:color="auto" w:fill="FFFFFF"/>
                <w:lang w:val="en-US" w:eastAsia="zh-CN"/>
              </w:rPr>
              <w:t>09</w:t>
            </w:r>
            <w:r>
              <w:rPr>
                <w:rFonts w:hint="eastAsia"/>
                <w:color w:val="C00000"/>
                <w:shd w:val="clear" w:color="auto" w:fill="FFFFFF"/>
              </w:rPr>
              <w:t>时</w:t>
            </w:r>
            <w:r>
              <w:rPr>
                <w:rFonts w:hint="eastAsia"/>
                <w:color w:val="C00000"/>
                <w:shd w:val="clear" w:color="auto" w:fill="FFFFFF"/>
                <w:lang w:val="en-US" w:eastAsia="zh-CN"/>
              </w:rPr>
              <w:t>00</w:t>
            </w:r>
            <w:r>
              <w:rPr>
                <w:rFonts w:hint="eastAsia"/>
                <w:color w:val="C00000"/>
                <w:shd w:val="clear" w:color="auto" w:fill="FFFFFF"/>
              </w:rPr>
              <w:t>分</w:t>
            </w:r>
            <w:r>
              <w:rPr>
                <w:rFonts w:hint="eastAsia" w:ascii="宋体" w:hAnsi="宋体"/>
                <w:bCs/>
                <w:color w:val="C00000"/>
                <w:szCs w:val="21"/>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226"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开户行：河南长葛农村商业银行股份有限公司营业部</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户  名：长葛市公共资源交易中心</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账  号：13201001800000552</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履约担保的形式：基本户转账，在中标人签订合同前办理。</w:t>
            </w:r>
          </w:p>
          <w:p>
            <w:pPr>
              <w:spacing w:line="300" w:lineRule="auto"/>
              <w:ind w:right="-88" w:rightChars="-42"/>
              <w:rPr>
                <w:rFonts w:ascii="宋体" w:hAnsi="宋体" w:cs="宋体"/>
                <w:bCs/>
                <w:szCs w:val="21"/>
              </w:rPr>
            </w:pPr>
            <w:r>
              <w:rPr>
                <w:rFonts w:hint="eastAsia" w:ascii="新宋体" w:hAnsi="新宋体" w:eastAsia="新宋体"/>
                <w:szCs w:val="21"/>
              </w:rPr>
              <w:t>履约担保的金额：中标金额的10%。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226" w:type="dxa"/>
            <w:vAlign w:val="center"/>
          </w:tcPr>
          <w:p>
            <w:pPr>
              <w:tabs>
                <w:tab w:val="left" w:pos="312"/>
              </w:tabs>
              <w:spacing w:line="300" w:lineRule="auto"/>
              <w:rPr>
                <w:rFonts w:ascii="宋体" w:hAnsi="宋体" w:cs="Arial"/>
                <w:bCs/>
                <w:szCs w:val="21"/>
              </w:rPr>
            </w:pPr>
            <w:r>
              <w:rPr>
                <w:rFonts w:hint="eastAsia" w:ascii="宋体" w:hAnsi="宋体" w:cs="Arial"/>
                <w:bCs/>
                <w:szCs w:val="21"/>
              </w:rPr>
              <w:t>1.采购单位委派代表参加资格审查和评审委员会的，须向采购长葛市公共资源交易中心出具授权函。除授权代表外，采购单位委派纪检监察人员对评标过程实施监督的须进入四楼电子监督室，并向采购长葛市公共资源交易中心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300" w:lineRule="auto"/>
              <w:rPr>
                <w:rFonts w:ascii="宋体" w:hAnsi="宋体" w:cs="Arial"/>
                <w:bCs/>
                <w:szCs w:val="21"/>
              </w:rPr>
            </w:pPr>
            <w:r>
              <w:rPr>
                <w:rFonts w:hint="eastAsia" w:ascii="宋体" w:hAnsi="宋体" w:cs="Arial"/>
                <w:bCs/>
                <w:szCs w:val="21"/>
              </w:rPr>
              <w:t>4</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w:t>
            </w:r>
            <w:r>
              <w:rPr>
                <w:rFonts w:hint="eastAsia" w:ascii="宋体" w:hAnsi="宋体" w:cs="Arial"/>
                <w:bCs/>
                <w:szCs w:val="21"/>
              </w:rPr>
              <w:t>。</w:t>
            </w:r>
          </w:p>
        </w:tc>
      </w:tr>
    </w:tbl>
    <w:p>
      <w:pPr>
        <w:pStyle w:val="32"/>
        <w:ind w:firstLine="0" w:firstLineChars="0"/>
        <w:rPr>
          <w:rFonts w:ascii="华文中宋" w:hAnsi="华文中宋" w:eastAsia="华文中宋"/>
          <w:b/>
          <w:sz w:val="32"/>
          <w:szCs w:val="32"/>
        </w:rPr>
      </w:pPr>
    </w:p>
    <w:p>
      <w:pPr>
        <w:spacing w:afterLines="100"/>
        <w:jc w:val="center"/>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3"/>
        <w:tblW w:w="9800" w:type="dxa"/>
        <w:jc w:val="righ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bookmarkStart w:id="0" w:name="定位_【循环符合性证明材料】_201244141212"/>
            <w:bookmarkEnd w:id="0"/>
            <w:bookmarkStart w:id="1" w:name="定位_【循环符合性证明材料】_20122614258"/>
            <w:bookmarkEnd w:id="1"/>
            <w:bookmarkStart w:id="2" w:name="定位_【循环符合性证明材料】_20122314636"/>
            <w:bookmarkEnd w:id="2"/>
            <w:r>
              <w:rPr>
                <w:rFonts w:hint="eastAsia" w:ascii="宋体" w:hAnsi="宋体" w:cs="Arial"/>
                <w:b/>
                <w:bCs/>
                <w:szCs w:val="21"/>
              </w:rPr>
              <w:t>1、</w:t>
            </w:r>
            <w:r>
              <w:rPr>
                <w:rFonts w:hint="eastAsia" w:ascii="宋体" w:hAnsi="宋体" w:cs="Arial"/>
                <w:b/>
                <w:bCs/>
                <w:szCs w:val="21"/>
                <w:lang w:val="zh-CN"/>
              </w:rPr>
              <w:t>法人或者其他组织的营业执照等证明文件，自然人的身份证明</w:t>
            </w:r>
          </w:p>
          <w:p>
            <w:pPr>
              <w:spacing w:line="360" w:lineRule="auto"/>
              <w:rPr>
                <w:rFonts w:ascii="宋体" w:hAnsi="宋体" w:cs="Arial"/>
                <w:szCs w:val="21"/>
                <w:lang w:val="zh-CN"/>
              </w:rPr>
            </w:pPr>
            <w:r>
              <w:rPr>
                <w:rFonts w:hint="eastAsia" w:ascii="宋体" w:hAnsi="宋体" w:cs="Arial"/>
                <w:szCs w:val="21"/>
                <w:lang w:val="zh-CN"/>
              </w:rPr>
              <w:t>（1）企业法人营业执照或营业执照。（企业投标提供）</w:t>
            </w:r>
          </w:p>
          <w:p>
            <w:pPr>
              <w:spacing w:line="360" w:lineRule="auto"/>
              <w:rPr>
                <w:rFonts w:ascii="宋体" w:hAnsi="宋体" w:cs="Arial"/>
                <w:szCs w:val="21"/>
                <w:lang w:val="zh-CN"/>
              </w:rPr>
            </w:pPr>
            <w:r>
              <w:rPr>
                <w:rFonts w:hint="eastAsia" w:ascii="宋体" w:hAnsi="宋体" w:cs="Arial"/>
                <w:szCs w:val="21"/>
                <w:lang w:val="zh-CN"/>
              </w:rPr>
              <w:t>（2）事业单位法人证书。（事业单位投标提供）</w:t>
            </w:r>
          </w:p>
          <w:p>
            <w:pPr>
              <w:spacing w:line="360" w:lineRule="auto"/>
              <w:rPr>
                <w:rFonts w:ascii="宋体" w:hAnsi="宋体" w:cs="Arial"/>
                <w:szCs w:val="21"/>
                <w:lang w:val="zh-CN"/>
              </w:rPr>
            </w:pPr>
            <w:r>
              <w:rPr>
                <w:rFonts w:hint="eastAsia" w:ascii="宋体" w:hAnsi="宋体" w:cs="Arial"/>
                <w:szCs w:val="21"/>
                <w:lang w:val="zh-CN"/>
              </w:rPr>
              <w:t>（3）执业许可证。（非专业服务机构投标提供）</w:t>
            </w:r>
          </w:p>
          <w:p>
            <w:pPr>
              <w:spacing w:line="360" w:lineRule="auto"/>
              <w:rPr>
                <w:rFonts w:ascii="宋体" w:hAnsi="宋体" w:cs="Arial"/>
                <w:szCs w:val="21"/>
                <w:lang w:val="zh-CN"/>
              </w:rPr>
            </w:pPr>
            <w:r>
              <w:rPr>
                <w:rFonts w:hint="eastAsia" w:ascii="宋体" w:hAnsi="宋体" w:cs="Arial"/>
                <w:szCs w:val="21"/>
                <w:lang w:val="zh-CN"/>
              </w:rPr>
              <w:t>（4）个体工商户营业执照。（个体工商户投标提供）</w:t>
            </w:r>
          </w:p>
          <w:p>
            <w:pPr>
              <w:spacing w:line="360" w:lineRule="auto"/>
              <w:rPr>
                <w:rFonts w:ascii="宋体" w:hAnsi="宋体" w:cs="Arial"/>
                <w:szCs w:val="21"/>
              </w:rPr>
            </w:pPr>
            <w:r>
              <w:rPr>
                <w:rFonts w:hint="eastAsia" w:ascii="宋体" w:hAnsi="宋体" w:cs="Arial"/>
                <w:szCs w:val="21"/>
                <w:lang w:val="zh-CN"/>
              </w:rPr>
              <w:t>（5）自然人身份证明。（自然人投标提供）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rPr>
            </w:pPr>
            <w:r>
              <w:rPr>
                <w:rFonts w:hint="eastAsia" w:ascii="宋体" w:hAnsi="宋体" w:cs="Arial"/>
                <w:b/>
                <w:bCs/>
                <w:szCs w:val="21"/>
              </w:rPr>
              <w:t>2、财务状况报告相关材料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Arial"/>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3</w:t>
            </w:r>
            <w:r>
              <w:rPr>
                <w:rFonts w:hint="eastAsia" w:ascii="宋体" w:hAnsi="宋体" w:cs="Arial"/>
                <w:b/>
                <w:bCs/>
                <w:szCs w:val="21"/>
                <w:lang w:val="zh-CN"/>
              </w:rPr>
              <w:t>、依法缴纳税收相关材料</w:t>
            </w:r>
          </w:p>
          <w:p>
            <w:pPr>
              <w:autoSpaceDE w:val="0"/>
              <w:autoSpaceDN w:val="0"/>
              <w:adjustRightInd w:val="0"/>
              <w:spacing w:line="360" w:lineRule="auto"/>
              <w:ind w:right="-11"/>
              <w:rPr>
                <w:rFonts w:ascii="宋体" w:hAnsi="宋体" w:cs="Arial"/>
                <w:szCs w:val="21"/>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cs="宋体" w:asciiTheme="minorEastAsia" w:hAnsiTheme="minorEastAsia"/>
                <w:bCs/>
                <w:szCs w:val="21"/>
              </w:rPr>
            </w:pPr>
            <w:r>
              <w:rPr>
                <w:rFonts w:hint="eastAsia" w:ascii="宋体" w:hAnsi="宋体" w:cs="Arial"/>
                <w:b/>
                <w:bCs/>
                <w:szCs w:val="21"/>
              </w:rPr>
              <w:t>4、投标承诺函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5、</w:t>
            </w:r>
            <w:r>
              <w:rPr>
                <w:rFonts w:hint="eastAsia"/>
                <w:b/>
                <w:bCs/>
              </w:rPr>
              <w:t>法定代表人资格证明书或法定代表人授权委托书原件和身份证复印件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6</w:t>
            </w:r>
            <w:r>
              <w:rPr>
                <w:rFonts w:hint="eastAsia" w:ascii="宋体" w:hAnsi="宋体" w:cs="Arial"/>
                <w:b/>
                <w:bCs/>
                <w:szCs w:val="21"/>
                <w:lang w:val="zh-CN"/>
              </w:rPr>
              <w:t>、参加政府采购活动前3年内在经营活动中没有重大违法记录的声明</w:t>
            </w:r>
          </w:p>
          <w:p>
            <w:pPr>
              <w:spacing w:line="360" w:lineRule="auto"/>
              <w:rPr>
                <w:rFonts w:ascii="宋体" w:hAnsi="宋体" w:cs="Arial"/>
                <w:szCs w:val="21"/>
              </w:rPr>
            </w:pPr>
            <w:r>
              <w:rPr>
                <w:rFonts w:hint="eastAsia" w:ascii="宋体" w:hAnsi="宋体" w:cs="Arial"/>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lang w:val="zh-CN"/>
              </w:rPr>
            </w:pPr>
            <w:r>
              <w:rPr>
                <w:rFonts w:hint="eastAsia" w:ascii="宋体" w:hAnsi="宋体" w:cs="Arial"/>
                <w:b/>
                <w:bCs/>
                <w:szCs w:val="21"/>
              </w:rPr>
              <w:t>7</w:t>
            </w:r>
            <w:r>
              <w:rPr>
                <w:rFonts w:hint="eastAsia" w:ascii="宋体" w:hAnsi="宋体" w:cs="Arial"/>
                <w:b/>
                <w:bCs/>
                <w:szCs w:val="21"/>
                <w:lang w:val="zh-CN"/>
              </w:rPr>
              <w:t>、履行合同所必须的设备和专业技术能力的证明材料</w:t>
            </w:r>
          </w:p>
          <w:p>
            <w:pPr>
              <w:spacing w:line="360" w:lineRule="auto"/>
              <w:rPr>
                <w:rFonts w:ascii="宋体" w:hAnsi="宋体" w:cs="Arial"/>
                <w:szCs w:val="21"/>
              </w:rPr>
            </w:pPr>
            <w:r>
              <w:rPr>
                <w:rFonts w:hint="eastAsia" w:ascii="宋体" w:hAnsi="宋体" w:cs="Arial"/>
                <w:szCs w:val="21"/>
                <w:lang w:val="zh-CN"/>
              </w:rPr>
              <w:t>专业技术人员职称证书、用工合同等或者附供应商相关承诺函或声明。（格式自拟）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8</w:t>
            </w:r>
            <w:r>
              <w:rPr>
                <w:rFonts w:hint="eastAsia" w:ascii="宋体" w:hAnsi="宋体" w:cs="Arial"/>
                <w:b/>
                <w:bCs/>
                <w:szCs w:val="21"/>
                <w:lang w:val="zh-CN"/>
              </w:rPr>
              <w:t>、未被列入</w:t>
            </w:r>
            <w:r>
              <w:rPr>
                <w:rFonts w:hint="eastAsia" w:ascii="宋体" w:hAnsi="宋体" w:cs="Arial"/>
                <w:b/>
                <w:bCs/>
                <w:szCs w:val="21"/>
              </w:rPr>
              <w:t>“</w:t>
            </w:r>
            <w:r>
              <w:rPr>
                <w:rFonts w:hint="eastAsia" w:ascii="宋体" w:hAnsi="宋体" w:cs="Arial"/>
                <w:b/>
                <w:bCs/>
                <w:szCs w:val="21"/>
                <w:lang w:val="zh-CN"/>
              </w:rPr>
              <w:t>信用中国</w:t>
            </w:r>
            <w:r>
              <w:rPr>
                <w:rFonts w:hint="eastAsia" w:ascii="宋体" w:hAnsi="宋体" w:cs="Arial"/>
                <w:b/>
                <w:bCs/>
                <w:szCs w:val="21"/>
              </w:rPr>
              <w:t>”</w:t>
            </w:r>
            <w:r>
              <w:rPr>
                <w:rFonts w:hint="eastAsia" w:ascii="宋体" w:hAnsi="宋体" w:cs="Arial"/>
                <w:b/>
                <w:bCs/>
                <w:szCs w:val="21"/>
                <w:lang w:val="zh-CN"/>
              </w:rPr>
              <w:t>网站</w:t>
            </w:r>
            <w:r>
              <w:rPr>
                <w:rFonts w:hint="eastAsia" w:ascii="宋体" w:hAnsi="宋体" w:cs="Arial"/>
                <w:b/>
                <w:bCs/>
                <w:szCs w:val="21"/>
              </w:rPr>
              <w:t>(www.creditchina.gov.cn)</w:t>
            </w:r>
            <w:r>
              <w:rPr>
                <w:rFonts w:hint="eastAsia" w:ascii="宋体" w:hAnsi="宋体" w:cs="Arial"/>
                <w:b/>
                <w:bCs/>
                <w:szCs w:val="21"/>
                <w:lang w:val="zh-CN"/>
              </w:rPr>
              <w:t>失信被执行人、重大税收违法案件当事人名单、政府采购严重违法失信名单的供应商</w:t>
            </w:r>
            <w:r>
              <w:rPr>
                <w:rFonts w:hint="eastAsia" w:ascii="宋体" w:hAnsi="宋体" w:cs="Arial"/>
                <w:b/>
                <w:bCs/>
                <w:szCs w:val="21"/>
              </w:rPr>
              <w:t>；“</w:t>
            </w:r>
            <w:r>
              <w:rPr>
                <w:rFonts w:hint="eastAsia" w:ascii="宋体" w:hAnsi="宋体" w:cs="Arial"/>
                <w:b/>
                <w:bCs/>
                <w:szCs w:val="21"/>
                <w:lang w:val="zh-CN"/>
              </w:rPr>
              <w:t>中国政府采购网</w:t>
            </w:r>
            <w:r>
              <w:rPr>
                <w:rFonts w:hint="eastAsia" w:ascii="宋体" w:hAnsi="宋体" w:cs="Arial"/>
                <w:b/>
                <w:bCs/>
                <w:szCs w:val="21"/>
              </w:rPr>
              <w:t>” (www.ccgp.gov.cn)</w:t>
            </w:r>
            <w:r>
              <w:rPr>
                <w:rFonts w:hint="eastAsia" w:ascii="宋体" w:hAnsi="宋体" w:cs="Arial"/>
                <w:b/>
                <w:bCs/>
                <w:szCs w:val="21"/>
                <w:lang w:val="zh-CN"/>
              </w:rPr>
              <w:t>政府采购严重违法失信行为记录名单的供应商。</w:t>
            </w:r>
          </w:p>
          <w:p>
            <w:pPr>
              <w:spacing w:line="360" w:lineRule="auto"/>
              <w:rPr>
                <w:rFonts w:ascii="宋体" w:hAnsi="宋体" w:cs="Arial"/>
                <w:szCs w:val="21"/>
              </w:rPr>
            </w:pPr>
            <w:r>
              <w:rPr>
                <w:rFonts w:hint="eastAsia" w:ascii="宋体" w:hAnsi="宋体" w:cs="Arial"/>
                <w:szCs w:val="21"/>
              </w:rPr>
              <w:t>（1）</w:t>
            </w:r>
            <w:r>
              <w:rPr>
                <w:rFonts w:hint="eastAsia" w:ascii="宋体" w:hAnsi="宋体" w:cs="Arial"/>
                <w:szCs w:val="21"/>
                <w:lang w:val="zh-CN"/>
              </w:rPr>
              <w:t>查询渠道</w:t>
            </w:r>
            <w:r>
              <w:rPr>
                <w:rFonts w:hint="eastAsia" w:ascii="宋体" w:hAnsi="宋体" w:cs="Arial"/>
                <w:szCs w:val="21"/>
              </w:rPr>
              <w:t>：“</w:t>
            </w:r>
            <w:r>
              <w:rPr>
                <w:rFonts w:hint="eastAsia" w:ascii="宋体" w:hAnsi="宋体" w:cs="Arial"/>
                <w:szCs w:val="21"/>
                <w:lang w:val="zh-CN"/>
              </w:rPr>
              <w:t>信用中国</w:t>
            </w:r>
            <w:r>
              <w:rPr>
                <w:rFonts w:hint="eastAsia" w:ascii="宋体" w:hAnsi="宋体" w:cs="Arial"/>
                <w:szCs w:val="21"/>
              </w:rPr>
              <w:t>”</w:t>
            </w:r>
            <w:r>
              <w:rPr>
                <w:rFonts w:hint="eastAsia" w:ascii="宋体" w:hAnsi="宋体" w:cs="Arial"/>
                <w:szCs w:val="21"/>
                <w:lang w:val="zh-CN"/>
              </w:rPr>
              <w:t>网站</w:t>
            </w:r>
            <w:r>
              <w:rPr>
                <w:rFonts w:hint="eastAsia" w:ascii="宋体" w:hAnsi="宋体" w:cs="Arial"/>
                <w:szCs w:val="21"/>
              </w:rPr>
              <w:t>（www.creditchina.gov.cn）</w:t>
            </w:r>
            <w:r>
              <w:rPr>
                <w:rFonts w:hint="eastAsia" w:ascii="宋体" w:hAnsi="宋体" w:cs="Arial"/>
                <w:szCs w:val="21"/>
                <w:lang w:val="zh-CN"/>
              </w:rPr>
              <w:t>和</w:t>
            </w:r>
            <w:r>
              <w:rPr>
                <w:rFonts w:hint="eastAsia" w:ascii="宋体" w:hAnsi="宋体" w:cs="Arial"/>
                <w:szCs w:val="21"/>
              </w:rPr>
              <w:t>“</w:t>
            </w:r>
            <w:r>
              <w:rPr>
                <w:rFonts w:hint="eastAsia" w:ascii="宋体" w:hAnsi="宋体" w:cs="Arial"/>
                <w:szCs w:val="21"/>
                <w:lang w:val="zh-CN"/>
              </w:rPr>
              <w:t>中国政府采购网</w:t>
            </w:r>
            <w:r>
              <w:rPr>
                <w:rFonts w:hint="eastAsia" w:ascii="宋体" w:hAnsi="宋体" w:cs="Arial"/>
                <w:szCs w:val="21"/>
              </w:rPr>
              <w:t>”（www.ccgp.gov.cn）；</w:t>
            </w:r>
          </w:p>
          <w:p>
            <w:pPr>
              <w:spacing w:line="360" w:lineRule="auto"/>
              <w:rPr>
                <w:rFonts w:ascii="宋体" w:hAnsi="宋体" w:cs="Arial"/>
                <w:szCs w:val="21"/>
                <w:lang w:val="zh-CN"/>
              </w:rPr>
            </w:pPr>
            <w:r>
              <w:rPr>
                <w:rFonts w:hint="eastAsia" w:ascii="宋体" w:hAnsi="宋体" w:cs="宋体"/>
                <w:kern w:val="0"/>
                <w:sz w:val="24"/>
                <w:szCs w:val="24"/>
              </w:rPr>
              <w:t>（2）</w:t>
            </w:r>
            <w:r>
              <w:rPr>
                <w:rFonts w:hint="eastAsia" w:ascii="宋体" w:hAnsi="宋体" w:cs="Arial"/>
                <w:szCs w:val="21"/>
                <w:lang w:val="zh-CN"/>
              </w:rPr>
              <w:t>截止时间：同投标截止时间；</w:t>
            </w:r>
          </w:p>
          <w:p>
            <w:pPr>
              <w:spacing w:line="360" w:lineRule="auto"/>
              <w:rPr>
                <w:rFonts w:ascii="宋体" w:hAnsi="宋体" w:cs="Arial"/>
                <w:szCs w:val="21"/>
                <w:lang w:val="zh-CN"/>
              </w:rPr>
            </w:pPr>
            <w:r>
              <w:rPr>
                <w:rFonts w:hint="eastAsia" w:ascii="宋体" w:hAnsi="宋体" w:cs="Arial"/>
                <w:szCs w:val="21"/>
                <w:lang w:val="zh-CN"/>
              </w:rPr>
              <w:t>（3）信用信息查询记录和证据留存具体方式：经采购人确认的查询结果网页截图作为查询记录和证据，与其他采购文件一并保存；</w:t>
            </w:r>
          </w:p>
          <w:p>
            <w:pPr>
              <w:spacing w:line="360" w:lineRule="auto"/>
              <w:rPr>
                <w:rFonts w:ascii="宋体" w:hAnsi="宋体" w:cs="宋体"/>
                <w:kern w:val="0"/>
                <w:sz w:val="24"/>
                <w:szCs w:val="24"/>
              </w:rPr>
            </w:pPr>
            <w:r>
              <w:rPr>
                <w:rFonts w:hint="eastAsia" w:ascii="宋体" w:hAnsi="宋体" w:cs="Arial"/>
                <w:szCs w:val="21"/>
                <w:lang w:val="zh-CN"/>
              </w:rPr>
              <w:t>（4）信用信息的使用原则：经采购人认定的被列入失信被执行人、重大税收违法案件当事人名单、政府采购严重违法失信行为记录名单，将拒绝其参与政府采购活</w:t>
            </w:r>
            <w:r>
              <w:rPr>
                <w:rFonts w:hint="eastAsia" w:ascii="宋体" w:hAnsi="宋体" w:cs="宋体"/>
                <w:kern w:val="0"/>
                <w:sz w:val="24"/>
                <w:szCs w:val="24"/>
              </w:rPr>
              <w:t>动。</w:t>
            </w:r>
          </w:p>
          <w:p>
            <w:pPr>
              <w:spacing w:line="360" w:lineRule="auto"/>
              <w:rPr>
                <w:rFonts w:ascii="宋体" w:hAnsi="宋体" w:cs="Arial"/>
                <w:b/>
                <w:bCs/>
                <w:szCs w:val="21"/>
              </w:rPr>
            </w:pPr>
            <w:r>
              <w:rPr>
                <w:rFonts w:hint="eastAsia" w:ascii="宋体" w:hAnsi="宋体" w:cs="宋体"/>
                <w:kern w:val="0"/>
                <w:sz w:val="24"/>
                <w:szCs w:val="24"/>
              </w:rPr>
              <w:t>（5）</w:t>
            </w:r>
            <w:r>
              <w:rPr>
                <w:rFonts w:hint="eastAsia" w:ascii="宋体" w:hAnsi="宋体" w:cs="Arial"/>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9</w:t>
            </w:r>
            <w:r>
              <w:rPr>
                <w:rFonts w:hint="eastAsia" w:ascii="宋体" w:hAnsi="宋体" w:cs="Arial"/>
                <w:b/>
                <w:bCs/>
                <w:szCs w:val="21"/>
                <w:lang w:val="zh-CN"/>
              </w:rPr>
              <w:t>、</w:t>
            </w:r>
            <w:r>
              <w:rPr>
                <w:rFonts w:hint="eastAsia" w:ascii="宋体" w:hAnsi="宋体" w:cs="宋体"/>
                <w:bCs/>
                <w:szCs w:val="21"/>
              </w:rPr>
              <w:t>具有</w:t>
            </w:r>
            <w:r>
              <w:rPr>
                <w:rFonts w:hint="eastAsia" w:ascii="宋体" w:hAnsi="宋体" w:cs="宋体"/>
                <w:bCs/>
                <w:szCs w:val="21"/>
                <w:lang w:val="en-US" w:eastAsia="zh-CN"/>
              </w:rPr>
              <w:t>相应的业务经营范围</w:t>
            </w:r>
            <w:r>
              <w:rPr>
                <w:rFonts w:hint="eastAsia" w:ascii="宋体" w:hAnsi="宋体" w:cs="宋体"/>
                <w:bCs/>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rPr>
            </w:pPr>
            <w:r>
              <w:rPr>
                <w:rFonts w:hint="eastAsia" w:ascii="宋体" w:hAnsi="宋体" w:cs="宋体"/>
                <w:bCs/>
                <w:szCs w:val="21"/>
              </w:rPr>
              <w:t>10、投标函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Cs w:val="21"/>
              </w:rPr>
            </w:pPr>
            <w:bookmarkStart w:id="3" w:name="定位_【循环资格性证明材料】_201244141223"/>
            <w:bookmarkEnd w:id="3"/>
            <w:bookmarkStart w:id="4" w:name="定位_【循环资格性证明材料】_20122314645"/>
            <w:bookmarkEnd w:id="4"/>
            <w:bookmarkStart w:id="5" w:name="定位_【循环资格性证明材料】_2012261436"/>
            <w:bookmarkEnd w:id="5"/>
            <w:r>
              <w:rPr>
                <w:rFonts w:hint="eastAsia" w:ascii="宋体" w:hAnsi="宋体" w:cs="宋体"/>
                <w:bCs/>
                <w:kern w:val="0"/>
                <w:szCs w:val="21"/>
              </w:rPr>
              <w:t>1.</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2.售后服务承诺书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3.实施方案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4.响应文件实质响应情况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谈判供应商认为需要提供的其他相关数据和材料</w:t>
            </w:r>
          </w:p>
        </w:tc>
      </w:tr>
    </w:tbl>
    <w:p>
      <w:pPr>
        <w:spacing w:line="360" w:lineRule="auto"/>
        <w:ind w:firstLine="569" w:firstLineChars="236"/>
        <w:rPr>
          <w:rFonts w:ascii="宋体" w:hAnsi="宋体"/>
          <w:b/>
          <w:kern w:val="0"/>
          <w:sz w:val="24"/>
          <w:szCs w:val="24"/>
        </w:rPr>
      </w:pPr>
    </w:p>
    <w:p>
      <w:pPr>
        <w:spacing w:line="360" w:lineRule="auto"/>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spacing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pPr>
        <w:spacing w:afterLines="100"/>
        <w:jc w:val="center"/>
        <w:rPr>
          <w:rFonts w:ascii="宋体" w:hAnsi="宋体"/>
          <w:b/>
          <w:sz w:val="24"/>
        </w:rPr>
      </w:pPr>
      <w:r>
        <w:rPr>
          <w:rFonts w:hint="eastAsia" w:asciiTheme="majorEastAsia" w:hAnsiTheme="majorEastAsia" w:eastAsiaTheme="majorEastAsia"/>
          <w:b/>
          <w:sz w:val="32"/>
          <w:szCs w:val="32"/>
        </w:rPr>
        <w:t>第四章  采购项目需求及相关要求</w:t>
      </w:r>
    </w:p>
    <w:p>
      <w:pPr>
        <w:spacing w:line="360" w:lineRule="auto"/>
        <w:ind w:firstLine="482" w:firstLineChars="200"/>
        <w:outlineLvl w:val="0"/>
        <w:rPr>
          <w:rFonts w:hint="eastAsia" w:ascii="宋体" w:hAnsi="宋体" w:eastAsia="宋体" w:cs="宋体"/>
          <w:b/>
          <w:sz w:val="24"/>
          <w:szCs w:val="24"/>
          <w:lang w:eastAsia="zh-CN"/>
        </w:rPr>
      </w:pPr>
      <w:r>
        <w:rPr>
          <w:rFonts w:hint="eastAsia" w:ascii="宋体" w:hAnsi="宋体" w:cs="宋体"/>
          <w:b/>
          <w:sz w:val="24"/>
          <w:szCs w:val="24"/>
        </w:rPr>
        <w:t>一、</w:t>
      </w:r>
      <w:r>
        <w:rPr>
          <w:rFonts w:hint="eastAsia" w:ascii="宋体" w:hAnsi="宋体" w:cs="宋体"/>
          <w:b/>
          <w:kern w:val="0"/>
          <w:sz w:val="24"/>
          <w:szCs w:val="24"/>
          <w:lang w:val="zh-CN"/>
        </w:rPr>
        <w:t>项目需</w:t>
      </w:r>
      <w:r>
        <w:rPr>
          <w:rFonts w:hint="eastAsia" w:ascii="宋体" w:hAnsi="宋体" w:cs="宋体"/>
          <w:b/>
          <w:kern w:val="0"/>
          <w:sz w:val="24"/>
          <w:szCs w:val="24"/>
          <w:lang w:val="en-US" w:eastAsia="zh-CN"/>
        </w:rPr>
        <w:t>求</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en-US" w:eastAsia="zh-CN"/>
        </w:rPr>
        <w:t>为依法规范涉河建设项目建设，保证双洎河防洪标准不受影响，根据《中华人民共和国水法》、《中国人民共和国防洪法》、《中华人民河道管理条例》防洪管理有关要求，对长葛市双洎河国家湿地公园建设项目开展相关防洪影响评价工作，出具《长葛市双洎河国家湿地公园项目防洪影响评价报告》，通过专家评审后报许昌市水利局审批</w:t>
      </w:r>
      <w:r>
        <w:rPr>
          <w:rFonts w:hint="eastAsia" w:ascii="宋体" w:hAnsi="宋体" w:cs="宋体"/>
          <w:color w:val="000000"/>
          <w:sz w:val="24"/>
          <w:szCs w:val="24"/>
        </w:rPr>
        <w:t>。</w:t>
      </w:r>
    </w:p>
    <w:p>
      <w:pPr>
        <w:spacing w:line="360" w:lineRule="auto"/>
        <w:ind w:firstLine="482" w:firstLineChars="200"/>
        <w:outlineLvl w:val="0"/>
        <w:rPr>
          <w:rFonts w:ascii="宋体" w:hAnsi="宋体" w:cs="宋体"/>
          <w:kern w:val="0"/>
          <w:sz w:val="28"/>
          <w:szCs w:val="28"/>
          <w:lang w:val="zh-CN"/>
        </w:rPr>
      </w:pPr>
      <w:r>
        <w:rPr>
          <w:rFonts w:hint="eastAsia" w:ascii="宋体" w:hAnsi="宋体" w:cs="宋体"/>
          <w:b/>
          <w:kern w:val="0"/>
          <w:sz w:val="24"/>
          <w:szCs w:val="24"/>
          <w:lang w:val="en-US" w:eastAsia="zh-CN"/>
        </w:rPr>
        <w:t>二</w:t>
      </w:r>
      <w:r>
        <w:rPr>
          <w:rFonts w:hint="eastAsia" w:ascii="宋体" w:hAnsi="宋体" w:cs="宋体"/>
          <w:b/>
          <w:kern w:val="0"/>
          <w:sz w:val="24"/>
          <w:szCs w:val="24"/>
          <w:lang w:val="zh-CN"/>
        </w:rPr>
        <w:t>、采购标的执行标准</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宋体" w:hAnsi="宋体" w:cs="宋体"/>
          <w:sz w:val="24"/>
          <w:szCs w:val="24"/>
          <w:lang w:val="en-US" w:eastAsia="zh-CN"/>
        </w:rPr>
        <w:t>（需执行的国家相关标准、行业标准、地方标准或其他标准、规范）符合国家及相关行业规定达到合格标准。</w:t>
      </w:r>
    </w:p>
    <w:p>
      <w:pPr>
        <w:spacing w:line="360" w:lineRule="auto"/>
        <w:ind w:firstLine="482" w:firstLineChars="200"/>
        <w:outlineLvl w:val="0"/>
        <w:rPr>
          <w:rFonts w:ascii="宋体" w:hAnsi="宋体" w:cs="宋体"/>
          <w:b/>
          <w:kern w:val="0"/>
          <w:sz w:val="24"/>
          <w:szCs w:val="24"/>
          <w:lang w:val="zh-CN"/>
        </w:rPr>
      </w:pPr>
      <w:r>
        <w:rPr>
          <w:rFonts w:hint="eastAsia" w:ascii="宋体" w:hAnsi="宋体" w:cs="宋体"/>
          <w:b/>
          <w:kern w:val="0"/>
          <w:sz w:val="24"/>
          <w:szCs w:val="24"/>
          <w:lang w:val="en-US" w:eastAsia="zh-CN"/>
        </w:rPr>
        <w:t>三</w:t>
      </w:r>
      <w:r>
        <w:rPr>
          <w:rFonts w:hint="eastAsia" w:ascii="宋体" w:hAnsi="宋体" w:cs="宋体"/>
          <w:b/>
          <w:kern w:val="0"/>
          <w:sz w:val="24"/>
          <w:szCs w:val="24"/>
          <w:lang w:val="zh-CN"/>
        </w:rPr>
        <w:t>、服务标准、期限、效率等要求</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1、服务标准：满足规范要求、结合现状。</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2、服务期限：合同签订后</w:t>
      </w:r>
      <w:r>
        <w:rPr>
          <w:rFonts w:hint="eastAsia" w:ascii="宋体" w:hAnsi="宋体" w:cs="宋体"/>
          <w:sz w:val="24"/>
          <w:szCs w:val="24"/>
          <w:lang w:val="en-US" w:eastAsia="zh-CN"/>
        </w:rPr>
        <w:t>30</w:t>
      </w:r>
      <w:r>
        <w:rPr>
          <w:rFonts w:hint="eastAsia" w:ascii="宋体" w:hAnsi="宋体" w:cs="宋体"/>
          <w:sz w:val="24"/>
          <w:szCs w:val="24"/>
          <w:lang w:val="zh-CN"/>
        </w:rPr>
        <w:t>日历天。</w:t>
      </w:r>
    </w:p>
    <w:p>
      <w:pPr>
        <w:spacing w:line="360" w:lineRule="auto"/>
        <w:ind w:firstLine="482" w:firstLineChars="200"/>
        <w:outlineLvl w:val="0"/>
        <w:rPr>
          <w:rFonts w:ascii="宋体" w:hAnsi="宋体" w:cs="宋体"/>
          <w:b/>
          <w:sz w:val="24"/>
          <w:szCs w:val="24"/>
          <w:lang w:val="zh-CN"/>
        </w:rPr>
      </w:pPr>
      <w:r>
        <w:rPr>
          <w:rFonts w:hint="eastAsia" w:ascii="宋体" w:hAnsi="宋体" w:cs="宋体"/>
          <w:b/>
          <w:sz w:val="24"/>
          <w:szCs w:val="24"/>
          <w:lang w:val="en-US" w:eastAsia="zh-CN"/>
        </w:rPr>
        <w:t>四</w:t>
      </w:r>
      <w:r>
        <w:rPr>
          <w:rFonts w:hint="eastAsia" w:ascii="宋体" w:hAnsi="宋体" w:cs="宋体"/>
          <w:b/>
          <w:sz w:val="24"/>
          <w:szCs w:val="24"/>
          <w:lang w:val="zh-CN"/>
        </w:rPr>
        <w:t>、验收标准</w:t>
      </w:r>
    </w:p>
    <w:p>
      <w:pPr>
        <w:spacing w:line="360" w:lineRule="auto"/>
        <w:ind w:firstLine="480" w:firstLineChars="200"/>
        <w:outlineLvl w:val="0"/>
        <w:rPr>
          <w:rFonts w:hint="eastAsia" w:ascii="宋体" w:hAnsi="宋体" w:cs="宋体"/>
          <w:sz w:val="24"/>
          <w:szCs w:val="24"/>
          <w:lang w:val="en-US" w:eastAsia="zh-CN"/>
        </w:rPr>
      </w:pPr>
      <w:r>
        <w:rPr>
          <w:rFonts w:hint="eastAsia" w:ascii="宋体" w:hAnsi="宋体" w:cs="宋体"/>
          <w:sz w:val="24"/>
          <w:szCs w:val="24"/>
          <w:lang w:val="en-US"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
        <w:numPr>
          <w:ilvl w:val="0"/>
          <w:numId w:val="3"/>
        </w:numPr>
        <w:rPr>
          <w:rFonts w:hint="eastAsia" w:hAnsi="宋体" w:cs="宋体"/>
          <w:sz w:val="24"/>
          <w:szCs w:val="24"/>
          <w:lang w:val="en-US" w:eastAsia="zh-CN"/>
        </w:rPr>
      </w:pPr>
      <w:r>
        <w:rPr>
          <w:rFonts w:hint="eastAsia" w:hAnsi="宋体" w:cs="宋体"/>
          <w:sz w:val="24"/>
          <w:szCs w:val="24"/>
          <w:lang w:val="en-US" w:eastAsia="zh-CN"/>
        </w:rPr>
        <w:t>按照国家相关标准、行业标准、地方标准或其他标准、规范验收。</w:t>
      </w:r>
    </w:p>
    <w:p>
      <w:pPr>
        <w:pStyle w:val="2"/>
        <w:numPr>
          <w:ilvl w:val="0"/>
          <w:numId w:val="3"/>
        </w:numPr>
        <w:rPr>
          <w:rFonts w:hint="default" w:hAnsi="宋体" w:cs="宋体"/>
          <w:sz w:val="24"/>
          <w:szCs w:val="24"/>
          <w:lang w:val="en-US" w:eastAsia="zh-CN"/>
        </w:rPr>
      </w:pPr>
      <w:r>
        <w:rPr>
          <w:rFonts w:hint="eastAsia" w:hAnsi="宋体" w:cs="宋体"/>
          <w:sz w:val="24"/>
          <w:szCs w:val="24"/>
          <w:lang w:val="en-US" w:eastAsia="zh-CN"/>
        </w:rPr>
        <w:t>按照招标文件要求、投标文件响应和承诺验收。</w:t>
      </w:r>
    </w:p>
    <w:p>
      <w:pPr>
        <w:spacing w:line="360" w:lineRule="auto"/>
        <w:ind w:firstLine="482" w:firstLineChars="200"/>
        <w:outlineLvl w:val="0"/>
        <w:rPr>
          <w:rFonts w:ascii="宋体" w:hAnsi="宋体" w:cs="宋体"/>
          <w:b/>
          <w:sz w:val="24"/>
          <w:szCs w:val="24"/>
          <w:lang w:val="zh-CN"/>
        </w:rPr>
      </w:pPr>
      <w:r>
        <w:rPr>
          <w:rFonts w:hint="eastAsia" w:ascii="宋体" w:hAnsi="宋体" w:cs="宋体"/>
          <w:b/>
          <w:sz w:val="24"/>
          <w:szCs w:val="24"/>
          <w:lang w:val="en-US" w:eastAsia="zh-CN"/>
        </w:rPr>
        <w:t>五</w:t>
      </w:r>
      <w:r>
        <w:rPr>
          <w:rFonts w:hint="eastAsia" w:ascii="宋体" w:hAnsi="宋体" w:cs="宋体"/>
          <w:b/>
          <w:sz w:val="24"/>
          <w:szCs w:val="24"/>
          <w:lang w:val="zh-CN"/>
        </w:rPr>
        <w:t>、资金支付</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zh-CN"/>
        </w:rPr>
        <w:t>1、支付方式：</w:t>
      </w:r>
      <w:r>
        <w:rPr>
          <w:rFonts w:hint="eastAsia" w:ascii="宋体" w:hAnsi="宋体" w:cs="宋体"/>
          <w:sz w:val="24"/>
          <w:szCs w:val="24"/>
          <w:lang w:val="en-US" w:eastAsia="zh-CN"/>
        </w:rPr>
        <w:t>财政支付</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2、支付时间及条件：</w:t>
      </w:r>
      <w:r>
        <w:rPr>
          <w:rFonts w:hint="eastAsia" w:ascii="宋体" w:hAnsi="宋体" w:cs="宋体"/>
          <w:sz w:val="24"/>
          <w:szCs w:val="24"/>
          <w:lang w:val="en-US" w:eastAsia="zh-CN"/>
        </w:rPr>
        <w:t>方案编制完成后，支付合同总金额的80%；项目全部完成，验收合格，支付合同金额的100%</w:t>
      </w:r>
      <w:r>
        <w:rPr>
          <w:rFonts w:hint="eastAsia" w:ascii="宋体" w:hAnsi="宋体" w:cs="宋体"/>
          <w:sz w:val="24"/>
          <w:szCs w:val="24"/>
          <w:lang w:val="zh-CN"/>
        </w:rPr>
        <w:t>。</w:t>
      </w:r>
    </w:p>
    <w:p>
      <w:pPr>
        <w:spacing w:line="430" w:lineRule="exact"/>
        <w:jc w:val="center"/>
        <w:rPr>
          <w:rFonts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ascii="宋体" w:hAnsi="宋体"/>
          <w:b/>
          <w:kern w:val="0"/>
          <w:sz w:val="24"/>
          <w:szCs w:val="24"/>
        </w:rPr>
      </w:pP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一、评审方法</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hint="eastAsia" w:ascii="宋体" w:hAnsi="宋体"/>
          <w:color w:val="000000"/>
          <w:kern w:val="0"/>
          <w:sz w:val="24"/>
          <w:szCs w:val="24"/>
        </w:rPr>
        <w:t>名以上成交候选人</w:t>
      </w:r>
      <w:r>
        <w:rPr>
          <w:rFonts w:ascii="宋体"/>
          <w:color w:val="000000"/>
          <w:kern w:val="0"/>
          <w:sz w:val="24"/>
          <w:szCs w:val="24"/>
        </w:rPr>
        <w:t>,</w:t>
      </w:r>
      <w:r>
        <w:rPr>
          <w:rFonts w:hint="eastAsia" w:ascii="宋体" w:hAnsi="宋体"/>
          <w:color w:val="000000"/>
          <w:kern w:val="0"/>
          <w:sz w:val="24"/>
          <w:szCs w:val="24"/>
        </w:rPr>
        <w:t>并编写评审报告。</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二、确定成交供应商的原则</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．采购长葛市公共资源交易中心应当在评审结束后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pPr>
        <w:spacing w:line="400" w:lineRule="exact"/>
        <w:ind w:firstLine="482" w:firstLineChars="200"/>
        <w:rPr>
          <w:b/>
          <w:color w:val="000000"/>
          <w:sz w:val="24"/>
          <w:szCs w:val="24"/>
        </w:rPr>
      </w:pPr>
      <w:r>
        <w:rPr>
          <w:rFonts w:hint="eastAsia"/>
          <w:b/>
          <w:color w:val="000000"/>
          <w:sz w:val="24"/>
          <w:szCs w:val="24"/>
        </w:rPr>
        <w:t>三、谈判程序</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文件的规定，对响应文件中的资格证明进行审查，以确定谈判响应供应商是否具备谈判资格。资格审查不符合资格要求的供应商的响应文件按无效处理。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pPr>
        <w:spacing w:line="400" w:lineRule="exact"/>
        <w:ind w:firstLine="480" w:firstLineChars="200"/>
        <w:rPr>
          <w:color w:val="000000"/>
          <w:sz w:val="24"/>
          <w:szCs w:val="24"/>
        </w:rPr>
      </w:pPr>
      <w:r>
        <w:rPr>
          <w:color w:val="000000"/>
          <w:sz w:val="24"/>
          <w:szCs w:val="24"/>
        </w:rPr>
        <w:t>4</w:t>
      </w:r>
      <w:r>
        <w:rPr>
          <w:rFonts w:hint="eastAsia"/>
          <w:color w:val="000000"/>
          <w:sz w:val="24"/>
          <w:szCs w:val="24"/>
        </w:rPr>
        <w:t>．谈判小组所有成员应当集中与单一供应商分别进行谈判，并给予所有参加谈判的供应商平等的谈判机会。</w:t>
      </w:r>
    </w:p>
    <w:p>
      <w:pPr>
        <w:spacing w:line="400" w:lineRule="exact"/>
        <w:ind w:firstLine="480" w:firstLineChars="20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pPr>
        <w:spacing w:line="400" w:lineRule="exact"/>
        <w:ind w:firstLine="480" w:firstLineChars="20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pPr>
        <w:spacing w:line="400" w:lineRule="exact"/>
        <w:ind w:firstLine="482" w:firstLineChars="200"/>
        <w:rPr>
          <w:rFonts w:ascii="宋体"/>
          <w:b/>
          <w:sz w:val="24"/>
          <w:szCs w:val="24"/>
        </w:rPr>
      </w:pPr>
      <w:r>
        <w:rPr>
          <w:rFonts w:hint="eastAsia" w:ascii="宋体" w:hAnsi="宋体" w:cs="Arial"/>
          <w:b/>
          <w:color w:val="000000"/>
          <w:sz w:val="24"/>
          <w:szCs w:val="20"/>
        </w:rPr>
        <w:t>四、</w:t>
      </w:r>
      <w:r>
        <w:rPr>
          <w:rFonts w:hint="eastAsia" w:ascii="宋体" w:hAnsi="宋体"/>
          <w:b/>
          <w:sz w:val="24"/>
          <w:szCs w:val="24"/>
        </w:rPr>
        <w:t>政府采购政策功能要求</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根据《政府采购促进中小企业发展暂行办法》</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[2011]181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的规定，对于非专门面向中小企业的项目，对小型和微型企业产品的价格给予</w:t>
      </w:r>
      <w:r>
        <w:rPr>
          <w:rFonts w:ascii="宋体" w:hAnsi="宋体" w:cs="宋体"/>
          <w:color w:val="000000"/>
          <w:sz w:val="24"/>
          <w:szCs w:val="24"/>
        </w:rPr>
        <w:t>6%</w:t>
      </w:r>
      <w:r>
        <w:rPr>
          <w:rFonts w:hint="eastAsia" w:ascii="宋体" w:hAnsi="宋体" w:cs="宋体"/>
          <w:color w:val="000000"/>
          <w:sz w:val="24"/>
          <w:szCs w:val="24"/>
        </w:rPr>
        <w:t>的扣除，用扣除后的报价参与评审。对于中型企业产品的价格不予扣除。</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监狱企业（提供监狱企业证明文件复印件）、残疾人福利性单位视同小型、微型企业，所生产的产品参加投标比照上款执行。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长葛市公共资源交易中心应当依据国家确定的认证机构出具的、处于有效期之内的节能产品认证证书，对获得证书的产品实施政府强制采购，投标文件中须提供有效的证明材料且加盖投标人公章，否则</w:t>
      </w:r>
      <w:r>
        <w:rPr>
          <w:rFonts w:hint="eastAsia" w:ascii="宋体" w:hAnsi="宋体" w:cs="宋体"/>
          <w:sz w:val="24"/>
          <w:szCs w:val="24"/>
          <w:lang w:val="zh-CN"/>
        </w:rPr>
        <w:t>为无效投标</w:t>
      </w:r>
      <w:r>
        <w:rPr>
          <w:rFonts w:hint="eastAsia" w:ascii="宋体" w:hAnsi="宋体" w:cs="宋体"/>
          <w:sz w:val="24"/>
          <w:szCs w:val="24"/>
        </w:rPr>
        <w:t>。</w:t>
      </w:r>
    </w:p>
    <w:p>
      <w:pPr>
        <w:spacing w:line="40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长葛市公共资源交易中心应当依据国家确定的认证机构出具的、处于有效期之内的节能产品认证证书，对获得证书的产品实施政府优先采购，投标文件中须提供有效的证明材料且加盖投标人公章，否则</w:t>
      </w:r>
      <w:r>
        <w:rPr>
          <w:rFonts w:hint="eastAsia" w:ascii="宋体" w:hAnsi="宋体" w:cs="宋体"/>
          <w:sz w:val="24"/>
          <w:szCs w:val="24"/>
          <w:lang w:val="zh-CN"/>
        </w:rPr>
        <w:t>无法享受政策优惠待遇</w:t>
      </w:r>
      <w:r>
        <w:rPr>
          <w:rFonts w:hint="eastAsia" w:ascii="宋体" w:hAnsi="宋体" w:cs="宋体"/>
          <w:sz w:val="24"/>
          <w:szCs w:val="24"/>
        </w:rPr>
        <w:t>。</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．所投产品已列入国家强制性产品认证的产品，必须提供通过国家</w:t>
      </w:r>
      <w:r>
        <w:rPr>
          <w:rFonts w:ascii="宋体" w:hAnsi="宋体" w:cs="宋体"/>
          <w:color w:val="000000"/>
          <w:sz w:val="24"/>
          <w:szCs w:val="24"/>
        </w:rPr>
        <w:t>3C</w:t>
      </w:r>
      <w:r>
        <w:rPr>
          <w:rFonts w:hint="eastAsia" w:ascii="宋体" w:hAnsi="宋体" w:cs="宋体"/>
          <w:color w:val="000000"/>
          <w:sz w:val="24"/>
          <w:szCs w:val="24"/>
        </w:rPr>
        <w:t>认证的有关证明材料或承诺。（响应文件没有要求提供的产品，评审时不作强制审查）</w:t>
      </w:r>
    </w:p>
    <w:p>
      <w:pPr>
        <w:spacing w:line="40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本采购项目应当执行《河南省财政厅、河南省工业和信息化厅关于政府采购促进小微型企业发展实施意见》豫财购</w:t>
      </w:r>
      <w:r>
        <w:rPr>
          <w:rFonts w:ascii="宋体" w:hAnsi="宋体" w:cs="宋体"/>
          <w:color w:val="000000"/>
          <w:sz w:val="24"/>
          <w:szCs w:val="24"/>
        </w:rPr>
        <w:t>[2013]14</w:t>
      </w:r>
      <w:r>
        <w:rPr>
          <w:rFonts w:hint="eastAsia" w:ascii="宋体" w:hAnsi="宋体" w:cs="宋体"/>
          <w:color w:val="000000"/>
          <w:sz w:val="24"/>
          <w:szCs w:val="24"/>
        </w:rPr>
        <w:t>号文件规定的各项功能政策。</w:t>
      </w:r>
    </w:p>
    <w:p>
      <w:pPr>
        <w:spacing w:line="40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2017141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jc w:val="left"/>
        <w:rPr>
          <w:rFonts w:ascii="宋体" w:hAnsi="宋体"/>
          <w:bCs/>
          <w:sz w:val="28"/>
          <w:szCs w:val="28"/>
        </w:rPr>
      </w:pPr>
    </w:p>
    <w:p>
      <w:pPr>
        <w:jc w:val="left"/>
        <w:rPr>
          <w:rFonts w:ascii="宋体" w:hAnsi="宋体"/>
          <w:bCs/>
          <w:sz w:val="28"/>
          <w:szCs w:val="28"/>
        </w:rPr>
      </w:pPr>
    </w:p>
    <w:p>
      <w:pPr>
        <w:pStyle w:val="32"/>
        <w:ind w:firstLine="24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hint="eastAsia" w:asciiTheme="majorEastAsia" w:hAnsiTheme="majorEastAsia" w:eastAsiaTheme="majorEastAsia"/>
          <w:b/>
          <w:sz w:val="32"/>
          <w:szCs w:val="32"/>
        </w:rPr>
        <w:t>第六章  采购合同专用条款</w:t>
      </w:r>
    </w:p>
    <w:p>
      <w:pPr>
        <w:pStyle w:val="32"/>
        <w:ind w:firstLine="240"/>
        <w:rPr>
          <w:rFonts w:asciiTheme="majorEastAsia" w:hAnsiTheme="majorEastAsia" w:eastAsiaTheme="majorEastAsia"/>
        </w:rPr>
      </w:pPr>
    </w:p>
    <w:tbl>
      <w:tblPr>
        <w:tblStyle w:val="33"/>
        <w:tblW w:w="9880" w:type="dxa"/>
        <w:jc w:val="righ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56"/>
        <w:gridCol w:w="80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2" w:hRule="atLeast"/>
          <w:jc w:val="right"/>
        </w:trPr>
        <w:tc>
          <w:tcPr>
            <w:tcW w:w="1856" w:type="dxa"/>
            <w:tcBorders>
              <w:top w:val="double" w:color="auto" w:sz="4" w:space="0"/>
              <w:left w:val="double" w:color="auto" w:sz="4" w:space="0"/>
              <w:bottom w:val="single" w:color="auto" w:sz="6" w:space="0"/>
              <w:right w:val="single" w:color="auto" w:sz="6" w:space="0"/>
            </w:tcBorders>
            <w:vAlign w:val="center"/>
          </w:tcPr>
          <w:p>
            <w:pPr>
              <w:widowControl/>
              <w:jc w:val="center"/>
              <w:rPr>
                <w:rFonts w:ascii="宋体" w:hAnsi="宋体" w:cs="宋体"/>
                <w:b/>
                <w:kern w:val="0"/>
                <w:szCs w:val="21"/>
              </w:rPr>
            </w:pPr>
            <w:r>
              <w:rPr>
                <w:rFonts w:hint="eastAsia" w:ascii="宋体" w:hAnsi="宋体" w:cs="宋体"/>
                <w:b/>
                <w:kern w:val="0"/>
                <w:szCs w:val="21"/>
              </w:rPr>
              <w:t>项目</w:t>
            </w:r>
          </w:p>
        </w:tc>
        <w:tc>
          <w:tcPr>
            <w:tcW w:w="8024" w:type="dxa"/>
            <w:tcBorders>
              <w:top w:val="double" w:color="auto" w:sz="4" w:space="0"/>
              <w:left w:val="single" w:color="auto" w:sz="6" w:space="0"/>
              <w:bottom w:val="single" w:color="auto" w:sz="6" w:space="0"/>
              <w:right w:val="doub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jc w:val="right"/>
        </w:trPr>
        <w:tc>
          <w:tcPr>
            <w:tcW w:w="1856" w:type="dxa"/>
            <w:tcBorders>
              <w:top w:val="single" w:color="auto" w:sz="6" w:space="0"/>
              <w:left w:val="double" w:color="auto" w:sz="4" w:space="0"/>
              <w:bottom w:val="single" w:color="auto" w:sz="4" w:space="0"/>
              <w:right w:val="single" w:color="auto" w:sz="6" w:space="0"/>
            </w:tcBorders>
            <w:vAlign w:val="center"/>
          </w:tcPr>
          <w:p>
            <w:pPr>
              <w:widowControl/>
              <w:jc w:val="center"/>
              <w:rPr>
                <w:rFonts w:ascii="宋体" w:hAnsi="宋体" w:cs="宋体"/>
                <w:b/>
                <w:kern w:val="0"/>
                <w:szCs w:val="21"/>
              </w:rPr>
            </w:pPr>
            <w:r>
              <w:rPr>
                <w:rFonts w:hint="eastAsia" w:ascii="宋体" w:hAnsi="宋体" w:cs="宋体"/>
                <w:b/>
                <w:kern w:val="0"/>
                <w:szCs w:val="21"/>
              </w:rPr>
              <w:t>交付（服务、完工）时间</w:t>
            </w:r>
          </w:p>
        </w:tc>
        <w:tc>
          <w:tcPr>
            <w:tcW w:w="8024" w:type="dxa"/>
            <w:tcBorders>
              <w:top w:val="single" w:color="auto" w:sz="6" w:space="0"/>
              <w:left w:val="single" w:color="auto" w:sz="6" w:space="0"/>
              <w:bottom w:val="single" w:color="auto" w:sz="4" w:space="0"/>
              <w:right w:val="double" w:color="auto" w:sz="4" w:space="0"/>
            </w:tcBorders>
            <w:vAlign w:val="center"/>
          </w:tcPr>
          <w:p>
            <w:pPr>
              <w:widowControl/>
              <w:jc w:val="left"/>
              <w:rPr>
                <w:rFonts w:ascii="宋体" w:hAnsi="宋体" w:cs="Arial"/>
                <w:szCs w:val="21"/>
              </w:rPr>
            </w:pPr>
            <w:r>
              <w:rPr>
                <w:rFonts w:hint="eastAsia" w:ascii="宋体" w:hAnsi="宋体" w:cs="Arial"/>
                <w:szCs w:val="21"/>
              </w:rPr>
              <w:t>合同签订后</w:t>
            </w:r>
            <w:r>
              <w:rPr>
                <w:rFonts w:hint="eastAsia" w:ascii="宋体" w:hAnsi="宋体" w:cs="Arial"/>
                <w:szCs w:val="21"/>
                <w:lang w:val="en-US" w:eastAsia="zh-CN"/>
              </w:rPr>
              <w:t>30</w:t>
            </w:r>
            <w:r>
              <w:rPr>
                <w:rFonts w:hint="eastAsia" w:ascii="宋体" w:hAnsi="宋体" w:cs="Arial"/>
                <w:szCs w:val="21"/>
              </w:rPr>
              <w:t>日内提交</w:t>
            </w:r>
            <w:r>
              <w:rPr>
                <w:rFonts w:hint="eastAsia" w:ascii="宋体" w:hAnsi="宋体" w:cs="Arial"/>
                <w:szCs w:val="21"/>
                <w:lang w:val="en-US" w:eastAsia="zh-CN"/>
              </w:rPr>
              <w:t>编制报告</w:t>
            </w:r>
            <w:r>
              <w:rPr>
                <w:rFonts w:hint="eastAsia" w:ascii="宋体" w:hAnsi="宋体" w:cs="Arial"/>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45" w:hRule="atLeast"/>
          <w:jc w:val="right"/>
        </w:trPr>
        <w:tc>
          <w:tcPr>
            <w:tcW w:w="1856" w:type="dxa"/>
            <w:tcBorders>
              <w:top w:val="single" w:color="auto" w:sz="6" w:space="0"/>
              <w:left w:val="double" w:color="auto" w:sz="4" w:space="0"/>
              <w:bottom w:val="single" w:color="auto" w:sz="4" w:space="0"/>
              <w:right w:val="single" w:color="auto" w:sz="6" w:space="0"/>
            </w:tcBorders>
            <w:vAlign w:val="center"/>
          </w:tcPr>
          <w:p>
            <w:pPr>
              <w:widowControl/>
              <w:jc w:val="center"/>
              <w:rPr>
                <w:rFonts w:ascii="宋体" w:hAnsi="宋体" w:cs="宋体"/>
                <w:b/>
                <w:kern w:val="0"/>
                <w:szCs w:val="21"/>
              </w:rPr>
            </w:pPr>
            <w:r>
              <w:rPr>
                <w:rFonts w:hint="eastAsia" w:ascii="宋体" w:hAnsi="宋体" w:cs="宋体"/>
                <w:b/>
                <w:kern w:val="0"/>
                <w:szCs w:val="21"/>
              </w:rPr>
              <w:t>验收</w:t>
            </w:r>
          </w:p>
        </w:tc>
        <w:tc>
          <w:tcPr>
            <w:tcW w:w="8024" w:type="dxa"/>
            <w:tcBorders>
              <w:top w:val="single" w:color="auto" w:sz="6" w:space="0"/>
              <w:left w:val="single" w:color="auto" w:sz="6" w:space="0"/>
              <w:bottom w:val="single" w:color="auto" w:sz="4" w:space="0"/>
              <w:right w:val="double" w:color="auto" w:sz="4" w:space="0"/>
            </w:tcBorders>
            <w:vAlign w:val="center"/>
          </w:tcPr>
          <w:p>
            <w:pPr>
              <w:widowControl/>
              <w:ind w:firstLine="420" w:firstLineChars="200"/>
              <w:jc w:val="left"/>
              <w:rPr>
                <w:rFonts w:ascii="宋体" w:hAnsi="宋体" w:cs="Arial"/>
                <w:szCs w:val="21"/>
              </w:rPr>
            </w:pPr>
            <w:r>
              <w:rPr>
                <w:rFonts w:hint="eastAsia" w:ascii="宋体" w:hAnsi="宋体" w:cs="Arial"/>
                <w:szCs w:val="21"/>
              </w:rPr>
              <w:t>具备验收条件后，由采购人组成验收小组,成员包括采购单位代表及相关人员。验收小组按照采购合同及本谈判文件的规定验收，验收后填写验收报告。验收标准按谈判文件规定执行。验收合格后由采购人按谈判文件约定向成交供应商付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1" w:hRule="atLeast"/>
          <w:jc w:val="right"/>
        </w:trPr>
        <w:tc>
          <w:tcPr>
            <w:tcW w:w="1856" w:type="dxa"/>
            <w:tcBorders>
              <w:top w:val="single" w:color="auto" w:sz="4" w:space="0"/>
              <w:left w:val="double" w:color="auto" w:sz="4" w:space="0"/>
              <w:bottom w:val="single" w:color="auto" w:sz="6" w:space="0"/>
              <w:right w:val="single" w:color="auto" w:sz="6" w:space="0"/>
            </w:tcBorders>
            <w:vAlign w:val="center"/>
          </w:tcPr>
          <w:p>
            <w:pPr>
              <w:jc w:val="center"/>
              <w:rPr>
                <w:rFonts w:ascii="宋体" w:hAnsi="宋体" w:cs="宋体"/>
                <w:b/>
                <w:kern w:val="0"/>
                <w:szCs w:val="21"/>
              </w:rPr>
            </w:pPr>
            <w:r>
              <w:rPr>
                <w:rFonts w:hint="eastAsia" w:ascii="宋体" w:hAnsi="宋体" w:cs="宋体"/>
                <w:b/>
                <w:kern w:val="0"/>
                <w:szCs w:val="21"/>
              </w:rPr>
              <w:t>付</w:t>
            </w:r>
            <w:r>
              <w:rPr>
                <w:rFonts w:ascii="宋体" w:hAnsi="宋体" w:cs="宋体"/>
                <w:b/>
                <w:kern w:val="0"/>
                <w:szCs w:val="21"/>
              </w:rPr>
              <w:t>款</w:t>
            </w:r>
            <w:r>
              <w:rPr>
                <w:rFonts w:hint="eastAsia" w:ascii="宋体" w:hAnsi="宋体" w:cs="宋体"/>
                <w:b/>
                <w:kern w:val="0"/>
                <w:szCs w:val="21"/>
              </w:rPr>
              <w:t>方式</w:t>
            </w:r>
          </w:p>
        </w:tc>
        <w:tc>
          <w:tcPr>
            <w:tcW w:w="8024" w:type="dxa"/>
            <w:tcBorders>
              <w:top w:val="single" w:color="auto" w:sz="4" w:space="0"/>
              <w:left w:val="single" w:color="auto" w:sz="6" w:space="0"/>
              <w:bottom w:val="single" w:color="auto" w:sz="6" w:space="0"/>
              <w:right w:val="double" w:color="auto" w:sz="4" w:space="0"/>
            </w:tcBorders>
            <w:vAlign w:val="center"/>
          </w:tcPr>
          <w:p>
            <w:pPr>
              <w:widowControl/>
              <w:jc w:val="left"/>
              <w:rPr>
                <w:rFonts w:ascii="宋体" w:hAnsi="宋体" w:cs="Arial"/>
                <w:szCs w:val="21"/>
              </w:rPr>
            </w:pPr>
            <w:r>
              <w:rPr>
                <w:rFonts w:hint="eastAsia" w:ascii="宋体" w:hAnsi="宋体" w:cs="Arial"/>
                <w:szCs w:val="21"/>
                <w:lang w:val="en-US" w:eastAsia="zh-CN"/>
              </w:rPr>
              <w:t>方案编制完成后，支付合同总金额的80%；项目全部完成，验收合格，支付合同金额的100%</w:t>
            </w:r>
            <w:r>
              <w:rPr>
                <w:rFonts w:hint="eastAsia" w:ascii="宋体" w:hAnsi="宋体" w:cs="Arial"/>
                <w:szCs w:val="21"/>
                <w:lang w:val="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49" w:hRule="atLeast"/>
          <w:jc w:val="right"/>
        </w:trPr>
        <w:tc>
          <w:tcPr>
            <w:tcW w:w="1856" w:type="dxa"/>
            <w:tcBorders>
              <w:top w:val="single" w:color="auto" w:sz="6" w:space="0"/>
              <w:left w:val="double" w:color="auto" w:sz="4" w:space="0"/>
              <w:bottom w:val="double" w:color="auto" w:sz="4" w:space="0"/>
              <w:right w:val="single" w:color="auto" w:sz="6" w:space="0"/>
            </w:tcBorders>
            <w:vAlign w:val="center"/>
          </w:tcPr>
          <w:p>
            <w:pPr>
              <w:widowControl/>
              <w:jc w:val="center"/>
              <w:rPr>
                <w:rFonts w:ascii="宋体" w:hAnsi="宋体" w:cs="宋体"/>
                <w:b/>
                <w:kern w:val="0"/>
                <w:szCs w:val="21"/>
              </w:rPr>
            </w:pPr>
            <w:r>
              <w:rPr>
                <w:rFonts w:hint="eastAsia" w:ascii="宋体" w:hAnsi="宋体" w:cs="宋体"/>
                <w:b/>
                <w:kern w:val="0"/>
                <w:szCs w:val="21"/>
              </w:rPr>
              <w:t>其他</w:t>
            </w:r>
          </w:p>
        </w:tc>
        <w:tc>
          <w:tcPr>
            <w:tcW w:w="8024" w:type="dxa"/>
            <w:tcBorders>
              <w:top w:val="single" w:color="auto" w:sz="6" w:space="0"/>
              <w:left w:val="single" w:color="auto" w:sz="6" w:space="0"/>
              <w:bottom w:val="double" w:color="auto" w:sz="4" w:space="0"/>
              <w:right w:val="double" w:color="auto" w:sz="4" w:space="0"/>
            </w:tcBorders>
            <w:vAlign w:val="center"/>
          </w:tcPr>
          <w:p>
            <w:pPr>
              <w:widowControl/>
              <w:ind w:firstLine="420" w:firstLineChars="200"/>
              <w:jc w:val="left"/>
              <w:rPr>
                <w:rFonts w:ascii="宋体" w:hAnsi="宋体" w:cs="Arial"/>
                <w:szCs w:val="21"/>
              </w:rPr>
            </w:pPr>
            <w:r>
              <w:rPr>
                <w:rFonts w:hint="eastAsia" w:ascii="宋体" w:hAnsi="宋体" w:cs="Arial"/>
                <w:szCs w:val="21"/>
                <w:lang w:val="en-US" w:eastAsia="zh-CN"/>
              </w:rPr>
              <w:t>1</w:t>
            </w:r>
            <w:r>
              <w:rPr>
                <w:rFonts w:hint="eastAsia" w:ascii="宋体" w:hAnsi="宋体" w:cs="Arial"/>
                <w:szCs w:val="21"/>
              </w:rPr>
              <w:t>、供方在本合同规定的交货期内不能交货，应向需方支付全部合同金额5%的违约金，需方有权终止合同。</w:t>
            </w:r>
          </w:p>
          <w:p>
            <w:pPr>
              <w:ind w:firstLine="420" w:firstLineChars="200"/>
              <w:rPr>
                <w:rFonts w:ascii="宋体" w:hAnsi="宋体" w:cs="宋体"/>
                <w:szCs w:val="21"/>
              </w:rPr>
            </w:pPr>
            <w:r>
              <w:rPr>
                <w:rFonts w:hint="eastAsia" w:ascii="宋体" w:hAnsi="宋体" w:cs="Arial"/>
                <w:szCs w:val="21"/>
                <w:lang w:val="en-US" w:eastAsia="zh-CN"/>
              </w:rPr>
              <w:t>2</w:t>
            </w:r>
            <w:r>
              <w:rPr>
                <w:rFonts w:hint="eastAsia" w:ascii="宋体" w:hAnsi="宋体" w:cs="Arial"/>
                <w:szCs w:val="21"/>
              </w:rPr>
              <w:t>、因供方原因造成逾期付款，需方不承担责任。</w:t>
            </w:r>
          </w:p>
        </w:tc>
      </w:tr>
    </w:tbl>
    <w:p>
      <w:pPr>
        <w:rPr>
          <w:rFonts w:asciiTheme="majorEastAsia" w:hAnsiTheme="majorEastAsia" w:eastAsiaTheme="majorEastAsia"/>
          <w:b/>
          <w:sz w:val="32"/>
          <w:szCs w:val="32"/>
        </w:rPr>
      </w:pPr>
    </w:p>
    <w:p>
      <w:pPr>
        <w:rPr>
          <w:rFonts w:asciiTheme="majorEastAsia" w:hAnsiTheme="majorEastAsia" w:eastAsiaTheme="majorEastAsia"/>
          <w:b/>
          <w:sz w:val="32"/>
          <w:szCs w:val="32"/>
        </w:rPr>
      </w:pPr>
    </w:p>
    <w:p>
      <w:pPr>
        <w:rPr>
          <w:rFonts w:asciiTheme="majorEastAsia" w:hAnsiTheme="majorEastAsia" w:eastAsiaTheme="majorEastAsia"/>
          <w:b/>
          <w:sz w:val="32"/>
          <w:szCs w:val="32"/>
        </w:rPr>
      </w:pPr>
    </w:p>
    <w:p>
      <w:pPr>
        <w:rPr>
          <w:rFonts w:asciiTheme="majorEastAsia" w:hAnsiTheme="majorEastAsia" w:eastAsiaTheme="majorEastAsia"/>
          <w:b/>
          <w:sz w:val="32"/>
          <w:szCs w:val="32"/>
        </w:rPr>
      </w:pPr>
    </w:p>
    <w:p>
      <w:pPr>
        <w:rPr>
          <w:rFonts w:asciiTheme="majorEastAsia" w:hAnsiTheme="majorEastAsia" w:eastAsiaTheme="majorEastAsia"/>
          <w:b/>
          <w:sz w:val="32"/>
          <w:szCs w:val="32"/>
        </w:rPr>
      </w:pPr>
    </w:p>
    <w:p>
      <w:pPr>
        <w:pStyle w:val="2"/>
        <w:ind w:firstLine="480"/>
      </w:pPr>
    </w:p>
    <w:p>
      <w:pPr>
        <w:pStyle w:val="2"/>
        <w:ind w:firstLine="480"/>
      </w:pPr>
    </w:p>
    <w:p>
      <w:pPr>
        <w:rPr>
          <w:rFonts w:asciiTheme="majorEastAsia" w:hAnsiTheme="majorEastAsia" w:eastAsiaTheme="majorEastAsia"/>
          <w:b/>
          <w:sz w:val="32"/>
          <w:szCs w:val="32"/>
        </w:rPr>
      </w:pPr>
    </w:p>
    <w:p>
      <w:pPr>
        <w:rPr>
          <w:rFonts w:asciiTheme="majorEastAsia" w:hAnsiTheme="majorEastAsia" w:eastAsiaTheme="majorEastAsia"/>
          <w:b/>
          <w:sz w:val="32"/>
          <w:szCs w:val="32"/>
        </w:rPr>
      </w:pPr>
    </w:p>
    <w:p>
      <w:pPr>
        <w:rPr>
          <w:rFonts w:asciiTheme="majorEastAsia" w:hAnsiTheme="majorEastAsia" w:eastAsiaTheme="majorEastAsia"/>
          <w:b/>
          <w:sz w:val="32"/>
          <w:szCs w:val="32"/>
        </w:rPr>
      </w:pPr>
    </w:p>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第七</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Lines="50" w:line="320" w:lineRule="exact"/>
        <w:jc w:val="center"/>
        <w:outlineLvl w:val="0"/>
        <w:rPr>
          <w:b/>
          <w:sz w:val="24"/>
          <w:szCs w:val="24"/>
        </w:rPr>
      </w:pPr>
    </w:p>
    <w:p>
      <w:pPr>
        <w:tabs>
          <w:tab w:val="left" w:pos="3300"/>
          <w:tab w:val="center" w:pos="4776"/>
        </w:tabs>
        <w:spacing w:afterLines="50" w:line="320" w:lineRule="exact"/>
        <w:jc w:val="center"/>
        <w:outlineLvl w:val="0"/>
        <w:rPr>
          <w:b/>
          <w:sz w:val="24"/>
          <w:szCs w:val="24"/>
        </w:rPr>
      </w:pPr>
      <w:r>
        <w:rPr>
          <w:rFonts w:hint="eastAsia"/>
          <w:b/>
          <w:sz w:val="24"/>
          <w:szCs w:val="24"/>
        </w:rPr>
        <w:t>一、总则</w:t>
      </w:r>
    </w:p>
    <w:p>
      <w:pPr>
        <w:tabs>
          <w:tab w:val="left" w:pos="3300"/>
          <w:tab w:val="center" w:pos="4776"/>
        </w:tabs>
        <w:spacing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“采购长葛市公共资源交易中心”是指受采购单位的委托具体组织采购活动采购代理公司。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长葛市公共资源交易中心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spacing w:line="440" w:lineRule="exact"/>
        <w:ind w:firstLine="480" w:firstLineChars="200"/>
        <w:rPr>
          <w:rFonts w:ascii="宋体" w:hAnsi="宋体" w:cs="宋体"/>
          <w:sz w:val="24"/>
          <w:szCs w:val="24"/>
        </w:rPr>
      </w:pPr>
    </w:p>
    <w:p>
      <w:pPr>
        <w:widowControl/>
        <w:jc w:val="left"/>
        <w:rPr>
          <w:rFonts w:ascii="宋体" w:hAnsi="宋体"/>
          <w:b/>
          <w:sz w:val="24"/>
          <w:szCs w:val="24"/>
        </w:rPr>
      </w:pPr>
      <w:r>
        <w:rPr>
          <w:rFonts w:ascii="宋体" w:hAnsi="宋体"/>
          <w:b/>
          <w:sz w:val="24"/>
          <w:szCs w:val="24"/>
        </w:rPr>
        <w:br w:type="page"/>
      </w: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二、谈判采购文件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第六章  采购合同专用条款</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第七</w:t>
      </w:r>
      <w:r>
        <w:rPr>
          <w:rFonts w:ascii="宋体" w:hAnsi="宋体" w:cs="Arial"/>
          <w:sz w:val="24"/>
          <w:szCs w:val="24"/>
        </w:rPr>
        <w:t>章</w:t>
      </w:r>
      <w:r>
        <w:rPr>
          <w:rFonts w:hint="eastAsia" w:ascii="宋体" w:hAnsi="宋体" w:cs="Arial"/>
          <w:sz w:val="24"/>
          <w:szCs w:val="24"/>
        </w:rPr>
        <w:t xml:space="preserve">  附件</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sz w:val="24"/>
          <w:szCs w:val="24"/>
        </w:rPr>
      </w:pPr>
    </w:p>
    <w:p>
      <w:pPr>
        <w:spacing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应完整地填写价格明细表（已标价采购清单），符合最新相关造价规范及规定。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长葛市公共资源交易中心不接受可选择的谈判报价。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40" w:lineRule="exact"/>
        <w:ind w:firstLine="482" w:firstLineChars="200"/>
        <w:rPr>
          <w:rFonts w:ascii="宋体" w:hAnsi="宋体"/>
          <w:bCs/>
          <w:sz w:val="24"/>
          <w:szCs w:val="24"/>
        </w:rPr>
      </w:pPr>
      <w:r>
        <w:rPr>
          <w:rFonts w:hint="eastAsia" w:ascii="宋体" w:hAnsi="宋体"/>
          <w:b/>
          <w:sz w:val="24"/>
          <w:szCs w:val="24"/>
        </w:rPr>
        <w:t>16.谈判保证金：</w:t>
      </w:r>
      <w:r>
        <w:rPr>
          <w:rFonts w:hint="eastAsia" w:ascii="宋体" w:hAnsi="宋体"/>
          <w:bCs/>
          <w:sz w:val="24"/>
          <w:szCs w:val="24"/>
        </w:rPr>
        <w:t>不收取</w:t>
      </w:r>
    </w:p>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文件的有效期。这种要求和答复都应以书面形式进行。同意延长有效期的供</w:t>
      </w:r>
      <w:r>
        <w:rPr>
          <w:sz w:val="24"/>
          <w:szCs w:val="24"/>
        </w:rPr>
        <w:t>应商</w:t>
      </w:r>
      <w:r>
        <w:rPr>
          <w:rFonts w:hint="eastAsia"/>
          <w:sz w:val="24"/>
          <w:szCs w:val="24"/>
        </w:rPr>
        <w:t>除按照采购长葛市公共资源交易中心要求修改谈判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2" w:firstLineChars="200"/>
        <w:rPr>
          <w:rFonts w:ascii="宋体" w:hAnsi="宋体" w:cs="宋体"/>
          <w:b/>
          <w:sz w:val="24"/>
          <w:szCs w:val="24"/>
        </w:rPr>
      </w:pPr>
      <w:r>
        <w:rPr>
          <w:rFonts w:hint="eastAsia" w:ascii="宋体" w:hAnsi="宋体" w:cs="宋体"/>
          <w:b/>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spacing w:line="440" w:lineRule="exact"/>
        <w:ind w:firstLine="480" w:firstLineChars="200"/>
        <w:rPr>
          <w:sz w:val="24"/>
          <w:szCs w:val="24"/>
        </w:rPr>
      </w:pPr>
      <w:r>
        <w:rPr>
          <w:rFonts w:hint="eastAsia"/>
          <w:sz w:val="24"/>
          <w:szCs w:val="24"/>
        </w:rPr>
        <w:t>（2）如果要求供</w:t>
      </w:r>
      <w:r>
        <w:rPr>
          <w:sz w:val="24"/>
          <w:szCs w:val="24"/>
        </w:rPr>
        <w:t>应商</w:t>
      </w:r>
      <w:r>
        <w:rPr>
          <w:rFonts w:hint="eastAsia"/>
          <w:sz w:val="24"/>
          <w:szCs w:val="24"/>
        </w:rPr>
        <w:t>提供如U盘等介质，则该介质必须作为响</w:t>
      </w:r>
      <w:r>
        <w:rPr>
          <w:sz w:val="24"/>
          <w:szCs w:val="24"/>
        </w:rPr>
        <w:t>应</w:t>
      </w:r>
      <w:r>
        <w:rPr>
          <w:rFonts w:hint="eastAsia"/>
          <w:sz w:val="24"/>
          <w:szCs w:val="24"/>
        </w:rPr>
        <w:t>文件的一部分单独密封并与谈判</w:t>
      </w:r>
      <w:r>
        <w:rPr>
          <w:sz w:val="24"/>
          <w:szCs w:val="24"/>
        </w:rPr>
        <w:t>响应</w:t>
      </w:r>
      <w:r>
        <w:rPr>
          <w:rFonts w:hint="eastAsia"/>
          <w:sz w:val="24"/>
          <w:szCs w:val="24"/>
        </w:rPr>
        <w:t>文件封装在一个包封中。</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19.3如果供应商未按第19.1条和19.2条要求密封和标记，采购长葛市公共资源交易中心对谈判响应文件的误投、错投或提前启封概不负责。对由此造成提前启封的谈判响应文件，采购机构将予以拒绝，并退回供应商。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有下列情形之一的，采购长葛市公共资源交易中心将拒绝接受其谈判响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rFonts w:hint="eastAsia"/>
          <w:sz w:val="24"/>
          <w:szCs w:val="24"/>
        </w:rPr>
        <w:t>22.5在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rFonts w:hint="eastAsia"/>
          <w:sz w:val="24"/>
          <w:szCs w:val="24"/>
        </w:rPr>
        <w:t>22.6谈判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w:t>
      </w:r>
      <w:r>
        <w:rPr>
          <w:rFonts w:hint="eastAsia"/>
          <w:sz w:val="24"/>
          <w:szCs w:val="24"/>
          <w:lang w:val="en-US" w:eastAsia="zh-CN"/>
        </w:rPr>
        <w:t>编制</w:t>
      </w:r>
      <w:r>
        <w:rPr>
          <w:sz w:val="24"/>
          <w:szCs w:val="24"/>
        </w:rPr>
        <w:t>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w:t>
      </w:r>
      <w:r>
        <w:rPr>
          <w:rFonts w:hint="eastAsia"/>
          <w:sz w:val="24"/>
          <w:szCs w:val="24"/>
          <w:lang w:val="en-US" w:eastAsia="zh-CN"/>
        </w:rPr>
        <w:t>编制</w:t>
      </w:r>
      <w:r>
        <w:rPr>
          <w:sz w:val="24"/>
          <w:szCs w:val="24"/>
        </w:rPr>
        <w:t>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rPr>
        <w:t>3人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。采购长葛市公共资源交易中心</w:t>
      </w:r>
      <w:r>
        <w:rPr>
          <w:sz w:val="24"/>
          <w:szCs w:val="24"/>
        </w:rPr>
        <w:t>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rFonts w:ascii="宋体" w:hAnsi="宋体"/>
          <w:b/>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28.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29. 资格后审</w:t>
      </w:r>
    </w:p>
    <w:p>
      <w:pPr>
        <w:spacing w:line="400" w:lineRule="exact"/>
        <w:ind w:firstLine="470" w:firstLineChars="196"/>
        <w:rPr>
          <w:rFonts w:ascii="宋体" w:hAnsi="宋体"/>
          <w:sz w:val="24"/>
          <w:szCs w:val="24"/>
        </w:rPr>
      </w:pPr>
      <w:r>
        <w:rPr>
          <w:rFonts w:hint="eastAsia" w:ascii="宋体" w:hAnsi="宋体"/>
          <w:sz w:val="24"/>
          <w:szCs w:val="24"/>
        </w:rPr>
        <w:t>29.1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29.2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30. 采购</w:t>
      </w:r>
      <w:r>
        <w:rPr>
          <w:rFonts w:ascii="宋体" w:hAnsi="宋体"/>
          <w:b/>
          <w:sz w:val="24"/>
          <w:szCs w:val="24"/>
        </w:rPr>
        <w:t>人或者</w:t>
      </w:r>
      <w:r>
        <w:rPr>
          <w:rFonts w:hint="eastAsia" w:ascii="宋体" w:hAnsi="宋体"/>
          <w:b/>
          <w:sz w:val="24"/>
          <w:szCs w:val="24"/>
        </w:rPr>
        <w:t>采购长葛市公共资源交易中心终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30.1 出现下列情况之一的，采购</w:t>
      </w:r>
      <w:r>
        <w:rPr>
          <w:rFonts w:ascii="宋体" w:hAnsi="宋体"/>
          <w:sz w:val="24"/>
          <w:szCs w:val="24"/>
        </w:rPr>
        <w:t>人或者</w:t>
      </w:r>
      <w:r>
        <w:rPr>
          <w:rFonts w:hint="eastAsia" w:ascii="宋体" w:hAnsi="宋体"/>
          <w:sz w:val="24"/>
          <w:szCs w:val="24"/>
        </w:rPr>
        <w:t>采购长葛市公共资源交易中心应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31.成交通知书</w:t>
      </w:r>
    </w:p>
    <w:p>
      <w:pPr>
        <w:spacing w:line="400" w:lineRule="exact"/>
        <w:ind w:firstLine="470" w:firstLineChars="196"/>
        <w:rPr>
          <w:rFonts w:ascii="宋体" w:hAnsi="宋体"/>
          <w:sz w:val="24"/>
          <w:szCs w:val="24"/>
        </w:rPr>
      </w:pPr>
      <w:r>
        <w:rPr>
          <w:rFonts w:hint="eastAsia" w:ascii="宋体" w:hAnsi="宋体"/>
          <w:sz w:val="24"/>
          <w:szCs w:val="24"/>
        </w:rPr>
        <w:t>31.1在评审小组确定成交供应商后，采购长葛市公共资源交易中心将在指定的采购信息发布媒体上予以公告，公告前采购人对成交候选人的行贿犯罪档案进行查询，有行贿犯罪档案记录的取消成交资格。成交供应商见此公告后可由法定代表人（代表人）或其授权委托人至采购长葛市公共资源交易中心处领取成交通知书。</w:t>
      </w:r>
    </w:p>
    <w:p>
      <w:pPr>
        <w:spacing w:line="400" w:lineRule="exact"/>
        <w:ind w:firstLine="470" w:firstLineChars="196"/>
        <w:rPr>
          <w:rFonts w:ascii="宋体" w:hAnsi="宋体"/>
          <w:sz w:val="24"/>
          <w:szCs w:val="24"/>
        </w:rPr>
      </w:pPr>
      <w:r>
        <w:rPr>
          <w:rFonts w:hint="eastAsia" w:ascii="宋体" w:hAnsi="宋体"/>
          <w:sz w:val="24"/>
          <w:szCs w:val="24"/>
        </w:rPr>
        <w:t>31.2该成交通知书将作为签订采购合同的重要依据，是采购合同的一个组成部分，对</w:t>
      </w:r>
      <w:r>
        <w:rPr>
          <w:rFonts w:ascii="宋体" w:hAnsi="宋体"/>
          <w:sz w:val="24"/>
          <w:szCs w:val="24"/>
        </w:rPr>
        <w:t>采购</w:t>
      </w:r>
      <w:r>
        <w:rPr>
          <w:rFonts w:hint="eastAsia" w:ascii="宋体" w:hAnsi="宋体"/>
          <w:sz w:val="24"/>
          <w:szCs w:val="24"/>
        </w:rPr>
        <w:t>长葛市公共资源交易中心、成交供应商和采购单位具有法律效力。采购人</w:t>
      </w:r>
      <w:r>
        <w:rPr>
          <w:rFonts w:ascii="宋体" w:hAnsi="宋体"/>
          <w:sz w:val="24"/>
          <w:szCs w:val="24"/>
        </w:rPr>
        <w:t>或者委托的采购</w:t>
      </w:r>
      <w:r>
        <w:rPr>
          <w:rFonts w:hint="eastAsia" w:ascii="宋体" w:hAnsi="宋体"/>
          <w:sz w:val="24"/>
          <w:szCs w:val="24"/>
        </w:rPr>
        <w:t>长葛市公共资源交易中心无故改变成交结果、成交供应商无故放弃成交资格或采购单位无正当理由拒签采购合同的都应承担法律责任。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31.3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32.签订采购合同</w:t>
      </w:r>
    </w:p>
    <w:p>
      <w:pPr>
        <w:spacing w:line="400" w:lineRule="exact"/>
        <w:ind w:firstLine="470" w:firstLineChars="196"/>
        <w:rPr>
          <w:rFonts w:ascii="宋体" w:hAnsi="宋体"/>
          <w:sz w:val="24"/>
          <w:szCs w:val="24"/>
        </w:rPr>
      </w:pPr>
      <w:r>
        <w:rPr>
          <w:rFonts w:hint="eastAsia" w:ascii="宋体" w:hAnsi="宋体"/>
          <w:sz w:val="24"/>
          <w:szCs w:val="24"/>
        </w:rPr>
        <w:t>32.1成交供应商在收到成交通知书后，应按成交通知书中规定的时间和地点由法定代表人（代表人）或其授权委托人持成交通知书与采购单位签订采购合同。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32.2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32.3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33.履约保证金</w:t>
      </w:r>
    </w:p>
    <w:p>
      <w:pPr>
        <w:spacing w:line="400" w:lineRule="exact"/>
        <w:ind w:firstLine="472" w:firstLineChars="196"/>
        <w:rPr>
          <w:rFonts w:ascii="宋体" w:hAnsi="宋体"/>
          <w:sz w:val="24"/>
          <w:szCs w:val="24"/>
        </w:rPr>
      </w:pPr>
      <w:r>
        <w:rPr>
          <w:rFonts w:hint="eastAsia"/>
          <w:b/>
          <w:sz w:val="24"/>
          <w:szCs w:val="24"/>
        </w:rPr>
        <w:t>33</w:t>
      </w:r>
      <w:r>
        <w:rPr>
          <w:rFonts w:hint="eastAsia" w:ascii="宋体" w:hAnsi="宋体"/>
          <w:sz w:val="24"/>
          <w:szCs w:val="24"/>
        </w:rPr>
        <w:t>.1 投标成交供应商应在收到成交通知书5日内，按照规定比例（详见采购文件第二章“采购项目基本内容及要求” ）至采购长葛市公共资源交易中心财务部门交纳履约保证金，取消成交供应商的成交资格。</w:t>
      </w:r>
    </w:p>
    <w:p>
      <w:pPr>
        <w:spacing w:line="400" w:lineRule="exact"/>
        <w:ind w:firstLine="472" w:firstLineChars="196"/>
        <w:rPr>
          <w:rFonts w:ascii="宋体" w:hAnsi="宋体"/>
          <w:sz w:val="24"/>
          <w:szCs w:val="24"/>
        </w:rPr>
      </w:pPr>
      <w:r>
        <w:rPr>
          <w:rFonts w:hint="eastAsia"/>
          <w:b/>
          <w:sz w:val="24"/>
          <w:szCs w:val="24"/>
        </w:rPr>
        <w:t>33</w:t>
      </w:r>
      <w:r>
        <w:rPr>
          <w:rFonts w:hint="eastAsia" w:ascii="宋体" w:hAnsi="宋体"/>
          <w:sz w:val="24"/>
          <w:szCs w:val="24"/>
        </w:rPr>
        <w:t>.2采购机构将在成交供应商完成采购合同，并经采购单位验收合格后，凭成交供应商提交的采购长葛市公共资源交易中心财务部门出具的已交纳履约保证金的有效证明，以转账方式无息退还成交供应商的履约保证金。</w:t>
      </w:r>
    </w:p>
    <w:p>
      <w:pPr>
        <w:spacing w:line="400" w:lineRule="exact"/>
        <w:ind w:firstLine="472" w:firstLineChars="196"/>
        <w:rPr>
          <w:rFonts w:ascii="宋体" w:hAnsi="宋体"/>
          <w:sz w:val="24"/>
          <w:szCs w:val="24"/>
        </w:rPr>
      </w:pPr>
      <w:r>
        <w:rPr>
          <w:rFonts w:hint="eastAsia"/>
          <w:b/>
          <w:sz w:val="24"/>
          <w:szCs w:val="24"/>
        </w:rPr>
        <w:t>33</w:t>
      </w:r>
      <w:r>
        <w:rPr>
          <w:rFonts w:hint="eastAsia" w:ascii="宋体" w:hAnsi="宋体"/>
          <w:sz w:val="24"/>
          <w:szCs w:val="24"/>
        </w:rPr>
        <w:t>.3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34.履约验收</w:t>
      </w:r>
    </w:p>
    <w:p>
      <w:pPr>
        <w:spacing w:line="400" w:lineRule="exact"/>
        <w:ind w:firstLine="472" w:firstLineChars="196"/>
        <w:rPr>
          <w:rFonts w:ascii="宋体" w:hAnsi="宋体"/>
          <w:sz w:val="24"/>
          <w:szCs w:val="24"/>
        </w:rPr>
      </w:pPr>
      <w:r>
        <w:rPr>
          <w:rFonts w:hint="eastAsia" w:ascii="宋体" w:hAnsi="宋体"/>
          <w:b/>
          <w:sz w:val="24"/>
          <w:szCs w:val="24"/>
        </w:rPr>
        <w:t>34</w:t>
      </w:r>
      <w:r>
        <w:rPr>
          <w:rFonts w:hint="eastAsia" w:ascii="宋体" w:hAnsi="宋体"/>
          <w:sz w:val="24"/>
          <w:szCs w:val="24"/>
        </w:rPr>
        <w:t>.1成交供应商应严格按照采购合同规定履约，并积极配合采购单位的相关验收工作。</w:t>
      </w:r>
    </w:p>
    <w:p>
      <w:pPr>
        <w:spacing w:line="400" w:lineRule="exact"/>
        <w:ind w:firstLine="472" w:firstLineChars="196"/>
        <w:rPr>
          <w:rFonts w:ascii="宋体" w:hAnsi="宋体"/>
          <w:sz w:val="24"/>
          <w:szCs w:val="24"/>
        </w:rPr>
      </w:pPr>
      <w:r>
        <w:rPr>
          <w:rFonts w:hint="eastAsia" w:ascii="宋体" w:hAnsi="宋体"/>
          <w:b/>
          <w:sz w:val="24"/>
          <w:szCs w:val="24"/>
        </w:rPr>
        <w:t>34</w:t>
      </w:r>
      <w:r>
        <w:rPr>
          <w:rFonts w:hint="eastAsia" w:ascii="宋体" w:hAnsi="宋体"/>
          <w:sz w:val="24"/>
          <w:szCs w:val="24"/>
        </w:rPr>
        <w:t>.2采购</w:t>
      </w:r>
      <w:r>
        <w:rPr>
          <w:rFonts w:ascii="宋体" w:hAnsi="宋体"/>
          <w:sz w:val="24"/>
          <w:szCs w:val="24"/>
        </w:rPr>
        <w:t>人或者采购</w:t>
      </w:r>
      <w:r>
        <w:rPr>
          <w:rFonts w:hint="eastAsia" w:ascii="宋体" w:hAnsi="宋体"/>
          <w:sz w:val="24"/>
          <w:szCs w:val="24"/>
        </w:rPr>
        <w:t>长葛市公共资源交易中心</w:t>
      </w:r>
      <w:r>
        <w:rPr>
          <w:rFonts w:ascii="宋体" w:hAnsi="宋体"/>
          <w:sz w:val="24"/>
          <w:szCs w:val="24"/>
        </w:rPr>
        <w:t>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35.其他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hint="eastAsia" w:ascii="宋体" w:hAnsi="宋体"/>
          <w:b/>
          <w:sz w:val="24"/>
          <w:szCs w:val="24"/>
        </w:rPr>
      </w:pP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Lines="50" w:line="320" w:lineRule="exact"/>
        <w:ind w:firstLine="472" w:firstLineChars="196"/>
        <w:rPr>
          <w:rFonts w:ascii="宋体" w:hAnsi="宋体"/>
          <w:b/>
          <w:sz w:val="24"/>
          <w:szCs w:val="24"/>
        </w:rPr>
      </w:pPr>
      <w:r>
        <w:rPr>
          <w:rFonts w:hint="eastAsia" w:ascii="宋体" w:hAnsi="宋体"/>
          <w:b/>
          <w:sz w:val="24"/>
          <w:szCs w:val="24"/>
        </w:rPr>
        <w:t>36.术语的定义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（3）“货物”是指采购合同货物清单（同谈判文件中报价一览表及其附表，下同）中所规定的产品、数量、规格、文件资料内容。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（10）“验收”是指采购人或采购长葛市公共资源交易中心依据强制性的国家技术质量规范和采购合同规定，确认采购合同项下的货物符合采购合同规定的活动。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采购长葛市公共资源交易中心发布的采购文本。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3"/>
        <w:spacing w:after="0" w:line="400" w:lineRule="exact"/>
        <w:rPr>
          <w:rFonts w:ascii="宋体" w:hAnsi="宋体"/>
          <w:b/>
          <w:sz w:val="24"/>
          <w:szCs w:val="24"/>
        </w:rPr>
      </w:pPr>
      <w:r>
        <w:rPr>
          <w:rFonts w:hint="eastAsia" w:ascii="宋体" w:hAnsi="宋体"/>
          <w:b/>
          <w:sz w:val="24"/>
          <w:szCs w:val="24"/>
        </w:rPr>
        <w:t>37.来源地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3"/>
        <w:spacing w:after="0" w:line="400" w:lineRule="exact"/>
        <w:rPr>
          <w:rFonts w:ascii="宋体" w:hAnsi="宋体"/>
          <w:b/>
          <w:snapToGrid w:val="0"/>
          <w:kern w:val="0"/>
          <w:sz w:val="24"/>
          <w:szCs w:val="24"/>
        </w:rPr>
      </w:pPr>
      <w:r>
        <w:rPr>
          <w:rFonts w:hint="eastAsia" w:ascii="宋体" w:hAnsi="宋体"/>
          <w:b/>
          <w:snapToGrid w:val="0"/>
          <w:kern w:val="0"/>
          <w:sz w:val="24"/>
          <w:szCs w:val="24"/>
        </w:rPr>
        <w:t>38. 技术规范与技术规格</w:t>
      </w:r>
    </w:p>
    <w:p>
      <w:pPr>
        <w:spacing w:line="400" w:lineRule="exact"/>
        <w:ind w:firstLine="360" w:firstLineChars="150"/>
        <w:rPr>
          <w:rFonts w:ascii="宋体" w:hAnsi="宋体"/>
          <w:sz w:val="24"/>
          <w:szCs w:val="24"/>
        </w:rPr>
      </w:pPr>
      <w:r>
        <w:rPr>
          <w:rFonts w:hint="eastAsia" w:ascii="宋体" w:hAnsi="宋体"/>
          <w:sz w:val="24"/>
          <w:szCs w:val="24"/>
        </w:rPr>
        <w:t>38.1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38.2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320" w:lineRule="exact"/>
        <w:ind w:firstLine="472" w:firstLineChars="196"/>
        <w:rPr>
          <w:rFonts w:ascii="宋体" w:hAnsi="宋体"/>
          <w:b/>
          <w:sz w:val="24"/>
          <w:szCs w:val="24"/>
        </w:rPr>
      </w:pPr>
      <w:r>
        <w:rPr>
          <w:rFonts w:hint="eastAsia" w:ascii="宋体" w:hAnsi="宋体"/>
          <w:b/>
          <w:sz w:val="24"/>
          <w:szCs w:val="24"/>
        </w:rPr>
        <w:t>39.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3"/>
        <w:spacing w:after="0" w:line="400" w:lineRule="exact"/>
        <w:rPr>
          <w:rFonts w:ascii="宋体" w:hAnsi="宋体"/>
          <w:b/>
          <w:snapToGrid w:val="0"/>
          <w:kern w:val="0"/>
          <w:sz w:val="24"/>
          <w:szCs w:val="24"/>
        </w:rPr>
      </w:pPr>
      <w:r>
        <w:rPr>
          <w:rFonts w:hint="eastAsia" w:ascii="宋体" w:hAnsi="宋体"/>
          <w:b/>
          <w:snapToGrid w:val="0"/>
          <w:kern w:val="0"/>
          <w:sz w:val="24"/>
          <w:szCs w:val="24"/>
        </w:rPr>
        <w:t>40. 包装要求</w:t>
      </w:r>
    </w:p>
    <w:p>
      <w:pPr>
        <w:spacing w:line="400" w:lineRule="exact"/>
        <w:ind w:firstLine="360" w:firstLineChars="150"/>
        <w:rPr>
          <w:rFonts w:ascii="宋体" w:hAnsi="宋体"/>
          <w:sz w:val="24"/>
          <w:szCs w:val="24"/>
        </w:rPr>
      </w:pPr>
      <w:r>
        <w:rPr>
          <w:rFonts w:hint="eastAsia" w:ascii="宋体" w:hAnsi="宋体"/>
          <w:sz w:val="24"/>
          <w:szCs w:val="24"/>
        </w:rPr>
        <w:t>40.1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40.2每一个包装箱内应附一份详细装箱单和质量合格证书。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41.交货方式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42.装运通知</w:t>
      </w:r>
    </w:p>
    <w:p>
      <w:pPr>
        <w:spacing w:line="400" w:lineRule="exact"/>
        <w:ind w:firstLine="360" w:firstLineChars="150"/>
        <w:rPr>
          <w:rFonts w:ascii="宋体" w:hAnsi="宋体"/>
          <w:sz w:val="24"/>
          <w:szCs w:val="24"/>
        </w:rPr>
      </w:pPr>
      <w:r>
        <w:rPr>
          <w:rFonts w:hint="eastAsia" w:ascii="宋体" w:hAnsi="宋体"/>
          <w:sz w:val="24"/>
          <w:szCs w:val="24"/>
        </w:rPr>
        <w:t>42.1在将采购合同约定的货物备妥待运输后的24小时之内，卖方应将采购合同号、货号、数量、毛重、总体积（立方米）、发票金额、运输工具名称及装运日期，以书面形式通知买方。</w:t>
      </w:r>
    </w:p>
    <w:p>
      <w:pPr>
        <w:spacing w:line="400" w:lineRule="exact"/>
        <w:ind w:firstLine="360" w:firstLineChars="150"/>
        <w:rPr>
          <w:rFonts w:ascii="宋体" w:hAnsi="宋体"/>
          <w:sz w:val="24"/>
          <w:szCs w:val="24"/>
        </w:rPr>
      </w:pPr>
      <w:r>
        <w:rPr>
          <w:rFonts w:hint="eastAsia" w:ascii="宋体" w:hAnsi="宋体"/>
          <w:sz w:val="24"/>
          <w:szCs w:val="24"/>
        </w:rPr>
        <w:t>42.2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43.付款</w:t>
      </w:r>
    </w:p>
    <w:p>
      <w:pPr>
        <w:spacing w:line="400" w:lineRule="exact"/>
        <w:ind w:firstLine="360" w:firstLineChars="150"/>
        <w:rPr>
          <w:rFonts w:ascii="宋体" w:hAnsi="宋体"/>
          <w:sz w:val="24"/>
          <w:szCs w:val="24"/>
        </w:rPr>
      </w:pPr>
      <w:r>
        <w:rPr>
          <w:rFonts w:hint="eastAsia" w:ascii="宋体" w:hAnsi="宋体"/>
          <w:sz w:val="24"/>
          <w:szCs w:val="24"/>
        </w:rPr>
        <w:t>43.1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43.2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44. 附带（伴随）服务</w:t>
      </w:r>
    </w:p>
    <w:p>
      <w:pPr>
        <w:spacing w:line="400" w:lineRule="exact"/>
        <w:ind w:firstLine="360" w:firstLineChars="150"/>
        <w:rPr>
          <w:rFonts w:ascii="宋体" w:hAnsi="宋体"/>
          <w:sz w:val="24"/>
          <w:szCs w:val="24"/>
        </w:rPr>
      </w:pPr>
      <w:r>
        <w:rPr>
          <w:rFonts w:hint="eastAsia" w:ascii="宋体" w:hAnsi="宋体"/>
          <w:sz w:val="24"/>
          <w:szCs w:val="24"/>
        </w:rPr>
        <w:t>44.1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44.2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45. 质量保证期</w:t>
      </w:r>
    </w:p>
    <w:p>
      <w:pPr>
        <w:spacing w:line="400" w:lineRule="exact"/>
        <w:ind w:firstLine="470" w:firstLineChars="196"/>
        <w:rPr>
          <w:rFonts w:ascii="宋体" w:hAnsi="宋体"/>
          <w:sz w:val="24"/>
          <w:szCs w:val="24"/>
        </w:rPr>
      </w:pPr>
      <w:r>
        <w:rPr>
          <w:rFonts w:hint="eastAsia" w:ascii="宋体" w:hAnsi="宋体"/>
          <w:sz w:val="24"/>
          <w:szCs w:val="24"/>
        </w:rPr>
        <w:t>45.1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45.2 如果采购文件没有特别要求，则以卖方在谈判</w:t>
      </w:r>
      <w:r>
        <w:rPr>
          <w:rFonts w:ascii="宋体" w:hAnsi="宋体"/>
          <w:sz w:val="24"/>
          <w:szCs w:val="24"/>
        </w:rPr>
        <w:t>响应</w:t>
      </w:r>
      <w:r>
        <w:rPr>
          <w:rFonts w:hint="eastAsia" w:ascii="宋体" w:hAnsi="宋体"/>
          <w:sz w:val="24"/>
          <w:szCs w:val="24"/>
        </w:rPr>
        <w:t>文件中提交货物产地的有关文件为准。如果在上述文件的规定中有不一致之处，则以对买方最有利的为准。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45.3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46.质量保证</w:t>
      </w:r>
    </w:p>
    <w:p>
      <w:pPr>
        <w:spacing w:line="400" w:lineRule="exact"/>
        <w:ind w:firstLine="470" w:firstLineChars="196"/>
        <w:rPr>
          <w:rFonts w:ascii="宋体" w:hAnsi="宋体"/>
          <w:sz w:val="24"/>
          <w:szCs w:val="24"/>
        </w:rPr>
      </w:pPr>
      <w:r>
        <w:rPr>
          <w:rFonts w:hint="eastAsia" w:ascii="宋体" w:hAnsi="宋体"/>
          <w:sz w:val="24"/>
          <w:szCs w:val="24"/>
        </w:rPr>
        <w:t>46.1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46.2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46.3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46.4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47.检验和验收</w:t>
      </w:r>
    </w:p>
    <w:p>
      <w:pPr>
        <w:spacing w:line="400" w:lineRule="exact"/>
        <w:ind w:firstLine="470" w:firstLineChars="196"/>
        <w:rPr>
          <w:rFonts w:ascii="宋体" w:hAnsi="宋体"/>
          <w:sz w:val="24"/>
          <w:szCs w:val="24"/>
        </w:rPr>
      </w:pPr>
      <w:r>
        <w:rPr>
          <w:rFonts w:hint="eastAsia" w:ascii="宋体" w:hAnsi="宋体"/>
          <w:sz w:val="24"/>
          <w:szCs w:val="24"/>
        </w:rPr>
        <w:t>47.1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00" w:lineRule="exact"/>
        <w:ind w:firstLine="470" w:firstLineChars="196"/>
        <w:rPr>
          <w:rFonts w:ascii="宋体" w:hAnsi="宋体"/>
          <w:sz w:val="24"/>
          <w:szCs w:val="24"/>
        </w:rPr>
      </w:pPr>
      <w:r>
        <w:rPr>
          <w:rFonts w:hint="eastAsia" w:ascii="宋体" w:hAnsi="宋体"/>
          <w:sz w:val="24"/>
          <w:szCs w:val="24"/>
        </w:rPr>
        <w:t>47.2货物运抵现场后，买方或采购长葛市公共资源交易中心应在采购合同规定的时间内组织验收，并在“采购项目验收报告单”上签字。“采购项目验收报告单”将作为申请付款文件的一部分。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47.3如果任何被检验或测试的货物不能满足采购文件规定的技术规格的要求，买方可以拒绝接受该货物，卖方应更换被拒绝的货物，或者免费进行必要的维修以满足采购文件规定的技术规格的要求。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47.4由买方或采购机构按照规定组织对货物进行检查验收。发生的相关费用由卖方承担。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48.索赔</w:t>
      </w:r>
    </w:p>
    <w:p>
      <w:pPr>
        <w:spacing w:line="400" w:lineRule="exact"/>
        <w:ind w:firstLine="472" w:firstLineChars="196"/>
        <w:rPr>
          <w:rFonts w:ascii="宋体" w:hAnsi="宋体"/>
          <w:sz w:val="24"/>
          <w:szCs w:val="24"/>
        </w:rPr>
      </w:pPr>
      <w:r>
        <w:rPr>
          <w:rFonts w:hint="eastAsia" w:ascii="宋体" w:hAnsi="宋体"/>
          <w:b/>
          <w:sz w:val="24"/>
          <w:szCs w:val="24"/>
        </w:rPr>
        <w:t>48</w:t>
      </w:r>
      <w:r>
        <w:rPr>
          <w:rFonts w:hint="eastAsia" w:ascii="宋体" w:hAnsi="宋体"/>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2" w:firstLineChars="196"/>
        <w:rPr>
          <w:rFonts w:ascii="宋体" w:hAnsi="宋体"/>
          <w:sz w:val="24"/>
          <w:szCs w:val="24"/>
        </w:rPr>
      </w:pPr>
      <w:r>
        <w:rPr>
          <w:rFonts w:hint="eastAsia" w:ascii="宋体" w:hAnsi="宋体"/>
          <w:b/>
          <w:sz w:val="24"/>
          <w:szCs w:val="24"/>
        </w:rPr>
        <w:t>48</w:t>
      </w:r>
      <w:r>
        <w:rPr>
          <w:rFonts w:hint="eastAsia" w:ascii="宋体" w:hAnsi="宋体"/>
          <w:sz w:val="24"/>
          <w:szCs w:val="24"/>
        </w:rPr>
        <w:t>.2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2" w:firstLineChars="196"/>
        <w:rPr>
          <w:rFonts w:ascii="宋体" w:hAnsi="宋体"/>
          <w:sz w:val="24"/>
          <w:szCs w:val="24"/>
        </w:rPr>
      </w:pPr>
      <w:r>
        <w:rPr>
          <w:rFonts w:hint="eastAsia" w:ascii="宋体" w:hAnsi="宋体"/>
          <w:b/>
          <w:sz w:val="24"/>
          <w:szCs w:val="24"/>
        </w:rPr>
        <w:t>48</w:t>
      </w:r>
      <w:r>
        <w:rPr>
          <w:rFonts w:hint="eastAsia" w:ascii="宋体" w:hAnsi="宋体"/>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49. 卖方履约延误和误期赔偿</w:t>
      </w:r>
    </w:p>
    <w:p>
      <w:pPr>
        <w:spacing w:line="400" w:lineRule="exact"/>
        <w:ind w:firstLine="472" w:firstLineChars="196"/>
        <w:rPr>
          <w:rFonts w:ascii="宋体" w:hAnsi="宋体"/>
          <w:sz w:val="24"/>
          <w:szCs w:val="24"/>
        </w:rPr>
      </w:pPr>
      <w:r>
        <w:rPr>
          <w:rFonts w:hint="eastAsia" w:ascii="宋体" w:hAnsi="宋体"/>
          <w:b/>
          <w:sz w:val="24"/>
          <w:szCs w:val="24"/>
        </w:rPr>
        <w:t>49</w:t>
      </w:r>
      <w:r>
        <w:rPr>
          <w:rFonts w:hint="eastAsia" w:ascii="宋体" w:hAnsi="宋体"/>
          <w:sz w:val="24"/>
          <w:szCs w:val="24"/>
        </w:rPr>
        <w:t>.1 如卖方无正当理由而拖延交货，买方有权提出误期赔偿或解除采购合同。</w:t>
      </w:r>
    </w:p>
    <w:p>
      <w:pPr>
        <w:spacing w:line="400" w:lineRule="exact"/>
        <w:ind w:firstLine="472" w:firstLineChars="196"/>
        <w:rPr>
          <w:rFonts w:ascii="宋体" w:hAnsi="宋体"/>
          <w:sz w:val="24"/>
          <w:szCs w:val="24"/>
        </w:rPr>
      </w:pPr>
      <w:r>
        <w:rPr>
          <w:rFonts w:hint="eastAsia" w:ascii="宋体" w:hAnsi="宋体"/>
          <w:b/>
          <w:sz w:val="24"/>
          <w:szCs w:val="24"/>
        </w:rPr>
        <w:t>49</w:t>
      </w:r>
      <w:r>
        <w:rPr>
          <w:rFonts w:hint="eastAsia" w:ascii="宋体" w:hAnsi="宋体"/>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2" w:firstLineChars="196"/>
        <w:rPr>
          <w:rFonts w:ascii="宋体" w:hAnsi="宋体"/>
          <w:sz w:val="24"/>
          <w:szCs w:val="24"/>
        </w:rPr>
      </w:pPr>
      <w:r>
        <w:rPr>
          <w:rFonts w:hint="eastAsia" w:ascii="宋体" w:hAnsi="宋体"/>
          <w:b/>
          <w:sz w:val="24"/>
          <w:szCs w:val="24"/>
        </w:rPr>
        <w:t>49</w:t>
      </w:r>
      <w:r>
        <w:rPr>
          <w:rFonts w:hint="eastAsia" w:ascii="宋体" w:hAnsi="宋体"/>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50. 不可抗力</w:t>
      </w:r>
    </w:p>
    <w:p>
      <w:pPr>
        <w:spacing w:line="400" w:lineRule="exact"/>
        <w:ind w:firstLine="472" w:firstLineChars="196"/>
        <w:rPr>
          <w:rFonts w:ascii="宋体" w:hAnsi="宋体"/>
          <w:sz w:val="24"/>
          <w:szCs w:val="24"/>
        </w:rPr>
      </w:pPr>
      <w:r>
        <w:rPr>
          <w:rFonts w:hint="eastAsia" w:ascii="宋体" w:hAnsi="宋体"/>
          <w:b/>
          <w:sz w:val="24"/>
          <w:szCs w:val="24"/>
        </w:rPr>
        <w:t>50</w:t>
      </w:r>
      <w:r>
        <w:rPr>
          <w:rFonts w:hint="eastAsia" w:ascii="宋体" w:hAnsi="宋体"/>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2" w:firstLineChars="196"/>
        <w:rPr>
          <w:rFonts w:ascii="宋体" w:hAnsi="宋体"/>
          <w:sz w:val="24"/>
          <w:szCs w:val="24"/>
        </w:rPr>
      </w:pPr>
      <w:r>
        <w:rPr>
          <w:rFonts w:hint="eastAsia" w:ascii="宋体" w:hAnsi="宋体"/>
          <w:b/>
          <w:sz w:val="24"/>
          <w:szCs w:val="24"/>
        </w:rPr>
        <w:t>50</w:t>
      </w:r>
      <w:r>
        <w:rPr>
          <w:rFonts w:hint="eastAsia" w:ascii="宋体" w:hAnsi="宋体"/>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2" w:firstLineChars="196"/>
        <w:rPr>
          <w:rFonts w:ascii="宋体" w:hAnsi="宋体"/>
          <w:sz w:val="24"/>
          <w:szCs w:val="24"/>
        </w:rPr>
      </w:pPr>
      <w:r>
        <w:rPr>
          <w:rFonts w:hint="eastAsia" w:ascii="宋体" w:hAnsi="宋体"/>
          <w:b/>
          <w:sz w:val="24"/>
          <w:szCs w:val="24"/>
        </w:rPr>
        <w:t>50</w:t>
      </w:r>
      <w:r>
        <w:rPr>
          <w:rFonts w:hint="eastAsia" w:ascii="宋体" w:hAnsi="宋体"/>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2" w:firstLineChars="196"/>
        <w:rPr>
          <w:rFonts w:ascii="宋体" w:hAnsi="宋体"/>
          <w:sz w:val="24"/>
          <w:szCs w:val="24"/>
        </w:rPr>
      </w:pPr>
      <w:r>
        <w:rPr>
          <w:rFonts w:hint="eastAsia" w:ascii="宋体" w:hAnsi="宋体"/>
          <w:b/>
          <w:sz w:val="24"/>
          <w:szCs w:val="24"/>
        </w:rPr>
        <w:t>50</w:t>
      </w:r>
      <w:r>
        <w:rPr>
          <w:rFonts w:hint="eastAsia" w:ascii="宋体" w:hAnsi="宋体"/>
          <w:sz w:val="24"/>
          <w:szCs w:val="24"/>
        </w:rPr>
        <w:t>.4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51.税费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52. 争议的解决</w:t>
      </w:r>
    </w:p>
    <w:p>
      <w:pPr>
        <w:spacing w:line="400" w:lineRule="exact"/>
        <w:ind w:firstLine="472" w:firstLineChars="196"/>
        <w:rPr>
          <w:rFonts w:ascii="宋体" w:hAnsi="宋体"/>
          <w:sz w:val="24"/>
          <w:szCs w:val="24"/>
        </w:rPr>
      </w:pPr>
      <w:bookmarkStart w:id="7" w:name="_Toc80458943"/>
      <w:bookmarkStart w:id="8" w:name="_Toc80502600"/>
      <w:r>
        <w:rPr>
          <w:rFonts w:hint="eastAsia" w:ascii="宋体" w:hAnsi="宋体"/>
          <w:b/>
          <w:sz w:val="24"/>
          <w:szCs w:val="24"/>
        </w:rPr>
        <w:t>52</w:t>
      </w:r>
      <w:r>
        <w:rPr>
          <w:rFonts w:hint="eastAsia" w:ascii="宋体" w:hAnsi="宋体"/>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.2 仲裁裁决为最终裁决，对双方均有约束力。当事人一方在规定时间内不履行仲裁机构裁决的，另一方可申请人民法院强制执行。</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.3 仲裁（或诉讼）费用除仲裁机关（或人民法院）另有裁决外，应由败诉方负担。</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.4 在仲裁（或诉讼）期间，除正在进行仲裁（或诉讼）的部分外，采购合同其他部分继续执行。</w:t>
      </w:r>
      <w:bookmarkEnd w:id="7"/>
      <w:bookmarkEnd w:id="8"/>
    </w:p>
    <w:p>
      <w:pPr>
        <w:spacing w:line="400" w:lineRule="exact"/>
        <w:ind w:firstLine="472" w:firstLineChars="196"/>
        <w:rPr>
          <w:rFonts w:ascii="宋体" w:hAnsi="宋体"/>
          <w:b/>
          <w:sz w:val="24"/>
          <w:szCs w:val="24"/>
        </w:rPr>
      </w:pPr>
      <w:r>
        <w:rPr>
          <w:rFonts w:hint="eastAsia" w:ascii="宋体" w:hAnsi="宋体"/>
          <w:b/>
          <w:sz w:val="24"/>
          <w:szCs w:val="24"/>
        </w:rPr>
        <w:t>53. 违约终止采购合同</w:t>
      </w:r>
    </w:p>
    <w:p>
      <w:pPr>
        <w:spacing w:line="400" w:lineRule="exact"/>
        <w:ind w:firstLine="472" w:firstLineChars="196"/>
        <w:rPr>
          <w:rFonts w:ascii="宋体" w:hAnsi="宋体"/>
          <w:sz w:val="24"/>
          <w:szCs w:val="24"/>
        </w:rPr>
      </w:pPr>
      <w:bookmarkStart w:id="9" w:name="_Toc80458944"/>
      <w:bookmarkStart w:id="10" w:name="_Toc80502601"/>
      <w:r>
        <w:rPr>
          <w:rFonts w:hint="eastAsia" w:ascii="宋体" w:hAnsi="宋体"/>
          <w:b/>
          <w:sz w:val="24"/>
          <w:szCs w:val="24"/>
        </w:rPr>
        <w:t>53</w:t>
      </w:r>
      <w:r>
        <w:rPr>
          <w:rFonts w:hint="eastAsia" w:ascii="宋体" w:hAnsi="宋体"/>
          <w:sz w:val="24"/>
          <w:szCs w:val="24"/>
        </w:rPr>
        <w:t>.1 在卖方违约的情况下，买方可向卖方发出书面通知书，提出终止部分或全部采购合同，同时保留向卖方追诉的权利。</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9"/>
      <w:bookmarkEnd w:id="10"/>
    </w:p>
    <w:p>
      <w:pPr>
        <w:spacing w:line="400" w:lineRule="exact"/>
        <w:ind w:firstLine="472" w:firstLineChars="196"/>
        <w:rPr>
          <w:rFonts w:ascii="宋体" w:hAnsi="宋体"/>
          <w:b/>
          <w:sz w:val="24"/>
          <w:szCs w:val="24"/>
        </w:rPr>
      </w:pPr>
      <w:r>
        <w:rPr>
          <w:rFonts w:hint="eastAsia" w:ascii="宋体" w:hAnsi="宋体"/>
          <w:b/>
          <w:sz w:val="24"/>
          <w:szCs w:val="24"/>
        </w:rPr>
        <w:t>55. 破产终止采购合同</w:t>
      </w:r>
    </w:p>
    <w:p>
      <w:pPr>
        <w:spacing w:line="400" w:lineRule="exact"/>
        <w:ind w:firstLine="470" w:firstLineChars="196"/>
        <w:rPr>
          <w:rFonts w:ascii="宋体" w:hAnsi="宋体"/>
          <w:sz w:val="24"/>
          <w:szCs w:val="24"/>
        </w:rPr>
      </w:pPr>
      <w:bookmarkStart w:id="11" w:name="_Toc80502602"/>
      <w:bookmarkStart w:id="12" w:name="_Toc80458945"/>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55. 转让和分包</w:t>
      </w:r>
    </w:p>
    <w:p>
      <w:pPr>
        <w:spacing w:line="400" w:lineRule="exact"/>
        <w:ind w:firstLine="470" w:firstLineChars="196"/>
        <w:rPr>
          <w:rFonts w:ascii="宋体" w:hAnsi="宋体"/>
          <w:sz w:val="24"/>
          <w:szCs w:val="24"/>
        </w:rPr>
      </w:pPr>
      <w:bookmarkStart w:id="13" w:name="_Toc80458946"/>
      <w:bookmarkStart w:id="14" w:name="_Toc80502603"/>
      <w:r>
        <w:rPr>
          <w:rFonts w:hint="eastAsia" w:ascii="宋体" w:hAnsi="宋体"/>
          <w:sz w:val="24"/>
          <w:szCs w:val="24"/>
        </w:rPr>
        <w:t>55.1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55.2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56.合同修改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57.通知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58.适用法律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59. 合同生效</w:t>
      </w:r>
    </w:p>
    <w:p>
      <w:pPr>
        <w:spacing w:line="400" w:lineRule="exact"/>
        <w:ind w:firstLine="470" w:firstLineChars="196"/>
        <w:rPr>
          <w:rFonts w:ascii="宋体" w:hAnsi="宋体"/>
          <w:sz w:val="24"/>
          <w:szCs w:val="24"/>
        </w:rPr>
      </w:pPr>
      <w:bookmarkStart w:id="15" w:name="_Toc80502605"/>
      <w:bookmarkStart w:id="16" w:name="_Toc80458948"/>
      <w:r>
        <w:rPr>
          <w:rFonts w:hint="eastAsia" w:ascii="宋体" w:hAnsi="宋体"/>
          <w:sz w:val="24"/>
          <w:szCs w:val="24"/>
        </w:rPr>
        <w:t>59.1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59.2 采购合同一式三份，以中文书就，具同等法律效力。买卖双方、采购长葛市公共资源交易中心各执一份。</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60.补充条款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bookmarkStart w:id="25" w:name="_GoBack"/>
      <w:bookmarkEnd w:id="25"/>
      <w:r>
        <w:rPr>
          <w:rFonts w:hint="eastAsia" w:ascii="宋体" w:hAnsi="宋体"/>
          <w:b/>
          <w:sz w:val="24"/>
          <w:szCs w:val="24"/>
        </w:rPr>
        <w:t>八、采购合同格式</w:t>
      </w:r>
    </w:p>
    <w:p>
      <w:pPr>
        <w:autoSpaceDE w:val="0"/>
        <w:autoSpaceDN w:val="0"/>
        <w:adjustRightInd w:val="0"/>
        <w:spacing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根据上述采购合同文件要求，采购合同的总金额为人民币（大写）元，（小写）￥：元。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本合同一式三份，以中文书就，具备同等法律效力。买卖双方、采购长葛市公共资源交易中心各执一份。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Theme="majorEastAsia" w:hAnsiTheme="majorEastAsia" w:eastAsiaTheme="majorEastAsia"/>
          <w:b/>
          <w:sz w:val="28"/>
          <w:szCs w:val="28"/>
        </w:rPr>
      </w:pPr>
      <w:r>
        <w:rPr>
          <w:rFonts w:ascii="宋体" w:hAnsi="宋体"/>
          <w:sz w:val="24"/>
        </w:rPr>
        <w:br w:type="page"/>
      </w: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auto"/>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widowControl/>
        <w:spacing w:line="480" w:lineRule="auto"/>
        <w:ind w:firstLine="560" w:firstLineChars="200"/>
        <w:jc w:val="left"/>
        <w:rPr>
          <w:rFonts w:ascii="宋体" w:hAnsi="宋体"/>
          <w:sz w:val="24"/>
        </w:rPr>
      </w:pPr>
      <w:r>
        <w:rPr>
          <w:rFonts w:hint="eastAsia" w:ascii="宋体" w:hAnsi="宋体"/>
          <w:kern w:val="0"/>
          <w:sz w:val="28"/>
          <w:szCs w:val="28"/>
        </w:rPr>
        <w:t>2.对于给定格式的，需按照给定的格式进行填报；没有给定格式的，供应商可以自行设计。</w:t>
      </w:r>
      <w:r>
        <w:rPr>
          <w:rFonts w:ascii="宋体" w:hAnsi="宋体"/>
          <w:sz w:val="24"/>
        </w:rPr>
        <w:br w:type="page"/>
      </w:r>
    </w:p>
    <w:p>
      <w:pPr>
        <w:spacing w:line="480" w:lineRule="exact"/>
        <w:rPr>
          <w:rFonts w:ascii="宋体" w:hAnsi="宋体"/>
          <w:b/>
          <w:kern w:val="0"/>
          <w:sz w:val="24"/>
          <w:szCs w:val="24"/>
        </w:rPr>
      </w:pP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  </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900" w:firstLineChars="249"/>
        <w:rPr>
          <w:rFonts w:ascii="隶书" w:hAnsi="Lucida Sans Unicode" w:eastAsia="隶书" w:cs="Lucida Sans Unicode"/>
          <w:b/>
          <w:sz w:val="36"/>
          <w:szCs w:val="36"/>
        </w:rPr>
      </w:pPr>
      <w:r>
        <w:rPr>
          <w:rFonts w:hint="eastAsia" w:ascii="隶书" w:hAnsi="Lucida Sans Unicode" w:eastAsia="隶书" w:cs="Lucida Sans Unicode"/>
          <w:b/>
          <w:sz w:val="36"/>
          <w:szCs w:val="36"/>
        </w:rPr>
        <w:t>时    间：</w:t>
      </w:r>
    </w:p>
    <w:p>
      <w:pPr>
        <w:widowControl/>
        <w:jc w:val="left"/>
        <w:rPr>
          <w:rFonts w:ascii="宋体" w:hAnsi="宋体"/>
          <w:b/>
          <w:kern w:val="0"/>
          <w:sz w:val="24"/>
          <w:szCs w:val="24"/>
        </w:rPr>
      </w:pPr>
    </w:p>
    <w:p>
      <w:pPr>
        <w:widowControl/>
        <w:jc w:val="left"/>
        <w:rPr>
          <w:rFonts w:ascii="宋体" w:hAnsi="宋体"/>
          <w:b/>
          <w:kern w:val="0"/>
          <w:sz w:val="24"/>
          <w:szCs w:val="24"/>
        </w:rPr>
      </w:pPr>
    </w:p>
    <w:p>
      <w:pPr>
        <w:spacing w:line="480" w:lineRule="exact"/>
        <w:rPr>
          <w:rFonts w:ascii="宋体" w:hAnsi="宋体"/>
          <w:b/>
          <w:kern w:val="12"/>
          <w:sz w:val="24"/>
          <w:szCs w:val="24"/>
        </w:rPr>
      </w:pPr>
      <w:r>
        <w:rPr>
          <w:rFonts w:hint="eastAsia" w:ascii="宋体" w:hAnsi="宋体"/>
          <w:b/>
          <w:kern w:val="0"/>
          <w:sz w:val="24"/>
          <w:szCs w:val="24"/>
        </w:rPr>
        <w:t>格式2</w:t>
      </w:r>
    </w:p>
    <w:p>
      <w:pPr>
        <w:spacing w:line="480" w:lineRule="exact"/>
        <w:rPr>
          <w:rFonts w:ascii="宋体"/>
          <w:b/>
          <w:color w:val="000000"/>
          <w:kern w:val="12"/>
          <w:sz w:val="24"/>
          <w:szCs w:val="24"/>
        </w:rPr>
      </w:pPr>
    </w:p>
    <w:p>
      <w:pPr>
        <w:pStyle w:val="122"/>
        <w:tabs>
          <w:tab w:val="left" w:pos="660"/>
        </w:tabs>
        <w:snapToGrid w:val="0"/>
        <w:spacing w:before="0" w:line="400" w:lineRule="exact"/>
        <w:ind w:left="0" w:firstLine="0"/>
        <w:jc w:val="center"/>
        <w:rPr>
          <w:rFonts w:cs="黑体"/>
          <w:color w:val="auto"/>
          <w:kern w:val="2"/>
          <w:sz w:val="36"/>
          <w:szCs w:val="36"/>
          <w:lang w:val="zh-CN"/>
        </w:rPr>
      </w:pPr>
      <w:bookmarkStart w:id="17" w:name="_Toc186274126"/>
      <w:bookmarkStart w:id="18" w:name="_Toc184023138"/>
      <w:bookmarkStart w:id="19" w:name="_Toc174185203"/>
      <w:r>
        <w:rPr>
          <w:rFonts w:hint="eastAsia" w:cs="黑体"/>
          <w:color w:val="auto"/>
          <w:kern w:val="2"/>
          <w:sz w:val="36"/>
          <w:szCs w:val="36"/>
          <w:lang w:val="zh-CN"/>
        </w:rPr>
        <w:t>一、供应商应答索引表</w:t>
      </w:r>
      <w:bookmarkEnd w:id="17"/>
      <w:bookmarkEnd w:id="18"/>
      <w:bookmarkEnd w:id="19"/>
    </w:p>
    <w:tbl>
      <w:tblPr>
        <w:tblStyle w:val="3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供应商应答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响应文件中所在页码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21"/>
              <w:kinsoku w:val="0"/>
              <w:overflowPunct w:val="0"/>
              <w:autoSpaceDE w:val="0"/>
              <w:autoSpaceDN w:val="0"/>
              <w:spacing w:line="320" w:lineRule="exact"/>
              <w:rPr>
                <w:rFonts w:hAnsi="宋体"/>
              </w:rPr>
            </w:pPr>
            <w:r>
              <w:rPr>
                <w:rFonts w:hint="eastAsia" w:hAnsi="宋体"/>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rPr>
              <w:t>谈判响应函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21"/>
              <w:kinsoku w:val="0"/>
              <w:overflowPunct w:val="0"/>
              <w:autoSpaceDE w:val="0"/>
              <w:autoSpaceDN w:val="0"/>
              <w:spacing w:line="320" w:lineRule="exact"/>
              <w:rPr>
                <w:rFonts w:hAnsi="宋体"/>
              </w:rPr>
            </w:pPr>
            <w:r>
              <w:rPr>
                <w:rFonts w:hint="eastAsia" w:hAnsi="宋体" w:cs="宋体"/>
                <w:bCs/>
                <w:szCs w:val="24"/>
                <w:lang w:val="zh-CN"/>
              </w:rPr>
              <w:t>法定代表人</w:t>
            </w:r>
            <w:r>
              <w:rPr>
                <w:rFonts w:hAnsi="宋体" w:cs="宋体"/>
                <w:bCs/>
                <w:szCs w:val="24"/>
                <w:lang w:val="zh-CN"/>
              </w:rPr>
              <w:t>资</w:t>
            </w:r>
            <w:r>
              <w:rPr>
                <w:rFonts w:hint="eastAsia" w:hAnsi="宋体" w:cs="宋体"/>
                <w:bCs/>
                <w:szCs w:val="24"/>
                <w:lang w:val="zh-CN"/>
              </w:rPr>
              <w:t>格</w:t>
            </w:r>
            <w:r>
              <w:rPr>
                <w:rFonts w:hAnsi="宋体" w:cs="宋体"/>
                <w:bCs/>
                <w:szCs w:val="24"/>
                <w:lang w:val="zh-CN"/>
              </w:rPr>
              <w:t>证</w:t>
            </w:r>
            <w:r>
              <w:rPr>
                <w:rFonts w:hint="eastAsia" w:hAnsi="宋体" w:cs="宋体"/>
                <w:bCs/>
                <w:szCs w:val="24"/>
                <w:lang w:val="zh-CN"/>
              </w:rPr>
              <w:t>明</w:t>
            </w:r>
            <w:r>
              <w:rPr>
                <w:rFonts w:hAnsi="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21"/>
              <w:kinsoku w:val="0"/>
              <w:overflowPunct w:val="0"/>
              <w:autoSpaceDE w:val="0"/>
              <w:autoSpaceDN w:val="0"/>
              <w:spacing w:line="320" w:lineRule="exact"/>
              <w:rPr>
                <w:rFonts w:hAnsi="宋体"/>
              </w:rPr>
            </w:pPr>
            <w:r>
              <w:rPr>
                <w:rFonts w:hint="eastAsia" w:hAnsi="宋体"/>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21"/>
              <w:kinsoku w:val="0"/>
              <w:overflowPunct w:val="0"/>
              <w:autoSpaceDE w:val="0"/>
              <w:autoSpaceDN w:val="0"/>
              <w:spacing w:line="320" w:lineRule="exact"/>
              <w:rPr>
                <w:rFonts w:hAnsi="宋体"/>
              </w:rPr>
            </w:pPr>
            <w:r>
              <w:rPr>
                <w:rFonts w:hint="eastAsia" w:hAnsi="宋体"/>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21"/>
              <w:kinsoku w:val="0"/>
              <w:overflowPunct w:val="0"/>
              <w:autoSpaceDE w:val="0"/>
              <w:autoSpaceDN w:val="0"/>
              <w:spacing w:line="320" w:lineRule="exact"/>
              <w:jc w:val="center"/>
              <w:rPr>
                <w:rFonts w:hAnsi="宋体" w:cs="微软雅黑"/>
                <w:bCs/>
              </w:rPr>
            </w:pPr>
            <w:r>
              <w:rPr>
                <w:rFonts w:hint="eastAsia" w:hAnsi="宋体"/>
                <w:szCs w:val="24"/>
              </w:rPr>
              <w:t>纳税证明</w:t>
            </w:r>
          </w:p>
        </w:tc>
        <w:tc>
          <w:tcPr>
            <w:tcW w:w="2977" w:type="dxa"/>
            <w:gridSpan w:val="2"/>
            <w:tcBorders>
              <w:left w:val="single" w:color="auto" w:sz="6" w:space="0"/>
            </w:tcBorders>
            <w:vAlign w:val="center"/>
          </w:tcPr>
          <w:p>
            <w:pPr>
              <w:pStyle w:val="21"/>
              <w:kinsoku w:val="0"/>
              <w:overflowPunct w:val="0"/>
              <w:autoSpaceDE w:val="0"/>
              <w:autoSpaceDN w:val="0"/>
              <w:spacing w:line="320" w:lineRule="exact"/>
              <w:rPr>
                <w:rFonts w:hAnsi="宋体" w:cs="微软雅黑"/>
                <w:bCs/>
              </w:rPr>
            </w:pPr>
            <w:r>
              <w:rPr>
                <w:rFonts w:hint="eastAsia" w:hAnsi="宋体" w:cs="微软雅黑"/>
                <w:bCs/>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szCs w:val="24"/>
              </w:rPr>
            </w:pPr>
          </w:p>
        </w:tc>
        <w:tc>
          <w:tcPr>
            <w:tcW w:w="2977" w:type="dxa"/>
            <w:gridSpan w:val="2"/>
            <w:tcBorders>
              <w:left w:val="single" w:color="auto" w:sz="6" w:space="0"/>
            </w:tcBorders>
            <w:vAlign w:val="center"/>
          </w:tcPr>
          <w:p>
            <w:pPr>
              <w:pStyle w:val="21"/>
              <w:kinsoku w:val="0"/>
              <w:overflowPunct w:val="0"/>
              <w:autoSpaceDE w:val="0"/>
              <w:autoSpaceDN w:val="0"/>
              <w:spacing w:line="320" w:lineRule="exact"/>
              <w:rPr>
                <w:rFonts w:hAnsi="宋体"/>
                <w:szCs w:val="24"/>
              </w:rPr>
            </w:pPr>
            <w:r>
              <w:rPr>
                <w:rFonts w:hint="eastAsia" w:hAnsi="宋体"/>
                <w:bCs/>
                <w:szCs w:val="24"/>
              </w:rPr>
              <w:t>纳税凭据复印件</w:t>
            </w:r>
          </w:p>
        </w:tc>
        <w:tc>
          <w:tcPr>
            <w:tcW w:w="1559" w:type="dxa"/>
            <w:vAlign w:val="center"/>
          </w:tcPr>
          <w:p>
            <w:pPr>
              <w:pStyle w:val="21"/>
              <w:rPr>
                <w:rFonts w:hAnsi="宋体" w:cs="微软雅黑"/>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szCs w:val="24"/>
              </w:rPr>
            </w:pPr>
          </w:p>
        </w:tc>
        <w:tc>
          <w:tcPr>
            <w:tcW w:w="709" w:type="dxa"/>
            <w:vMerge w:val="continue"/>
            <w:tcBorders>
              <w:left w:val="single" w:color="auto" w:sz="6" w:space="0"/>
              <w:right w:val="single" w:color="auto" w:sz="6" w:space="0"/>
            </w:tcBorders>
            <w:vAlign w:val="center"/>
          </w:tcPr>
          <w:p>
            <w:pPr>
              <w:pStyle w:val="21"/>
              <w:kinsoku w:val="0"/>
              <w:overflowPunct w:val="0"/>
              <w:autoSpaceDE w:val="0"/>
              <w:autoSpaceDN w:val="0"/>
              <w:spacing w:line="320" w:lineRule="exact"/>
              <w:rPr>
                <w:rFonts w:hAnsi="宋体" w:cs="微软雅黑"/>
                <w:bCs/>
                <w:szCs w:val="24"/>
              </w:rPr>
            </w:pPr>
          </w:p>
        </w:tc>
        <w:tc>
          <w:tcPr>
            <w:tcW w:w="2268" w:type="dxa"/>
            <w:tcBorders>
              <w:left w:val="single" w:color="auto" w:sz="6" w:space="0"/>
            </w:tcBorders>
            <w:vAlign w:val="center"/>
          </w:tcPr>
          <w:p>
            <w:pPr>
              <w:pStyle w:val="21"/>
              <w:kinsoku w:val="0"/>
              <w:overflowPunct w:val="0"/>
              <w:autoSpaceDE w:val="0"/>
              <w:autoSpaceDN w:val="0"/>
              <w:spacing w:line="320" w:lineRule="exact"/>
              <w:rPr>
                <w:rFonts w:hAnsi="宋体" w:cs="微软雅黑"/>
                <w:bCs/>
                <w:szCs w:val="24"/>
              </w:rPr>
            </w:pPr>
            <w:r>
              <w:rPr>
                <w:rFonts w:hint="eastAsia" w:hAnsi="宋体" w:cs="微软雅黑"/>
                <w:bCs/>
                <w:szCs w:val="24"/>
              </w:rPr>
              <w:t>技术人员职称证书</w:t>
            </w:r>
          </w:p>
        </w:tc>
        <w:tc>
          <w:tcPr>
            <w:tcW w:w="1559" w:type="dxa"/>
            <w:vAlign w:val="center"/>
          </w:tcPr>
          <w:p>
            <w:pPr>
              <w:pStyle w:val="21"/>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1"/>
              <w:kinsoku w:val="0"/>
              <w:overflowPunct w:val="0"/>
              <w:autoSpaceDE w:val="0"/>
              <w:autoSpaceDN w:val="0"/>
              <w:spacing w:line="320" w:lineRule="exact"/>
              <w:rPr>
                <w:rFonts w:hAnsi="宋体" w:cs="微软雅黑"/>
                <w:bCs/>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szCs w:val="24"/>
              </w:rPr>
            </w:pPr>
          </w:p>
        </w:tc>
        <w:tc>
          <w:tcPr>
            <w:tcW w:w="709" w:type="dxa"/>
            <w:vMerge w:val="continue"/>
            <w:tcBorders>
              <w:left w:val="single" w:color="auto" w:sz="6" w:space="0"/>
              <w:right w:val="single" w:color="auto" w:sz="6" w:space="0"/>
            </w:tcBorders>
            <w:vAlign w:val="center"/>
          </w:tcPr>
          <w:p>
            <w:pPr>
              <w:pStyle w:val="21"/>
              <w:kinsoku w:val="0"/>
              <w:overflowPunct w:val="0"/>
              <w:autoSpaceDE w:val="0"/>
              <w:autoSpaceDN w:val="0"/>
              <w:spacing w:line="320" w:lineRule="exact"/>
              <w:rPr>
                <w:rFonts w:hAnsi="宋体" w:cs="微软雅黑"/>
                <w:bCs/>
                <w:szCs w:val="24"/>
              </w:rPr>
            </w:pPr>
          </w:p>
        </w:tc>
        <w:tc>
          <w:tcPr>
            <w:tcW w:w="2268" w:type="dxa"/>
            <w:tcBorders>
              <w:left w:val="single" w:color="auto" w:sz="6" w:space="0"/>
            </w:tcBorders>
            <w:vAlign w:val="center"/>
          </w:tcPr>
          <w:p>
            <w:pPr>
              <w:pStyle w:val="21"/>
              <w:kinsoku w:val="0"/>
              <w:overflowPunct w:val="0"/>
              <w:autoSpaceDE w:val="0"/>
              <w:autoSpaceDN w:val="0"/>
              <w:spacing w:line="320" w:lineRule="exact"/>
              <w:rPr>
                <w:rFonts w:hAnsi="宋体" w:cs="微软雅黑"/>
                <w:bCs/>
                <w:szCs w:val="24"/>
              </w:rPr>
            </w:pPr>
            <w:r>
              <w:rPr>
                <w:rFonts w:hint="eastAsia" w:hAnsi="宋体" w:cs="微软雅黑"/>
                <w:bCs/>
                <w:szCs w:val="24"/>
              </w:rPr>
              <w:t>用工合同</w:t>
            </w:r>
          </w:p>
        </w:tc>
        <w:tc>
          <w:tcPr>
            <w:tcW w:w="1559" w:type="dxa"/>
            <w:vAlign w:val="center"/>
          </w:tcPr>
          <w:p>
            <w:pPr>
              <w:pStyle w:val="21"/>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1"/>
              <w:kinsoku w:val="0"/>
              <w:overflowPunct w:val="0"/>
              <w:autoSpaceDE w:val="0"/>
              <w:autoSpaceDN w:val="0"/>
              <w:spacing w:line="320" w:lineRule="exact"/>
              <w:rPr>
                <w:rFonts w:hAnsi="宋体" w:cs="微软雅黑"/>
                <w:bCs/>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szCs w:val="24"/>
              </w:rPr>
            </w:pPr>
          </w:p>
        </w:tc>
        <w:tc>
          <w:tcPr>
            <w:tcW w:w="2977" w:type="dxa"/>
            <w:gridSpan w:val="2"/>
            <w:tcBorders>
              <w:left w:val="single" w:color="auto" w:sz="6" w:space="0"/>
            </w:tcBorders>
            <w:vAlign w:val="center"/>
          </w:tcPr>
          <w:p>
            <w:pPr>
              <w:pStyle w:val="21"/>
              <w:kinsoku w:val="0"/>
              <w:overflowPunct w:val="0"/>
              <w:autoSpaceDE w:val="0"/>
              <w:autoSpaceDN w:val="0"/>
              <w:spacing w:line="320" w:lineRule="exact"/>
              <w:rPr>
                <w:rFonts w:hAnsi="宋体" w:cs="微软雅黑"/>
                <w:bCs/>
                <w:szCs w:val="24"/>
              </w:rPr>
            </w:pPr>
            <w:r>
              <w:rPr>
                <w:rFonts w:hint="eastAsia" w:hAnsi="宋体"/>
                <w:bCs/>
                <w:szCs w:val="24"/>
              </w:rPr>
              <w:t>供应商相关承诺函或声明</w:t>
            </w:r>
          </w:p>
        </w:tc>
        <w:tc>
          <w:tcPr>
            <w:tcW w:w="1559" w:type="dxa"/>
            <w:vAlign w:val="center"/>
          </w:tcPr>
          <w:p>
            <w:pPr>
              <w:pStyle w:val="21"/>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21"/>
              <w:kinsoku w:val="0"/>
              <w:overflowPunct w:val="0"/>
              <w:autoSpaceDE w:val="0"/>
              <w:autoSpaceDN w:val="0"/>
              <w:spacing w:line="320" w:lineRule="exact"/>
              <w:rPr>
                <w:rFonts w:hAnsi="宋体"/>
              </w:rPr>
            </w:pPr>
            <w:r>
              <w:rPr>
                <w:rFonts w:hint="eastAsia" w:hAnsi="宋体" w:cs="微软雅黑"/>
                <w:bCs/>
              </w:rPr>
              <w:t>供应商须具备的特殊资质证书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cs="宋体"/>
                <w:bCs/>
                <w:szCs w:val="24"/>
                <w:lang w:val="zh-CN"/>
              </w:rPr>
              <w:t>投标承诺函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 w:val="24"/>
                <w:szCs w:val="24"/>
                <w:lang w:val="zh-CN"/>
              </w:rPr>
            </w:pPr>
            <w:r>
              <w:rPr>
                <w:rFonts w:hint="eastAsia" w:ascii="宋体" w:hAnsi="宋体" w:cs="宋体"/>
                <w:bCs/>
                <w:sz w:val="24"/>
                <w:szCs w:val="24"/>
                <w:lang w:val="zh-CN"/>
              </w:rPr>
              <w:t>14</w:t>
            </w:r>
          </w:p>
        </w:tc>
        <w:tc>
          <w:tcPr>
            <w:tcW w:w="3751" w:type="dxa"/>
            <w:gridSpan w:val="3"/>
            <w:vAlign w:val="center"/>
          </w:tcPr>
          <w:p>
            <w:pPr>
              <w:pStyle w:val="21"/>
              <w:kinsoku w:val="0"/>
              <w:overflowPunct w:val="0"/>
              <w:autoSpaceDE w:val="0"/>
              <w:autoSpaceDN w:val="0"/>
              <w:spacing w:line="320" w:lineRule="exact"/>
              <w:rPr>
                <w:rFonts w:hAnsi="宋体" w:cs="宋体"/>
                <w:bCs/>
                <w:szCs w:val="24"/>
                <w:lang w:val="zh-CN"/>
              </w:rPr>
            </w:pPr>
            <w:r>
              <w:rPr>
                <w:rFonts w:hint="eastAsia" w:hAnsi="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21"/>
              <w:kinsoku w:val="0"/>
              <w:overflowPunct w:val="0"/>
              <w:autoSpaceDE w:val="0"/>
              <w:autoSpaceDN w:val="0"/>
              <w:spacing w:line="320" w:lineRule="exact"/>
              <w:rPr>
                <w:rFonts w:hAnsi="宋体" w:cs="微软雅黑"/>
                <w:bCs/>
              </w:rPr>
            </w:pPr>
            <w:r>
              <w:rPr>
                <w:rFonts w:hint="eastAsia" w:hAnsi="宋体" w:cs="微软雅黑"/>
                <w:bCs/>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cs="微软雅黑"/>
                <w:bCs/>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cs="微软雅黑"/>
                <w:bCs/>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cs="微软雅黑"/>
                <w:bCs/>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cs="微软雅黑"/>
                <w:bCs/>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cs="微软雅黑"/>
                <w:bCs/>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cs="微软雅黑"/>
                <w:bCs/>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774" w:type="dxa"/>
            <w:vAlign w:val="center"/>
          </w:tcPr>
          <w:p>
            <w:pPr>
              <w:pStyle w:val="21"/>
              <w:kinsoku w:val="0"/>
              <w:overflowPunct w:val="0"/>
              <w:autoSpaceDE w:val="0"/>
              <w:autoSpaceDN w:val="0"/>
              <w:spacing w:line="320" w:lineRule="exact"/>
              <w:rPr>
                <w:rFonts w:hAnsi="宋体" w:cs="微软雅黑"/>
                <w:bCs/>
              </w:rPr>
            </w:pPr>
            <w:r>
              <w:rPr>
                <w:rFonts w:hint="eastAsia" w:hAnsi="宋体" w:cs="微软雅黑"/>
                <w:bCs/>
              </w:rPr>
              <w:t>CCC强制性产品认证</w:t>
            </w:r>
          </w:p>
        </w:tc>
        <w:tc>
          <w:tcPr>
            <w:tcW w:w="2977" w:type="dxa"/>
            <w:gridSpan w:val="2"/>
            <w:vAlign w:val="center"/>
          </w:tcPr>
          <w:p>
            <w:pPr>
              <w:pStyle w:val="21"/>
              <w:kinsoku w:val="0"/>
              <w:overflowPunct w:val="0"/>
              <w:autoSpaceDE w:val="0"/>
              <w:autoSpaceDN w:val="0"/>
              <w:spacing w:line="320" w:lineRule="exact"/>
            </w:pPr>
            <w:r>
              <w:rPr>
                <w:rFonts w:hint="eastAsia" w:hAnsi="宋体" w:cs="宋体"/>
                <w:bCs/>
                <w:szCs w:val="24"/>
                <w:lang w:val="zh-CN"/>
              </w:rPr>
              <w:t>所投产品符合国家强制性要求承诺函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774" w:type="dxa"/>
            <w:vMerge w:val="restart"/>
            <w:tcBorders>
              <w:right w:val="single" w:color="auto" w:sz="4" w:space="0"/>
            </w:tcBorders>
            <w:vAlign w:val="center"/>
          </w:tcPr>
          <w:p>
            <w:pPr>
              <w:pStyle w:val="21"/>
              <w:kinsoku w:val="0"/>
              <w:overflowPunct w:val="0"/>
              <w:autoSpaceDE w:val="0"/>
              <w:autoSpaceDN w:val="0"/>
              <w:spacing w:line="320" w:lineRule="exact"/>
              <w:rPr>
                <w:rFonts w:hAnsi="宋体" w:cs="宋体"/>
                <w:szCs w:val="24"/>
              </w:rPr>
            </w:pPr>
            <w:r>
              <w:rPr>
                <w:rFonts w:hAnsi="宋体" w:cs="宋体"/>
                <w:szCs w:val="24"/>
              </w:rPr>
              <w:t>信息安全产品强制性认证</w:t>
            </w:r>
          </w:p>
        </w:tc>
        <w:tc>
          <w:tcPr>
            <w:tcW w:w="2977" w:type="dxa"/>
            <w:gridSpan w:val="2"/>
            <w:tcBorders>
              <w:left w:val="single" w:color="auto" w:sz="4" w:space="0"/>
            </w:tcBorders>
            <w:vAlign w:val="center"/>
          </w:tcPr>
          <w:p>
            <w:pPr>
              <w:pStyle w:val="21"/>
              <w:kinsoku w:val="0"/>
              <w:overflowPunct w:val="0"/>
              <w:autoSpaceDE w:val="0"/>
              <w:autoSpaceDN w:val="0"/>
              <w:spacing w:line="320" w:lineRule="exact"/>
              <w:rPr>
                <w:rFonts w:hAnsi="宋体" w:cs="宋体"/>
                <w:bCs/>
                <w:szCs w:val="24"/>
                <w:lang w:val="zh-CN"/>
              </w:rPr>
            </w:pPr>
            <w:r>
              <w:rPr>
                <w:rFonts w:hint="eastAsia" w:hAnsi="宋体" w:cs="宋体"/>
                <w:szCs w:val="24"/>
              </w:rPr>
              <w:t>认证机构颁发的认证证书</w:t>
            </w:r>
          </w:p>
        </w:tc>
        <w:tc>
          <w:tcPr>
            <w:tcW w:w="1559" w:type="dxa"/>
            <w:vAlign w:val="center"/>
          </w:tcPr>
          <w:p>
            <w:pPr>
              <w:pStyle w:val="21"/>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84"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21"/>
              <w:kinsoku w:val="0"/>
              <w:overflowPunct w:val="0"/>
              <w:autoSpaceDE w:val="0"/>
              <w:autoSpaceDN w:val="0"/>
              <w:spacing w:line="320" w:lineRule="exact"/>
              <w:rPr>
                <w:rFonts w:hAnsi="宋体" w:cs="宋体"/>
                <w:szCs w:val="24"/>
              </w:rPr>
            </w:pPr>
          </w:p>
        </w:tc>
        <w:tc>
          <w:tcPr>
            <w:tcW w:w="2977" w:type="dxa"/>
            <w:gridSpan w:val="2"/>
            <w:tcBorders>
              <w:left w:val="single" w:color="auto" w:sz="4" w:space="0"/>
            </w:tcBorders>
            <w:vAlign w:val="center"/>
          </w:tcPr>
          <w:p>
            <w:pPr>
              <w:pStyle w:val="21"/>
              <w:kinsoku w:val="0"/>
              <w:overflowPunct w:val="0"/>
              <w:autoSpaceDE w:val="0"/>
              <w:autoSpaceDN w:val="0"/>
              <w:spacing w:line="320" w:lineRule="exact"/>
              <w:rPr>
                <w:rFonts w:hAnsi="宋体" w:cs="宋体"/>
                <w:bCs/>
                <w:szCs w:val="24"/>
                <w:lang w:val="zh-CN"/>
              </w:rPr>
            </w:pPr>
            <w:r>
              <w:rPr>
                <w:rFonts w:hint="eastAsia" w:hAnsi="宋体" w:cs="宋体"/>
                <w:szCs w:val="24"/>
              </w:rPr>
              <w:t>中国信息安全认证中心官网产品查询结果截图</w:t>
            </w:r>
          </w:p>
        </w:tc>
        <w:tc>
          <w:tcPr>
            <w:tcW w:w="1559" w:type="dxa"/>
            <w:vAlign w:val="center"/>
          </w:tcPr>
          <w:p>
            <w:pPr>
              <w:pStyle w:val="21"/>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cs="微软雅黑"/>
                <w:bCs/>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1"/>
              <w:kinsoku w:val="0"/>
              <w:overflowPunct w:val="0"/>
              <w:autoSpaceDE w:val="0"/>
              <w:autoSpaceDN w:val="0"/>
              <w:spacing w:line="320" w:lineRule="exact"/>
              <w:rPr>
                <w:rFonts w:hAnsi="宋体" w:cs="微软雅黑"/>
                <w:bCs/>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宋体" w:hAnsi="宋体"/>
          <w:b/>
          <w:snapToGrid w:val="0"/>
          <w:kern w:val="0"/>
          <w:sz w:val="36"/>
          <w:szCs w:val="36"/>
        </w:rPr>
      </w:pPr>
      <w:r>
        <w:rPr>
          <w:rFonts w:ascii="宋体" w:hAnsi="宋体"/>
          <w:b/>
          <w:snapToGrid w:val="0"/>
          <w:kern w:val="0"/>
          <w:sz w:val="36"/>
          <w:szCs w:val="36"/>
        </w:rPr>
        <w:br w:type="page"/>
      </w:r>
    </w:p>
    <w:p>
      <w:pPr>
        <w:pStyle w:val="21"/>
        <w:spacing w:line="360" w:lineRule="auto"/>
        <w:jc w:val="center"/>
        <w:rPr>
          <w:rFonts w:hAnsi="宋体"/>
          <w:b/>
          <w:snapToGrid w:val="0"/>
          <w:sz w:val="36"/>
          <w:szCs w:val="36"/>
        </w:rPr>
      </w:pPr>
      <w:r>
        <w:rPr>
          <w:rFonts w:hint="eastAsia" w:hAnsi="宋体"/>
          <w:b/>
          <w:snapToGrid w:val="0"/>
          <w:sz w:val="36"/>
          <w:szCs w:val="36"/>
        </w:rPr>
        <w:t>二、开标一览表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360" w:lineRule="auto"/>
        <w:rPr>
          <w:rFonts w:ascii="宋体" w:hAnsi="宋体" w:cs="宋体"/>
          <w:sz w:val="24"/>
          <w:szCs w:val="24"/>
          <w:lang w:val="zh-CN"/>
        </w:rPr>
      </w:pPr>
    </w:p>
    <w:p>
      <w:pPr>
        <w:pStyle w:val="18"/>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spacing w:line="480" w:lineRule="exact"/>
        <w:jc w:val="center"/>
        <w:rPr>
          <w:rFonts w:ascii="宋体" w:hAnsi="宋体"/>
          <w:b/>
          <w:bCs/>
          <w:sz w:val="36"/>
          <w:szCs w:val="36"/>
        </w:rPr>
      </w:pPr>
    </w:p>
    <w:p>
      <w:pPr>
        <w:pStyle w:val="21"/>
        <w:spacing w:line="360" w:lineRule="auto"/>
        <w:jc w:val="center"/>
        <w:rPr>
          <w:rFonts w:hAnsi="宋体"/>
          <w:b/>
          <w:snapToGrid w:val="0"/>
          <w:sz w:val="36"/>
          <w:szCs w:val="36"/>
        </w:rPr>
      </w:pPr>
      <w:r>
        <w:rPr>
          <w:rFonts w:hint="eastAsia" w:hAnsi="宋体"/>
          <w:b/>
          <w:snapToGrid w:val="0"/>
          <w:sz w:val="36"/>
          <w:szCs w:val="36"/>
        </w:rPr>
        <w:t>3.1 谈判响应函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根据贵方（项目名称、项目编号）采购的采购公告及谈判邀请，_______（姓名和职务）被正式授权并代表供应商（供应商名称、地址）提交。</w:t>
      </w:r>
    </w:p>
    <w:p>
      <w:pPr>
        <w:pStyle w:val="21"/>
        <w:spacing w:line="360" w:lineRule="auto"/>
        <w:ind w:firstLine="420" w:firstLineChars="200"/>
        <w:contextualSpacing/>
        <w:rPr>
          <w:rFonts w:hAnsi="宋体"/>
          <w:snapToGrid w:val="0"/>
          <w:szCs w:val="24"/>
        </w:rPr>
      </w:pPr>
      <w:r>
        <w:rPr>
          <w:rFonts w:hint="eastAsia" w:hAnsi="宋体"/>
          <w:snapToGrid w:val="0"/>
          <w:szCs w:val="24"/>
        </w:rPr>
        <w:t>我方确认收到贵方提供的（项目名称、项目编号）采购文件的全部内容。</w:t>
      </w:r>
    </w:p>
    <w:p>
      <w:pPr>
        <w:pStyle w:val="21"/>
        <w:spacing w:line="360" w:lineRule="auto"/>
        <w:ind w:firstLine="420" w:firstLineChars="200"/>
        <w:contextualSpacing/>
        <w:rPr>
          <w:rFonts w:hAnsi="宋体"/>
          <w:snapToGrid w:val="0"/>
          <w:szCs w:val="24"/>
        </w:rPr>
      </w:pPr>
      <w:r>
        <w:rPr>
          <w:rFonts w:hint="eastAsia" w:hAnsi="宋体"/>
          <w:snapToGrid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hAnsi="宋体"/>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(供应商名称)     </w:t>
      </w:r>
      <w:r>
        <w:rPr>
          <w:rFonts w:hint="eastAsia" w:ascii="宋体" w:hAnsi="宋体"/>
          <w:snapToGrid w:val="0"/>
          <w:kern w:val="0"/>
          <w:sz w:val="24"/>
          <w:szCs w:val="24"/>
        </w:rPr>
        <w:t>作为供应商正式授权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在此提交的响应文件，正本一份，副本份,</w:t>
      </w:r>
      <w:r>
        <w:rPr>
          <w:rFonts w:hint="eastAsia" w:cs="Arial"/>
          <w:sz w:val="26"/>
          <w:szCs w:val="26"/>
        </w:rPr>
        <w:t xml:space="preserve"> 电子版文件份</w:t>
      </w:r>
      <w:r>
        <w:rPr>
          <w:rFonts w:hint="eastAsia" w:ascii="宋体" w:hAnsi="宋体"/>
          <w:snapToGrid w:val="0"/>
          <w:kern w:val="0"/>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w:t>
      </w:r>
      <w:r>
        <w:rPr>
          <w:rFonts w:hint="eastAsia" w:cs="Arial"/>
          <w:sz w:val="26"/>
          <w:szCs w:val="26"/>
        </w:rPr>
        <w:t>大写</w:t>
      </w:r>
      <w:r>
        <w:rPr>
          <w:rFonts w:hint="eastAsia" w:ascii="宋体" w:hAnsi="宋体" w:cs="Courier New"/>
          <w:sz w:val="24"/>
          <w:szCs w:val="24"/>
        </w:rPr>
        <w:t>,小写。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响应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三、我方同意按照贵方可能提出的要求而提供与投标有关的任何其它数据、信息或资料。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四、我方理解贵方不一定接受最低投标价或任何贵方可能收到的投标。</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五、我方如果成交，将保证履行采购文件及其澄清、修改文件（如果有）中的全部责任和义务，按质、按量、按期完成《项目需求》及《合同书》中的全部任务。</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六、我方在此保证所提交的所有文件和全部说明是真实的和正确的,未提供虚假的资格证书及业绩证明材料谋取中标，若存在虚假证书或者业绩证明材料的违规违法行为，承担法律责任，接受财政部门的处罚。</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 xml:space="preserve">七、我方投标报价已包含应向知识产权所有权人支付的所有相关税费，并保证采购人在中国使用我方提供的货物时，如有第三方提出侵犯其知识产权主张的，责任由我方承担。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八、我方具备《政府采购法》第二十二条规定的条件；承诺如下：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（2）我方已依法缴纳了各项税费及社会保险费用，如有需要，可随时向采购人提供近四个月内的相关缴费证明，以便核查。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（3）我方已依法建立健全的财务会计制度，如有需要，可随时向采购人提供相关证明材料，以便核查。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（4）参加政府采购活动前三年内，在经营活动中没有重大违法记录。</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（5）符合法律、行政法规规定的其他条件。</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以上内容如有虚假或与事实不符的，评审委员会可将我方做无效投标处理，我方愿意承担相应的法律责任。</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九、我方具备履行合同所必需的设备和专业技术能力。</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十、我方对在本函及响应文件中所作的所有承诺承担法律责任。</w:t>
      </w:r>
    </w:p>
    <w:p>
      <w:pPr>
        <w:adjustRightInd w:val="0"/>
        <w:snapToGrid w:val="0"/>
        <w:spacing w:line="360" w:lineRule="auto"/>
        <w:rPr>
          <w:rFonts w:ascii="宋体" w:hAnsi="宋体" w:cs="宋体"/>
          <w:sz w:val="24"/>
          <w:szCs w:val="24"/>
        </w:rPr>
      </w:pPr>
      <w:r>
        <w:rPr>
          <w:rFonts w:hint="eastAsia" w:ascii="宋体" w:hAnsi="宋体" w:cs="宋体"/>
          <w:sz w:val="24"/>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供应商法定代表人（或法定代表人授权代表）签字或盖章：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供应商名称（盖章）：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3.2 法定代表人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125"/>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地址：</w:t>
      </w:r>
    </w:p>
    <w:p>
      <w:pPr>
        <w:pStyle w:val="125"/>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125"/>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25"/>
        <w:spacing w:line="480" w:lineRule="auto"/>
        <w:ind w:firstLine="540" w:firstLineChars="225"/>
        <w:jc w:val="left"/>
        <w:rPr>
          <w:rFonts w:hAnsi="宋体"/>
          <w:szCs w:val="24"/>
        </w:rPr>
      </w:pPr>
    </w:p>
    <w:p>
      <w:pPr>
        <w:pStyle w:val="125"/>
        <w:spacing w:line="480" w:lineRule="auto"/>
        <w:ind w:firstLine="540" w:firstLineChars="225"/>
        <w:jc w:val="left"/>
        <w:rPr>
          <w:rFonts w:hAnsi="宋体"/>
          <w:szCs w:val="24"/>
        </w:rPr>
      </w:pPr>
    </w:p>
    <w:p>
      <w:pPr>
        <w:pStyle w:val="125"/>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25"/>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124"/>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23"/>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 xml:space="preserve">法人姓名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供应商名称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 xml:space="preserve">姓名，职务  </w:t>
      </w:r>
      <w:r>
        <w:rPr>
          <w:rFonts w:hint="eastAsia" w:ascii="宋体" w:hAnsi="宋体" w:cs="Arial"/>
          <w:sz w:val="24"/>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20" w:name="_资格证明文件"/>
            <w:bookmarkEnd w:id="20"/>
            <w:bookmarkStart w:id="21" w:name="_Toc364329026"/>
            <w:r>
              <w:rPr>
                <w:rFonts w:hint="eastAsia" w:ascii="宋体" w:hAnsi="宋体"/>
                <w:sz w:val="24"/>
                <w:szCs w:val="24"/>
              </w:rPr>
              <w:t>法定代表人授权代表身份证（正面）</w:t>
            </w:r>
            <w:bookmarkEnd w:id="21"/>
          </w:p>
        </w:tc>
        <w:tc>
          <w:tcPr>
            <w:tcW w:w="4492" w:type="dxa"/>
            <w:gridSpan w:val="2"/>
            <w:vAlign w:val="center"/>
          </w:tcPr>
          <w:p>
            <w:pPr>
              <w:jc w:val="center"/>
              <w:rPr>
                <w:rFonts w:ascii="宋体" w:hAnsi="宋体"/>
                <w:sz w:val="24"/>
                <w:szCs w:val="24"/>
              </w:rPr>
            </w:pPr>
            <w:bookmarkStart w:id="22" w:name="_Toc364329027"/>
            <w:r>
              <w:rPr>
                <w:rFonts w:hint="eastAsia" w:ascii="宋体" w:hAnsi="宋体"/>
                <w:sz w:val="24"/>
                <w:szCs w:val="24"/>
              </w:rPr>
              <w:t>法定代表人授权代表身份证（反面）</w:t>
            </w:r>
            <w:bookmarkEnd w:id="22"/>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投标承诺函</w:t>
      </w:r>
    </w:p>
    <w:p>
      <w:pPr>
        <w:pStyle w:val="30"/>
        <w:shd w:val="clear" w:color="auto" w:fill="FFFFFF"/>
        <w:spacing w:before="0" w:beforeAutospacing="0" w:after="0" w:afterAutospacing="0" w:line="405" w:lineRule="atLeast"/>
        <w:jc w:val="both"/>
        <w:rPr>
          <w:color w:val="000000"/>
          <w:shd w:val="clear" w:color="auto" w:fill="FFFFFF"/>
        </w:rPr>
      </w:pPr>
    </w:p>
    <w:p>
      <w:pPr>
        <w:pStyle w:val="30"/>
        <w:shd w:val="clear" w:color="auto" w:fill="FFFFFF"/>
        <w:spacing w:before="0" w:beforeAutospacing="0" w:after="0" w:afterAutospacing="0" w:line="405" w:lineRule="atLeast"/>
        <w:jc w:val="both"/>
        <w:rPr>
          <w:color w:val="333333"/>
          <w:spacing w:val="8"/>
          <w:shd w:val="clear" w:color="auto" w:fill="FFFFFF"/>
        </w:rPr>
      </w:pPr>
      <w:r>
        <w:rPr>
          <w:rFonts w:hint="eastAsia"/>
          <w:color w:val="000000"/>
          <w:shd w:val="clear" w:color="auto" w:fill="FFFFFF"/>
        </w:rPr>
        <w:t>致（采购人）</w:t>
      </w:r>
      <w:r>
        <w:rPr>
          <w:rFonts w:hint="eastAsia"/>
          <w:color w:val="333333"/>
          <w:spacing w:val="8"/>
          <w:shd w:val="clear" w:color="auto" w:fill="FFFFFF"/>
        </w:rPr>
        <w:t>：</w:t>
      </w:r>
    </w:p>
    <w:p>
      <w:pPr>
        <w:pStyle w:val="30"/>
        <w:shd w:val="clear" w:color="auto" w:fill="FFFFFF"/>
        <w:spacing w:before="0" w:beforeAutospacing="0" w:after="0" w:afterAutospacing="0" w:line="405" w:lineRule="atLeast"/>
        <w:jc w:val="both"/>
        <w:rPr>
          <w:color w:val="333333"/>
          <w:spacing w:val="8"/>
          <w:shd w:val="clear" w:color="auto" w:fill="FFFFFF"/>
        </w:rPr>
      </w:pP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我公司作为本次采购项目的投标人，根据招标文件要求，现郑重承诺如下：</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一、具备《中华人民共和国政府采购法》第二十二条第一款和本项目规定的条件：</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（一）具有独立承担民事责任的能力； 　　</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（二）具有良好的商业信誉和健全的财务会计制度； 　</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（三）具有履行合同所必需的设备和专业技术能力； 　　</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（四）有依法缴纳税收和社会保障资金的良好记录； 　　</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（五）参加政府采购活动前三年内，在经营活动中没有重大违法记录；</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（六）法律、行政法规规定的其他条件；</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（七）根据采购项目提出的特殊条件。</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三、参加本次招标采购活动，不存在与单位负责人为同一人或者存在直接控股、管理关系的其他供应商参与同一合同项下的政府采购活动的行为。    </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四、参加本次招标采购活动，不存在为采购项目提供整体设计、规范编制或者项目管理、监理、检测等服务的行为。</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五、参加本次招标采购活动，不存在和其他供应商在同一合同项下的采购项目中，同时委托同一个自然人、同一家庭的人员、同一单位的人员作为代理人的行为。</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六、投标人参加本次政府采购活动要求在近三年内投标人和其法定代表人没有行贿犯罪行为。</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七、参加本次招标采购活动，不存在联合体投标。</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八、投标文件中提供的能够给予我公司带来优惠、好处的任何材料资料和技术、服务、商务等响应承诺情况都是真实的、有效的、合法的。</w:t>
      </w:r>
    </w:p>
    <w:p>
      <w:pPr>
        <w:pStyle w:val="30"/>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pStyle w:val="30"/>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十、存在以下行为之一的愿意接受相关部门的处理：</w:t>
      </w:r>
    </w:p>
    <w:p>
      <w:pPr>
        <w:pStyle w:val="30"/>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（一）投标有效期内撤销投标文件的；</w:t>
      </w:r>
    </w:p>
    <w:p>
      <w:pPr>
        <w:pStyle w:val="30"/>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（二）在采购人确定中标人以前放弃中标候选资格的；</w:t>
      </w:r>
    </w:p>
    <w:p>
      <w:pPr>
        <w:pStyle w:val="30"/>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（三）由于中标人的原因未能按照招标文件的规定与采购人签订合同；</w:t>
      </w:r>
    </w:p>
    <w:p>
      <w:pPr>
        <w:pStyle w:val="30"/>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（四）由于中标人的原因未能按照招标文件的规定交纳履约保证金；</w:t>
      </w:r>
    </w:p>
    <w:p>
      <w:pPr>
        <w:pStyle w:val="30"/>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（五）在投标文件中提供虚假材料谋取中标；</w:t>
      </w:r>
    </w:p>
    <w:p>
      <w:pPr>
        <w:pStyle w:val="30"/>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（六）与采购人、其他供应商或者采购代理机构恶意串通的；</w:t>
      </w:r>
    </w:p>
    <w:p>
      <w:pPr>
        <w:pStyle w:val="30"/>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（七）投标有效期内，投标人在政府采购活动中有违法、违规、违纪行为。</w:t>
      </w:r>
    </w:p>
    <w:p>
      <w:pPr>
        <w:pStyle w:val="30"/>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由此产生的一切法律后果和责任由我公司承担。我公司声明放弃对此提出任何异议和追索的权利。</w:t>
      </w:r>
    </w:p>
    <w:p>
      <w:pPr>
        <w:pStyle w:val="30"/>
        <w:shd w:val="clear" w:color="auto" w:fill="FFFFFF"/>
        <w:spacing w:before="0" w:beforeAutospacing="0" w:after="0" w:afterAutospacing="0" w:line="405" w:lineRule="atLeast"/>
        <w:ind w:firstLine="690"/>
        <w:jc w:val="both"/>
        <w:rPr>
          <w:rFonts w:ascii="微软雅黑" w:hAnsi="微软雅黑" w:eastAsia="微软雅黑" w:cs="微软雅黑"/>
          <w:color w:val="333333"/>
          <w:spacing w:val="8"/>
          <w:sz w:val="25"/>
          <w:szCs w:val="25"/>
        </w:rPr>
      </w:pPr>
      <w:r>
        <w:rPr>
          <w:rFonts w:hint="eastAsia"/>
          <w:color w:val="333333"/>
          <w:spacing w:val="8"/>
          <w:shd w:val="clear" w:color="auto" w:fill="FFFFFF"/>
        </w:rPr>
        <w:t>本公司对上述承诺的内容事项真实性负责。如经查实上述承诺的内容事项存在虚假，我公司愿意接受以提供虚假材料谋取中标追究法律责任。</w:t>
      </w:r>
    </w:p>
    <w:p>
      <w:pPr>
        <w:pStyle w:val="30"/>
        <w:shd w:val="clear" w:color="auto" w:fill="FFFFFF"/>
        <w:spacing w:before="0" w:beforeAutospacing="0" w:after="0" w:afterAutospacing="0" w:line="360" w:lineRule="atLeast"/>
        <w:rPr>
          <w:rFonts w:ascii="微软雅黑" w:hAnsi="微软雅黑" w:eastAsia="微软雅黑" w:cs="微软雅黑"/>
          <w:color w:val="333333"/>
          <w:spacing w:val="8"/>
          <w:sz w:val="25"/>
          <w:szCs w:val="25"/>
        </w:rPr>
      </w:pPr>
      <w:r>
        <w:rPr>
          <w:rFonts w:hint="eastAsia"/>
          <w:color w:val="333333"/>
          <w:spacing w:val="8"/>
          <w:shd w:val="clear" w:color="auto" w:fill="FFFFFF"/>
        </w:rPr>
        <w:t>       </w:t>
      </w:r>
    </w:p>
    <w:p>
      <w:pPr>
        <w:pStyle w:val="30"/>
        <w:shd w:val="clear" w:color="auto" w:fill="FFFFFF"/>
        <w:spacing w:before="0" w:beforeAutospacing="0" w:after="0" w:afterAutospacing="0" w:line="360" w:lineRule="atLeast"/>
        <w:ind w:firstLine="465"/>
        <w:rPr>
          <w:color w:val="333333"/>
          <w:spacing w:val="8"/>
          <w:shd w:val="clear" w:color="auto" w:fill="FFFFFF"/>
        </w:rPr>
      </w:pPr>
      <w:r>
        <w:rPr>
          <w:rFonts w:hint="eastAsia"/>
          <w:color w:val="333333"/>
          <w:spacing w:val="8"/>
          <w:shd w:val="clear" w:color="auto" w:fill="FFFFFF"/>
        </w:rPr>
        <w:t>投标人名称：</w:t>
      </w:r>
      <w:r>
        <w:rPr>
          <w:rFonts w:hint="eastAsia"/>
          <w:color w:val="333333"/>
          <w:spacing w:val="8"/>
          <w:u w:val="single"/>
          <w:shd w:val="clear" w:color="auto" w:fill="FFFFFF"/>
        </w:rPr>
        <w:t>                  </w:t>
      </w:r>
      <w:r>
        <w:rPr>
          <w:rFonts w:hint="eastAsia"/>
          <w:color w:val="333333"/>
          <w:spacing w:val="8"/>
          <w:shd w:val="clear" w:color="auto" w:fill="FFFFFF"/>
        </w:rPr>
        <w:t>（盖章）</w:t>
      </w:r>
    </w:p>
    <w:p>
      <w:pPr>
        <w:pStyle w:val="30"/>
        <w:shd w:val="clear" w:color="auto" w:fill="FFFFFF"/>
        <w:spacing w:before="0" w:beforeAutospacing="0" w:after="0" w:afterAutospacing="0" w:line="360" w:lineRule="atLeast"/>
        <w:ind w:firstLine="465"/>
        <w:rPr>
          <w:color w:val="333333"/>
          <w:spacing w:val="8"/>
          <w:shd w:val="clear" w:color="auto" w:fill="FFFFFF"/>
        </w:rPr>
      </w:pPr>
    </w:p>
    <w:p>
      <w:pPr>
        <w:pStyle w:val="30"/>
        <w:shd w:val="clear" w:color="auto" w:fill="FFFFFF"/>
        <w:spacing w:before="0" w:beforeAutospacing="0" w:after="0" w:afterAutospacing="0" w:line="360" w:lineRule="atLeast"/>
        <w:ind w:firstLine="465"/>
        <w:rPr>
          <w:color w:val="333333"/>
          <w:spacing w:val="8"/>
          <w:shd w:val="clear" w:color="auto" w:fill="FFFFFF"/>
        </w:rPr>
      </w:pPr>
      <w:r>
        <w:rPr>
          <w:rFonts w:hint="eastAsia"/>
          <w:color w:val="333333"/>
          <w:spacing w:val="8"/>
          <w:shd w:val="clear" w:color="auto" w:fill="FFFFFF"/>
        </w:rPr>
        <w:t>法定代表人或授权代表：</w:t>
      </w:r>
      <w:r>
        <w:rPr>
          <w:rFonts w:hint="eastAsia"/>
          <w:color w:val="333333"/>
          <w:spacing w:val="8"/>
          <w:u w:val="single"/>
          <w:shd w:val="clear" w:color="auto" w:fill="FFFFFF"/>
        </w:rPr>
        <w:t>            </w:t>
      </w:r>
      <w:r>
        <w:rPr>
          <w:rFonts w:hint="eastAsia"/>
          <w:color w:val="333333"/>
          <w:spacing w:val="8"/>
          <w:shd w:val="clear" w:color="auto" w:fill="FFFFFF"/>
        </w:rPr>
        <w:t>（签字或盖章）</w:t>
      </w:r>
    </w:p>
    <w:p>
      <w:pPr>
        <w:pStyle w:val="30"/>
        <w:shd w:val="clear" w:color="auto" w:fill="FFFFFF"/>
        <w:spacing w:before="0" w:beforeAutospacing="0" w:after="0" w:afterAutospacing="0" w:line="360" w:lineRule="atLeast"/>
        <w:ind w:firstLine="465"/>
        <w:rPr>
          <w:color w:val="333333"/>
          <w:spacing w:val="8"/>
          <w:shd w:val="clear" w:color="auto" w:fill="FFFFFF"/>
        </w:rPr>
      </w:pPr>
    </w:p>
    <w:p>
      <w:pPr>
        <w:pStyle w:val="30"/>
        <w:shd w:val="clear" w:color="auto" w:fill="FFFFFF"/>
        <w:spacing w:before="0" w:beforeAutospacing="0" w:after="0" w:afterAutospacing="0"/>
        <w:ind w:firstLine="480"/>
        <w:jc w:val="both"/>
        <w:rPr>
          <w:rFonts w:ascii="微软雅黑" w:hAnsi="微软雅黑" w:eastAsia="微软雅黑" w:cs="微软雅黑"/>
          <w:color w:val="333333"/>
          <w:spacing w:val="8"/>
          <w:sz w:val="25"/>
          <w:szCs w:val="25"/>
        </w:rPr>
      </w:pPr>
      <w:r>
        <w:rPr>
          <w:rFonts w:hint="eastAsia"/>
          <w:color w:val="333333"/>
          <w:spacing w:val="8"/>
          <w:shd w:val="clear" w:color="auto" w:fill="FFFFFF"/>
        </w:rPr>
        <w:t>日期：</w:t>
      </w:r>
      <w:r>
        <w:rPr>
          <w:rFonts w:hint="eastAsia"/>
          <w:color w:val="333333"/>
          <w:spacing w:val="8"/>
          <w:u w:val="single"/>
          <w:shd w:val="clear" w:color="auto" w:fill="FFFFFF"/>
        </w:rPr>
        <w:t>              </w:t>
      </w:r>
    </w:p>
    <w:p>
      <w:pPr>
        <w:pStyle w:val="30"/>
        <w:shd w:val="clear" w:color="auto" w:fill="FFFFFF"/>
        <w:spacing w:before="0" w:beforeAutospacing="0" w:after="0" w:afterAutospacing="0" w:line="405" w:lineRule="atLeast"/>
        <w:ind w:firstLine="495"/>
        <w:jc w:val="both"/>
        <w:rPr>
          <w:rFonts w:ascii="微软雅黑" w:hAnsi="微软雅黑" w:eastAsia="微软雅黑" w:cs="微软雅黑"/>
          <w:color w:val="333333"/>
          <w:spacing w:val="8"/>
          <w:sz w:val="25"/>
          <w:szCs w:val="25"/>
        </w:rPr>
      </w:pPr>
      <w:r>
        <w:rPr>
          <w:rFonts w:hint="eastAsia"/>
          <w:color w:val="000000"/>
          <w:shd w:val="clear" w:color="auto" w:fill="FFFFFF"/>
        </w:rPr>
        <w:t> </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widowControl/>
        <w:jc w:val="left"/>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spacing w:line="480" w:lineRule="exact"/>
        <w:jc w:val="center"/>
        <w:rPr>
          <w:rFonts w:ascii="宋体" w:hAnsi="宋体"/>
          <w:b/>
          <w:bCs/>
          <w:sz w:val="36"/>
          <w:szCs w:val="36"/>
        </w:rPr>
      </w:pPr>
    </w:p>
    <w:p>
      <w:pPr>
        <w:widowControl/>
        <w:ind w:firstLine="3614" w:firstLineChars="1000"/>
        <w:jc w:val="both"/>
        <w:rPr>
          <w:rFonts w:ascii="宋体" w:hAnsi="宋体" w:cs="黑体"/>
          <w:b/>
          <w:bCs/>
          <w:sz w:val="44"/>
          <w:szCs w:val="44"/>
          <w:lang w:val="zh-CN"/>
        </w:rPr>
      </w:pPr>
      <w:r>
        <w:rPr>
          <w:rFonts w:hint="eastAsia" w:ascii="宋体" w:hAnsi="宋体"/>
          <w:b/>
          <w:bCs/>
          <w:sz w:val="36"/>
          <w:szCs w:val="36"/>
        </w:rPr>
        <w:t>4.1</w:t>
      </w:r>
      <w:r>
        <w:rPr>
          <w:rFonts w:hint="eastAsia" w:hAnsi="宋体"/>
          <w:b/>
          <w:snapToGrid w:val="0"/>
          <w:kern w:val="0"/>
          <w:sz w:val="36"/>
          <w:szCs w:val="36"/>
          <w:lang w:val="en-US" w:eastAsia="zh-CN"/>
        </w:rPr>
        <w:t>编制</w:t>
      </w:r>
      <w:r>
        <w:rPr>
          <w:rFonts w:hint="eastAsia" w:hAnsi="宋体"/>
          <w:b/>
          <w:snapToGrid w:val="0"/>
          <w:kern w:val="0"/>
          <w:sz w:val="36"/>
          <w:szCs w:val="36"/>
        </w:rPr>
        <w:t>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4.2</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4.3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pPr>
        <w:widowControl/>
        <w:jc w:val="left"/>
        <w:rPr>
          <w:rFonts w:ascii="宋体" w:hAnsi="宋体"/>
          <w:b/>
          <w:bCs/>
          <w:sz w:val="36"/>
          <w:szCs w:val="36"/>
        </w:rPr>
      </w:pPr>
      <w:r>
        <w:rPr>
          <w:rFonts w:ascii="宋体" w:hAnsi="宋体"/>
          <w:b/>
          <w:bCs/>
          <w:sz w:val="36"/>
          <w:szCs w:val="36"/>
        </w:rPr>
        <w:br w:type="page"/>
      </w:r>
    </w:p>
    <w:p>
      <w:pPr>
        <w:spacing w:line="360" w:lineRule="auto"/>
        <w:jc w:val="center"/>
        <w:rPr>
          <w:rFonts w:ascii="宋体" w:hAnsi="宋体"/>
          <w:b/>
          <w:bCs/>
          <w:sz w:val="36"/>
          <w:szCs w:val="36"/>
        </w:rPr>
      </w:pPr>
      <w:r>
        <w:rPr>
          <w:rFonts w:hint="eastAsia" w:ascii="宋体" w:hAnsi="宋体"/>
          <w:b/>
          <w:bCs/>
          <w:sz w:val="36"/>
          <w:szCs w:val="36"/>
        </w:rPr>
        <w:t>4.4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2、如供应商为联合投标的，联合供应商需分别填写上述《中小企业声明函》。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23" w:name="OLE_LINK13"/>
      <w:bookmarkStart w:id="24" w:name="OLE_LINK14"/>
    </w:p>
    <w:p>
      <w:pPr>
        <w:spacing w:line="360" w:lineRule="auto"/>
        <w:jc w:val="center"/>
        <w:rPr>
          <w:rFonts w:ascii="宋体" w:hAnsi="宋体"/>
          <w:b/>
          <w:bCs/>
          <w:sz w:val="36"/>
          <w:szCs w:val="36"/>
        </w:rPr>
      </w:pPr>
      <w:r>
        <w:rPr>
          <w:rFonts w:hint="eastAsia" w:ascii="宋体" w:hAnsi="宋体"/>
          <w:b/>
          <w:bCs/>
          <w:sz w:val="36"/>
          <w:szCs w:val="36"/>
        </w:rPr>
        <w:t>4.5 残疾人福利性单位声明函</w:t>
      </w:r>
    </w:p>
    <w:bookmarkEnd w:id="23"/>
    <w:bookmarkEnd w:id="24"/>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rPr>
          <w:rFonts w:ascii="宋体" w:hAnsi="宋体" w:cs="黑体"/>
          <w:b/>
          <w:bCs/>
          <w:sz w:val="44"/>
          <w:szCs w:val="44"/>
          <w:lang w:val="zh-CN"/>
        </w:rPr>
      </w:pPr>
    </w:p>
    <w:p>
      <w:pPr>
        <w:pStyle w:val="18"/>
        <w:rPr>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480" w:lineRule="exact"/>
        <w:rPr>
          <w:rFonts w:ascii="Calibri" w:hAnsi="Calibri" w:cs="黑体"/>
          <w:color w:val="000000"/>
          <w:sz w:val="24"/>
          <w:szCs w:val="24"/>
        </w:rPr>
      </w:pPr>
      <w:r>
        <w:rPr>
          <w:rFonts w:hint="eastAsia" w:ascii="Calibri" w:hAnsi="Calibri" w:cs="黑体"/>
          <w:color w:val="000000"/>
          <w:sz w:val="24"/>
          <w:szCs w:val="24"/>
        </w:rPr>
        <w:br w:type="page"/>
      </w:r>
    </w:p>
    <w:p>
      <w:pPr>
        <w:spacing w:line="480" w:lineRule="exact"/>
        <w:jc w:val="center"/>
        <w:rPr>
          <w:rFonts w:ascii="宋体" w:hAnsi="宋体"/>
          <w:b/>
          <w:bCs/>
          <w:sz w:val="36"/>
          <w:szCs w:val="36"/>
        </w:rPr>
      </w:pPr>
      <w:r>
        <w:rPr>
          <w:rFonts w:hint="eastAsia" w:ascii="宋体" w:hAnsi="宋体"/>
          <w:b/>
          <w:bCs/>
          <w:sz w:val="36"/>
          <w:szCs w:val="36"/>
        </w:rPr>
        <w:t>供应商最后报价表</w:t>
      </w:r>
    </w:p>
    <w:p>
      <w:pPr>
        <w:pStyle w:val="32"/>
        <w:ind w:firstLine="240"/>
        <w:jc w:val="right"/>
      </w:pPr>
      <w:r>
        <w:rPr>
          <w:rFonts w:ascii="宋体" w:hAnsi="宋体" w:cs="Arial"/>
          <w:szCs w:val="24"/>
        </w:rPr>
        <w:t>单</w:t>
      </w:r>
      <w:r>
        <w:rPr>
          <w:rFonts w:hint="eastAsia" w:ascii="宋体" w:hAnsi="宋体" w:cs="Arial"/>
          <w:szCs w:val="24"/>
        </w:rPr>
        <w:t>位：元（人民</w:t>
      </w:r>
      <w:r>
        <w:rPr>
          <w:rFonts w:ascii="宋体" w:hAnsi="宋体" w:cs="Arial"/>
          <w:szCs w:val="24"/>
        </w:rPr>
        <w:t>币</w:t>
      </w:r>
      <w:r>
        <w:rPr>
          <w:rFonts w:hint="eastAsia" w:ascii="宋体" w:hAnsi="宋体" w:cs="Arial"/>
          <w:szCs w:val="24"/>
        </w:rPr>
        <w:t>）</w:t>
      </w:r>
    </w:p>
    <w:tbl>
      <w:tblPr>
        <w:tblStyle w:val="33"/>
        <w:tblpPr w:leftFromText="180" w:rightFromText="180" w:vertAnchor="text" w:horzAnchor="margin" w:tblpX="160" w:tblpY="14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330"/>
        <w:gridCol w:w="1170"/>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951"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bCs/>
                <w:sz w:val="24"/>
                <w:szCs w:val="24"/>
              </w:rPr>
            </w:pPr>
            <w:r>
              <w:rPr>
                <w:rFonts w:hint="eastAsia" w:ascii="宋体" w:hAnsi="宋体"/>
                <w:bCs/>
                <w:sz w:val="24"/>
                <w:szCs w:val="24"/>
              </w:rPr>
              <w:t>项目名称</w:t>
            </w:r>
          </w:p>
        </w:tc>
        <w:tc>
          <w:tcPr>
            <w:tcW w:w="3330"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sz w:val="24"/>
                <w:szCs w:val="24"/>
              </w:rPr>
            </w:pPr>
          </w:p>
        </w:tc>
        <w:tc>
          <w:tcPr>
            <w:tcW w:w="1170"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bCs/>
                <w:sz w:val="24"/>
                <w:szCs w:val="24"/>
              </w:rPr>
            </w:pPr>
            <w:r>
              <w:rPr>
                <w:rFonts w:hint="eastAsia" w:ascii="宋体" w:hAnsi="宋体"/>
                <w:bCs/>
                <w:sz w:val="24"/>
                <w:szCs w:val="24"/>
              </w:rPr>
              <w:t>编号</w:t>
            </w:r>
          </w:p>
        </w:tc>
        <w:tc>
          <w:tcPr>
            <w:tcW w:w="3013"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951" w:type="dxa"/>
            <w:tcBorders>
              <w:left w:val="single" w:color="auto" w:sz="4" w:space="0"/>
              <w:right w:val="single" w:color="auto" w:sz="4" w:space="0"/>
            </w:tcBorders>
            <w:vAlign w:val="center"/>
          </w:tcPr>
          <w:p>
            <w:pPr>
              <w:autoSpaceDE w:val="0"/>
              <w:autoSpaceDN w:val="0"/>
              <w:adjustRightInd w:val="0"/>
              <w:jc w:val="center"/>
              <w:rPr>
                <w:rFonts w:ascii="宋体" w:hAnsi="宋体"/>
                <w:bCs/>
                <w:sz w:val="24"/>
                <w:szCs w:val="24"/>
              </w:rPr>
            </w:pPr>
            <w:r>
              <w:rPr>
                <w:rFonts w:hint="eastAsia" w:ascii="宋体" w:hAnsi="宋体"/>
                <w:bCs/>
                <w:sz w:val="24"/>
                <w:szCs w:val="24"/>
              </w:rPr>
              <w:t>最终报价</w:t>
            </w:r>
          </w:p>
        </w:tc>
        <w:tc>
          <w:tcPr>
            <w:tcW w:w="7513" w:type="dxa"/>
            <w:gridSpan w:val="3"/>
            <w:tcBorders>
              <w:left w:val="single" w:color="auto" w:sz="4" w:space="0"/>
              <w:right w:val="single" w:color="auto" w:sz="4" w:space="0"/>
            </w:tcBorders>
            <w:vAlign w:val="center"/>
          </w:tcPr>
          <w:p>
            <w:pPr>
              <w:autoSpaceDE w:val="0"/>
              <w:autoSpaceDN w:val="0"/>
              <w:adjustRightInd w:val="0"/>
              <w:rPr>
                <w:sz w:val="24"/>
                <w:szCs w:val="24"/>
              </w:rPr>
            </w:pPr>
            <w:r>
              <w:rPr>
                <w:sz w:val="24"/>
                <w:szCs w:val="24"/>
              </w:rPr>
              <w:t>大写：</w:t>
            </w:r>
          </w:p>
          <w:p>
            <w:pPr>
              <w:autoSpaceDE w:val="0"/>
              <w:autoSpaceDN w:val="0"/>
              <w:adjustRightInd w:val="0"/>
              <w:rPr>
                <w:rFonts w:ascii="宋体" w:hAnsi="宋体"/>
                <w:sz w:val="24"/>
                <w:szCs w:val="24"/>
              </w:rPr>
            </w:pPr>
            <w:r>
              <w:rPr>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5" w:hRule="atLeast"/>
        </w:trPr>
        <w:tc>
          <w:tcPr>
            <w:tcW w:w="9464" w:type="dxa"/>
            <w:gridSpan w:val="4"/>
            <w:tcBorders>
              <w:left w:val="single" w:color="auto" w:sz="4" w:space="0"/>
              <w:bottom w:val="single" w:color="auto" w:sz="4" w:space="0"/>
              <w:right w:val="single" w:color="auto" w:sz="4" w:space="0"/>
            </w:tcBorders>
            <w:vAlign w:val="center"/>
          </w:tcPr>
          <w:p>
            <w:pPr>
              <w:pStyle w:val="32"/>
              <w:ind w:firstLine="240"/>
              <w:rPr>
                <w:rFonts w:ascii="Calibri" w:hAnsi="Calibri"/>
                <w:szCs w:val="24"/>
              </w:rPr>
            </w:pPr>
          </w:p>
          <w:p>
            <w:pPr>
              <w:pStyle w:val="32"/>
              <w:ind w:firstLine="240"/>
              <w:rPr>
                <w:rFonts w:ascii="Calibri" w:hAnsi="Calibri"/>
                <w:szCs w:val="24"/>
              </w:rPr>
            </w:pPr>
            <w:r>
              <w:rPr>
                <w:rFonts w:hint="eastAsia" w:ascii="Calibri" w:hAnsi="Calibri"/>
                <w:szCs w:val="24"/>
              </w:rPr>
              <w:t>报价供应商：</w:t>
            </w:r>
          </w:p>
          <w:p>
            <w:pPr>
              <w:pStyle w:val="32"/>
              <w:ind w:firstLine="240"/>
              <w:rPr>
                <w:rFonts w:ascii="Calibri" w:hAnsi="Calibri"/>
                <w:szCs w:val="24"/>
              </w:rPr>
            </w:pPr>
          </w:p>
          <w:p>
            <w:pPr>
              <w:pStyle w:val="32"/>
              <w:ind w:firstLine="240"/>
              <w:rPr>
                <w:rFonts w:ascii="宋体" w:hAnsi="宋体"/>
                <w:bCs/>
                <w:szCs w:val="24"/>
              </w:rPr>
            </w:pPr>
            <w:r>
              <w:rPr>
                <w:rFonts w:hint="eastAsia" w:ascii="宋体" w:hAnsi="宋体"/>
                <w:bCs/>
                <w:szCs w:val="24"/>
              </w:rPr>
              <w:t>被授权人或法人代表（签字）</w:t>
            </w:r>
          </w:p>
          <w:p>
            <w:pPr>
              <w:pStyle w:val="32"/>
              <w:ind w:firstLine="240"/>
              <w:rPr>
                <w:rFonts w:ascii="宋体" w:hAnsi="宋体"/>
                <w:bCs/>
                <w:szCs w:val="24"/>
              </w:rPr>
            </w:pPr>
            <w:r>
              <w:rPr>
                <w:rFonts w:hint="eastAsia" w:ascii="宋体" w:hAnsi="宋体"/>
                <w:bCs/>
                <w:szCs w:val="24"/>
              </w:rPr>
              <w:t xml:space="preserve">                                         时间：     年     月    日</w:t>
            </w:r>
          </w:p>
        </w:tc>
      </w:tr>
    </w:tbl>
    <w:p>
      <w:pPr>
        <w:pStyle w:val="3"/>
        <w:adjustRightInd w:val="0"/>
        <w:snapToGrid w:val="0"/>
        <w:spacing w:afterLines="50" w:line="320" w:lineRule="exact"/>
        <w:jc w:val="left"/>
        <w:rPr>
          <w:rFonts w:hAnsi="宋体"/>
          <w:snapToGrid w:val="0"/>
          <w:kern w:val="0"/>
          <w:szCs w:val="24"/>
        </w:rPr>
      </w:pPr>
    </w:p>
    <w:p>
      <w:pPr>
        <w:pStyle w:val="3"/>
        <w:adjustRightInd w:val="0"/>
        <w:snapToGrid w:val="0"/>
        <w:spacing w:afterLines="50" w:line="320" w:lineRule="exact"/>
        <w:jc w:val="left"/>
        <w:rPr>
          <w:rFonts w:hAnsi="宋体"/>
          <w:snapToGrid w:val="0"/>
          <w:kern w:val="0"/>
          <w:szCs w:val="24"/>
        </w:rPr>
      </w:pPr>
      <w:r>
        <w:rPr>
          <w:rFonts w:hint="eastAsia" w:hAnsi="宋体"/>
          <w:snapToGrid w:val="0"/>
          <w:kern w:val="0"/>
          <w:szCs w:val="24"/>
        </w:rPr>
        <w:t>注：本表格为供应商最后报价使用。</w:t>
      </w:r>
    </w:p>
    <w:p>
      <w:pPr>
        <w:pStyle w:val="3"/>
        <w:spacing w:line="480" w:lineRule="exact"/>
        <w:ind w:firstLine="0" w:firstLineChars="0"/>
        <w:rPr>
          <w:rFonts w:hAnsi="宋体"/>
          <w:b/>
          <w:bCs/>
          <w:position w:val="6"/>
          <w:szCs w:val="24"/>
        </w:rPr>
      </w:pPr>
    </w:p>
    <w:p>
      <w:pPr>
        <w:pStyle w:val="3"/>
        <w:spacing w:line="480" w:lineRule="exact"/>
        <w:ind w:firstLine="0" w:firstLineChars="0"/>
        <w:rPr>
          <w:rFonts w:hAnsi="宋体"/>
          <w:b/>
          <w:bCs/>
          <w:position w:val="6"/>
          <w:szCs w:val="24"/>
        </w:rPr>
      </w:pPr>
    </w:p>
    <w:p>
      <w:pPr>
        <w:pStyle w:val="18"/>
      </w:pPr>
    </w:p>
    <w:sectPr>
      <w:headerReference r:id="rId8" w:type="default"/>
      <w:footerReference r:id="rId9" w:type="default"/>
      <w:footerReference r:id="rId10" w:type="even"/>
      <w:pgSz w:w="11907" w:h="16840"/>
      <w:pgMar w:top="1474" w:right="1134" w:bottom="1474" w:left="1247" w:header="907" w:footer="907"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MS Mincho">
    <w:panose1 w:val="02020609040205080304"/>
    <w:charset w:val="80"/>
    <w:family w:val="modern"/>
    <w:pitch w:val="default"/>
    <w:sig w:usb0="A00002BF" w:usb1="68C7FCFB" w:usb2="00000010" w:usb3="00000000" w:csb0="4002009F" w:csb1="DFD7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180" w:firstLineChars="100"/>
    </w:pPr>
    <w:r>
      <w:rPr>
        <w:rFonts w:hint="eastAsia" w:cs="宋体"/>
      </w:rPr>
      <w:t>长葛市公共资源交易中心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宋体" w:hAnsi="宋体"/>
        <w:szCs w:val="21"/>
        <w:u w:val="single"/>
      </w:rPr>
    </w:pPr>
  </w:p>
  <w:p>
    <w:pPr>
      <w:pStyle w:val="25"/>
      <w:rPr>
        <w:rFonts w:ascii="宋体" w:hAnsi="宋体"/>
      </w:rPr>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5"/>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6</w:t>
                </w:r>
                <w:r>
                  <w:rPr>
                    <w:rFonts w:ascii="宋体" w:hAnsi="宋体" w:cs="Arial"/>
                    <w:color w:val="000000"/>
                    <w:szCs w:val="21"/>
                  </w:rPr>
                  <w:fldChar w:fldCharType="end"/>
                </w:r>
                <w:r>
                  <w:rPr>
                    <w:rFonts w:ascii="宋体" w:hAnsi="宋体" w:cs="Arial"/>
                    <w:color w:val="000000"/>
                    <w:szCs w:val="21"/>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7"/>
      </w:rPr>
    </w:pPr>
    <w:r>
      <w:fldChar w:fldCharType="begin"/>
    </w:r>
    <w:r>
      <w:rPr>
        <w:rStyle w:val="37"/>
      </w:rPr>
      <w:instrText xml:space="preserve">PAGE  </w:instrText>
    </w:r>
    <w:r>
      <w:fldChar w:fldCharType="separate"/>
    </w:r>
    <w:r>
      <w:rPr>
        <w:rStyle w:val="37"/>
      </w:rPr>
      <w:t>53</w:t>
    </w:r>
    <w: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p>
    <w:pPr>
      <w:pStyle w:val="26"/>
      <w:pBdr>
        <w:bottom w:val="none" w:color="auto" w:sz="0" w:space="0"/>
      </w:pBdr>
    </w:pPr>
  </w:p>
  <w:p>
    <w:pPr>
      <w:pStyle w:val="26"/>
      <w:pBdr>
        <w:bottom w:val="none" w:color="auto" w:sz="0" w:space="0"/>
      </w:pBdr>
    </w:pPr>
  </w:p>
  <w:p>
    <w:pPr>
      <w:pStyle w:val="26"/>
      <w:pBdr>
        <w:bottom w:val="none" w:color="auto" w:sz="0" w:space="0"/>
      </w:pBdr>
    </w:pPr>
  </w:p>
  <w:p>
    <w:pPr>
      <w:pStyle w:val="26"/>
      <w:pBdr>
        <w:bottom w:val="single" w:color="auto" w:sz="4" w:space="1"/>
      </w:pBdr>
    </w:pPr>
    <w:r>
      <w:rPr>
        <w:rFonts w:hint="eastAsia" w:cs="宋体"/>
      </w:rPr>
      <w:t>长葛市住房和城乡建设局 采购第三方合作机构项目竞争性谈判采购文件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1E50C0"/>
    <w:multiLevelType w:val="multilevel"/>
    <w:tmpl w:val="1C1E50C0"/>
    <w:lvl w:ilvl="0" w:tentative="0">
      <w:start w:val="1"/>
      <w:numFmt w:val="decimal"/>
      <w:pStyle w:val="101"/>
      <w:lvlText w:val="%1"/>
      <w:lvlJc w:val="left"/>
      <w:pPr>
        <w:ind w:left="432" w:hanging="432"/>
      </w:pPr>
      <w:rPr>
        <w:b w:val="0"/>
      </w:rPr>
    </w:lvl>
    <w:lvl w:ilvl="1" w:tentative="0">
      <w:start w:val="1"/>
      <w:numFmt w:val="decimal"/>
      <w:pStyle w:val="117"/>
      <w:lvlText w:val="%1.%2"/>
      <w:lvlJc w:val="left"/>
      <w:pPr>
        <w:ind w:left="576" w:hanging="576"/>
      </w:pPr>
      <w:rPr>
        <w:rFonts w:ascii="黑体" w:hAnsi="黑体" w:eastAsia="黑体"/>
        <w:b w:val="0"/>
      </w:rPr>
    </w:lvl>
    <w:lvl w:ilvl="2" w:tentative="0">
      <w:start w:val="1"/>
      <w:numFmt w:val="decimal"/>
      <w:pStyle w:val="99"/>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4"/>
      <w:lvlText w:val="%1.%2.%3.%4.%5"/>
      <w:lvlJc w:val="left"/>
      <w:pPr>
        <w:ind w:left="1008" w:hanging="1008"/>
      </w:pPr>
      <w:rPr>
        <w:rFonts w:ascii="黑体" w:hAnsi="黑体" w:eastAsia="黑体"/>
        <w:b w:val="0"/>
      </w:rPr>
    </w:lvl>
    <w:lvl w:ilvl="5" w:tentative="0">
      <w:start w:val="1"/>
      <w:numFmt w:val="decimal"/>
      <w:pStyle w:val="96"/>
      <w:lvlText w:val="%1.%2.%3.%4.%5.%6"/>
      <w:lvlJc w:val="left"/>
      <w:pPr>
        <w:ind w:left="1152" w:hanging="1152"/>
      </w:pPr>
      <w:rPr>
        <w:rFonts w:ascii="黑体" w:hAnsi="黑体" w:eastAsia="黑体"/>
        <w:lang w:val="en-US"/>
      </w:rPr>
    </w:lvl>
    <w:lvl w:ilvl="6" w:tentative="0">
      <w:start w:val="1"/>
      <w:numFmt w:val="decimal"/>
      <w:pStyle w:val="107"/>
      <w:lvlText w:val="%1.%2.%3.%4.%5.%6.%7"/>
      <w:lvlJc w:val="left"/>
      <w:pPr>
        <w:ind w:left="1296" w:hanging="1296"/>
      </w:pPr>
      <w:rPr>
        <w:rFonts w:ascii="黑体" w:hAnsi="黑体" w:eastAsia="黑体"/>
        <w:b w:val="0"/>
      </w:rPr>
    </w:lvl>
    <w:lvl w:ilvl="7" w:tentative="0">
      <w:start w:val="1"/>
      <w:numFmt w:val="decimal"/>
      <w:pStyle w:val="115"/>
      <w:lvlText w:val="%1.%2.%3.%4.%5.%6.%7.%8"/>
      <w:lvlJc w:val="left"/>
      <w:pPr>
        <w:ind w:left="1440" w:hanging="1440"/>
      </w:pPr>
    </w:lvl>
    <w:lvl w:ilvl="8" w:tentative="0">
      <w:start w:val="1"/>
      <w:numFmt w:val="decimal"/>
      <w:pStyle w:val="104"/>
      <w:lvlText w:val="%1.%2.%3.%4.%5.%6.%7.%8.%9"/>
      <w:lvlJc w:val="left"/>
      <w:pPr>
        <w:ind w:left="1584" w:hanging="1584"/>
      </w:pPr>
    </w:lvl>
  </w:abstractNum>
  <w:abstractNum w:abstractNumId="3">
    <w:nsid w:val="2D1547AB"/>
    <w:multiLevelType w:val="singleLevel"/>
    <w:tmpl w:val="2D1547AB"/>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78"/>
    <w:rsid w:val="000027E3"/>
    <w:rsid w:val="0000280B"/>
    <w:rsid w:val="000040BC"/>
    <w:rsid w:val="000070BC"/>
    <w:rsid w:val="00010EC1"/>
    <w:rsid w:val="00012967"/>
    <w:rsid w:val="00024A54"/>
    <w:rsid w:val="00032F3E"/>
    <w:rsid w:val="00033B29"/>
    <w:rsid w:val="00036C15"/>
    <w:rsid w:val="00045F13"/>
    <w:rsid w:val="00052339"/>
    <w:rsid w:val="00054164"/>
    <w:rsid w:val="00064A63"/>
    <w:rsid w:val="00065CF8"/>
    <w:rsid w:val="00067E55"/>
    <w:rsid w:val="0007274D"/>
    <w:rsid w:val="000729D1"/>
    <w:rsid w:val="00073360"/>
    <w:rsid w:val="0007392C"/>
    <w:rsid w:val="000762A5"/>
    <w:rsid w:val="00083FF9"/>
    <w:rsid w:val="00084172"/>
    <w:rsid w:val="00090786"/>
    <w:rsid w:val="00092CE2"/>
    <w:rsid w:val="00093E40"/>
    <w:rsid w:val="0009527D"/>
    <w:rsid w:val="000A0E87"/>
    <w:rsid w:val="000A2791"/>
    <w:rsid w:val="000A307D"/>
    <w:rsid w:val="000A4DE2"/>
    <w:rsid w:val="000A6239"/>
    <w:rsid w:val="000B4E76"/>
    <w:rsid w:val="000C053D"/>
    <w:rsid w:val="000C05C3"/>
    <w:rsid w:val="000C4C8C"/>
    <w:rsid w:val="000C5049"/>
    <w:rsid w:val="000C7C7E"/>
    <w:rsid w:val="000D124A"/>
    <w:rsid w:val="000D15AB"/>
    <w:rsid w:val="000D2739"/>
    <w:rsid w:val="000E1D53"/>
    <w:rsid w:val="000E2FB6"/>
    <w:rsid w:val="000E6A62"/>
    <w:rsid w:val="000E6C81"/>
    <w:rsid w:val="000F2EF6"/>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653C"/>
    <w:rsid w:val="00147B69"/>
    <w:rsid w:val="0015421E"/>
    <w:rsid w:val="00154676"/>
    <w:rsid w:val="0016206F"/>
    <w:rsid w:val="00163255"/>
    <w:rsid w:val="001638C0"/>
    <w:rsid w:val="001638F0"/>
    <w:rsid w:val="00172A27"/>
    <w:rsid w:val="00184AD5"/>
    <w:rsid w:val="00185641"/>
    <w:rsid w:val="00191A32"/>
    <w:rsid w:val="00192DB7"/>
    <w:rsid w:val="00195776"/>
    <w:rsid w:val="001A1B03"/>
    <w:rsid w:val="001A7320"/>
    <w:rsid w:val="001B0374"/>
    <w:rsid w:val="001B3D09"/>
    <w:rsid w:val="001B4D1D"/>
    <w:rsid w:val="001B62BF"/>
    <w:rsid w:val="001C07B0"/>
    <w:rsid w:val="001C41E0"/>
    <w:rsid w:val="001C71C4"/>
    <w:rsid w:val="001D024F"/>
    <w:rsid w:val="001D1A11"/>
    <w:rsid w:val="001D3A7E"/>
    <w:rsid w:val="001D565C"/>
    <w:rsid w:val="001D630C"/>
    <w:rsid w:val="001E4BD9"/>
    <w:rsid w:val="001F031B"/>
    <w:rsid w:val="001F2555"/>
    <w:rsid w:val="001F2690"/>
    <w:rsid w:val="001F5DC6"/>
    <w:rsid w:val="001F60DE"/>
    <w:rsid w:val="00200F57"/>
    <w:rsid w:val="0020101B"/>
    <w:rsid w:val="0020423A"/>
    <w:rsid w:val="0020567D"/>
    <w:rsid w:val="00207C68"/>
    <w:rsid w:val="002106A2"/>
    <w:rsid w:val="00210974"/>
    <w:rsid w:val="00210F0A"/>
    <w:rsid w:val="0021361F"/>
    <w:rsid w:val="0021507B"/>
    <w:rsid w:val="0021667D"/>
    <w:rsid w:val="002209B2"/>
    <w:rsid w:val="00233878"/>
    <w:rsid w:val="002366F0"/>
    <w:rsid w:val="002416F7"/>
    <w:rsid w:val="00241F18"/>
    <w:rsid w:val="00242B53"/>
    <w:rsid w:val="00243AC7"/>
    <w:rsid w:val="00252A2B"/>
    <w:rsid w:val="00252CB8"/>
    <w:rsid w:val="00253722"/>
    <w:rsid w:val="00256356"/>
    <w:rsid w:val="002575D3"/>
    <w:rsid w:val="0026055F"/>
    <w:rsid w:val="002615A9"/>
    <w:rsid w:val="00263E7B"/>
    <w:rsid w:val="0026437B"/>
    <w:rsid w:val="00274F7D"/>
    <w:rsid w:val="00274FAB"/>
    <w:rsid w:val="00276101"/>
    <w:rsid w:val="002765EB"/>
    <w:rsid w:val="00280360"/>
    <w:rsid w:val="00284094"/>
    <w:rsid w:val="00285CBB"/>
    <w:rsid w:val="0028747D"/>
    <w:rsid w:val="002913F4"/>
    <w:rsid w:val="0029433C"/>
    <w:rsid w:val="00295072"/>
    <w:rsid w:val="002A5696"/>
    <w:rsid w:val="002A6901"/>
    <w:rsid w:val="002B0431"/>
    <w:rsid w:val="002B084C"/>
    <w:rsid w:val="002B51CA"/>
    <w:rsid w:val="002C1F02"/>
    <w:rsid w:val="002D472E"/>
    <w:rsid w:val="002E226E"/>
    <w:rsid w:val="002E3A88"/>
    <w:rsid w:val="002F0268"/>
    <w:rsid w:val="002F04B1"/>
    <w:rsid w:val="002F1DF1"/>
    <w:rsid w:val="002F6D2A"/>
    <w:rsid w:val="00301668"/>
    <w:rsid w:val="00304731"/>
    <w:rsid w:val="00310C40"/>
    <w:rsid w:val="00313F5C"/>
    <w:rsid w:val="00317C0D"/>
    <w:rsid w:val="00320404"/>
    <w:rsid w:val="00321448"/>
    <w:rsid w:val="003228B4"/>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7822"/>
    <w:rsid w:val="0037424E"/>
    <w:rsid w:val="00374287"/>
    <w:rsid w:val="00380E8C"/>
    <w:rsid w:val="003820F9"/>
    <w:rsid w:val="003857D0"/>
    <w:rsid w:val="003901F3"/>
    <w:rsid w:val="00391AEF"/>
    <w:rsid w:val="00393F2C"/>
    <w:rsid w:val="0039672A"/>
    <w:rsid w:val="003A15FF"/>
    <w:rsid w:val="003A301A"/>
    <w:rsid w:val="003A6DE8"/>
    <w:rsid w:val="003B01E5"/>
    <w:rsid w:val="003B4DA3"/>
    <w:rsid w:val="003B67FF"/>
    <w:rsid w:val="003C0D27"/>
    <w:rsid w:val="003C61A8"/>
    <w:rsid w:val="003C66E7"/>
    <w:rsid w:val="003D07DB"/>
    <w:rsid w:val="003D3DA9"/>
    <w:rsid w:val="003D4A6E"/>
    <w:rsid w:val="003D4BDA"/>
    <w:rsid w:val="003D6AFD"/>
    <w:rsid w:val="003D74AC"/>
    <w:rsid w:val="003E2486"/>
    <w:rsid w:val="003E377B"/>
    <w:rsid w:val="003E41C3"/>
    <w:rsid w:val="003E5976"/>
    <w:rsid w:val="003E6BB5"/>
    <w:rsid w:val="003F01FE"/>
    <w:rsid w:val="003F2AD5"/>
    <w:rsid w:val="003F5BCA"/>
    <w:rsid w:val="00400EF4"/>
    <w:rsid w:val="00402988"/>
    <w:rsid w:val="00406F7D"/>
    <w:rsid w:val="004079E7"/>
    <w:rsid w:val="004163F5"/>
    <w:rsid w:val="004167A5"/>
    <w:rsid w:val="00416B53"/>
    <w:rsid w:val="00436846"/>
    <w:rsid w:val="00437FCC"/>
    <w:rsid w:val="00451EF9"/>
    <w:rsid w:val="00457143"/>
    <w:rsid w:val="00473CF5"/>
    <w:rsid w:val="00477864"/>
    <w:rsid w:val="004873F8"/>
    <w:rsid w:val="004958A8"/>
    <w:rsid w:val="004A1C0E"/>
    <w:rsid w:val="004A1FA0"/>
    <w:rsid w:val="004B05CC"/>
    <w:rsid w:val="004B58A3"/>
    <w:rsid w:val="004B71EA"/>
    <w:rsid w:val="004C0DC3"/>
    <w:rsid w:val="004C2D8C"/>
    <w:rsid w:val="004C449E"/>
    <w:rsid w:val="004D09C9"/>
    <w:rsid w:val="004D33C3"/>
    <w:rsid w:val="004D718D"/>
    <w:rsid w:val="004E02F5"/>
    <w:rsid w:val="004E0A9C"/>
    <w:rsid w:val="004E0FFA"/>
    <w:rsid w:val="004E1F29"/>
    <w:rsid w:val="004E30E6"/>
    <w:rsid w:val="004E432C"/>
    <w:rsid w:val="004F4DE4"/>
    <w:rsid w:val="004F5519"/>
    <w:rsid w:val="004F72D1"/>
    <w:rsid w:val="00500747"/>
    <w:rsid w:val="005036A2"/>
    <w:rsid w:val="00504449"/>
    <w:rsid w:val="00504AFC"/>
    <w:rsid w:val="00505210"/>
    <w:rsid w:val="00505F1C"/>
    <w:rsid w:val="00530277"/>
    <w:rsid w:val="005313D1"/>
    <w:rsid w:val="0053268B"/>
    <w:rsid w:val="00533FF6"/>
    <w:rsid w:val="00540B52"/>
    <w:rsid w:val="00541B99"/>
    <w:rsid w:val="00542D9F"/>
    <w:rsid w:val="005432A0"/>
    <w:rsid w:val="00545619"/>
    <w:rsid w:val="00546557"/>
    <w:rsid w:val="00546C73"/>
    <w:rsid w:val="00552794"/>
    <w:rsid w:val="00554EF2"/>
    <w:rsid w:val="0055747C"/>
    <w:rsid w:val="00557B10"/>
    <w:rsid w:val="00560DC4"/>
    <w:rsid w:val="00561F20"/>
    <w:rsid w:val="005654C8"/>
    <w:rsid w:val="00576276"/>
    <w:rsid w:val="00576876"/>
    <w:rsid w:val="0057731C"/>
    <w:rsid w:val="00580D18"/>
    <w:rsid w:val="0058398A"/>
    <w:rsid w:val="00586B47"/>
    <w:rsid w:val="00587486"/>
    <w:rsid w:val="00591666"/>
    <w:rsid w:val="00595F0F"/>
    <w:rsid w:val="005A2CC3"/>
    <w:rsid w:val="005B2B5A"/>
    <w:rsid w:val="005B472E"/>
    <w:rsid w:val="005B7D84"/>
    <w:rsid w:val="005C0BB0"/>
    <w:rsid w:val="005C547A"/>
    <w:rsid w:val="005D2A8F"/>
    <w:rsid w:val="005E4196"/>
    <w:rsid w:val="005E657B"/>
    <w:rsid w:val="005F0D58"/>
    <w:rsid w:val="005F38F6"/>
    <w:rsid w:val="005F4CDB"/>
    <w:rsid w:val="00602A88"/>
    <w:rsid w:val="0060323B"/>
    <w:rsid w:val="00612492"/>
    <w:rsid w:val="00613350"/>
    <w:rsid w:val="00622051"/>
    <w:rsid w:val="00624266"/>
    <w:rsid w:val="00643135"/>
    <w:rsid w:val="00651A81"/>
    <w:rsid w:val="00652820"/>
    <w:rsid w:val="00657E5B"/>
    <w:rsid w:val="00661713"/>
    <w:rsid w:val="006644DD"/>
    <w:rsid w:val="00674153"/>
    <w:rsid w:val="00674930"/>
    <w:rsid w:val="00674B2C"/>
    <w:rsid w:val="00682472"/>
    <w:rsid w:val="006828D5"/>
    <w:rsid w:val="0068359E"/>
    <w:rsid w:val="0068680D"/>
    <w:rsid w:val="00686F36"/>
    <w:rsid w:val="006901D0"/>
    <w:rsid w:val="00690EF7"/>
    <w:rsid w:val="00692498"/>
    <w:rsid w:val="0069292D"/>
    <w:rsid w:val="006964DE"/>
    <w:rsid w:val="006A5C26"/>
    <w:rsid w:val="006B7940"/>
    <w:rsid w:val="006C03F2"/>
    <w:rsid w:val="006C0F3C"/>
    <w:rsid w:val="006C139A"/>
    <w:rsid w:val="006C2CE4"/>
    <w:rsid w:val="006C33D4"/>
    <w:rsid w:val="006C45BC"/>
    <w:rsid w:val="006C616B"/>
    <w:rsid w:val="006D5AF5"/>
    <w:rsid w:val="006E1086"/>
    <w:rsid w:val="006E2870"/>
    <w:rsid w:val="006E5CBD"/>
    <w:rsid w:val="006E7857"/>
    <w:rsid w:val="006F1DF5"/>
    <w:rsid w:val="006F2674"/>
    <w:rsid w:val="006F57DF"/>
    <w:rsid w:val="006F6B2C"/>
    <w:rsid w:val="006F73CD"/>
    <w:rsid w:val="0070739C"/>
    <w:rsid w:val="00714654"/>
    <w:rsid w:val="0072480E"/>
    <w:rsid w:val="00727DB6"/>
    <w:rsid w:val="00731150"/>
    <w:rsid w:val="00734DFD"/>
    <w:rsid w:val="007353A1"/>
    <w:rsid w:val="007368ED"/>
    <w:rsid w:val="00741531"/>
    <w:rsid w:val="0074187F"/>
    <w:rsid w:val="00744113"/>
    <w:rsid w:val="007449CE"/>
    <w:rsid w:val="00745012"/>
    <w:rsid w:val="007477C8"/>
    <w:rsid w:val="00754570"/>
    <w:rsid w:val="00754707"/>
    <w:rsid w:val="007578EF"/>
    <w:rsid w:val="007606F2"/>
    <w:rsid w:val="00763F42"/>
    <w:rsid w:val="0077194D"/>
    <w:rsid w:val="00773B39"/>
    <w:rsid w:val="00773EF6"/>
    <w:rsid w:val="00776D20"/>
    <w:rsid w:val="00791E9B"/>
    <w:rsid w:val="00793015"/>
    <w:rsid w:val="00795F6B"/>
    <w:rsid w:val="007971B7"/>
    <w:rsid w:val="007975DB"/>
    <w:rsid w:val="007A2A40"/>
    <w:rsid w:val="007A6613"/>
    <w:rsid w:val="007A6797"/>
    <w:rsid w:val="007A7C6E"/>
    <w:rsid w:val="007A7DC9"/>
    <w:rsid w:val="007A7F77"/>
    <w:rsid w:val="007B19EE"/>
    <w:rsid w:val="007B55EB"/>
    <w:rsid w:val="007C42E6"/>
    <w:rsid w:val="007C467C"/>
    <w:rsid w:val="007D274F"/>
    <w:rsid w:val="007D3B08"/>
    <w:rsid w:val="007D3FA3"/>
    <w:rsid w:val="007D6744"/>
    <w:rsid w:val="007E0D72"/>
    <w:rsid w:val="007E2DD8"/>
    <w:rsid w:val="007E5345"/>
    <w:rsid w:val="007E5551"/>
    <w:rsid w:val="007E57AE"/>
    <w:rsid w:val="007E5C43"/>
    <w:rsid w:val="007E6DEF"/>
    <w:rsid w:val="00801885"/>
    <w:rsid w:val="008030E4"/>
    <w:rsid w:val="00806EF2"/>
    <w:rsid w:val="00812A0C"/>
    <w:rsid w:val="00813A85"/>
    <w:rsid w:val="00815899"/>
    <w:rsid w:val="00823775"/>
    <w:rsid w:val="00825764"/>
    <w:rsid w:val="00827452"/>
    <w:rsid w:val="0083094B"/>
    <w:rsid w:val="008330A0"/>
    <w:rsid w:val="00836A8F"/>
    <w:rsid w:val="0084695D"/>
    <w:rsid w:val="00847493"/>
    <w:rsid w:val="00852B92"/>
    <w:rsid w:val="00857B64"/>
    <w:rsid w:val="008605B7"/>
    <w:rsid w:val="00860EFE"/>
    <w:rsid w:val="008616E8"/>
    <w:rsid w:val="00875D86"/>
    <w:rsid w:val="008806AC"/>
    <w:rsid w:val="00882EB2"/>
    <w:rsid w:val="00895A5F"/>
    <w:rsid w:val="00896F34"/>
    <w:rsid w:val="008A02C2"/>
    <w:rsid w:val="008A41B8"/>
    <w:rsid w:val="008A4709"/>
    <w:rsid w:val="008B3583"/>
    <w:rsid w:val="008B3639"/>
    <w:rsid w:val="008B72D3"/>
    <w:rsid w:val="008C07F8"/>
    <w:rsid w:val="008C3D01"/>
    <w:rsid w:val="008C664F"/>
    <w:rsid w:val="008C7A71"/>
    <w:rsid w:val="008C7B76"/>
    <w:rsid w:val="008D4419"/>
    <w:rsid w:val="008D4718"/>
    <w:rsid w:val="008D4F27"/>
    <w:rsid w:val="008E181A"/>
    <w:rsid w:val="00901DF6"/>
    <w:rsid w:val="00905994"/>
    <w:rsid w:val="00907E24"/>
    <w:rsid w:val="00911748"/>
    <w:rsid w:val="0091212E"/>
    <w:rsid w:val="00913B39"/>
    <w:rsid w:val="00920D0C"/>
    <w:rsid w:val="00921376"/>
    <w:rsid w:val="00924F0B"/>
    <w:rsid w:val="00925A0E"/>
    <w:rsid w:val="00931677"/>
    <w:rsid w:val="009336E8"/>
    <w:rsid w:val="00934857"/>
    <w:rsid w:val="00940073"/>
    <w:rsid w:val="00943010"/>
    <w:rsid w:val="0094480C"/>
    <w:rsid w:val="0095398A"/>
    <w:rsid w:val="00955DA0"/>
    <w:rsid w:val="00957287"/>
    <w:rsid w:val="00965829"/>
    <w:rsid w:val="0096775A"/>
    <w:rsid w:val="00967ACA"/>
    <w:rsid w:val="0097175F"/>
    <w:rsid w:val="0097406B"/>
    <w:rsid w:val="009759C7"/>
    <w:rsid w:val="009767D6"/>
    <w:rsid w:val="00981FE4"/>
    <w:rsid w:val="0098430F"/>
    <w:rsid w:val="00984CFA"/>
    <w:rsid w:val="00990EFF"/>
    <w:rsid w:val="00995528"/>
    <w:rsid w:val="009A24A0"/>
    <w:rsid w:val="009A4228"/>
    <w:rsid w:val="009A42DE"/>
    <w:rsid w:val="009A6F4B"/>
    <w:rsid w:val="009B13CD"/>
    <w:rsid w:val="009B5994"/>
    <w:rsid w:val="009C2215"/>
    <w:rsid w:val="009C4A64"/>
    <w:rsid w:val="009C6DD0"/>
    <w:rsid w:val="009E3850"/>
    <w:rsid w:val="00A060C8"/>
    <w:rsid w:val="00A064D1"/>
    <w:rsid w:val="00A075BD"/>
    <w:rsid w:val="00A07A42"/>
    <w:rsid w:val="00A10427"/>
    <w:rsid w:val="00A11CBE"/>
    <w:rsid w:val="00A1549B"/>
    <w:rsid w:val="00A16C2D"/>
    <w:rsid w:val="00A245F8"/>
    <w:rsid w:val="00A27D3C"/>
    <w:rsid w:val="00A456AB"/>
    <w:rsid w:val="00A45DF3"/>
    <w:rsid w:val="00A4772C"/>
    <w:rsid w:val="00A552FC"/>
    <w:rsid w:val="00A579B6"/>
    <w:rsid w:val="00A63B81"/>
    <w:rsid w:val="00A65E74"/>
    <w:rsid w:val="00A6603F"/>
    <w:rsid w:val="00A66F84"/>
    <w:rsid w:val="00A865D4"/>
    <w:rsid w:val="00A91184"/>
    <w:rsid w:val="00AA10EC"/>
    <w:rsid w:val="00AA4C5B"/>
    <w:rsid w:val="00AA6E39"/>
    <w:rsid w:val="00AB2462"/>
    <w:rsid w:val="00AB24E6"/>
    <w:rsid w:val="00AB4CFC"/>
    <w:rsid w:val="00AB767B"/>
    <w:rsid w:val="00AC5796"/>
    <w:rsid w:val="00AC7586"/>
    <w:rsid w:val="00AD07D8"/>
    <w:rsid w:val="00AE1379"/>
    <w:rsid w:val="00AE28AD"/>
    <w:rsid w:val="00AE515D"/>
    <w:rsid w:val="00B01A74"/>
    <w:rsid w:val="00B01C49"/>
    <w:rsid w:val="00B0204A"/>
    <w:rsid w:val="00B02C1D"/>
    <w:rsid w:val="00B036F6"/>
    <w:rsid w:val="00B05CCE"/>
    <w:rsid w:val="00B20907"/>
    <w:rsid w:val="00B26C70"/>
    <w:rsid w:val="00B4536D"/>
    <w:rsid w:val="00B47191"/>
    <w:rsid w:val="00B47F04"/>
    <w:rsid w:val="00B51081"/>
    <w:rsid w:val="00B51278"/>
    <w:rsid w:val="00B521FF"/>
    <w:rsid w:val="00B56054"/>
    <w:rsid w:val="00B57368"/>
    <w:rsid w:val="00B65BDE"/>
    <w:rsid w:val="00B73F3C"/>
    <w:rsid w:val="00B74200"/>
    <w:rsid w:val="00B8659A"/>
    <w:rsid w:val="00B90DD0"/>
    <w:rsid w:val="00B95D4B"/>
    <w:rsid w:val="00B96655"/>
    <w:rsid w:val="00B96CB3"/>
    <w:rsid w:val="00BA69DE"/>
    <w:rsid w:val="00BB1E0A"/>
    <w:rsid w:val="00BB205B"/>
    <w:rsid w:val="00BB3FAA"/>
    <w:rsid w:val="00BB6F3B"/>
    <w:rsid w:val="00BB7E1D"/>
    <w:rsid w:val="00BC1910"/>
    <w:rsid w:val="00BC45C4"/>
    <w:rsid w:val="00BC55C9"/>
    <w:rsid w:val="00BD1B1D"/>
    <w:rsid w:val="00BD5216"/>
    <w:rsid w:val="00BE0B61"/>
    <w:rsid w:val="00BE2D1D"/>
    <w:rsid w:val="00BE5447"/>
    <w:rsid w:val="00BE78CD"/>
    <w:rsid w:val="00BE7AB1"/>
    <w:rsid w:val="00BF48EE"/>
    <w:rsid w:val="00BF5CE0"/>
    <w:rsid w:val="00BF6399"/>
    <w:rsid w:val="00C031B5"/>
    <w:rsid w:val="00C03FCA"/>
    <w:rsid w:val="00C06901"/>
    <w:rsid w:val="00C17FD6"/>
    <w:rsid w:val="00C217CA"/>
    <w:rsid w:val="00C227D3"/>
    <w:rsid w:val="00C25D2E"/>
    <w:rsid w:val="00C270EE"/>
    <w:rsid w:val="00C27911"/>
    <w:rsid w:val="00C27F71"/>
    <w:rsid w:val="00C35723"/>
    <w:rsid w:val="00C41F0E"/>
    <w:rsid w:val="00C43A23"/>
    <w:rsid w:val="00C468CB"/>
    <w:rsid w:val="00C50713"/>
    <w:rsid w:val="00C52424"/>
    <w:rsid w:val="00C53764"/>
    <w:rsid w:val="00C537F0"/>
    <w:rsid w:val="00C643BD"/>
    <w:rsid w:val="00C70254"/>
    <w:rsid w:val="00C70B89"/>
    <w:rsid w:val="00C70CEA"/>
    <w:rsid w:val="00C7356B"/>
    <w:rsid w:val="00C73687"/>
    <w:rsid w:val="00C747B1"/>
    <w:rsid w:val="00C76453"/>
    <w:rsid w:val="00C844CD"/>
    <w:rsid w:val="00C908A3"/>
    <w:rsid w:val="00C94938"/>
    <w:rsid w:val="00C95875"/>
    <w:rsid w:val="00C95DE7"/>
    <w:rsid w:val="00C96A27"/>
    <w:rsid w:val="00CA060E"/>
    <w:rsid w:val="00CA101A"/>
    <w:rsid w:val="00CA4171"/>
    <w:rsid w:val="00CA5CD3"/>
    <w:rsid w:val="00CB2D76"/>
    <w:rsid w:val="00CB7C09"/>
    <w:rsid w:val="00CB7ED0"/>
    <w:rsid w:val="00CC3C3C"/>
    <w:rsid w:val="00CC3D3B"/>
    <w:rsid w:val="00CD054B"/>
    <w:rsid w:val="00CD33EC"/>
    <w:rsid w:val="00CD4D9B"/>
    <w:rsid w:val="00CD5568"/>
    <w:rsid w:val="00CD5BCB"/>
    <w:rsid w:val="00CD6F02"/>
    <w:rsid w:val="00CE127F"/>
    <w:rsid w:val="00CE2D86"/>
    <w:rsid w:val="00CE7DAC"/>
    <w:rsid w:val="00CF0C21"/>
    <w:rsid w:val="00CF3AAD"/>
    <w:rsid w:val="00CF6B5C"/>
    <w:rsid w:val="00D01969"/>
    <w:rsid w:val="00D12A29"/>
    <w:rsid w:val="00D14148"/>
    <w:rsid w:val="00D147B8"/>
    <w:rsid w:val="00D15DCF"/>
    <w:rsid w:val="00D16DDB"/>
    <w:rsid w:val="00D17319"/>
    <w:rsid w:val="00D316DE"/>
    <w:rsid w:val="00D32F45"/>
    <w:rsid w:val="00D338F3"/>
    <w:rsid w:val="00D35770"/>
    <w:rsid w:val="00D37E0D"/>
    <w:rsid w:val="00D37FDA"/>
    <w:rsid w:val="00D4205B"/>
    <w:rsid w:val="00D43060"/>
    <w:rsid w:val="00D54A32"/>
    <w:rsid w:val="00D54A47"/>
    <w:rsid w:val="00D55D2D"/>
    <w:rsid w:val="00D56115"/>
    <w:rsid w:val="00D649AC"/>
    <w:rsid w:val="00D70CE4"/>
    <w:rsid w:val="00D70D25"/>
    <w:rsid w:val="00D73238"/>
    <w:rsid w:val="00D7502D"/>
    <w:rsid w:val="00D7530C"/>
    <w:rsid w:val="00D8210D"/>
    <w:rsid w:val="00D8323B"/>
    <w:rsid w:val="00D83B8D"/>
    <w:rsid w:val="00D843D5"/>
    <w:rsid w:val="00D851E7"/>
    <w:rsid w:val="00D85E68"/>
    <w:rsid w:val="00D868D1"/>
    <w:rsid w:val="00D8700E"/>
    <w:rsid w:val="00D95B4E"/>
    <w:rsid w:val="00D96E80"/>
    <w:rsid w:val="00DA15FF"/>
    <w:rsid w:val="00DA1923"/>
    <w:rsid w:val="00DA3B87"/>
    <w:rsid w:val="00DB397F"/>
    <w:rsid w:val="00DB77C6"/>
    <w:rsid w:val="00DB7E09"/>
    <w:rsid w:val="00DC0E66"/>
    <w:rsid w:val="00DC5662"/>
    <w:rsid w:val="00DC6B53"/>
    <w:rsid w:val="00DC78ED"/>
    <w:rsid w:val="00DC7957"/>
    <w:rsid w:val="00DD5BFC"/>
    <w:rsid w:val="00DD6706"/>
    <w:rsid w:val="00DD6845"/>
    <w:rsid w:val="00DD7788"/>
    <w:rsid w:val="00DE1AD7"/>
    <w:rsid w:val="00DF0304"/>
    <w:rsid w:val="00E00166"/>
    <w:rsid w:val="00E00B75"/>
    <w:rsid w:val="00E02DE5"/>
    <w:rsid w:val="00E0415C"/>
    <w:rsid w:val="00E04E4D"/>
    <w:rsid w:val="00E16E19"/>
    <w:rsid w:val="00E170AA"/>
    <w:rsid w:val="00E21505"/>
    <w:rsid w:val="00E25BFE"/>
    <w:rsid w:val="00E26F77"/>
    <w:rsid w:val="00E3097D"/>
    <w:rsid w:val="00E330FD"/>
    <w:rsid w:val="00E36CF2"/>
    <w:rsid w:val="00E425AB"/>
    <w:rsid w:val="00E43509"/>
    <w:rsid w:val="00E4745A"/>
    <w:rsid w:val="00E535A3"/>
    <w:rsid w:val="00E553AE"/>
    <w:rsid w:val="00E5761E"/>
    <w:rsid w:val="00E616C1"/>
    <w:rsid w:val="00E72C19"/>
    <w:rsid w:val="00E76AA8"/>
    <w:rsid w:val="00E85073"/>
    <w:rsid w:val="00E86D71"/>
    <w:rsid w:val="00E872D5"/>
    <w:rsid w:val="00E904B5"/>
    <w:rsid w:val="00E97309"/>
    <w:rsid w:val="00EA54F5"/>
    <w:rsid w:val="00EB1FCD"/>
    <w:rsid w:val="00EC24C8"/>
    <w:rsid w:val="00EC5FD2"/>
    <w:rsid w:val="00EC653B"/>
    <w:rsid w:val="00ED0869"/>
    <w:rsid w:val="00EE0196"/>
    <w:rsid w:val="00EE1B64"/>
    <w:rsid w:val="00EF1E8A"/>
    <w:rsid w:val="00EF3C72"/>
    <w:rsid w:val="00EF56FC"/>
    <w:rsid w:val="00EF610A"/>
    <w:rsid w:val="00F00C5E"/>
    <w:rsid w:val="00F00FD7"/>
    <w:rsid w:val="00F0168F"/>
    <w:rsid w:val="00F02931"/>
    <w:rsid w:val="00F06652"/>
    <w:rsid w:val="00F06D3A"/>
    <w:rsid w:val="00F07A81"/>
    <w:rsid w:val="00F07CC7"/>
    <w:rsid w:val="00F10DD3"/>
    <w:rsid w:val="00F11483"/>
    <w:rsid w:val="00F13045"/>
    <w:rsid w:val="00F138F9"/>
    <w:rsid w:val="00F21949"/>
    <w:rsid w:val="00F25A10"/>
    <w:rsid w:val="00F31BF1"/>
    <w:rsid w:val="00F32A93"/>
    <w:rsid w:val="00F3381F"/>
    <w:rsid w:val="00F4162E"/>
    <w:rsid w:val="00F439D7"/>
    <w:rsid w:val="00F44DEA"/>
    <w:rsid w:val="00F4527A"/>
    <w:rsid w:val="00F45EC7"/>
    <w:rsid w:val="00F53CE3"/>
    <w:rsid w:val="00F552FC"/>
    <w:rsid w:val="00F5640E"/>
    <w:rsid w:val="00F56A27"/>
    <w:rsid w:val="00F56D81"/>
    <w:rsid w:val="00F57CAA"/>
    <w:rsid w:val="00F612A7"/>
    <w:rsid w:val="00F64399"/>
    <w:rsid w:val="00F70867"/>
    <w:rsid w:val="00F714C4"/>
    <w:rsid w:val="00F71A83"/>
    <w:rsid w:val="00F75594"/>
    <w:rsid w:val="00F820A8"/>
    <w:rsid w:val="00F82708"/>
    <w:rsid w:val="00F83E0D"/>
    <w:rsid w:val="00F83FD3"/>
    <w:rsid w:val="00F8672F"/>
    <w:rsid w:val="00F962FE"/>
    <w:rsid w:val="00FA09D4"/>
    <w:rsid w:val="00FA4467"/>
    <w:rsid w:val="00FA46E1"/>
    <w:rsid w:val="00FA72F8"/>
    <w:rsid w:val="00FB440B"/>
    <w:rsid w:val="00FB5930"/>
    <w:rsid w:val="00FB61AE"/>
    <w:rsid w:val="00FC7C13"/>
    <w:rsid w:val="00FD05F2"/>
    <w:rsid w:val="00FD3695"/>
    <w:rsid w:val="00FD605F"/>
    <w:rsid w:val="00FE3142"/>
    <w:rsid w:val="00FE334F"/>
    <w:rsid w:val="00FE36AE"/>
    <w:rsid w:val="00FE3EBC"/>
    <w:rsid w:val="00FE5633"/>
    <w:rsid w:val="00FF0654"/>
    <w:rsid w:val="00FF10AE"/>
    <w:rsid w:val="00FF260D"/>
    <w:rsid w:val="01122119"/>
    <w:rsid w:val="012D0115"/>
    <w:rsid w:val="012E08FA"/>
    <w:rsid w:val="016F7352"/>
    <w:rsid w:val="01A44B44"/>
    <w:rsid w:val="01B91BC1"/>
    <w:rsid w:val="01C5534A"/>
    <w:rsid w:val="022547A5"/>
    <w:rsid w:val="02656992"/>
    <w:rsid w:val="02834957"/>
    <w:rsid w:val="029F1E76"/>
    <w:rsid w:val="02AA226C"/>
    <w:rsid w:val="02D47D1E"/>
    <w:rsid w:val="032F2F41"/>
    <w:rsid w:val="0351778C"/>
    <w:rsid w:val="03597BB0"/>
    <w:rsid w:val="03697175"/>
    <w:rsid w:val="03960C45"/>
    <w:rsid w:val="03CD01C1"/>
    <w:rsid w:val="03F35D05"/>
    <w:rsid w:val="03FB46A9"/>
    <w:rsid w:val="05046BDC"/>
    <w:rsid w:val="0509798A"/>
    <w:rsid w:val="05493F08"/>
    <w:rsid w:val="054B6A7E"/>
    <w:rsid w:val="05650C0A"/>
    <w:rsid w:val="056D5FCF"/>
    <w:rsid w:val="05C843C9"/>
    <w:rsid w:val="063211C1"/>
    <w:rsid w:val="067C3307"/>
    <w:rsid w:val="07543619"/>
    <w:rsid w:val="07A45B36"/>
    <w:rsid w:val="083F7081"/>
    <w:rsid w:val="08507AC3"/>
    <w:rsid w:val="088B2AB6"/>
    <w:rsid w:val="08CF54DB"/>
    <w:rsid w:val="08D4680C"/>
    <w:rsid w:val="092E53B1"/>
    <w:rsid w:val="096D32A9"/>
    <w:rsid w:val="09A8079E"/>
    <w:rsid w:val="09E17638"/>
    <w:rsid w:val="09FB1B9F"/>
    <w:rsid w:val="0A21279D"/>
    <w:rsid w:val="0A236FF4"/>
    <w:rsid w:val="0A4128EE"/>
    <w:rsid w:val="0A53407A"/>
    <w:rsid w:val="0A57152F"/>
    <w:rsid w:val="0A825EB5"/>
    <w:rsid w:val="0A860FFB"/>
    <w:rsid w:val="0A8932C1"/>
    <w:rsid w:val="0A913948"/>
    <w:rsid w:val="0AD314F2"/>
    <w:rsid w:val="0ADF21C3"/>
    <w:rsid w:val="0B2D4B66"/>
    <w:rsid w:val="0B4A7F31"/>
    <w:rsid w:val="0B827BFF"/>
    <w:rsid w:val="0BAE7727"/>
    <w:rsid w:val="0BD62FE8"/>
    <w:rsid w:val="0C1F55C1"/>
    <w:rsid w:val="0C2F0136"/>
    <w:rsid w:val="0C4E66AA"/>
    <w:rsid w:val="0C631321"/>
    <w:rsid w:val="0C95499C"/>
    <w:rsid w:val="0CC13E98"/>
    <w:rsid w:val="0CC63F0A"/>
    <w:rsid w:val="0CD27F7B"/>
    <w:rsid w:val="0CF04D5C"/>
    <w:rsid w:val="0D327597"/>
    <w:rsid w:val="0DB83337"/>
    <w:rsid w:val="0E3F2BF8"/>
    <w:rsid w:val="0E8526DE"/>
    <w:rsid w:val="0E8A0B38"/>
    <w:rsid w:val="0FAA40BA"/>
    <w:rsid w:val="10772D1D"/>
    <w:rsid w:val="10780D82"/>
    <w:rsid w:val="107E416D"/>
    <w:rsid w:val="10D52198"/>
    <w:rsid w:val="11304488"/>
    <w:rsid w:val="113605B2"/>
    <w:rsid w:val="113C19D0"/>
    <w:rsid w:val="11A46367"/>
    <w:rsid w:val="11A73FC2"/>
    <w:rsid w:val="11F92BB1"/>
    <w:rsid w:val="120C7431"/>
    <w:rsid w:val="123D37EC"/>
    <w:rsid w:val="127B1065"/>
    <w:rsid w:val="12B65988"/>
    <w:rsid w:val="12F802BA"/>
    <w:rsid w:val="12F86756"/>
    <w:rsid w:val="1308275A"/>
    <w:rsid w:val="13343754"/>
    <w:rsid w:val="135925DF"/>
    <w:rsid w:val="136731DF"/>
    <w:rsid w:val="13851EEC"/>
    <w:rsid w:val="13B27C3E"/>
    <w:rsid w:val="13E253DB"/>
    <w:rsid w:val="141C2F08"/>
    <w:rsid w:val="15267F9C"/>
    <w:rsid w:val="153F65E8"/>
    <w:rsid w:val="15591C45"/>
    <w:rsid w:val="15864884"/>
    <w:rsid w:val="15964577"/>
    <w:rsid w:val="159B7FB3"/>
    <w:rsid w:val="15BD1DD2"/>
    <w:rsid w:val="160B3E63"/>
    <w:rsid w:val="1653056C"/>
    <w:rsid w:val="1667328A"/>
    <w:rsid w:val="16EF655D"/>
    <w:rsid w:val="17653CBD"/>
    <w:rsid w:val="17F507D1"/>
    <w:rsid w:val="17F872D1"/>
    <w:rsid w:val="180010FF"/>
    <w:rsid w:val="188B1EE8"/>
    <w:rsid w:val="18FA7659"/>
    <w:rsid w:val="19117150"/>
    <w:rsid w:val="191C7CEB"/>
    <w:rsid w:val="1935292C"/>
    <w:rsid w:val="19442542"/>
    <w:rsid w:val="19806EAA"/>
    <w:rsid w:val="19AA7D6A"/>
    <w:rsid w:val="1A290D6B"/>
    <w:rsid w:val="1A5943FB"/>
    <w:rsid w:val="1AC32709"/>
    <w:rsid w:val="1ACB042B"/>
    <w:rsid w:val="1ACB74F2"/>
    <w:rsid w:val="1AEC4D8D"/>
    <w:rsid w:val="1B6C4927"/>
    <w:rsid w:val="1B770DD3"/>
    <w:rsid w:val="1BAD3A92"/>
    <w:rsid w:val="1BB0202F"/>
    <w:rsid w:val="1BE65CC8"/>
    <w:rsid w:val="1BEA00D1"/>
    <w:rsid w:val="1C2D1DE9"/>
    <w:rsid w:val="1CB00BB2"/>
    <w:rsid w:val="1D5A5F68"/>
    <w:rsid w:val="1D704579"/>
    <w:rsid w:val="1E1E191D"/>
    <w:rsid w:val="1E9761E8"/>
    <w:rsid w:val="1EBA5ED6"/>
    <w:rsid w:val="1EBD273E"/>
    <w:rsid w:val="1F294332"/>
    <w:rsid w:val="1F3E54F1"/>
    <w:rsid w:val="1F8F306A"/>
    <w:rsid w:val="1FB766D1"/>
    <w:rsid w:val="20562A02"/>
    <w:rsid w:val="20784C7B"/>
    <w:rsid w:val="20B136DD"/>
    <w:rsid w:val="20BF2B7F"/>
    <w:rsid w:val="20E31259"/>
    <w:rsid w:val="20E92E2D"/>
    <w:rsid w:val="20E95E96"/>
    <w:rsid w:val="216F142E"/>
    <w:rsid w:val="217C3862"/>
    <w:rsid w:val="21F96BCC"/>
    <w:rsid w:val="221450AB"/>
    <w:rsid w:val="22255E18"/>
    <w:rsid w:val="22350A1A"/>
    <w:rsid w:val="22B01C18"/>
    <w:rsid w:val="23154DA9"/>
    <w:rsid w:val="233919BB"/>
    <w:rsid w:val="23A7190B"/>
    <w:rsid w:val="23D61F38"/>
    <w:rsid w:val="23FC24D8"/>
    <w:rsid w:val="24312922"/>
    <w:rsid w:val="247943E0"/>
    <w:rsid w:val="24822859"/>
    <w:rsid w:val="24EB00D9"/>
    <w:rsid w:val="2521507B"/>
    <w:rsid w:val="255A0B53"/>
    <w:rsid w:val="25A332DE"/>
    <w:rsid w:val="26373B7B"/>
    <w:rsid w:val="263F1C3A"/>
    <w:rsid w:val="2719221F"/>
    <w:rsid w:val="271E0072"/>
    <w:rsid w:val="27726A4E"/>
    <w:rsid w:val="27C44396"/>
    <w:rsid w:val="27C667CD"/>
    <w:rsid w:val="27DE7413"/>
    <w:rsid w:val="28563C31"/>
    <w:rsid w:val="2874223A"/>
    <w:rsid w:val="287B643B"/>
    <w:rsid w:val="289C0077"/>
    <w:rsid w:val="28A84234"/>
    <w:rsid w:val="28B67EBB"/>
    <w:rsid w:val="28D13EA4"/>
    <w:rsid w:val="28E36D76"/>
    <w:rsid w:val="29570A11"/>
    <w:rsid w:val="29845795"/>
    <w:rsid w:val="299D39D4"/>
    <w:rsid w:val="29CB45B7"/>
    <w:rsid w:val="29D36C55"/>
    <w:rsid w:val="29FF5201"/>
    <w:rsid w:val="2AB2778A"/>
    <w:rsid w:val="2ABC3520"/>
    <w:rsid w:val="2B2C0D2C"/>
    <w:rsid w:val="2BA25B80"/>
    <w:rsid w:val="2BB658F9"/>
    <w:rsid w:val="2C1E0077"/>
    <w:rsid w:val="2C7A6B94"/>
    <w:rsid w:val="2CAD4518"/>
    <w:rsid w:val="2CD67175"/>
    <w:rsid w:val="2D417888"/>
    <w:rsid w:val="2D6362D3"/>
    <w:rsid w:val="2D937FF8"/>
    <w:rsid w:val="2E4F24A0"/>
    <w:rsid w:val="2E722198"/>
    <w:rsid w:val="2EFC4487"/>
    <w:rsid w:val="2F4F1DE1"/>
    <w:rsid w:val="2FB35F57"/>
    <w:rsid w:val="30482DAE"/>
    <w:rsid w:val="30EB3D78"/>
    <w:rsid w:val="30EE28D0"/>
    <w:rsid w:val="31405B68"/>
    <w:rsid w:val="31AA22DA"/>
    <w:rsid w:val="31CF79C6"/>
    <w:rsid w:val="31FB7DDB"/>
    <w:rsid w:val="321B56DB"/>
    <w:rsid w:val="32436CE6"/>
    <w:rsid w:val="329B2BF7"/>
    <w:rsid w:val="32C21237"/>
    <w:rsid w:val="33732267"/>
    <w:rsid w:val="33C1433C"/>
    <w:rsid w:val="33CC19CE"/>
    <w:rsid w:val="33FA3703"/>
    <w:rsid w:val="340705DB"/>
    <w:rsid w:val="348914E4"/>
    <w:rsid w:val="348D5FF7"/>
    <w:rsid w:val="34C53782"/>
    <w:rsid w:val="35341B14"/>
    <w:rsid w:val="35494F7D"/>
    <w:rsid w:val="35D30274"/>
    <w:rsid w:val="366A5C4C"/>
    <w:rsid w:val="36F44449"/>
    <w:rsid w:val="37826D6C"/>
    <w:rsid w:val="37C416F7"/>
    <w:rsid w:val="37D903CC"/>
    <w:rsid w:val="3855531C"/>
    <w:rsid w:val="39CF104F"/>
    <w:rsid w:val="39FA5B2B"/>
    <w:rsid w:val="3C20303D"/>
    <w:rsid w:val="3C5B5E1C"/>
    <w:rsid w:val="3C837E1D"/>
    <w:rsid w:val="3C8662DA"/>
    <w:rsid w:val="3CB66F48"/>
    <w:rsid w:val="3DA76EFE"/>
    <w:rsid w:val="3DCD75E3"/>
    <w:rsid w:val="3DF63399"/>
    <w:rsid w:val="3E5F19E9"/>
    <w:rsid w:val="3E7C7F4D"/>
    <w:rsid w:val="3E9B2C01"/>
    <w:rsid w:val="3F140E9A"/>
    <w:rsid w:val="3F7457AF"/>
    <w:rsid w:val="3F751903"/>
    <w:rsid w:val="3F933318"/>
    <w:rsid w:val="3FB869B8"/>
    <w:rsid w:val="3FBD7529"/>
    <w:rsid w:val="403D36F4"/>
    <w:rsid w:val="40471266"/>
    <w:rsid w:val="40560D75"/>
    <w:rsid w:val="40621376"/>
    <w:rsid w:val="411323F3"/>
    <w:rsid w:val="41273207"/>
    <w:rsid w:val="41543EE9"/>
    <w:rsid w:val="41625951"/>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64152AB"/>
    <w:rsid w:val="47036F6C"/>
    <w:rsid w:val="477830D2"/>
    <w:rsid w:val="47C73EC2"/>
    <w:rsid w:val="47F86F91"/>
    <w:rsid w:val="48391728"/>
    <w:rsid w:val="4864773D"/>
    <w:rsid w:val="486D17CE"/>
    <w:rsid w:val="4872481A"/>
    <w:rsid w:val="48C01F1D"/>
    <w:rsid w:val="48D945F2"/>
    <w:rsid w:val="49796E27"/>
    <w:rsid w:val="49C40DF6"/>
    <w:rsid w:val="49C837F9"/>
    <w:rsid w:val="4A2D0812"/>
    <w:rsid w:val="4A6B74F9"/>
    <w:rsid w:val="4A6D24FF"/>
    <w:rsid w:val="4B1A5880"/>
    <w:rsid w:val="4B71793A"/>
    <w:rsid w:val="4B923520"/>
    <w:rsid w:val="4BE05207"/>
    <w:rsid w:val="4C083B05"/>
    <w:rsid w:val="4C8706B6"/>
    <w:rsid w:val="4CA95CA7"/>
    <w:rsid w:val="4CEB2F56"/>
    <w:rsid w:val="4CF16D8A"/>
    <w:rsid w:val="4D25409B"/>
    <w:rsid w:val="4D2729A1"/>
    <w:rsid w:val="4D8209F2"/>
    <w:rsid w:val="4D896328"/>
    <w:rsid w:val="4DA3332E"/>
    <w:rsid w:val="4DD92CC9"/>
    <w:rsid w:val="4DF14440"/>
    <w:rsid w:val="4E570C2E"/>
    <w:rsid w:val="4E691682"/>
    <w:rsid w:val="4E741BBC"/>
    <w:rsid w:val="4E9149D5"/>
    <w:rsid w:val="4F004713"/>
    <w:rsid w:val="4F411E86"/>
    <w:rsid w:val="4F5C4B3F"/>
    <w:rsid w:val="4FD1347A"/>
    <w:rsid w:val="500E6070"/>
    <w:rsid w:val="504317A7"/>
    <w:rsid w:val="50A908CA"/>
    <w:rsid w:val="50F55889"/>
    <w:rsid w:val="514A5ED5"/>
    <w:rsid w:val="51E45484"/>
    <w:rsid w:val="52127757"/>
    <w:rsid w:val="529F4F80"/>
    <w:rsid w:val="53651314"/>
    <w:rsid w:val="536875F6"/>
    <w:rsid w:val="53BE0B3F"/>
    <w:rsid w:val="541D7038"/>
    <w:rsid w:val="54440277"/>
    <w:rsid w:val="544717E3"/>
    <w:rsid w:val="5451299D"/>
    <w:rsid w:val="546A6786"/>
    <w:rsid w:val="555722B0"/>
    <w:rsid w:val="559823B8"/>
    <w:rsid w:val="55AE23A0"/>
    <w:rsid w:val="55C60C46"/>
    <w:rsid w:val="55CE391A"/>
    <w:rsid w:val="55E90A4C"/>
    <w:rsid w:val="565C3D2E"/>
    <w:rsid w:val="56665AA9"/>
    <w:rsid w:val="56676289"/>
    <w:rsid w:val="56A32CC7"/>
    <w:rsid w:val="56B56ECE"/>
    <w:rsid w:val="573864B2"/>
    <w:rsid w:val="579656BA"/>
    <w:rsid w:val="57BC22EE"/>
    <w:rsid w:val="585C0B4D"/>
    <w:rsid w:val="587009B8"/>
    <w:rsid w:val="58A84444"/>
    <w:rsid w:val="596651B9"/>
    <w:rsid w:val="5A551D6A"/>
    <w:rsid w:val="5A5C3958"/>
    <w:rsid w:val="5A686AF3"/>
    <w:rsid w:val="5ADA4BD5"/>
    <w:rsid w:val="5B3777E2"/>
    <w:rsid w:val="5B3D2C5B"/>
    <w:rsid w:val="5B8F6B0D"/>
    <w:rsid w:val="5BA42C23"/>
    <w:rsid w:val="5C611FE0"/>
    <w:rsid w:val="5CB36E60"/>
    <w:rsid w:val="5D324280"/>
    <w:rsid w:val="5D7C7178"/>
    <w:rsid w:val="5DA5352D"/>
    <w:rsid w:val="5E5A12C4"/>
    <w:rsid w:val="5E88036F"/>
    <w:rsid w:val="5EBA127A"/>
    <w:rsid w:val="5EC823E0"/>
    <w:rsid w:val="5F2D0585"/>
    <w:rsid w:val="5F7F62DB"/>
    <w:rsid w:val="5F810DC4"/>
    <w:rsid w:val="5FAD16ED"/>
    <w:rsid w:val="60941165"/>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957BC"/>
    <w:rsid w:val="644A79A7"/>
    <w:rsid w:val="654736FD"/>
    <w:rsid w:val="66495E90"/>
    <w:rsid w:val="665B21E1"/>
    <w:rsid w:val="667D7C35"/>
    <w:rsid w:val="66B137E9"/>
    <w:rsid w:val="66B540ED"/>
    <w:rsid w:val="66D519C9"/>
    <w:rsid w:val="675B3DD3"/>
    <w:rsid w:val="67AF2518"/>
    <w:rsid w:val="67C245FA"/>
    <w:rsid w:val="67E858EB"/>
    <w:rsid w:val="68075FA1"/>
    <w:rsid w:val="681A4E23"/>
    <w:rsid w:val="69077E9F"/>
    <w:rsid w:val="693D28E3"/>
    <w:rsid w:val="69C27B82"/>
    <w:rsid w:val="6A0E6A75"/>
    <w:rsid w:val="6A1C17E5"/>
    <w:rsid w:val="6ABA08C1"/>
    <w:rsid w:val="6AE9324E"/>
    <w:rsid w:val="6B5E4527"/>
    <w:rsid w:val="6BBB51C4"/>
    <w:rsid w:val="6C0A1C09"/>
    <w:rsid w:val="6C4B0F58"/>
    <w:rsid w:val="6C511995"/>
    <w:rsid w:val="6C71644E"/>
    <w:rsid w:val="6CDA5121"/>
    <w:rsid w:val="6D04469C"/>
    <w:rsid w:val="6D0B07B6"/>
    <w:rsid w:val="6D773602"/>
    <w:rsid w:val="6DA24987"/>
    <w:rsid w:val="6DE36C6F"/>
    <w:rsid w:val="6DE668DD"/>
    <w:rsid w:val="6E1F380D"/>
    <w:rsid w:val="6E7C1A7C"/>
    <w:rsid w:val="6E961609"/>
    <w:rsid w:val="6E9D6C43"/>
    <w:rsid w:val="6EB71A31"/>
    <w:rsid w:val="6EC56D4A"/>
    <w:rsid w:val="6F353E41"/>
    <w:rsid w:val="6F3F55F0"/>
    <w:rsid w:val="6F450411"/>
    <w:rsid w:val="6F646419"/>
    <w:rsid w:val="6F9B3A2C"/>
    <w:rsid w:val="6FC43A72"/>
    <w:rsid w:val="6FFE7454"/>
    <w:rsid w:val="70597661"/>
    <w:rsid w:val="7071477C"/>
    <w:rsid w:val="70F76A59"/>
    <w:rsid w:val="7192467D"/>
    <w:rsid w:val="719E3960"/>
    <w:rsid w:val="71A0304F"/>
    <w:rsid w:val="728B5D82"/>
    <w:rsid w:val="72AF27EE"/>
    <w:rsid w:val="72B33E38"/>
    <w:rsid w:val="72D17DE3"/>
    <w:rsid w:val="72DE19D9"/>
    <w:rsid w:val="731F65D2"/>
    <w:rsid w:val="735D08DE"/>
    <w:rsid w:val="736D29E1"/>
    <w:rsid w:val="73DB551B"/>
    <w:rsid w:val="74213957"/>
    <w:rsid w:val="745F66ED"/>
    <w:rsid w:val="74857FF0"/>
    <w:rsid w:val="748D53A3"/>
    <w:rsid w:val="74996878"/>
    <w:rsid w:val="74A40D07"/>
    <w:rsid w:val="74B07D3F"/>
    <w:rsid w:val="74CE35A7"/>
    <w:rsid w:val="74E90345"/>
    <w:rsid w:val="74FD1133"/>
    <w:rsid w:val="756532D7"/>
    <w:rsid w:val="75B7322A"/>
    <w:rsid w:val="75EB695D"/>
    <w:rsid w:val="765F7C55"/>
    <w:rsid w:val="76E6019F"/>
    <w:rsid w:val="778C25A1"/>
    <w:rsid w:val="77944E76"/>
    <w:rsid w:val="7809439C"/>
    <w:rsid w:val="787E4D80"/>
    <w:rsid w:val="78C114A6"/>
    <w:rsid w:val="78E443F3"/>
    <w:rsid w:val="78FC788A"/>
    <w:rsid w:val="79826C53"/>
    <w:rsid w:val="79D46A44"/>
    <w:rsid w:val="79F838F2"/>
    <w:rsid w:val="7A17238D"/>
    <w:rsid w:val="7A7F0DE9"/>
    <w:rsid w:val="7A7F26E4"/>
    <w:rsid w:val="7AB35E28"/>
    <w:rsid w:val="7ADB562F"/>
    <w:rsid w:val="7AF45559"/>
    <w:rsid w:val="7B472661"/>
    <w:rsid w:val="7B505A98"/>
    <w:rsid w:val="7B556ACF"/>
    <w:rsid w:val="7B7A24D1"/>
    <w:rsid w:val="7B8D20BF"/>
    <w:rsid w:val="7BBA04AD"/>
    <w:rsid w:val="7BBE296A"/>
    <w:rsid w:val="7C1C2800"/>
    <w:rsid w:val="7C8F2142"/>
    <w:rsid w:val="7C9F4D22"/>
    <w:rsid w:val="7CB01E5A"/>
    <w:rsid w:val="7CFA0A36"/>
    <w:rsid w:val="7CFF77E6"/>
    <w:rsid w:val="7D02404E"/>
    <w:rsid w:val="7D910386"/>
    <w:rsid w:val="7DB027D0"/>
    <w:rsid w:val="7EC34349"/>
    <w:rsid w:val="7F0F7C4D"/>
    <w:rsid w:val="7FB01993"/>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1"/>
    <w:qFormat/>
    <w:uiPriority w:val="9"/>
    <w:pPr>
      <w:keepNext/>
      <w:keepLines/>
      <w:spacing w:before="340" w:after="330" w:line="576" w:lineRule="auto"/>
      <w:outlineLvl w:val="0"/>
    </w:pPr>
    <w:rPr>
      <w:b/>
      <w:kern w:val="44"/>
      <w:sz w:val="44"/>
      <w:szCs w:val="20"/>
    </w:rPr>
  </w:style>
  <w:style w:type="paragraph" w:styleId="5">
    <w:name w:val="heading 2"/>
    <w:basedOn w:val="1"/>
    <w:next w:val="1"/>
    <w:link w:val="76"/>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58"/>
    <w:qFormat/>
    <w:uiPriority w:val="0"/>
    <w:pPr>
      <w:keepNext/>
      <w:keepLines/>
      <w:spacing w:before="260" w:after="260" w:line="415" w:lineRule="auto"/>
      <w:outlineLvl w:val="2"/>
    </w:pPr>
    <w:rPr>
      <w:b/>
      <w:sz w:val="32"/>
      <w:szCs w:val="20"/>
    </w:rPr>
  </w:style>
  <w:style w:type="paragraph" w:styleId="7">
    <w:name w:val="heading 4"/>
    <w:basedOn w:val="1"/>
    <w:next w:val="1"/>
    <w:link w:val="54"/>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59"/>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72"/>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42"/>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85"/>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44"/>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tabs>
        <w:tab w:val="left" w:pos="945"/>
        <w:tab w:val="left" w:pos="1155"/>
      </w:tabs>
      <w:spacing w:after="120"/>
      <w:ind w:left="420" w:leftChars="200" w:firstLine="420"/>
    </w:pPr>
  </w:style>
  <w:style w:type="paragraph" w:styleId="3">
    <w:name w:val="Body Text Indent"/>
    <w:basedOn w:val="1"/>
    <w:link w:val="74"/>
    <w:qFormat/>
    <w:uiPriority w:val="0"/>
    <w:pPr>
      <w:spacing w:line="360" w:lineRule="auto"/>
      <w:ind w:firstLine="480" w:firstLineChars="200"/>
    </w:pPr>
    <w:rPr>
      <w:rFonts w:ascii="宋体"/>
      <w:sz w:val="24"/>
      <w:szCs w:val="20"/>
    </w:rPr>
  </w:style>
  <w:style w:type="paragraph" w:styleId="13">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9"/>
    <w:qFormat/>
    <w:uiPriority w:val="0"/>
    <w:rPr>
      <w:rFonts w:ascii="宋体"/>
      <w:kern w:val="0"/>
      <w:sz w:val="18"/>
      <w:szCs w:val="18"/>
    </w:rPr>
  </w:style>
  <w:style w:type="paragraph" w:styleId="16">
    <w:name w:val="annotation text"/>
    <w:basedOn w:val="1"/>
    <w:link w:val="60"/>
    <w:qFormat/>
    <w:uiPriority w:val="0"/>
    <w:pPr>
      <w:jc w:val="left"/>
    </w:pPr>
  </w:style>
  <w:style w:type="paragraph" w:styleId="17">
    <w:name w:val="Body Text 3"/>
    <w:basedOn w:val="1"/>
    <w:link w:val="49"/>
    <w:qFormat/>
    <w:uiPriority w:val="0"/>
    <w:pPr>
      <w:spacing w:after="120"/>
    </w:pPr>
    <w:rPr>
      <w:sz w:val="16"/>
      <w:szCs w:val="20"/>
    </w:rPr>
  </w:style>
  <w:style w:type="paragraph" w:styleId="18">
    <w:name w:val="Body Text"/>
    <w:basedOn w:val="1"/>
    <w:link w:val="65"/>
    <w:qFormat/>
    <w:uiPriority w:val="0"/>
    <w:pPr>
      <w:adjustRightInd w:val="0"/>
      <w:spacing w:after="120" w:line="360" w:lineRule="atLeast"/>
      <w:jc w:val="left"/>
      <w:textAlignment w:val="baseline"/>
    </w:pPr>
    <w:rPr>
      <w:kern w:val="0"/>
      <w:sz w:val="24"/>
      <w:szCs w:val="20"/>
    </w:rPr>
  </w:style>
  <w:style w:type="paragraph" w:styleId="19">
    <w:name w:val="Block Text"/>
    <w:basedOn w:val="1"/>
    <w:qFormat/>
    <w:uiPriority w:val="0"/>
    <w:pPr>
      <w:spacing w:line="360" w:lineRule="auto"/>
      <w:ind w:left="1155" w:right="3840" w:firstLine="420"/>
    </w:pPr>
    <w:rPr>
      <w:sz w:val="24"/>
      <w:szCs w:val="20"/>
    </w:rPr>
  </w:style>
  <w:style w:type="paragraph" w:styleId="20">
    <w:name w:val="toc 3"/>
    <w:basedOn w:val="1"/>
    <w:next w:val="1"/>
    <w:qFormat/>
    <w:uiPriority w:val="0"/>
    <w:pPr>
      <w:spacing w:line="360" w:lineRule="auto"/>
      <w:jc w:val="center"/>
    </w:pPr>
    <w:rPr>
      <w:rFonts w:ascii="宋体" w:hAnsi="宋体"/>
      <w:iCs/>
      <w:sz w:val="32"/>
      <w:szCs w:val="24"/>
    </w:rPr>
  </w:style>
  <w:style w:type="paragraph" w:styleId="21">
    <w:name w:val="Plain Text"/>
    <w:basedOn w:val="1"/>
    <w:link w:val="55"/>
    <w:qFormat/>
    <w:uiPriority w:val="99"/>
    <w:pPr>
      <w:adjustRightInd w:val="0"/>
      <w:spacing w:line="360" w:lineRule="atLeast"/>
      <w:jc w:val="left"/>
      <w:textAlignment w:val="baseline"/>
    </w:pPr>
    <w:rPr>
      <w:rFonts w:ascii="宋体" w:hAnsi="Courier New"/>
      <w:kern w:val="0"/>
      <w:szCs w:val="21"/>
    </w:rPr>
  </w:style>
  <w:style w:type="paragraph" w:styleId="22">
    <w:name w:val="Date"/>
    <w:basedOn w:val="1"/>
    <w:next w:val="1"/>
    <w:link w:val="62"/>
    <w:qFormat/>
    <w:uiPriority w:val="0"/>
    <w:rPr>
      <w:sz w:val="24"/>
      <w:szCs w:val="20"/>
    </w:rPr>
  </w:style>
  <w:style w:type="paragraph" w:styleId="23">
    <w:name w:val="Body Text Indent 2"/>
    <w:basedOn w:val="1"/>
    <w:link w:val="87"/>
    <w:qFormat/>
    <w:uiPriority w:val="99"/>
    <w:pPr>
      <w:spacing w:after="120" w:line="480" w:lineRule="auto"/>
      <w:ind w:left="420" w:leftChars="200"/>
    </w:pPr>
    <w:rPr>
      <w:szCs w:val="20"/>
    </w:rPr>
  </w:style>
  <w:style w:type="paragraph" w:styleId="24">
    <w:name w:val="Balloon Text"/>
    <w:basedOn w:val="1"/>
    <w:link w:val="50"/>
    <w:qFormat/>
    <w:uiPriority w:val="0"/>
    <w:rPr>
      <w:kern w:val="0"/>
      <w:sz w:val="18"/>
      <w:szCs w:val="18"/>
    </w:rPr>
  </w:style>
  <w:style w:type="paragraph" w:styleId="25">
    <w:name w:val="footer"/>
    <w:basedOn w:val="1"/>
    <w:link w:val="86"/>
    <w:qFormat/>
    <w:uiPriority w:val="0"/>
    <w:pPr>
      <w:tabs>
        <w:tab w:val="center" w:pos="4153"/>
        <w:tab w:val="right" w:pos="8306"/>
      </w:tabs>
      <w:snapToGrid w:val="0"/>
      <w:jc w:val="left"/>
    </w:pPr>
    <w:rPr>
      <w:kern w:val="0"/>
      <w:sz w:val="18"/>
      <w:szCs w:val="18"/>
    </w:rPr>
  </w:style>
  <w:style w:type="paragraph" w:styleId="26">
    <w:name w:val="header"/>
    <w:basedOn w:val="1"/>
    <w:link w:val="73"/>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List"/>
    <w:basedOn w:val="1"/>
    <w:qFormat/>
    <w:uiPriority w:val="0"/>
    <w:pPr>
      <w:ind w:left="420" w:hanging="420"/>
    </w:pPr>
    <w:rPr>
      <w:rFonts w:eastAsia="楷体_GB2312"/>
      <w:sz w:val="32"/>
      <w:szCs w:val="20"/>
    </w:rPr>
  </w:style>
  <w:style w:type="paragraph" w:styleId="28">
    <w:name w:val="Body Text Indent 3"/>
    <w:basedOn w:val="1"/>
    <w:link w:val="46"/>
    <w:qFormat/>
    <w:uiPriority w:val="0"/>
    <w:pPr>
      <w:adjustRightInd w:val="0"/>
      <w:spacing w:after="120" w:line="360" w:lineRule="atLeast"/>
      <w:ind w:left="420" w:leftChars="200"/>
      <w:jc w:val="left"/>
      <w:textAlignment w:val="baseline"/>
    </w:pPr>
    <w:rPr>
      <w:kern w:val="0"/>
      <w:sz w:val="16"/>
      <w:szCs w:val="16"/>
    </w:rPr>
  </w:style>
  <w:style w:type="paragraph" w:styleId="29">
    <w:name w:val="Body Text 2"/>
    <w:basedOn w:val="1"/>
    <w:link w:val="43"/>
    <w:qFormat/>
    <w:uiPriority w:val="0"/>
    <w:pPr>
      <w:adjustRightInd w:val="0"/>
      <w:spacing w:after="120" w:line="480" w:lineRule="auto"/>
      <w:jc w:val="left"/>
      <w:textAlignment w:val="baseline"/>
    </w:pPr>
    <w:rPr>
      <w:kern w:val="0"/>
      <w:sz w:val="24"/>
      <w:szCs w:val="20"/>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1">
    <w:name w:val="annotation subject"/>
    <w:basedOn w:val="16"/>
    <w:next w:val="16"/>
    <w:link w:val="57"/>
    <w:qFormat/>
    <w:uiPriority w:val="0"/>
    <w:rPr>
      <w:b/>
      <w:bCs/>
    </w:rPr>
  </w:style>
  <w:style w:type="paragraph" w:styleId="32">
    <w:name w:val="Body Text First Indent"/>
    <w:basedOn w:val="18"/>
    <w:link w:val="53"/>
    <w:qFormat/>
    <w:uiPriority w:val="0"/>
    <w:pPr>
      <w:ind w:firstLine="420" w:firstLineChars="100"/>
    </w:pPr>
  </w:style>
  <w:style w:type="table" w:styleId="34">
    <w:name w:val="Table Grid"/>
    <w:basedOn w:val="3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qFormat/>
    <w:uiPriority w:val="0"/>
    <w:rPr>
      <w:color w:val="444444"/>
      <w:u w:val="none"/>
    </w:rPr>
  </w:style>
  <w:style w:type="character" w:styleId="39">
    <w:name w:val="Emphasis"/>
    <w:qFormat/>
    <w:uiPriority w:val="0"/>
  </w:style>
  <w:style w:type="character" w:styleId="40">
    <w:name w:val="Hyperlink"/>
    <w:qFormat/>
    <w:uiPriority w:val="0"/>
    <w:rPr>
      <w:color w:val="444444"/>
      <w:u w:val="none"/>
    </w:rPr>
  </w:style>
  <w:style w:type="character" w:styleId="41">
    <w:name w:val="annotation reference"/>
    <w:qFormat/>
    <w:uiPriority w:val="0"/>
    <w:rPr>
      <w:sz w:val="21"/>
      <w:szCs w:val="21"/>
    </w:rPr>
  </w:style>
  <w:style w:type="character" w:customStyle="1" w:styleId="42">
    <w:name w:val="标题 7 Char"/>
    <w:link w:val="10"/>
    <w:qFormat/>
    <w:uiPriority w:val="0"/>
    <w:rPr>
      <w:rFonts w:ascii="Times New Roman" w:hAnsi="Times New Roman"/>
      <w:b/>
      <w:bCs/>
      <w:sz w:val="24"/>
      <w:szCs w:val="24"/>
    </w:rPr>
  </w:style>
  <w:style w:type="character" w:customStyle="1" w:styleId="43">
    <w:name w:val="正文文本 2 Char"/>
    <w:link w:val="29"/>
    <w:qFormat/>
    <w:uiPriority w:val="0"/>
    <w:rPr>
      <w:rFonts w:ascii="Times New Roman" w:hAnsi="Times New Roman"/>
      <w:sz w:val="24"/>
    </w:rPr>
  </w:style>
  <w:style w:type="character" w:customStyle="1" w:styleId="44">
    <w:name w:val="标题 9 Char"/>
    <w:link w:val="12"/>
    <w:qFormat/>
    <w:uiPriority w:val="0"/>
    <w:rPr>
      <w:rFonts w:ascii="Arial" w:hAnsi="Arial" w:eastAsia="黑体"/>
      <w:sz w:val="21"/>
      <w:szCs w:val="21"/>
    </w:rPr>
  </w:style>
  <w:style w:type="character" w:customStyle="1" w:styleId="45">
    <w:name w:val="red1"/>
    <w:qFormat/>
    <w:uiPriority w:val="0"/>
    <w:rPr>
      <w:color w:val="FF0000"/>
      <w:sz w:val="18"/>
      <w:szCs w:val="18"/>
    </w:rPr>
  </w:style>
  <w:style w:type="character" w:customStyle="1" w:styleId="46">
    <w:name w:val="正文文本缩进 3 Char"/>
    <w:link w:val="28"/>
    <w:qFormat/>
    <w:uiPriority w:val="0"/>
    <w:rPr>
      <w:rFonts w:ascii="Times New Roman" w:hAnsi="Times New Roman"/>
      <w:sz w:val="16"/>
      <w:szCs w:val="16"/>
    </w:rPr>
  </w:style>
  <w:style w:type="character" w:customStyle="1" w:styleId="47">
    <w:name w:val="hover25"/>
    <w:basedOn w:val="35"/>
    <w:qFormat/>
    <w:uiPriority w:val="0"/>
  </w:style>
  <w:style w:type="character" w:customStyle="1" w:styleId="48">
    <w:name w:val="页码1"/>
    <w:basedOn w:val="35"/>
    <w:qFormat/>
    <w:uiPriority w:val="0"/>
  </w:style>
  <w:style w:type="character" w:customStyle="1" w:styleId="49">
    <w:name w:val="正文文本 3 Char"/>
    <w:link w:val="17"/>
    <w:qFormat/>
    <w:uiPriority w:val="0"/>
    <w:rPr>
      <w:rFonts w:ascii="Times New Roman" w:hAnsi="Times New Roman"/>
      <w:kern w:val="2"/>
      <w:sz w:val="16"/>
    </w:rPr>
  </w:style>
  <w:style w:type="character" w:customStyle="1" w:styleId="50">
    <w:name w:val="批注框文本 Char"/>
    <w:link w:val="24"/>
    <w:qFormat/>
    <w:uiPriority w:val="0"/>
    <w:rPr>
      <w:sz w:val="18"/>
      <w:szCs w:val="18"/>
    </w:rPr>
  </w:style>
  <w:style w:type="character" w:customStyle="1" w:styleId="51">
    <w:name w:val="green1"/>
    <w:qFormat/>
    <w:uiPriority w:val="0"/>
    <w:rPr>
      <w:color w:val="66AE00"/>
      <w:sz w:val="18"/>
      <w:szCs w:val="18"/>
    </w:rPr>
  </w:style>
  <w:style w:type="character" w:customStyle="1" w:styleId="52">
    <w:name w:val="right"/>
    <w:qFormat/>
    <w:uiPriority w:val="0"/>
    <w:rPr>
      <w:color w:val="999999"/>
      <w:sz w:val="18"/>
      <w:szCs w:val="18"/>
    </w:rPr>
  </w:style>
  <w:style w:type="character" w:customStyle="1" w:styleId="53">
    <w:name w:val="正文首行缩进 Char"/>
    <w:link w:val="32"/>
    <w:qFormat/>
    <w:uiPriority w:val="0"/>
    <w:rPr>
      <w:sz w:val="24"/>
    </w:rPr>
  </w:style>
  <w:style w:type="character" w:customStyle="1" w:styleId="54">
    <w:name w:val="标题 4 Char"/>
    <w:link w:val="7"/>
    <w:qFormat/>
    <w:uiPriority w:val="0"/>
    <w:rPr>
      <w:rFonts w:ascii="Arial" w:hAnsi="Arial" w:eastAsia="黑体"/>
      <w:b/>
      <w:bCs/>
      <w:sz w:val="28"/>
      <w:szCs w:val="28"/>
    </w:rPr>
  </w:style>
  <w:style w:type="character" w:customStyle="1" w:styleId="55">
    <w:name w:val="纯文本 Char"/>
    <w:link w:val="21"/>
    <w:qFormat/>
    <w:uiPriority w:val="99"/>
    <w:rPr>
      <w:rFonts w:ascii="宋体" w:hAnsi="Courier New" w:cs="Courier New"/>
      <w:sz w:val="21"/>
      <w:szCs w:val="21"/>
    </w:rPr>
  </w:style>
  <w:style w:type="character" w:customStyle="1" w:styleId="56">
    <w:name w:val="green"/>
    <w:qFormat/>
    <w:uiPriority w:val="0"/>
    <w:rPr>
      <w:color w:val="66AE00"/>
      <w:sz w:val="18"/>
      <w:szCs w:val="18"/>
    </w:rPr>
  </w:style>
  <w:style w:type="character" w:customStyle="1" w:styleId="57">
    <w:name w:val="批注主题 Char"/>
    <w:link w:val="31"/>
    <w:qFormat/>
    <w:uiPriority w:val="0"/>
    <w:rPr>
      <w:b/>
      <w:bCs/>
      <w:kern w:val="2"/>
      <w:sz w:val="21"/>
      <w:szCs w:val="22"/>
    </w:rPr>
  </w:style>
  <w:style w:type="character" w:customStyle="1" w:styleId="58">
    <w:name w:val="标题 3 Char"/>
    <w:link w:val="6"/>
    <w:qFormat/>
    <w:uiPriority w:val="0"/>
    <w:rPr>
      <w:rFonts w:ascii="Times New Roman" w:hAnsi="Times New Roman"/>
      <w:b/>
      <w:kern w:val="2"/>
      <w:sz w:val="32"/>
    </w:rPr>
  </w:style>
  <w:style w:type="character" w:customStyle="1" w:styleId="59">
    <w:name w:val="标题 5 Char"/>
    <w:link w:val="8"/>
    <w:qFormat/>
    <w:uiPriority w:val="0"/>
    <w:rPr>
      <w:rFonts w:ascii="Times New Roman" w:hAnsi="Times New Roman"/>
      <w:b/>
      <w:bCs/>
      <w:sz w:val="28"/>
      <w:szCs w:val="28"/>
    </w:rPr>
  </w:style>
  <w:style w:type="character" w:customStyle="1" w:styleId="60">
    <w:name w:val="批注文字 Char"/>
    <w:link w:val="16"/>
    <w:qFormat/>
    <w:uiPriority w:val="0"/>
    <w:rPr>
      <w:kern w:val="2"/>
      <w:sz w:val="21"/>
      <w:szCs w:val="22"/>
    </w:rPr>
  </w:style>
  <w:style w:type="character" w:customStyle="1" w:styleId="61">
    <w:name w:val="标题 1 Char"/>
    <w:link w:val="4"/>
    <w:qFormat/>
    <w:uiPriority w:val="9"/>
    <w:rPr>
      <w:rFonts w:ascii="Times New Roman" w:hAnsi="Times New Roman"/>
      <w:b/>
      <w:kern w:val="44"/>
      <w:sz w:val="44"/>
    </w:rPr>
  </w:style>
  <w:style w:type="character" w:customStyle="1" w:styleId="62">
    <w:name w:val="日期 Char"/>
    <w:link w:val="22"/>
    <w:qFormat/>
    <w:uiPriority w:val="0"/>
    <w:rPr>
      <w:rFonts w:ascii="Times New Roman" w:hAnsi="Times New Roman"/>
      <w:kern w:val="2"/>
      <w:sz w:val="24"/>
    </w:rPr>
  </w:style>
  <w:style w:type="character" w:customStyle="1" w:styleId="63">
    <w:name w:val="lw_collapsiblearea_title1"/>
    <w:qFormat/>
    <w:uiPriority w:val="0"/>
    <w:rPr>
      <w:rFonts w:hint="default" w:ascii="Segoe UI" w:hAnsi="Segoe UI" w:cs="Segoe UI"/>
      <w:b/>
      <w:bCs/>
      <w:color w:val="3F529C"/>
      <w:sz w:val="37"/>
      <w:szCs w:val="37"/>
    </w:rPr>
  </w:style>
  <w:style w:type="character" w:customStyle="1" w:styleId="64">
    <w:name w:val="red2"/>
    <w:qFormat/>
    <w:uiPriority w:val="0"/>
    <w:rPr>
      <w:color w:val="FF0000"/>
      <w:sz w:val="18"/>
      <w:szCs w:val="18"/>
    </w:rPr>
  </w:style>
  <w:style w:type="character" w:customStyle="1" w:styleId="65">
    <w:name w:val="正文文本 Char"/>
    <w:link w:val="18"/>
    <w:qFormat/>
    <w:uiPriority w:val="0"/>
    <w:rPr>
      <w:rFonts w:ascii="Times New Roman" w:hAnsi="Times New Roman"/>
      <w:sz w:val="24"/>
    </w:rPr>
  </w:style>
  <w:style w:type="character" w:customStyle="1" w:styleId="66">
    <w:name w:val="parameter"/>
    <w:basedOn w:val="35"/>
    <w:qFormat/>
    <w:uiPriority w:val="0"/>
  </w:style>
  <w:style w:type="character" w:customStyle="1" w:styleId="67">
    <w:name w:val="input"/>
    <w:qFormat/>
    <w:uiPriority w:val="0"/>
    <w:rPr>
      <w:b/>
      <w:bCs/>
    </w:rPr>
  </w:style>
  <w:style w:type="character" w:customStyle="1" w:styleId="68">
    <w:name w:val="label"/>
    <w:qFormat/>
    <w:uiPriority w:val="0"/>
    <w:rPr>
      <w:b/>
      <w:bCs/>
    </w:rPr>
  </w:style>
  <w:style w:type="character" w:customStyle="1" w:styleId="69">
    <w:name w:val="文档结构图 Char"/>
    <w:link w:val="15"/>
    <w:qFormat/>
    <w:uiPriority w:val="0"/>
    <w:rPr>
      <w:rFonts w:ascii="宋体" w:eastAsia="宋体"/>
      <w:sz w:val="18"/>
      <w:szCs w:val="18"/>
    </w:rPr>
  </w:style>
  <w:style w:type="character" w:customStyle="1" w:styleId="70">
    <w:name w:val="form-textarea-print1"/>
    <w:qFormat/>
    <w:uiPriority w:val="0"/>
    <w:rPr>
      <w:sz w:val="18"/>
      <w:szCs w:val="18"/>
    </w:rPr>
  </w:style>
  <w:style w:type="character" w:customStyle="1" w:styleId="71">
    <w:name w:val="red"/>
    <w:qFormat/>
    <w:uiPriority w:val="0"/>
    <w:rPr>
      <w:color w:val="FF0000"/>
    </w:rPr>
  </w:style>
  <w:style w:type="character" w:customStyle="1" w:styleId="72">
    <w:name w:val="标题 6 Char"/>
    <w:link w:val="9"/>
    <w:qFormat/>
    <w:uiPriority w:val="0"/>
    <w:rPr>
      <w:rFonts w:ascii="Arial" w:hAnsi="Arial" w:eastAsia="黑体"/>
      <w:b/>
      <w:bCs/>
      <w:sz w:val="24"/>
      <w:szCs w:val="24"/>
    </w:rPr>
  </w:style>
  <w:style w:type="character" w:customStyle="1" w:styleId="73">
    <w:name w:val="页眉 Char"/>
    <w:link w:val="26"/>
    <w:qFormat/>
    <w:uiPriority w:val="0"/>
    <w:rPr>
      <w:sz w:val="18"/>
      <w:szCs w:val="18"/>
    </w:rPr>
  </w:style>
  <w:style w:type="character" w:customStyle="1" w:styleId="74">
    <w:name w:val="正文文本缩进 Char"/>
    <w:link w:val="3"/>
    <w:qFormat/>
    <w:uiPriority w:val="0"/>
    <w:rPr>
      <w:rFonts w:ascii="宋体" w:hAnsi="Times New Roman"/>
      <w:kern w:val="2"/>
      <w:sz w:val="24"/>
    </w:rPr>
  </w:style>
  <w:style w:type="character" w:customStyle="1" w:styleId="75">
    <w:name w:val="tgtsentence"/>
    <w:basedOn w:val="35"/>
    <w:qFormat/>
    <w:uiPriority w:val="0"/>
  </w:style>
  <w:style w:type="character" w:customStyle="1" w:styleId="76">
    <w:name w:val="标题 2 Char"/>
    <w:link w:val="5"/>
    <w:qFormat/>
    <w:uiPriority w:val="9"/>
    <w:rPr>
      <w:rFonts w:ascii="Arial" w:hAnsi="Arial" w:eastAsia="黑体"/>
      <w:b/>
      <w:bCs/>
      <w:sz w:val="32"/>
      <w:szCs w:val="32"/>
    </w:rPr>
  </w:style>
  <w:style w:type="character" w:customStyle="1" w:styleId="77">
    <w:name w:val="font81"/>
    <w:basedOn w:val="35"/>
    <w:qFormat/>
    <w:uiPriority w:val="0"/>
    <w:rPr>
      <w:rFonts w:hint="eastAsia" w:ascii="宋体" w:hAnsi="宋体" w:eastAsia="宋体" w:cs="宋体"/>
      <w:color w:val="000000"/>
      <w:sz w:val="18"/>
      <w:szCs w:val="18"/>
      <w:u w:val="none"/>
    </w:rPr>
  </w:style>
  <w:style w:type="character" w:customStyle="1" w:styleId="78">
    <w:name w:val="列出段落 Char"/>
    <w:link w:val="79"/>
    <w:qFormat/>
    <w:uiPriority w:val="0"/>
    <w:rPr>
      <w:bCs/>
      <w:kern w:val="2"/>
      <w:sz w:val="21"/>
    </w:rPr>
  </w:style>
  <w:style w:type="paragraph" w:customStyle="1" w:styleId="79">
    <w:name w:val="列出段落1"/>
    <w:basedOn w:val="1"/>
    <w:link w:val="78"/>
    <w:qFormat/>
    <w:uiPriority w:val="0"/>
    <w:pPr>
      <w:ind w:firstLine="420" w:firstLineChars="200"/>
    </w:pPr>
    <w:rPr>
      <w:bCs/>
      <w:szCs w:val="20"/>
    </w:rPr>
  </w:style>
  <w:style w:type="character" w:customStyle="1" w:styleId="80">
    <w:name w:val="gb-jt"/>
    <w:basedOn w:val="35"/>
    <w:qFormat/>
    <w:uiPriority w:val="0"/>
  </w:style>
  <w:style w:type="character" w:customStyle="1" w:styleId="81">
    <w:name w:val="blue"/>
    <w:qFormat/>
    <w:uiPriority w:val="0"/>
    <w:rPr>
      <w:color w:val="0371C6"/>
      <w:sz w:val="21"/>
      <w:szCs w:val="21"/>
    </w:rPr>
  </w:style>
  <w:style w:type="character" w:customStyle="1" w:styleId="82">
    <w:name w:val="hover"/>
    <w:basedOn w:val="35"/>
    <w:qFormat/>
    <w:uiPriority w:val="0"/>
  </w:style>
  <w:style w:type="character" w:customStyle="1" w:styleId="83">
    <w:name w:val="font11"/>
    <w:basedOn w:val="35"/>
    <w:qFormat/>
    <w:uiPriority w:val="0"/>
    <w:rPr>
      <w:rFonts w:hint="eastAsia" w:ascii="宋体" w:hAnsi="宋体" w:eastAsia="宋体" w:cs="宋体"/>
      <w:color w:val="000000"/>
      <w:sz w:val="21"/>
      <w:szCs w:val="21"/>
      <w:u w:val="none"/>
    </w:rPr>
  </w:style>
  <w:style w:type="character" w:customStyle="1" w:styleId="84">
    <w:name w:val="font91"/>
    <w:basedOn w:val="35"/>
    <w:qFormat/>
    <w:uiPriority w:val="0"/>
    <w:rPr>
      <w:rFonts w:hint="eastAsia" w:ascii="宋体" w:hAnsi="宋体" w:eastAsia="宋体" w:cs="宋体"/>
      <w:color w:val="000000"/>
      <w:sz w:val="18"/>
      <w:szCs w:val="18"/>
      <w:u w:val="none"/>
      <w:vertAlign w:val="superscript"/>
    </w:rPr>
  </w:style>
  <w:style w:type="character" w:customStyle="1" w:styleId="85">
    <w:name w:val="标题 8 Char"/>
    <w:link w:val="11"/>
    <w:qFormat/>
    <w:uiPriority w:val="0"/>
    <w:rPr>
      <w:rFonts w:ascii="Arial" w:hAnsi="Arial" w:eastAsia="黑体"/>
      <w:sz w:val="24"/>
      <w:szCs w:val="24"/>
    </w:rPr>
  </w:style>
  <w:style w:type="character" w:customStyle="1" w:styleId="86">
    <w:name w:val="页脚 Char"/>
    <w:link w:val="25"/>
    <w:qFormat/>
    <w:uiPriority w:val="0"/>
    <w:rPr>
      <w:sz w:val="18"/>
      <w:szCs w:val="18"/>
    </w:rPr>
  </w:style>
  <w:style w:type="character" w:customStyle="1" w:styleId="87">
    <w:name w:val="正文文本缩进 2 Char"/>
    <w:link w:val="23"/>
    <w:qFormat/>
    <w:uiPriority w:val="99"/>
    <w:rPr>
      <w:rFonts w:ascii="Times New Roman" w:hAnsi="Times New Roman"/>
      <w:kern w:val="2"/>
      <w:sz w:val="21"/>
    </w:rPr>
  </w:style>
  <w:style w:type="character" w:customStyle="1" w:styleId="88">
    <w:name w:val="Char Char8"/>
    <w:qFormat/>
    <w:uiPriority w:val="0"/>
    <w:rPr>
      <w:rFonts w:ascii="Arial" w:hAnsi="Arial" w:eastAsia="黑体"/>
      <w:b/>
      <w:bCs/>
      <w:kern w:val="2"/>
      <w:sz w:val="32"/>
      <w:szCs w:val="32"/>
      <w:lang w:val="en-US" w:eastAsia="zh-CN" w:bidi="ar-SA"/>
    </w:rPr>
  </w:style>
  <w:style w:type="character" w:customStyle="1" w:styleId="89">
    <w:name w:val="font01"/>
    <w:basedOn w:val="35"/>
    <w:qFormat/>
    <w:uiPriority w:val="0"/>
    <w:rPr>
      <w:rFonts w:hint="eastAsia" w:ascii="宋体" w:hAnsi="宋体" w:eastAsia="宋体" w:cs="宋体"/>
      <w:color w:val="000000"/>
      <w:sz w:val="21"/>
      <w:szCs w:val="21"/>
      <w:u w:val="none"/>
      <w:vertAlign w:val="superscript"/>
    </w:rPr>
  </w:style>
  <w:style w:type="character" w:customStyle="1" w:styleId="90">
    <w:name w:val="code"/>
    <w:basedOn w:val="35"/>
    <w:qFormat/>
    <w:uiPriority w:val="0"/>
  </w:style>
  <w:style w:type="paragraph" w:customStyle="1" w:styleId="91">
    <w:name w:val="样式 标题 2 + 宋体 五号 非加粗 黑色"/>
    <w:basedOn w:val="5"/>
    <w:qFormat/>
    <w:uiPriority w:val="0"/>
    <w:rPr>
      <w:rFonts w:ascii="宋体" w:hAnsi="宋体" w:eastAsia="宋体"/>
      <w:b w:val="0"/>
      <w:bCs w:val="0"/>
      <w:color w:val="000000"/>
      <w:sz w:val="21"/>
    </w:rPr>
  </w:style>
  <w:style w:type="paragraph" w:customStyle="1" w:styleId="92">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3">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4">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5">
    <w:name w:val="Char Char Char Char"/>
    <w:basedOn w:val="1"/>
    <w:qFormat/>
    <w:uiPriority w:val="0"/>
    <w:rPr>
      <w:rFonts w:ascii="Tahoma" w:hAnsi="Tahoma"/>
      <w:sz w:val="24"/>
      <w:szCs w:val="20"/>
    </w:rPr>
  </w:style>
  <w:style w:type="paragraph" w:customStyle="1" w:styleId="96">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7">
    <w:name w:val="Char1 Char Char Char Char Char Char Char"/>
    <w:basedOn w:val="1"/>
    <w:qFormat/>
    <w:uiPriority w:val="0"/>
    <w:rPr>
      <w:rFonts w:ascii="Tahoma" w:hAnsi="Tahoma"/>
      <w:sz w:val="24"/>
      <w:szCs w:val="30"/>
    </w:rPr>
  </w:style>
  <w:style w:type="paragraph" w:customStyle="1" w:styleId="98">
    <w:name w:val="PMstyle"/>
    <w:qFormat/>
    <w:uiPriority w:val="0"/>
    <w:rPr>
      <w:rFonts w:ascii="Tahoma" w:hAnsi="Tahoma" w:eastAsia="宋体" w:cs="Times New Roman"/>
      <w:sz w:val="22"/>
      <w:lang w:val="en-US" w:eastAsia="zh-CN" w:bidi="ar-SA"/>
    </w:rPr>
  </w:style>
  <w:style w:type="paragraph" w:customStyle="1" w:styleId="99">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100">
    <w:name w:val="p18"/>
    <w:basedOn w:val="1"/>
    <w:qFormat/>
    <w:uiPriority w:val="0"/>
    <w:pPr>
      <w:widowControl/>
      <w:spacing w:line="440" w:lineRule="atLeast"/>
    </w:pPr>
    <w:rPr>
      <w:rFonts w:ascii="宋体" w:hAnsi="宋体" w:cs="宋体"/>
      <w:kern w:val="0"/>
      <w:sz w:val="24"/>
      <w:szCs w:val="24"/>
    </w:rPr>
  </w:style>
  <w:style w:type="paragraph" w:customStyle="1" w:styleId="101">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2">
    <w:name w:val="Char Char1 Char Char Char Char Char Char"/>
    <w:basedOn w:val="1"/>
    <w:qFormat/>
    <w:uiPriority w:val="0"/>
    <w:pPr>
      <w:widowControl/>
      <w:spacing w:after="160" w:line="240" w:lineRule="exact"/>
      <w:jc w:val="left"/>
    </w:pPr>
    <w:rPr>
      <w:szCs w:val="20"/>
    </w:rPr>
  </w:style>
  <w:style w:type="paragraph" w:customStyle="1" w:styleId="103">
    <w:name w:val="Char Char1 Char Char Char Char Char Char1"/>
    <w:basedOn w:val="1"/>
    <w:qFormat/>
    <w:uiPriority w:val="0"/>
    <w:pPr>
      <w:widowControl/>
      <w:spacing w:after="160" w:line="240" w:lineRule="exact"/>
      <w:jc w:val="left"/>
    </w:pPr>
  </w:style>
  <w:style w:type="paragraph" w:customStyle="1" w:styleId="104">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5">
    <w:name w:val="标书正文文本"/>
    <w:basedOn w:val="1"/>
    <w:qFormat/>
    <w:uiPriority w:val="0"/>
    <w:pPr>
      <w:spacing w:line="360" w:lineRule="auto"/>
      <w:ind w:firstLine="420"/>
    </w:pPr>
    <w:rPr>
      <w:rFonts w:eastAsia="楷体_GB2312" w:cs="宋体"/>
      <w:bCs/>
      <w:sz w:val="28"/>
      <w:szCs w:val="20"/>
    </w:rPr>
  </w:style>
  <w:style w:type="paragraph" w:customStyle="1" w:styleId="106">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7">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8">
    <w:name w:val="p0"/>
    <w:basedOn w:val="1"/>
    <w:qFormat/>
    <w:uiPriority w:val="0"/>
    <w:pPr>
      <w:widowControl/>
    </w:pPr>
    <w:rPr>
      <w:kern w:val="0"/>
      <w:szCs w:val="21"/>
    </w:rPr>
  </w:style>
  <w:style w:type="paragraph" w:customStyle="1" w:styleId="109">
    <w:name w:val="p16"/>
    <w:basedOn w:val="1"/>
    <w:qFormat/>
    <w:uiPriority w:val="0"/>
    <w:pPr>
      <w:widowControl/>
      <w:spacing w:after="120"/>
      <w:ind w:firstLine="210"/>
      <w:jc w:val="left"/>
    </w:pPr>
    <w:rPr>
      <w:kern w:val="0"/>
      <w:sz w:val="20"/>
      <w:szCs w:val="20"/>
    </w:rPr>
  </w:style>
  <w:style w:type="paragraph" w:customStyle="1" w:styleId="110">
    <w:name w:val="p21"/>
    <w:basedOn w:val="1"/>
    <w:qFormat/>
    <w:uiPriority w:val="0"/>
    <w:pPr>
      <w:widowControl/>
      <w:spacing w:after="120"/>
    </w:pPr>
    <w:rPr>
      <w:kern w:val="0"/>
      <w:szCs w:val="21"/>
    </w:rPr>
  </w:style>
  <w:style w:type="paragraph" w:customStyle="1" w:styleId="111">
    <w:name w:val="样式 标题 1 + 四号 居中 段前: 12 磅 段后: 12 磅 行距: 单倍行距"/>
    <w:basedOn w:val="4"/>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2">
    <w:name w:val="样式 样式 标题 2 + 宋体 五号 非加粗 黑色 + 段前: 6 磅 段后: 0 磅 行距: 单倍行距"/>
    <w:basedOn w:val="91"/>
    <w:qFormat/>
    <w:uiPriority w:val="0"/>
  </w:style>
  <w:style w:type="paragraph" w:customStyle="1" w:styleId="113">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4">
    <w:name w:val="p19"/>
    <w:basedOn w:val="1"/>
    <w:qFormat/>
    <w:uiPriority w:val="0"/>
    <w:pPr>
      <w:widowControl/>
    </w:pPr>
    <w:rPr>
      <w:rFonts w:ascii="宋体" w:hAnsi="宋体" w:cs="宋体"/>
      <w:kern w:val="0"/>
      <w:szCs w:val="21"/>
    </w:rPr>
  </w:style>
  <w:style w:type="paragraph" w:customStyle="1" w:styleId="115">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6">
    <w:name w:val="Char1"/>
    <w:basedOn w:val="1"/>
    <w:qFormat/>
    <w:uiPriority w:val="0"/>
    <w:pPr>
      <w:adjustRightInd w:val="0"/>
      <w:spacing w:line="600" w:lineRule="exact"/>
      <w:ind w:firstLine="560" w:firstLineChars="200"/>
      <w:jc w:val="center"/>
    </w:pPr>
    <w:rPr>
      <w:szCs w:val="24"/>
    </w:rPr>
  </w:style>
  <w:style w:type="paragraph" w:customStyle="1" w:styleId="117">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8">
    <w:name w:val="font21"/>
    <w:basedOn w:val="35"/>
    <w:qFormat/>
    <w:uiPriority w:val="0"/>
    <w:rPr>
      <w:rFonts w:hint="eastAsia" w:ascii="宋体" w:hAnsi="宋体" w:eastAsia="宋体" w:cs="宋体"/>
      <w:color w:val="000000"/>
      <w:sz w:val="22"/>
      <w:szCs w:val="22"/>
      <w:u w:val="none"/>
    </w:rPr>
  </w:style>
  <w:style w:type="character" w:customStyle="1" w:styleId="119">
    <w:name w:val="font31"/>
    <w:basedOn w:val="35"/>
    <w:qFormat/>
    <w:uiPriority w:val="0"/>
    <w:rPr>
      <w:rFonts w:hint="eastAsia" w:ascii="宋体" w:hAnsi="宋体" w:eastAsia="宋体" w:cs="宋体"/>
      <w:color w:val="000000"/>
      <w:sz w:val="22"/>
      <w:szCs w:val="22"/>
      <w:u w:val="none"/>
    </w:rPr>
  </w:style>
  <w:style w:type="character" w:customStyle="1" w:styleId="120">
    <w:name w:val="red3"/>
    <w:basedOn w:val="35"/>
    <w:qFormat/>
    <w:uiPriority w:val="0"/>
    <w:rPr>
      <w:color w:val="FF0000"/>
    </w:rPr>
  </w:style>
  <w:style w:type="character" w:customStyle="1" w:styleId="121">
    <w:name w:val="hover24"/>
    <w:basedOn w:val="35"/>
    <w:qFormat/>
    <w:uiPriority w:val="0"/>
  </w:style>
  <w:style w:type="paragraph" w:customStyle="1" w:styleId="122">
    <w:name w:val="样式 样式 样式 样式 标题 2 + 宋体 五号 非加粗 黑色 + 段前: 6 磅 段后: 0 磅 行距: 单倍行距 + 段前:..."/>
    <w:basedOn w:val="1"/>
    <w:qFormat/>
    <w:uiPriority w:val="0"/>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23">
    <w:name w:val="日期1"/>
    <w:basedOn w:val="1"/>
    <w:next w:val="1"/>
    <w:qFormat/>
    <w:uiPriority w:val="0"/>
    <w:rPr>
      <w:rFonts w:ascii="Calibri" w:hAnsi="Calibri"/>
      <w:sz w:val="24"/>
    </w:rPr>
  </w:style>
  <w:style w:type="paragraph" w:customStyle="1" w:styleId="124">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125">
    <w:name w:val="正文文本缩进1"/>
    <w:basedOn w:val="1"/>
    <w:qFormat/>
    <w:uiPriority w:val="0"/>
    <w:pPr>
      <w:spacing w:line="360" w:lineRule="auto"/>
      <w:ind w:firstLine="480" w:firstLineChars="200"/>
    </w:pPr>
    <w:rPr>
      <w:rFonts w:ascii="宋体" w:hAnsi="Calibri"/>
      <w:sz w:val="24"/>
    </w:rPr>
  </w:style>
  <w:style w:type="paragraph" w:customStyle="1" w:styleId="126">
    <w:name w:val="正文段落"/>
    <w:basedOn w:val="1"/>
    <w:qFormat/>
    <w:uiPriority w:val="99"/>
    <w:pPr>
      <w:tabs>
        <w:tab w:val="left" w:pos="0"/>
      </w:tabs>
      <w:spacing w:line="600" w:lineRule="exact"/>
      <w:ind w:firstLine="560" w:firstLineChars="200"/>
      <w:jc w:val="left"/>
    </w:pPr>
    <w:rPr>
      <w:kern w:val="0"/>
      <w:sz w:val="28"/>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27443</Words>
  <Characters>3545</Characters>
  <Lines>29</Lines>
  <Paragraphs>61</Paragraphs>
  <TotalTime>4</TotalTime>
  <ScaleCrop>false</ScaleCrop>
  <LinksUpToDate>false</LinksUpToDate>
  <CharactersWithSpaces>30927</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2018-11-22T00:37:00Z</dcterms:created>
  <dc:creator>USER</dc:creator>
  <cp:lastModifiedBy>河南华威建设工程技术咨询事务所有限公司:陈向杰</cp:lastModifiedBy>
  <cp:lastPrinted>2019-05-05T03:19:00Z</cp:lastPrinted>
  <dcterms:modified xsi:type="dcterms:W3CDTF">2019-08-20T01:12:33Z</dcterms:modified>
  <dc:title>许昌市市直政府采购项目</dc:title>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