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许昌市南水北调工程</w:t>
      </w:r>
      <w:r>
        <w:rPr>
          <w:rFonts w:hint="eastAsia" w:asciiTheme="majorEastAsia" w:hAnsiTheme="majorEastAsia" w:eastAsiaTheme="majorEastAsia" w:cstheme="majorEastAsia"/>
          <w:b/>
          <w:bCs/>
          <w:color w:val="000000"/>
          <w:sz w:val="44"/>
          <w:szCs w:val="44"/>
          <w:lang w:eastAsia="zh-CN"/>
        </w:rPr>
        <w:t>运行保障中心</w:t>
      </w:r>
      <w:r>
        <w:rPr>
          <w:rFonts w:hint="eastAsia" w:asciiTheme="majorEastAsia" w:hAnsiTheme="majorEastAsia" w:eastAsiaTheme="majorEastAsia" w:cstheme="majorEastAsia"/>
          <w:b/>
          <w:bCs/>
          <w:color w:val="000000"/>
          <w:sz w:val="44"/>
          <w:szCs w:val="44"/>
        </w:rPr>
        <w:t>“许昌市南水北调配套工程使用林地可行性报告”项目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项目编号：ZFCG-G2019053</w:t>
      </w:r>
      <w:r>
        <w:rPr>
          <w:rFonts w:hint="eastAsia" w:asciiTheme="majorEastAsia" w:hAnsiTheme="majorEastAsia" w:eastAsiaTheme="majorEastAsia" w:cstheme="majorEastAsia"/>
          <w:b/>
          <w:bCs/>
          <w:color w:val="000000"/>
          <w:sz w:val="36"/>
          <w:szCs w:val="36"/>
          <w:lang w:val="en-US" w:eastAsia="zh-CN"/>
        </w:rPr>
        <w:t>-1</w:t>
      </w:r>
      <w:r>
        <w:rPr>
          <w:rFonts w:hint="eastAsia" w:asciiTheme="majorEastAsia" w:hAnsiTheme="majorEastAsia" w:eastAsiaTheme="majorEastAsia" w:cstheme="majorEastAsia"/>
          <w:b/>
          <w:bCs/>
          <w:color w:val="000000"/>
          <w:sz w:val="36"/>
          <w:szCs w:val="36"/>
        </w:rPr>
        <w:t>号</w:t>
      </w:r>
    </w:p>
    <w:p>
      <w:pPr>
        <w:ind w:left="2884" w:leftChars="513" w:hanging="1807" w:hangingChars="5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许昌市南水北调工程运行保障中心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color w:val="000000"/>
          <w:sz w:val="36"/>
          <w:szCs w:val="36"/>
        </w:rPr>
      </w:pPr>
    </w:p>
    <w:p>
      <w:pPr>
        <w:jc w:val="center"/>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二〇一九年</w:t>
      </w:r>
      <w:r>
        <w:rPr>
          <w:rFonts w:hint="eastAsia" w:asciiTheme="majorEastAsia" w:hAnsiTheme="majorEastAsia" w:eastAsiaTheme="majorEastAsia" w:cstheme="majorEastAsia"/>
          <w:b/>
          <w:bCs/>
          <w:color w:val="000000"/>
          <w:sz w:val="36"/>
          <w:szCs w:val="36"/>
          <w:lang w:eastAsia="zh-CN"/>
        </w:rPr>
        <w:t>八</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val="en-US" w:eastAsia="zh-CN"/>
        </w:rPr>
        <w:t>十六</w:t>
      </w:r>
      <w:r>
        <w:rPr>
          <w:rFonts w:hint="eastAsia" w:asciiTheme="majorEastAsia" w:hAnsiTheme="majorEastAsia" w:eastAsiaTheme="majorEastAsia" w:cstheme="majorEastAsia"/>
          <w:b/>
          <w:bCs/>
          <w:color w:val="000000"/>
          <w:sz w:val="36"/>
          <w:szCs w:val="36"/>
        </w:rPr>
        <w:t>日</w:t>
      </w:r>
    </w:p>
    <w:p>
      <w:pPr>
        <w:jc w:val="center"/>
        <w:rPr>
          <w:rFonts w:hint="eastAsia"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asciiTheme="majorEastAsia" w:hAnsiTheme="majorEastAsia" w:eastAsiaTheme="majorEastAsia" w:cstheme="majorEastAsia"/>
          <w:b/>
          <w:bCs/>
          <w:color w:val="000000"/>
          <w:sz w:val="36"/>
          <w:szCs w:val="36"/>
        </w:rPr>
        <w:t xml:space="preserve"> </w:t>
      </w: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投标邀请</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许昌市政府采购中心(以下简称采购中心) 受许昌市南水北调工程运行保障中心的委托，对许昌市南水北调配套工程使用林地可行性报告项目进行公开招标。现邀请符合本招标文件规定条件的投标人前来投标。</w:t>
      </w:r>
    </w:p>
    <w:p>
      <w:pPr>
        <w:pStyle w:val="20"/>
        <w:widowControl/>
        <w:shd w:val="clear" w:color="auto" w:fill="FFFFFF"/>
        <w:spacing w:line="360" w:lineRule="auto"/>
        <w:ind w:firstLine="411" w:firstLineChars="196"/>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 xml:space="preserve"> 一、项目基本情况</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val="zh-CN"/>
        </w:rPr>
        <w:t>：许昌市南水北调配套工程使用林地可行性报告</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（二）项目编号：ZFCG-G2019</w:t>
      </w:r>
      <w:r>
        <w:rPr>
          <w:rFonts w:hint="eastAsia" w:cs="仿宋_GB2312" w:asciiTheme="minorEastAsia" w:hAnsiTheme="minorEastAsia" w:eastAsiaTheme="minorEastAsia"/>
          <w:color w:val="000000"/>
          <w:sz w:val="21"/>
          <w:szCs w:val="21"/>
          <w:shd w:val="clear" w:color="auto" w:fill="FFFFFF"/>
        </w:rPr>
        <w:t>053</w:t>
      </w:r>
      <w:r>
        <w:rPr>
          <w:rFonts w:hint="eastAsia" w:cs="仿宋_GB2312" w:asciiTheme="minorEastAsia" w:hAnsiTheme="minorEastAsia" w:eastAsiaTheme="minorEastAsia"/>
          <w:color w:val="000000"/>
          <w:sz w:val="21"/>
          <w:szCs w:val="21"/>
          <w:shd w:val="clear" w:color="auto" w:fill="FFFFFF"/>
          <w:lang w:val="en-US" w:eastAsia="zh-CN"/>
        </w:rPr>
        <w:t>-1</w:t>
      </w:r>
      <w:r>
        <w:rPr>
          <w:rFonts w:hint="eastAsia" w:cs="仿宋_GB2312" w:asciiTheme="minorEastAsia" w:hAnsiTheme="minorEastAsia" w:eastAsiaTheme="minorEastAsia"/>
          <w:color w:val="000000"/>
          <w:sz w:val="21"/>
          <w:szCs w:val="21"/>
          <w:shd w:val="clear" w:color="auto" w:fill="FFFFFF"/>
          <w:lang w:val="zh-CN"/>
        </w:rPr>
        <w:t xml:space="preserve">号    </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（三）采购方式：公开招标</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（四）采购需求：许昌市南水北调配套工程使用林地可行性报告编制2份，满足国家林业局《使用林地可行性报告编写规范》的要求。</w:t>
      </w:r>
    </w:p>
    <w:p>
      <w:pPr>
        <w:pStyle w:val="20"/>
        <w:widowControl/>
        <w:shd w:val="clear" w:color="auto" w:fill="FFFFFF"/>
        <w:wordWrap w:val="0"/>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val="en-US" w:eastAsia="zh-CN"/>
        </w:rPr>
      </w:pPr>
      <w:r>
        <w:rPr>
          <w:rFonts w:hint="eastAsia" w:cs="仿宋_GB2312" w:asciiTheme="minorEastAsia" w:hAnsiTheme="minorEastAsia" w:eastAsiaTheme="minorEastAsia"/>
          <w:color w:val="000000"/>
          <w:sz w:val="21"/>
          <w:szCs w:val="21"/>
          <w:shd w:val="clear" w:color="auto" w:fill="FFFFFF"/>
          <w:lang w:val="zh-CN"/>
        </w:rPr>
        <w:t>（五）预算金额：405800元；最高限价：405800元</w:t>
      </w:r>
      <w:r>
        <w:rPr>
          <w:rFonts w:hint="eastAsia" w:cs="仿宋_GB2312" w:asciiTheme="minorEastAsia" w:hAnsiTheme="minorEastAsia" w:eastAsiaTheme="minorEastAsia"/>
          <w:color w:val="000000"/>
          <w:sz w:val="21"/>
          <w:szCs w:val="21"/>
          <w:shd w:val="clear" w:color="auto" w:fill="FFFFFF"/>
          <w:lang w:val="zh-CN" w:eastAsia="zh-CN"/>
        </w:rPr>
        <w:t>。</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（六）交付（服务、完工）时间 ：合同生效后10天</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lang w:val="zh-CN"/>
        </w:rPr>
      </w:pPr>
      <w:r>
        <w:rPr>
          <w:rFonts w:hint="eastAsia" w:cs="仿宋_GB2312" w:asciiTheme="minorEastAsia" w:hAnsiTheme="minorEastAsia" w:eastAsiaTheme="minorEastAsia"/>
          <w:color w:val="000000"/>
          <w:sz w:val="21"/>
          <w:szCs w:val="21"/>
          <w:shd w:val="clear" w:color="auto" w:fill="FFFFFF"/>
          <w:lang w:val="zh-CN"/>
        </w:rPr>
        <w:t>（七）交付（服务、完工）地点：</w:t>
      </w:r>
      <w:r>
        <w:rPr>
          <w:rFonts w:hint="eastAsia" w:cs="仿宋_GB2312" w:asciiTheme="minorEastAsia" w:hAnsiTheme="minorEastAsia" w:eastAsiaTheme="minorEastAsia"/>
          <w:color w:val="000000"/>
          <w:sz w:val="21"/>
          <w:szCs w:val="21"/>
          <w:shd w:val="clear" w:color="auto" w:fill="FFFFFF"/>
          <w:lang w:eastAsia="zh-CN"/>
        </w:rPr>
        <w:t>许昌市南水北调工程运行保障中心</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val="zh-CN"/>
        </w:rPr>
        <w:t>（八）</w:t>
      </w:r>
      <w:r>
        <w:rPr>
          <w:rFonts w:hint="eastAsia" w:cs="仿宋_GB2312" w:asciiTheme="minorEastAsia" w:hAnsiTheme="minorEastAsia" w:eastAsiaTheme="minorEastAsia"/>
          <w:color w:val="000000"/>
          <w:sz w:val="21"/>
          <w:szCs w:val="21"/>
          <w:shd w:val="clear" w:color="auto" w:fill="FFFFFF"/>
        </w:rPr>
        <w:t>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三、投标人资格要求</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社会组织</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）本次招标不接受联合体投标。</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四、招标文件的获取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五、投标截止时间、开标时间及地点</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（一）投标截止及开标时间：2019年</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（二）开标地点：许昌市公共资源交易中心（龙兴路与竹林路交汇处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五</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1、加密电子投标文件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在投标截止时间（开标时间）前通过《全国公共资源交易平台(河南省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2、纸质投标文件（正本、副本各1份）和备份文件1份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在投标截止时间（开标时间）前递交至本项目开标地点。</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七、公告期限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本招标公告自发布之日起公告期限为5个工作日。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rPr>
        <w:t>八、联系方式</w:t>
      </w:r>
    </w:p>
    <w:p>
      <w:pPr>
        <w:pStyle w:val="20"/>
        <w:widowControl/>
        <w:shd w:val="clear" w:color="auto" w:fill="FFFFFF"/>
        <w:spacing w:line="360" w:lineRule="auto"/>
        <w:ind w:firstLine="843" w:firstLineChars="400"/>
        <w:contextualSpacing/>
        <w:jc w:val="left"/>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b/>
          <w:bCs/>
          <w:kern w:val="2"/>
          <w:sz w:val="21"/>
          <w:szCs w:val="21"/>
          <w:lang w:val="en-US" w:eastAsia="zh-CN" w:bidi="ar-SA"/>
        </w:rPr>
        <w:t>采购人：</w:t>
      </w:r>
      <w:r>
        <w:rPr>
          <w:rFonts w:hint="eastAsia" w:ascii="宋体" w:hAnsi="宋体" w:eastAsiaTheme="minorEastAsia" w:cstheme="minorBidi"/>
          <w:kern w:val="2"/>
          <w:sz w:val="21"/>
          <w:szCs w:val="21"/>
          <w:lang w:val="en-US" w:eastAsia="zh-CN" w:bidi="ar-SA"/>
        </w:rPr>
        <w:t>许昌市南水北调工程运行保障中心</w:t>
      </w:r>
    </w:p>
    <w:p>
      <w:pPr>
        <w:pStyle w:val="20"/>
        <w:widowControl/>
        <w:shd w:val="clear" w:color="auto" w:fill="FFFFFF"/>
        <w:spacing w:line="360" w:lineRule="auto"/>
        <w:ind w:firstLine="840" w:firstLineChars="400"/>
        <w:contextualSpacing/>
        <w:jc w:val="left"/>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地 址：许昌市八一东路水利局2311室</w:t>
      </w:r>
    </w:p>
    <w:p>
      <w:pPr>
        <w:pStyle w:val="20"/>
        <w:widowControl/>
        <w:shd w:val="clear" w:color="auto" w:fill="FFFFFF"/>
        <w:spacing w:line="360" w:lineRule="auto"/>
        <w:ind w:firstLine="840" w:firstLineChars="400"/>
        <w:contextualSpacing/>
        <w:jc w:val="left"/>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联系人：盛弘宇               联系电话：13629885266</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电子文件下载、制作、提交期间和开标（</w:t>
      </w:r>
      <w:r>
        <w:rPr>
          <w:rFonts w:hint="eastAsia" w:hAnsi="宋体"/>
          <w:szCs w:val="21"/>
        </w:rPr>
        <w:t>电子投标文件的解密</w:t>
      </w:r>
      <w:r>
        <w:rPr>
          <w:rFonts w:hint="eastAsia" w:hAnsi="宋体"/>
          <w:b/>
          <w:color w:val="000000"/>
          <w:szCs w:val="21"/>
        </w:rPr>
        <w:t>）环节，投标人须使用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”的文件用于电子投标使用，后缀名为“.PDF”的文件用于打印纸质投标文件，名称为“备份”的文件夹使用电子介质存储，供开标现场备用。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电子投标文件应在招标文件规定的投标截止时间（开标时间）之前成功提交至《全国公共资源交易平台(河南省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5"/>
          <w:rFonts w:hAnsi="宋体"/>
          <w:szCs w:val="21"/>
        </w:rPr>
        <w:t>http://221.14.6.70:8088/ggzy/</w:t>
      </w:r>
      <w:r>
        <w:rPr>
          <w:rStyle w:val="25"/>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电子投标文件成功提交后，投标人应打印“投标文件提交回执单”供开标现场备查。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采用全流程电子化交易评标时，评标委员会以电子投标文件为依据评标。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tabs>
          <w:tab w:val="left" w:pos="7095"/>
        </w:tabs>
        <w:spacing w:line="360" w:lineRule="auto"/>
        <w:ind w:firstLine="480" w:firstLineChars="200"/>
        <w:contextualSpacing/>
        <w:rPr>
          <w:rFonts w:hint="eastAsia" w:hAnsi="宋体"/>
          <w:color w:val="000000"/>
          <w:sz w:val="24"/>
          <w:szCs w:val="24"/>
        </w:rPr>
      </w:pPr>
      <w:r>
        <w:rPr>
          <w:rFonts w:hint="eastAsia" w:hAnsi="宋体"/>
          <w:color w:val="000000"/>
          <w:sz w:val="24"/>
          <w:szCs w:val="24"/>
        </w:rPr>
        <w:t>许昌市南水北调配套工程使用林地可行性报告，按照国家林业局《使用林地可行性报告编写规范》的要求，完成对项目拟使用林地现状进行外业调查。</w:t>
      </w:r>
    </w:p>
    <w:p>
      <w:pPr>
        <w:tabs>
          <w:tab w:val="left" w:pos="7095"/>
        </w:tabs>
        <w:spacing w:line="360" w:lineRule="auto"/>
        <w:ind w:firstLine="482" w:firstLineChars="200"/>
        <w:contextualSpacing/>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二、采购需求</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提供包括使用林地可行性研究报告或使用林地现状调查表、使用林地现状图、索引图、平面布局图、位置示意图等及相关内容。</w:t>
      </w: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highlight w:val="none"/>
          <w:lang w:val="zh-CN"/>
        </w:rPr>
      </w:pPr>
      <w:r>
        <w:rPr>
          <w:rFonts w:hint="eastAsia" w:cs="微软雅黑" w:asciiTheme="minorEastAsia" w:hAnsiTheme="minorEastAsia"/>
          <w:b/>
          <w:color w:val="FF0000"/>
          <w:szCs w:val="21"/>
          <w:highlight w:val="none"/>
        </w:rPr>
        <w:t>★</w:t>
      </w:r>
      <w:r>
        <w:rPr>
          <w:rFonts w:hint="eastAsia" w:cs="宋体" w:asciiTheme="minorEastAsia" w:hAnsiTheme="minorEastAsia"/>
          <w:b/>
          <w:color w:val="000000"/>
          <w:kern w:val="0"/>
          <w:sz w:val="24"/>
          <w:szCs w:val="24"/>
          <w:highlight w:val="none"/>
          <w:lang w:val="zh-CN"/>
        </w:rPr>
        <w:t>三、采购标的的其他技术、服务等要求</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1</w:t>
      </w:r>
      <w:r>
        <w:rPr>
          <w:rFonts w:hint="eastAsia" w:hAnsi="宋体"/>
          <w:color w:val="000000"/>
          <w:sz w:val="24"/>
          <w:szCs w:val="24"/>
          <w:lang w:val="zh-CN"/>
        </w:rPr>
        <w:t>、投标人应就该项目完整投标，否则为无效投标。</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2</w:t>
      </w:r>
      <w:r>
        <w:rPr>
          <w:rFonts w:hint="eastAsia" w:hAnsi="宋体"/>
          <w:color w:val="000000"/>
          <w:sz w:val="24"/>
          <w:szCs w:val="24"/>
          <w:lang w:val="zh-CN"/>
        </w:rPr>
        <w:t>、本项目为交钥匙工程。</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3</w:t>
      </w:r>
      <w:r>
        <w:rPr>
          <w:rFonts w:hint="eastAsia" w:hAnsi="宋体"/>
          <w:color w:val="000000"/>
          <w:sz w:val="24"/>
          <w:szCs w:val="24"/>
          <w:lang w:val="zh-CN"/>
        </w:rPr>
        <w:t>、投标文件中须有详细的实施（技术）方案，否则为无效投标。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由采购人成立验收小组，按照采购合同的约定对中标人履约情况进行验收。验收时，按照采购合同的约定对每项技术、服务、安全标准的履约情况进行确认。</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1、按照国家相关标准、省市两级林业部门行业标准、地方标准或者其他标准、规范验收。</w:t>
      </w:r>
    </w:p>
    <w:p>
      <w:pPr>
        <w:tabs>
          <w:tab w:val="left" w:pos="7095"/>
        </w:tabs>
        <w:spacing w:line="360" w:lineRule="auto"/>
        <w:ind w:firstLine="480" w:firstLineChars="200"/>
        <w:contextualSpacing/>
        <w:rPr>
          <w:rFonts w:hAnsi="宋体"/>
          <w:color w:val="000000"/>
          <w:sz w:val="24"/>
          <w:szCs w:val="24"/>
          <w:lang w:val="zh-CN"/>
        </w:rPr>
      </w:pPr>
      <w:r>
        <w:rPr>
          <w:rFonts w:hint="eastAsia" w:hAnsi="宋体"/>
          <w:color w:val="000000"/>
          <w:sz w:val="24"/>
          <w:szCs w:val="24"/>
        </w:rPr>
        <w:t>2、按照招标文件要求、投标文件响应和承诺验收；</w:t>
      </w:r>
    </w:p>
    <w:p>
      <w:pPr>
        <w:pStyle w:val="20"/>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五</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zh-CN"/>
        </w:rPr>
        <w:t>405800元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zh-CN"/>
        </w:rPr>
        <w:t>405800元。超出最高限价的投标无效。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六、资金支付</w:t>
      </w:r>
    </w:p>
    <w:p>
      <w:pPr>
        <w:tabs>
          <w:tab w:val="left" w:pos="7095"/>
        </w:tabs>
        <w:spacing w:line="360" w:lineRule="auto"/>
        <w:ind w:firstLine="480" w:firstLineChars="200"/>
        <w:contextualSpacing/>
        <w:rPr>
          <w:rFonts w:hint="eastAsia" w:hAnsi="宋体"/>
          <w:color w:val="000000"/>
          <w:sz w:val="24"/>
          <w:szCs w:val="24"/>
          <w:lang w:val="zh-CN"/>
        </w:rPr>
      </w:pPr>
      <w:r>
        <w:rPr>
          <w:rFonts w:hint="eastAsia" w:hAnsi="宋体"/>
          <w:color w:val="000000"/>
          <w:sz w:val="24"/>
          <w:szCs w:val="24"/>
          <w:lang w:val="en-US" w:eastAsia="zh-CN"/>
        </w:rPr>
        <w:t>1、</w:t>
      </w:r>
      <w:r>
        <w:rPr>
          <w:rFonts w:hint="eastAsia" w:hAnsi="宋体"/>
          <w:color w:val="000000"/>
          <w:sz w:val="24"/>
          <w:szCs w:val="24"/>
          <w:lang w:val="zh-CN"/>
        </w:rPr>
        <w:t>支付方式：银行转账。</w:t>
      </w:r>
    </w:p>
    <w:p>
      <w:pPr>
        <w:tabs>
          <w:tab w:val="left" w:pos="7095"/>
        </w:tabs>
        <w:spacing w:line="360" w:lineRule="auto"/>
        <w:ind w:firstLine="480" w:firstLineChars="200"/>
        <w:contextualSpacing/>
        <w:rPr>
          <w:rFonts w:hint="eastAsia" w:hAnsi="宋体"/>
          <w:color w:val="000000"/>
          <w:sz w:val="24"/>
          <w:szCs w:val="24"/>
          <w:lang w:val="zh-CN"/>
        </w:rPr>
      </w:pPr>
      <w:r>
        <w:rPr>
          <w:rFonts w:hint="eastAsia" w:hAnsi="宋体"/>
          <w:color w:val="000000"/>
          <w:sz w:val="24"/>
          <w:szCs w:val="24"/>
          <w:lang w:val="en-US" w:eastAsia="zh-CN"/>
        </w:rPr>
        <w:t>2、</w:t>
      </w:r>
      <w:r>
        <w:rPr>
          <w:rFonts w:hint="eastAsia" w:hAnsi="宋体"/>
          <w:color w:val="000000"/>
          <w:sz w:val="24"/>
          <w:szCs w:val="24"/>
          <w:lang w:val="zh-CN"/>
        </w:rPr>
        <w:t>支付时间及条件：满足《使用林地可行性报告编写规范》的要求，经验收合格后一次性付清。</w:t>
      </w:r>
    </w:p>
    <w:p>
      <w:pPr>
        <w:numPr>
          <w:ilvl w:val="0"/>
          <w:numId w:val="0"/>
        </w:numPr>
        <w:autoSpaceDE w:val="0"/>
        <w:autoSpaceDN w:val="0"/>
        <w:adjustRightInd w:val="0"/>
        <w:ind w:leftChars="200"/>
        <w:jc w:val="both"/>
        <w:rPr>
          <w:rFonts w:hint="eastAsia" w:hAnsi="宋体"/>
          <w:color w:val="00000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项目名称：许昌市南水北调配套工程使用林地可行性报告</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项目编号：ZFCG-G2019053</w:t>
            </w:r>
            <w:r>
              <w:rPr>
                <w:rFonts w:hint="eastAsia" w:cs="仿宋_GB2312" w:asciiTheme="minorEastAsia" w:hAnsiTheme="minorEastAsia"/>
                <w:szCs w:val="21"/>
                <w:lang w:val="en-US" w:eastAsia="zh-CN"/>
              </w:rPr>
              <w:t>-1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项目内容：许昌市南水北调配套工程使用林地可行性报告编制2份，满足国家林业局《使用林地可行性报告编写规范》的要求。</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许昌市南水北调工程运行保障中心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许昌市南水北调工程运行保障中心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地址：许昌市</w:t>
            </w:r>
            <w:r>
              <w:rPr>
                <w:rFonts w:hint="eastAsia" w:cs="仿宋_GB2312" w:asciiTheme="minorEastAsia" w:hAnsiTheme="minorEastAsia"/>
                <w:szCs w:val="21"/>
                <w:lang w:eastAsia="zh-CN"/>
              </w:rPr>
              <w:t>八一东路水利局</w:t>
            </w:r>
            <w:r>
              <w:rPr>
                <w:rFonts w:hint="eastAsia" w:cs="仿宋_GB2312" w:asciiTheme="minorEastAsia" w:hAnsiTheme="minorEastAsia"/>
                <w:szCs w:val="21"/>
                <w:lang w:val="en-US" w:eastAsia="zh-CN"/>
              </w:rPr>
              <w:t>2311室</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盛弘宇</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13629885266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）严重违法失信社会组织名单的投标人（</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仿宋_GB2312" w:asciiTheme="minorEastAsia" w:hAnsiTheme="minorEastAsia"/>
                <w:szCs w:val="21"/>
                <w:lang w:val="zh-CN"/>
              </w:rPr>
              <w:t>405800元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递交投标文件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许昌市公共资源交易中心三楼开</w:t>
            </w:r>
            <w:r>
              <w:rPr>
                <w:rFonts w:hint="eastAsia" w:cs="宋体" w:asciiTheme="minorEastAsia" w:hAnsiTheme="minorEastAsia"/>
                <w:color w:val="000000"/>
                <w:szCs w:val="21"/>
                <w:lang w:val="zh-CN"/>
              </w:rPr>
              <w:t>标五室（龙</w:t>
            </w:r>
            <w:r>
              <w:rPr>
                <w:rFonts w:cs="宋体" w:asciiTheme="minorEastAsia" w:hAnsiTheme="minorEastAsia"/>
                <w:bCs/>
                <w:szCs w:val="21"/>
                <w:lang w:val="zh-CN"/>
              </w:rPr>
              <w:t>兴路与竹林路交汇处</w:t>
            </w:r>
            <w:r>
              <w:rPr>
                <w:rFonts w:hint="eastAsia" w:cs="宋体" w:asciiTheme="minorEastAsia" w:hAnsiTheme="minorEastAsia"/>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w:t>
            </w:r>
            <w:bookmarkStart w:id="13" w:name="_GoBack"/>
            <w:bookmarkEnd w:id="13"/>
            <w:r>
              <w:rPr>
                <w:rFonts w:hint="eastAsia" w:cs="宋体" w:asciiTheme="minorEastAsia" w:hAnsiTheme="minorEastAsia"/>
                <w:color w:val="000000"/>
                <w:szCs w:val="21"/>
              </w:rPr>
              <w:t>》、《河南省政府采购网》、《许昌市政府采购网》、《全国公共资源交易平台（河南省·许昌市）》、《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副本一份。使</w:t>
            </w:r>
            <w:r>
              <w:rPr>
                <w:rFonts w:hint="eastAsia" w:cs="仿宋_GB2312" w:asciiTheme="minorEastAsia" w:hAnsiTheme="minorEastAsia"/>
                <w:szCs w:val="21"/>
              </w:rPr>
              <w:t>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7"/>
        <w:autoSpaceDE w:val="0"/>
        <w:autoSpaceDN w:val="0"/>
        <w:spacing w:line="360" w:lineRule="auto"/>
        <w:ind w:left="780"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991" w:leftChars="472"/>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37"/>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37"/>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严重违法失信社会组织名单的投标人，将拒绝其参与本次政府采购活动。</w:t>
      </w:r>
    </w:p>
    <w:p>
      <w:pPr>
        <w:pStyle w:val="37"/>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3.3.5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招标人根据采购项目的特殊要求规定投标人特定条件的，联合体各方中至少应当有一方符合采购规定的特定条件。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7"/>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pStyle w:val="3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7"/>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7"/>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7"/>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7"/>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7"/>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24.3.1  电子投标文件的解密。全流程电子化交易项目电子投标文件采用双重加密。解密需分标段进行两次解密。</w:t>
      </w:r>
    </w:p>
    <w:p>
      <w:pPr>
        <w:autoSpaceDE w:val="0"/>
        <w:autoSpaceDN w:val="0"/>
        <w:spacing w:line="360" w:lineRule="auto"/>
        <w:ind w:left="2976" w:leftChars="876" w:hanging="1136" w:hangingChars="541"/>
        <w:contextualSpacing/>
        <w:rPr>
          <w:rFonts w:cs="宋体" w:asciiTheme="minorEastAsia" w:hAnsiTheme="minorEastAsia"/>
          <w:kern w:val="0"/>
          <w:szCs w:val="21"/>
        </w:rPr>
      </w:pPr>
      <w:r>
        <w:rPr>
          <w:rFonts w:hint="eastAsia" w:cs="宋体" w:asciiTheme="minorEastAsia" w:hAnsiTheme="minorEastAsia"/>
          <w:kern w:val="0"/>
          <w:szCs w:val="21"/>
        </w:rPr>
        <w:t>24.3.1.1  投标人解密：投标人使用本单位CA数字证书远程或现场进行解密。需开标现场使用一体机进行解密的，请在代理机构引导下进行。</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24.3.1.2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24.3.2   电子投标文件解密异常情况处理</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24.3.2.1 因电子交易系统异常无法解密电子投标文件的，使用纸质投标文件以人工方式进行。</w:t>
      </w:r>
    </w:p>
    <w:p>
      <w:pPr>
        <w:autoSpaceDE w:val="0"/>
        <w:autoSpaceDN w:val="0"/>
        <w:spacing w:line="360" w:lineRule="auto"/>
        <w:ind w:left="2835" w:leftChars="878" w:hanging="991" w:hangingChars="472"/>
        <w:contextualSpacing/>
        <w:rPr>
          <w:rFonts w:cs="宋体" w:asciiTheme="minorEastAsia" w:hAnsiTheme="minorEastAsia"/>
          <w:kern w:val="0"/>
          <w:szCs w:val="21"/>
        </w:rPr>
      </w:pPr>
      <w:r>
        <w:rPr>
          <w:rFonts w:hint="eastAsia" w:cs="宋体" w:asciiTheme="minorEastAsia" w:hAnsiTheme="minor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26.1.1  招标人将依法组建评标委员会，评标委员会由评审专家组成，成员人数应当为5人以上单数。评审专家依法从政府采购评审专家库中随机抽取。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26.1.2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26.1.2.3  社会影响较大。</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26.3.2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26.3.3  与供应商有其他可能影响政府采购活动公平、公正进行的关系。</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7"/>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29.1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29.3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30.1.1  未按照招标文件的规定提交投标承诺函的；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30.1.5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30.2.5   不同投标人的投标文件相互混装。</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按照《关于推进全流程电子化交易和在线监管工作有关问题的通知》（许公管办[2019]3号）规定，不同投标人电子投标文件制作硬件特征码（网卡MAC地址、CPU序号、硬盘序列号等）雷同时，视为‘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7"/>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33.1.1.2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33.1.1.2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33.1.2  综合评分法，是指投标文件满足招标文件全部实质性要求，且按照评审因素的量化指标评审得分最高的投标人为中标候选人的评标方法。</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33.2.2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33.2.3  因落实政府采购政策进行价格调整的，以调整后的价格计算评标基准价和投标报价。</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7"/>
        <w:numPr>
          <w:ilvl w:val="0"/>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35.2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35.7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7"/>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39.1.2  对采购过程提出质疑的，为各采购程序环节结束之日起七个工作日内，以书面形式向采购人和采购代理机构一次性提出；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39.1.3  对中标结果提出质疑的，为中标结果公告期限届满之日起七个工作日内，以书面形式向采购人和采购代理机构一次性提出。</w:t>
      </w:r>
    </w:p>
    <w:p>
      <w:pPr>
        <w:pStyle w:val="37"/>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39.2.2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7"/>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5"/>
                <w:rFonts w:hint="eastAsia" w:asciiTheme="minorEastAsia" w:hAnsiTheme="minorEastAsia"/>
                <w:bCs/>
                <w:szCs w:val="21"/>
              </w:rPr>
              <w:t>www.creditchina.gov.cn</w:t>
            </w:r>
            <w:r>
              <w:rPr>
                <w:rStyle w:val="25"/>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3" w:name="baidusnap2"/>
            <w:bookmarkEnd w:id="3"/>
            <w:r>
              <w:rPr>
                <w:rFonts w:hint="eastAsia" w:cs="仿宋_GB2312" w:asciiTheme="minorEastAsia" w:hAnsiTheme="minorEastAsia"/>
                <w:szCs w:val="21"/>
                <w:lang w:val="zh-CN"/>
              </w:rPr>
              <w:t>提供未为本项目提供整体设计、</w:t>
            </w:r>
            <w:bookmarkStart w:id="4" w:name="baidusnap9"/>
            <w:bookmarkEnd w:id="4"/>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6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944" w:type="dxa"/>
            <w:gridSpan w:val="2"/>
            <w:vAlign w:val="center"/>
          </w:tcPr>
          <w:p>
            <w:pPr>
              <w:spacing w:line="360" w:lineRule="auto"/>
              <w:jc w:val="center"/>
              <w:rPr>
                <w:rFonts w:asciiTheme="minorEastAsia" w:hAnsiTheme="minorEastAsia"/>
                <w:szCs w:val="21"/>
              </w:rPr>
            </w:pPr>
            <w:r>
              <w:rPr>
                <w:rFonts w:hint="eastAsia" w:asciiTheme="minorEastAsia" w:hAnsiTheme="minorEastAsia"/>
                <w:szCs w:val="21"/>
              </w:rPr>
              <w:t>分值构成</w:t>
            </w:r>
          </w:p>
          <w:p>
            <w:pPr>
              <w:snapToGrid w:val="0"/>
              <w:spacing w:beforeLines="50"/>
              <w:jc w:val="center"/>
              <w:rPr>
                <w:rFonts w:ascii="宋体" w:hAnsi="宋体" w:cs="宋体"/>
                <w:b/>
                <w:szCs w:val="21"/>
              </w:rPr>
            </w:pPr>
            <w:r>
              <w:rPr>
                <w:rFonts w:hint="eastAsia" w:asciiTheme="minorEastAsia" w:hAnsiTheme="minorEastAsia"/>
                <w:szCs w:val="21"/>
              </w:rPr>
              <w:t>(总分100分)</w:t>
            </w:r>
          </w:p>
        </w:tc>
        <w:tc>
          <w:tcPr>
            <w:tcW w:w="6095" w:type="dxa"/>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价格分值：</w:t>
            </w:r>
            <w:r>
              <w:rPr>
                <w:rFonts w:hint="eastAsia" w:asciiTheme="minorEastAsia" w:hAnsiTheme="minorEastAsia"/>
                <w:color w:val="FF0000"/>
                <w:szCs w:val="21"/>
                <w:u w:val="single"/>
                <w:lang w:val="en-US" w:eastAsia="zh-CN"/>
              </w:rPr>
              <w:t>10</w:t>
            </w:r>
            <w:r>
              <w:rPr>
                <w:rFonts w:hint="eastAsia" w:asciiTheme="minorEastAsia" w:hAnsiTheme="minorEastAsia"/>
                <w:szCs w:val="21"/>
              </w:rPr>
              <w:t>分</w:t>
            </w:r>
          </w:p>
          <w:p>
            <w:pPr>
              <w:spacing w:line="360" w:lineRule="auto"/>
              <w:ind w:firstLine="420" w:firstLineChars="200"/>
              <w:rPr>
                <w:rFonts w:asciiTheme="minorEastAsia" w:hAnsiTheme="minorEastAsia"/>
                <w:szCs w:val="21"/>
              </w:rPr>
            </w:pPr>
            <w:r>
              <w:rPr>
                <w:rFonts w:hint="eastAsia" w:asciiTheme="minorEastAsia" w:hAnsiTheme="minorEastAsia"/>
                <w:szCs w:val="21"/>
              </w:rPr>
              <w:t>商务部分：</w:t>
            </w:r>
            <w:r>
              <w:rPr>
                <w:rFonts w:hint="eastAsia" w:asciiTheme="minorEastAsia" w:hAnsiTheme="minorEastAsia"/>
                <w:color w:val="FF0000"/>
                <w:szCs w:val="21"/>
                <w:u w:val="single"/>
                <w:lang w:val="en-US" w:eastAsia="zh-CN"/>
              </w:rPr>
              <w:t>22</w:t>
            </w:r>
            <w:r>
              <w:rPr>
                <w:rFonts w:hint="eastAsia" w:asciiTheme="minorEastAsia" w:hAnsiTheme="minorEastAsia"/>
                <w:szCs w:val="21"/>
              </w:rPr>
              <w:t>分</w:t>
            </w:r>
          </w:p>
          <w:p>
            <w:pPr>
              <w:spacing w:beforeLines="50"/>
              <w:ind w:firstLine="420" w:firstLineChars="200"/>
              <w:rPr>
                <w:rFonts w:asciiTheme="minorEastAsia" w:hAnsiTheme="minorEastAsia"/>
                <w:szCs w:val="21"/>
              </w:rPr>
            </w:pPr>
            <w:r>
              <w:rPr>
                <w:rFonts w:hint="eastAsia" w:asciiTheme="minorEastAsia" w:hAnsiTheme="minorEastAsia"/>
                <w:szCs w:val="21"/>
              </w:rPr>
              <w:t>技术部分：</w:t>
            </w:r>
            <w:r>
              <w:rPr>
                <w:rFonts w:hint="eastAsia" w:asciiTheme="minorEastAsia" w:hAnsiTheme="minorEastAsia"/>
                <w:color w:val="FF0000"/>
                <w:szCs w:val="21"/>
                <w:u w:val="single"/>
                <w:lang w:val="en-US" w:eastAsia="zh-CN"/>
              </w:rPr>
              <w:t>45</w:t>
            </w:r>
            <w:r>
              <w:rPr>
                <w:rFonts w:hint="eastAsia" w:asciiTheme="minorEastAsia" w:hAnsiTheme="minorEastAsia"/>
                <w:szCs w:val="21"/>
              </w:rPr>
              <w:t>分</w:t>
            </w:r>
          </w:p>
          <w:p>
            <w:pPr>
              <w:spacing w:beforeLines="50"/>
              <w:ind w:firstLine="420" w:firstLineChars="200"/>
              <w:rPr>
                <w:rFonts w:ascii="宋体" w:hAnsi="宋体" w:cs="宋体"/>
                <w:b/>
                <w:szCs w:val="21"/>
              </w:rPr>
            </w:pPr>
            <w:r>
              <w:rPr>
                <w:rFonts w:hint="eastAsia" w:asciiTheme="minorEastAsia" w:hAnsiTheme="minorEastAsia"/>
                <w:szCs w:val="21"/>
              </w:rPr>
              <w:t>服务部分：</w:t>
            </w:r>
            <w:r>
              <w:rPr>
                <w:rFonts w:hint="eastAsia" w:asciiTheme="minorEastAsia" w:hAnsiTheme="minorEastAsia"/>
                <w:color w:val="FF0000"/>
                <w:szCs w:val="21"/>
                <w:u w:val="single"/>
                <w:lang w:val="en-US" w:eastAsia="zh-CN"/>
              </w:rPr>
              <w:t>23</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384"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评审项</w:t>
            </w:r>
          </w:p>
        </w:tc>
        <w:tc>
          <w:tcPr>
            <w:tcW w:w="1560"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评分因素</w:t>
            </w:r>
          </w:p>
        </w:tc>
        <w:tc>
          <w:tcPr>
            <w:tcW w:w="6095" w:type="dxa"/>
            <w:vAlign w:val="center"/>
          </w:tcPr>
          <w:p>
            <w:pPr>
              <w:snapToGrid w:val="0"/>
              <w:spacing w:beforeLines="50"/>
              <w:jc w:val="center"/>
              <w:rPr>
                <w:rFonts w:ascii="宋体" w:hAnsi="宋体" w:eastAsia="宋体" w:cs="宋体"/>
                <w:b/>
                <w:szCs w:val="21"/>
              </w:rPr>
            </w:pPr>
            <w:r>
              <w:rPr>
                <w:rFonts w:hint="eastAsia" w:ascii="宋体" w:hAnsi="宋体" w:eastAsia="宋体" w:cs="宋体"/>
                <w:b/>
                <w:szCs w:val="21"/>
              </w:rPr>
              <w:t>评</w:t>
            </w:r>
            <w:r>
              <w:rPr>
                <w:rFonts w:hint="eastAsia" w:ascii="宋体" w:hAnsi="宋体" w:cs="宋体"/>
                <w:b/>
                <w:szCs w:val="21"/>
              </w:rPr>
              <w:t>标</w:t>
            </w:r>
            <w:r>
              <w:rPr>
                <w:rFonts w:hint="eastAsia" w:ascii="宋体" w:hAnsi="宋体" w:eastAsia="宋体" w:cs="宋体"/>
                <w:b/>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384" w:type="dxa"/>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报价部分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1560"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报价</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10</w:t>
            </w:r>
            <w:r>
              <w:rPr>
                <w:rFonts w:hint="eastAsia" w:ascii="宋体" w:hAnsi="宋体" w:eastAsia="宋体" w:cs="宋体"/>
                <w:szCs w:val="21"/>
              </w:rPr>
              <w:t>分）</w:t>
            </w:r>
          </w:p>
        </w:tc>
        <w:tc>
          <w:tcPr>
            <w:tcW w:w="6095" w:type="dxa"/>
            <w:vAlign w:val="center"/>
          </w:tcPr>
          <w:p>
            <w:pPr>
              <w:spacing w:line="360" w:lineRule="auto"/>
              <w:rPr>
                <w:rFonts w:asciiTheme="minorEastAsia" w:hAnsiTheme="minorEastAsia"/>
                <w:szCs w:val="21"/>
              </w:rPr>
            </w:pPr>
            <w:r>
              <w:rPr>
                <w:rFonts w:hint="eastAsia" w:asciiTheme="minorEastAsia" w:hAnsiTheme="minorEastAsia"/>
                <w:szCs w:val="21"/>
              </w:rPr>
              <w:t>评标基准价：满足招标文件要求的有效投标报价中，最低的投标报价为评标基准价。</w:t>
            </w:r>
          </w:p>
          <w:p>
            <w:pPr>
              <w:widowControl/>
              <w:spacing w:beforeLines="50"/>
              <w:rPr>
                <w:rFonts w:ascii="宋体" w:hAnsi="宋体" w:eastAsia="宋体" w:cs="宋体"/>
                <w:szCs w:val="21"/>
              </w:rPr>
            </w:pPr>
            <w:r>
              <w:rPr>
                <w:rFonts w:hint="eastAsia" w:asciiTheme="minorEastAsia" w:hAnsiTheme="minorEastAsia"/>
                <w:szCs w:val="21"/>
              </w:rPr>
              <w:t>投标报价得分=（评标基准价/投标报价）×</w:t>
            </w:r>
            <w:r>
              <w:rPr>
                <w:rFonts w:hint="eastAsia" w:asciiTheme="minorEastAsia" w:hAnsiTheme="minorEastAsia"/>
                <w:color w:val="FF0000"/>
                <w:szCs w:val="21"/>
                <w:u w:val="singl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vAlign w:val="center"/>
          </w:tcPr>
          <w:p>
            <w:pPr>
              <w:snapToGrid w:val="0"/>
              <w:spacing w:beforeLines="50"/>
              <w:ind w:leftChars="-2" w:hanging="4" w:hangingChars="2"/>
              <w:jc w:val="center"/>
              <w:rPr>
                <w:rFonts w:ascii="宋体" w:hAnsi="宋体" w:eastAsia="宋体" w:cs="宋体"/>
                <w:szCs w:val="21"/>
              </w:rPr>
            </w:pPr>
            <w:r>
              <w:rPr>
                <w:rFonts w:hint="eastAsia" w:ascii="宋体" w:hAnsi="宋体" w:eastAsia="宋体" w:cs="宋体"/>
                <w:szCs w:val="21"/>
              </w:rPr>
              <w:t>商务部分</w:t>
            </w:r>
          </w:p>
          <w:p>
            <w:pPr>
              <w:snapToGrid w:val="0"/>
              <w:spacing w:beforeLines="50"/>
              <w:ind w:left="0" w:leftChars="-2" w:hanging="4" w:hangingChars="2"/>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22</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ascii="宋体" w:hAnsi="宋体" w:eastAsia="宋体" w:cs="Times New Roman"/>
                <w:szCs w:val="21"/>
              </w:rPr>
              <w:t>业绩</w:t>
            </w:r>
          </w:p>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15</w:t>
            </w:r>
            <w:r>
              <w:rPr>
                <w:rFonts w:hint="eastAsia" w:ascii="宋体" w:hAnsi="宋体" w:eastAsia="宋体" w:cs="Times New Roman"/>
                <w:szCs w:val="21"/>
              </w:rPr>
              <w:t>分）</w:t>
            </w:r>
          </w:p>
        </w:tc>
        <w:tc>
          <w:tcPr>
            <w:tcW w:w="6095" w:type="dxa"/>
            <w:vAlign w:val="center"/>
          </w:tcPr>
          <w:p>
            <w:pPr>
              <w:spacing w:line="360" w:lineRule="auto"/>
              <w:rPr>
                <w:rFonts w:ascii="宋体" w:hAnsi="宋体" w:eastAsia="宋体" w:cs="仿宋_GB2312"/>
                <w:szCs w:val="21"/>
                <w:lang w:val="zh-CN"/>
              </w:rPr>
            </w:pPr>
            <w:r>
              <w:rPr>
                <w:rFonts w:hint="eastAsia" w:asciiTheme="minorEastAsia" w:hAnsiTheme="minorEastAsia"/>
                <w:szCs w:val="21"/>
              </w:rPr>
              <w:t>2017年1月1日以来（以合同签订日期为准），每提供一份类似项目业绩得3分，满分15分（</w:t>
            </w:r>
            <w:r>
              <w:rPr>
                <w:rFonts w:hint="eastAsia" w:asciiTheme="minorEastAsia" w:hAnsiTheme="minorEastAsia"/>
                <w:szCs w:val="21"/>
                <w:lang w:eastAsia="zh-CN"/>
              </w:rPr>
              <w:t>以</w:t>
            </w:r>
            <w:r>
              <w:rPr>
                <w:rFonts w:hint="eastAsia" w:asciiTheme="minorEastAsia" w:hAnsiTheme="minorEastAsia"/>
                <w:szCs w:val="21"/>
              </w:rPr>
              <w:t>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vAlign w:val="center"/>
          </w:tcPr>
          <w:p>
            <w:pPr>
              <w:snapToGrid w:val="0"/>
              <w:spacing w:beforeLines="50"/>
              <w:ind w:left="0" w:leftChars="-2" w:hanging="4" w:hangingChars="2"/>
              <w:jc w:val="center"/>
              <w:rPr>
                <w:rFonts w:ascii="宋体" w:hAnsi="宋体" w:eastAsia="宋体" w:cs="宋体"/>
                <w:szCs w:val="21"/>
              </w:rPr>
            </w:pPr>
          </w:p>
        </w:tc>
        <w:tc>
          <w:tcPr>
            <w:tcW w:w="1560" w:type="dxa"/>
            <w:vAlign w:val="center"/>
          </w:tcPr>
          <w:p>
            <w:pPr>
              <w:snapToGrid w:val="0"/>
              <w:spacing w:beforeLines="50"/>
              <w:jc w:val="center"/>
              <w:rPr>
                <w:rFonts w:hint="eastAsia" w:ascii="宋体" w:hAnsi="宋体" w:eastAsia="宋体" w:cs="Times New Roman"/>
                <w:szCs w:val="21"/>
                <w:lang w:eastAsia="zh-CN"/>
              </w:rPr>
            </w:pPr>
            <w:r>
              <w:rPr>
                <w:rFonts w:hint="eastAsia" w:ascii="宋体" w:hAnsi="宋体" w:eastAsia="宋体" w:cs="Times New Roman"/>
                <w:szCs w:val="21"/>
                <w:lang w:eastAsia="zh-CN"/>
              </w:rPr>
              <w:t>信誉</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7</w:t>
            </w:r>
            <w:r>
              <w:rPr>
                <w:rFonts w:hint="eastAsia" w:ascii="宋体" w:hAnsi="宋体" w:eastAsia="宋体" w:cs="Times New Roman"/>
                <w:szCs w:val="21"/>
              </w:rPr>
              <w:t>分）</w:t>
            </w:r>
          </w:p>
        </w:tc>
        <w:tc>
          <w:tcPr>
            <w:tcW w:w="6095" w:type="dxa"/>
            <w:vAlign w:val="center"/>
          </w:tcPr>
          <w:p>
            <w:pPr>
              <w:spacing w:line="360" w:lineRule="auto"/>
              <w:rPr>
                <w:rFonts w:ascii="宋体" w:hAnsi="宋体" w:eastAsia="宋体" w:cs="仿宋_GB2312"/>
                <w:szCs w:val="21"/>
                <w:lang w:val="zh-CN"/>
              </w:rPr>
            </w:pPr>
            <w:r>
              <w:rPr>
                <w:rFonts w:hint="eastAsia" w:asciiTheme="minorEastAsia" w:hAnsiTheme="minorEastAsia"/>
                <w:szCs w:val="21"/>
              </w:rPr>
              <w:t>投标人提供社会信用评级机构出具的信用评估报告，等级为AAA级得7分，AA级及以下得3分，不提供不得分</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技术部分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45</w:t>
            </w:r>
            <w:r>
              <w:rPr>
                <w:rFonts w:hint="eastAsia" w:ascii="宋体" w:hAnsi="宋体" w:eastAsia="宋体" w:cs="宋体"/>
                <w:szCs w:val="21"/>
              </w:rPr>
              <w:t>分）</w:t>
            </w:r>
          </w:p>
        </w:tc>
        <w:tc>
          <w:tcPr>
            <w:tcW w:w="1560" w:type="dxa"/>
            <w:vAlign w:val="center"/>
          </w:tcPr>
          <w:p>
            <w:pPr>
              <w:widowControl/>
              <w:snapToGrid w:val="0"/>
              <w:spacing w:beforeLines="50"/>
              <w:jc w:val="center"/>
              <w:rPr>
                <w:rFonts w:ascii="宋体" w:hAnsi="宋体" w:eastAsia="宋体" w:cs="Times New Roman"/>
                <w:szCs w:val="21"/>
              </w:rPr>
            </w:pPr>
            <w:r>
              <w:rPr>
                <w:rFonts w:hint="eastAsia" w:ascii="宋体" w:hAnsi="宋体" w:eastAsia="宋体" w:cs="Times New Roman"/>
                <w:szCs w:val="21"/>
              </w:rPr>
              <w:t>技术方案</w:t>
            </w:r>
          </w:p>
          <w:p>
            <w:pPr>
              <w:widowControl/>
              <w:snapToGrid w:val="0"/>
              <w:spacing w:beforeLines="50"/>
              <w:jc w:val="center"/>
              <w:rPr>
                <w:rFonts w:asciiTheme="minorEastAsia" w:hAnsiTheme="minorEastAsia"/>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45</w:t>
            </w:r>
            <w:r>
              <w:rPr>
                <w:rFonts w:hint="eastAsia" w:ascii="宋体" w:hAnsi="宋体" w:eastAsia="宋体" w:cs="Times New Roman"/>
                <w:szCs w:val="21"/>
              </w:rPr>
              <w:t>分）</w:t>
            </w:r>
          </w:p>
        </w:tc>
        <w:tc>
          <w:tcPr>
            <w:tcW w:w="6095" w:type="dxa"/>
            <w:vAlign w:val="center"/>
          </w:tcPr>
          <w:p>
            <w:pPr>
              <w:spacing w:line="360" w:lineRule="auto"/>
              <w:rPr>
                <w:rFonts w:hint="eastAsia" w:asciiTheme="minorEastAsia" w:hAnsiTheme="minorEastAsia"/>
                <w:szCs w:val="21"/>
              </w:rPr>
            </w:pPr>
            <w:r>
              <w:rPr>
                <w:rFonts w:hint="eastAsia" w:asciiTheme="minorEastAsia" w:hAnsiTheme="minorEastAsia"/>
                <w:szCs w:val="21"/>
              </w:rPr>
              <w:t>使用林地可行性研究报告的编制方案，全面、合理、完善、针对性强的得10分，有相关描述的得6分，不提供不得分；</w:t>
            </w:r>
          </w:p>
          <w:p>
            <w:pPr>
              <w:spacing w:line="360" w:lineRule="auto"/>
              <w:rPr>
                <w:rFonts w:hint="eastAsia" w:asciiTheme="minorEastAsia" w:hAnsiTheme="minorEastAsia"/>
                <w:szCs w:val="21"/>
              </w:rPr>
            </w:pPr>
            <w:r>
              <w:rPr>
                <w:rFonts w:hint="eastAsia" w:asciiTheme="minorEastAsia" w:hAnsiTheme="minorEastAsia"/>
                <w:szCs w:val="21"/>
              </w:rPr>
              <w:t>使用林地现地情况调查方法，详细、切实可行的得10分；有相关描述的得6分，不提供不得分；</w:t>
            </w:r>
          </w:p>
          <w:p>
            <w:pPr>
              <w:spacing w:line="360" w:lineRule="auto"/>
              <w:rPr>
                <w:rFonts w:hint="eastAsia" w:asciiTheme="minorEastAsia" w:hAnsiTheme="minorEastAsia"/>
                <w:szCs w:val="21"/>
              </w:rPr>
            </w:pPr>
            <w:r>
              <w:rPr>
                <w:rFonts w:hint="eastAsia" w:asciiTheme="minorEastAsia" w:hAnsiTheme="minorEastAsia"/>
                <w:szCs w:val="21"/>
              </w:rPr>
              <w:t>保证工作质量的措施和方法，切实可行的得7分；有相关描述的得3分，不提供不得分；</w:t>
            </w:r>
          </w:p>
          <w:p>
            <w:pPr>
              <w:spacing w:line="360" w:lineRule="auto"/>
              <w:rPr>
                <w:rFonts w:hint="eastAsia" w:asciiTheme="minorEastAsia" w:hAnsiTheme="minorEastAsia"/>
                <w:szCs w:val="21"/>
              </w:rPr>
            </w:pPr>
            <w:r>
              <w:rPr>
                <w:rFonts w:hint="eastAsia" w:asciiTheme="minorEastAsia" w:hAnsiTheme="minorEastAsia"/>
                <w:szCs w:val="21"/>
              </w:rPr>
              <w:t>保证工作进度的措施和方法，切实可行的得7分，有相关描述的得3分，不提供不得分；</w:t>
            </w:r>
          </w:p>
          <w:p>
            <w:pPr>
              <w:spacing w:line="360" w:lineRule="auto"/>
              <w:rPr>
                <w:rFonts w:hint="eastAsia" w:asciiTheme="minorEastAsia" w:hAnsiTheme="minorEastAsia"/>
                <w:szCs w:val="21"/>
              </w:rPr>
            </w:pPr>
            <w:r>
              <w:rPr>
                <w:rFonts w:hint="eastAsia" w:asciiTheme="minorEastAsia" w:hAnsiTheme="minorEastAsia"/>
                <w:szCs w:val="21"/>
              </w:rPr>
              <w:t>拟用于本项目的主要仪器（如胸径尺、测高器、罗盘、生长锥、皮尺、测绳、GPS、数码相机、野外数据采集仪、无人机等林业调查类仪器），提供的得3分，不提供不得分；</w:t>
            </w:r>
          </w:p>
          <w:p>
            <w:pPr>
              <w:spacing w:line="360" w:lineRule="auto"/>
              <w:rPr>
                <w:rFonts w:ascii="宋体" w:hAnsi="宋体"/>
                <w:color w:val="000000"/>
                <w:szCs w:val="21"/>
                <w:lang w:val="en-GB"/>
              </w:rPr>
            </w:pPr>
            <w:r>
              <w:rPr>
                <w:rFonts w:hint="eastAsia" w:asciiTheme="minorEastAsia" w:hAnsiTheme="minorEastAsia"/>
                <w:szCs w:val="21"/>
              </w:rPr>
              <w:t>6、对本项目的合理性建议，结合本项目情况，从调查方法（准备、面积调查、林木调查、社会调查）、拟使用林地状况、采伐限额使用情况、占用各类保护区、重点工程情况、重点保护野生动植物及古树名木情况。使用林地对环境的影响等方面向业主提出合理化建议；全面、合理、完善、针对性强的得8分，有相关描述的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restart"/>
            <w:tcBorders>
              <w:right w:val="single" w:color="auto" w:sz="4" w:space="0"/>
            </w:tcBorders>
            <w:vAlign w:val="center"/>
          </w:tcPr>
          <w:p>
            <w:pPr>
              <w:snapToGrid w:val="0"/>
              <w:spacing w:beforeLines="50"/>
              <w:jc w:val="center"/>
              <w:rPr>
                <w:rFonts w:ascii="宋体" w:hAnsi="宋体" w:eastAsia="宋体" w:cs="宋体"/>
                <w:szCs w:val="21"/>
              </w:rPr>
            </w:pPr>
            <w:r>
              <w:rPr>
                <w:rFonts w:hint="eastAsia" w:ascii="宋体" w:hAnsi="宋体" w:eastAsia="宋体" w:cs="宋体"/>
                <w:szCs w:val="21"/>
              </w:rPr>
              <w:t>服务部分</w:t>
            </w:r>
          </w:p>
          <w:p>
            <w:pPr>
              <w:snapToGrid w:val="0"/>
              <w:spacing w:beforeLines="50"/>
              <w:jc w:val="center"/>
              <w:rPr>
                <w:rFonts w:ascii="宋体" w:hAnsi="宋体" w:eastAsia="宋体" w:cs="宋体"/>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23</w:t>
            </w:r>
            <w:r>
              <w:rPr>
                <w:rFonts w:hint="eastAsia" w:ascii="宋体" w:hAnsi="宋体" w:eastAsia="宋体" w:cs="宋体"/>
                <w:szCs w:val="21"/>
              </w:rPr>
              <w:t>分）</w:t>
            </w:r>
          </w:p>
        </w:tc>
        <w:tc>
          <w:tcPr>
            <w:tcW w:w="1560" w:type="dxa"/>
            <w:tcBorders>
              <w:right w:val="single" w:color="auto" w:sz="4" w:space="0"/>
            </w:tcBorders>
            <w:vAlign w:val="center"/>
          </w:tcPr>
          <w:p>
            <w:pPr>
              <w:snapToGrid w:val="0"/>
              <w:spacing w:beforeLines="50"/>
              <w:jc w:val="center"/>
              <w:rPr>
                <w:rFonts w:hint="eastAsia" w:ascii="宋体" w:hAnsi="宋体" w:eastAsia="宋体" w:cs="宋体"/>
                <w:szCs w:val="21"/>
                <w:lang w:eastAsia="zh-CN"/>
              </w:rPr>
            </w:pPr>
            <w:r>
              <w:rPr>
                <w:rFonts w:hint="eastAsia" w:ascii="宋体" w:hAnsi="宋体" w:eastAsia="宋体" w:cs="宋体"/>
                <w:szCs w:val="21"/>
              </w:rPr>
              <w:t>售后服务</w:t>
            </w:r>
            <w:r>
              <w:rPr>
                <w:rFonts w:hint="eastAsia" w:ascii="宋体" w:hAnsi="宋体" w:eastAsia="宋体" w:cs="宋体"/>
                <w:szCs w:val="21"/>
                <w:lang w:eastAsia="zh-CN"/>
              </w:rPr>
              <w:t>承诺</w:t>
            </w:r>
          </w:p>
          <w:p>
            <w:pPr>
              <w:snapToGrid w:val="0"/>
              <w:spacing w:beforeLines="50"/>
              <w:jc w:val="center"/>
              <w:rPr>
                <w:rFonts w:ascii="宋体" w:hAnsi="宋体" w:eastAsia="宋体" w:cs="Times New Roman"/>
                <w:szCs w:val="21"/>
              </w:rPr>
            </w:pPr>
            <w:r>
              <w:rPr>
                <w:rFonts w:hint="eastAsia" w:ascii="宋体" w:hAnsi="宋体" w:eastAsia="宋体" w:cs="宋体"/>
                <w:szCs w:val="21"/>
              </w:rPr>
              <w:t>（</w:t>
            </w:r>
            <w:r>
              <w:rPr>
                <w:rFonts w:hint="eastAsia" w:eastAsia="宋体" w:asciiTheme="minorEastAsia" w:hAnsiTheme="minorEastAsia"/>
                <w:color w:val="FF0000"/>
                <w:szCs w:val="21"/>
                <w:u w:val="single"/>
                <w:lang w:val="en-US" w:eastAsia="zh-CN"/>
              </w:rPr>
              <w:t>20</w:t>
            </w:r>
            <w:r>
              <w:rPr>
                <w:rFonts w:hint="eastAsia" w:ascii="宋体" w:hAnsi="宋体" w:eastAsia="宋体" w:cs="宋体"/>
                <w:szCs w:val="21"/>
              </w:rPr>
              <w:t>分）</w:t>
            </w:r>
          </w:p>
        </w:tc>
        <w:tc>
          <w:tcPr>
            <w:tcW w:w="6095" w:type="dxa"/>
            <w:tcBorders>
              <w:right w:val="single" w:color="auto" w:sz="4" w:space="0"/>
            </w:tcBorders>
            <w:vAlign w:val="center"/>
          </w:tcPr>
          <w:p>
            <w:pPr>
              <w:pStyle w:val="37"/>
              <w:ind w:firstLine="0" w:firstLineChars="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1、服务承诺内容完善规范得7分、有相关描述的得4分，不提供不得分；</w:t>
            </w:r>
          </w:p>
          <w:p>
            <w:pPr>
              <w:pStyle w:val="37"/>
              <w:ind w:firstLine="0" w:firstLineChars="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2、对服务项目实际需求分析全面合理、可行的得7分，有相关描述的得4分，不提供不得分；</w:t>
            </w:r>
          </w:p>
          <w:p>
            <w:pPr>
              <w:snapToGrid w:val="0"/>
              <w:spacing w:beforeLines="50"/>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3、与其他单位配合的服务承诺及后续服务期的服务承诺完善、合理可行的得6分，有相关描述的得3分，不提供不得分。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384" w:type="dxa"/>
            <w:vMerge w:val="continue"/>
            <w:tcBorders>
              <w:right w:val="single" w:color="auto" w:sz="4" w:space="0"/>
            </w:tcBorders>
            <w:vAlign w:val="top"/>
          </w:tcPr>
          <w:p>
            <w:pPr>
              <w:snapToGrid w:val="0"/>
              <w:spacing w:beforeLines="50"/>
              <w:rPr>
                <w:rFonts w:ascii="宋体" w:hAnsi="宋体" w:eastAsia="宋体" w:cs="宋体"/>
                <w:szCs w:val="21"/>
              </w:rPr>
            </w:pPr>
          </w:p>
        </w:tc>
        <w:tc>
          <w:tcPr>
            <w:tcW w:w="1560" w:type="dxa"/>
            <w:tcBorders>
              <w:right w:val="single" w:color="auto" w:sz="4" w:space="0"/>
            </w:tcBorders>
            <w:vAlign w:val="center"/>
          </w:tcPr>
          <w:p>
            <w:pPr>
              <w:snapToGrid w:val="0"/>
              <w:spacing w:beforeLines="50"/>
              <w:jc w:val="center"/>
              <w:rPr>
                <w:rFonts w:ascii="宋体" w:hAnsi="宋体" w:eastAsia="宋体" w:cs="Times New Roman"/>
                <w:szCs w:val="21"/>
              </w:rPr>
            </w:pPr>
            <w:r>
              <w:rPr>
                <w:rFonts w:hint="eastAsia" w:ascii="宋体" w:hAnsi="宋体" w:eastAsia="宋体" w:cs="Times New Roman"/>
                <w:szCs w:val="21"/>
              </w:rPr>
              <w:t>投标文件编制</w:t>
            </w:r>
          </w:p>
          <w:p>
            <w:pPr>
              <w:snapToGrid w:val="0"/>
              <w:spacing w:beforeLines="50"/>
              <w:jc w:val="center"/>
              <w:rPr>
                <w:rFonts w:ascii="宋体" w:hAnsi="宋体" w:eastAsia="宋体" w:cs="Times New Roman"/>
                <w:szCs w:val="21"/>
              </w:rPr>
            </w:pPr>
            <w:r>
              <w:rPr>
                <w:rFonts w:hint="eastAsia" w:ascii="宋体" w:hAnsi="宋体" w:eastAsia="宋体" w:cs="Times New Roman"/>
                <w:szCs w:val="21"/>
              </w:rPr>
              <w:t>（</w:t>
            </w:r>
            <w:r>
              <w:rPr>
                <w:rFonts w:hint="eastAsia" w:eastAsia="宋体" w:asciiTheme="minorEastAsia" w:hAnsiTheme="minorEastAsia"/>
                <w:color w:val="FF0000"/>
                <w:szCs w:val="21"/>
                <w:u w:val="single"/>
                <w:lang w:val="en-US" w:eastAsia="zh-CN"/>
              </w:rPr>
              <w:t>3</w:t>
            </w:r>
            <w:r>
              <w:rPr>
                <w:rFonts w:hint="eastAsia" w:ascii="宋体" w:hAnsi="宋体" w:eastAsia="宋体" w:cs="Times New Roman"/>
                <w:szCs w:val="21"/>
              </w:rPr>
              <w:t>分）</w:t>
            </w:r>
          </w:p>
        </w:tc>
        <w:tc>
          <w:tcPr>
            <w:tcW w:w="6095" w:type="dxa"/>
            <w:tcBorders>
              <w:right w:val="single" w:color="auto" w:sz="4" w:space="0"/>
            </w:tcBorders>
            <w:vAlign w:val="center"/>
          </w:tcPr>
          <w:p>
            <w:pPr>
              <w:spacing w:line="360" w:lineRule="auto"/>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eastAsiaTheme="minorEastAsia" w:cstheme="minorBidi"/>
                <w:kern w:val="2"/>
                <w:sz w:val="21"/>
                <w:szCs w:val="21"/>
                <w:lang w:val="en-US" w:eastAsia="zh-CN" w:bidi="ar-SA"/>
              </w:rPr>
              <w:t>1、投标文件排版规范、条理清楚、图文清晰得1分，否则不得分；</w:t>
            </w:r>
          </w:p>
          <w:p>
            <w:pPr>
              <w:spacing w:line="360" w:lineRule="auto"/>
              <w:rPr>
                <w:rFonts w:ascii="宋体" w:hAnsi="宋体" w:eastAsia="宋体" w:cs="Times New Roman"/>
                <w:szCs w:val="21"/>
              </w:rPr>
            </w:pPr>
            <w:r>
              <w:rPr>
                <w:rFonts w:hint="eastAsia" w:asciiTheme="minorEastAsia" w:hAnsiTheme="minorEastAsia" w:eastAsiaTheme="minorEastAsia" w:cstheme="minorBidi"/>
                <w:kern w:val="2"/>
                <w:sz w:val="21"/>
                <w:szCs w:val="21"/>
                <w:lang w:val="en-US" w:eastAsia="zh-CN" w:bidi="ar-SA"/>
              </w:rPr>
              <w:t>2、所提供资料准确完整，无差错得2分，否则不得分。</w:t>
            </w:r>
          </w:p>
        </w:tc>
      </w:tr>
    </w:tbl>
    <w:p>
      <w:pPr>
        <w:spacing w:line="360" w:lineRule="auto"/>
        <w:ind w:firstLine="422" w:firstLineChars="200"/>
        <w:rPr>
          <w:rFonts w:cs="仿宋_GB2312" w:asciiTheme="minorEastAsia" w:hAnsiTheme="minorEastAsia"/>
          <w:b/>
          <w:szCs w:val="21"/>
          <w:lang w:val="zh-CN"/>
        </w:rPr>
      </w:pP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0"/>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0"/>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0"/>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0"/>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5" w:name="_Toc174185203"/>
      <w:bookmarkStart w:id="6" w:name="_Toc184023138"/>
      <w:bookmarkStart w:id="7" w:name="_Toc186274126"/>
      <w:r>
        <w:rPr>
          <w:rFonts w:hint="eastAsia" w:cs="黑体" w:asciiTheme="minorEastAsia" w:hAnsiTheme="minorEastAsia" w:eastAsiaTheme="minorEastAsia"/>
          <w:color w:val="auto"/>
          <w:kern w:val="2"/>
          <w:sz w:val="28"/>
          <w:szCs w:val="28"/>
          <w:lang w:val="zh-CN"/>
        </w:rPr>
        <w:t>一、投标人应答索引表</w:t>
      </w:r>
      <w:bookmarkEnd w:id="5"/>
      <w:bookmarkEnd w:id="6"/>
      <w:bookmarkEnd w:id="7"/>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w:t>
      </w:r>
      <w:r>
        <w:rPr>
          <w:rFonts w:hint="eastAsia" w:asciiTheme="minorEastAsia" w:hAnsiTheme="minorEastAsia"/>
          <w:snapToGrid w:val="0"/>
          <w:kern w:val="0"/>
          <w:szCs w:val="21"/>
          <w:u w:val="none"/>
        </w:rPr>
        <w:t>份，副本一份</w:t>
      </w:r>
      <w:r>
        <w:rPr>
          <w:rFonts w:hint="eastAsia" w:asciiTheme="minorEastAsia" w:hAnsiTheme="minorEastAsia"/>
          <w:snapToGrid w:val="0"/>
          <w:kern w:val="0"/>
          <w:szCs w:val="21"/>
        </w:rPr>
        <w:t>。</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3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firstLine="472" w:firstLineChars="225"/>
        <w:jc w:val="left"/>
        <w:rPr>
          <w:rFonts w:asciiTheme="minorEastAsia" w:hAnsiTheme="minorEastAsia"/>
          <w:color w:val="000000"/>
          <w:sz w:val="21"/>
          <w:szCs w:val="21"/>
        </w:rPr>
      </w:pPr>
    </w:p>
    <w:p>
      <w:pPr>
        <w:pStyle w:val="3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3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8" w:name="_资格证明文件"/>
            <w:bookmarkEnd w:id="8"/>
            <w:bookmarkStart w:id="9"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9"/>
          </w:p>
        </w:tc>
        <w:tc>
          <w:tcPr>
            <w:tcW w:w="4492" w:type="dxa"/>
            <w:gridSpan w:val="2"/>
            <w:vAlign w:val="center"/>
          </w:tcPr>
          <w:p>
            <w:pPr>
              <w:jc w:val="center"/>
              <w:rPr>
                <w:rFonts w:asciiTheme="minorEastAsia" w:hAnsiTheme="minorEastAsia"/>
                <w:szCs w:val="21"/>
              </w:rPr>
            </w:pPr>
            <w:bookmarkStart w:id="10"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投标人名称（盖章）：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ind w:left="630" w:hanging="63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投标人名称（盖章）：　　　　　　　　　</w:t>
      </w:r>
      <w:r>
        <w:rPr>
          <w:rFonts w:hint="eastAsia" w:cs="Arial" w:asciiTheme="minorEastAsia" w:hAnsiTheme="minorEastAsia"/>
          <w:color w:val="000000"/>
          <w:szCs w:val="21"/>
        </w:rPr>
        <w:br w:type="textWrapping"/>
      </w:r>
      <w:r>
        <w:rPr>
          <w:rFonts w:hint="eastAsia" w:cs="Arial" w:asciiTheme="minorEastAsia" w:hAnsiTheme="minorEastAsia"/>
          <w:color w:val="000000"/>
          <w:szCs w:val="21"/>
        </w:rPr>
        <w:t>日　  期：      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1" w:name="OLE_LINK14"/>
      <w:bookmarkStart w:id="12" w:name="OLE_LINK13"/>
      <w:r>
        <w:rPr>
          <w:rFonts w:hint="eastAsia" w:ascii="宋体" w:hAnsi="宋体"/>
          <w:b/>
          <w:bCs/>
          <w:color w:val="000000"/>
          <w:sz w:val="24"/>
          <w:szCs w:val="24"/>
        </w:rPr>
        <w:t>4.10 残疾人福利性单位声明函</w:t>
      </w:r>
    </w:p>
    <w:bookmarkEnd w:id="11"/>
    <w:bookmarkEnd w:id="12"/>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480" w:lineRule="auto"/>
        <w:ind w:left="4358" w:leftChars="2075"/>
        <w:rPr>
          <w:rFonts w:cs="Arial" w:asciiTheme="minorEastAsia" w:hAnsiTheme="minorEastAsia"/>
          <w:color w:val="000000"/>
          <w:szCs w:val="21"/>
        </w:rPr>
      </w:pPr>
      <w:r>
        <w:rPr>
          <w:rFonts w:hint="eastAsia" w:ascii="宋体" w:hAnsi="宋体"/>
          <w:szCs w:val="21"/>
        </w:rPr>
        <w:t xml:space="preserve"> </w:t>
      </w:r>
      <w:r>
        <w:rPr>
          <w:rFonts w:hint="eastAsia" w:cs="Arial" w:asciiTheme="minorEastAsia" w:hAnsiTheme="minorEastAsia"/>
          <w:color w:val="000000"/>
          <w:szCs w:val="21"/>
        </w:rPr>
        <w:t>单位名称（盖章）：</w:t>
      </w:r>
    </w:p>
    <w:p>
      <w:pPr>
        <w:spacing w:line="480" w:lineRule="auto"/>
        <w:ind w:left="4358" w:leftChars="2075"/>
        <w:rPr>
          <w:rFonts w:cs="Arial" w:asciiTheme="minorEastAsia" w:hAnsiTheme="minorEastAsia"/>
          <w:color w:val="000000"/>
          <w:szCs w:val="21"/>
        </w:rPr>
      </w:pPr>
      <w:r>
        <w:rPr>
          <w:rFonts w:hint="eastAsia" w:cs="Arial" w:asciiTheme="minorEastAsia" w:hAnsiTheme="minorEastAsia"/>
          <w:color w:val="000000"/>
          <w:szCs w:val="21"/>
        </w:rPr>
        <w:t xml:space="preserve"> 日    期：      年    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C2"/>
    <w:multiLevelType w:val="singleLevel"/>
    <w:tmpl w:val="59F817C2"/>
    <w:lvl w:ilvl="0" w:tentative="0">
      <w:start w:val="2"/>
      <w:numFmt w:val="chineseCounting"/>
      <w:suff w:val="space"/>
      <w:lvlText w:val="第%1章"/>
      <w:lvlJc w:val="left"/>
    </w:lvl>
  </w:abstractNum>
  <w:abstractNum w:abstractNumId="12">
    <w:nsid w:val="59F817E8"/>
    <w:multiLevelType w:val="singleLevel"/>
    <w:tmpl w:val="59F817E8"/>
    <w:lvl w:ilvl="0" w:tentative="0">
      <w:start w:val="1"/>
      <w:numFmt w:val="chineseCounting"/>
      <w:pStyle w:val="48"/>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10ED89"/>
    <w:multiLevelType w:val="singleLevel"/>
    <w:tmpl w:val="7C10ED89"/>
    <w:lvl w:ilvl="0" w:tentative="0">
      <w:start w:val="1"/>
      <w:numFmt w:val="chineseCounting"/>
      <w:suff w:val="nothing"/>
      <w:lvlText w:val="%1、"/>
      <w:lvlJc w:val="left"/>
      <w:rPr>
        <w:rFonts w:hint="eastAsia"/>
      </w:rPr>
    </w:lvl>
  </w:abstractNum>
  <w:num w:numId="1">
    <w:abstractNumId w:val="0"/>
  </w:num>
  <w:num w:numId="2">
    <w:abstractNumId w:val="1"/>
  </w:num>
  <w:num w:numId="3">
    <w:abstractNumId w:val="12"/>
  </w:num>
  <w:num w:numId="4">
    <w:abstractNumId w:val="11"/>
  </w:num>
  <w:num w:numId="5">
    <w:abstractNumId w:val="16"/>
  </w:num>
  <w:num w:numId="6">
    <w:abstractNumId w:val="7"/>
  </w:num>
  <w:num w:numId="7">
    <w:abstractNumId w:val="13"/>
  </w:num>
  <w:num w:numId="8">
    <w:abstractNumId w:val="4"/>
  </w:num>
  <w:num w:numId="9">
    <w:abstractNumId w:val="5"/>
  </w:num>
  <w:num w:numId="10">
    <w:abstractNumId w:val="15"/>
  </w:num>
  <w:num w:numId="11">
    <w:abstractNumId w:val="9"/>
  </w:num>
  <w:num w:numId="12">
    <w:abstractNumId w:val="14"/>
  </w:num>
  <w:num w:numId="13">
    <w:abstractNumId w:val="3"/>
  </w:num>
  <w:num w:numId="14">
    <w:abstractNumId w:val="6"/>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8034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9AC"/>
    <w:rsid w:val="00100BEF"/>
    <w:rsid w:val="001013D9"/>
    <w:rsid w:val="0010571F"/>
    <w:rsid w:val="00117B60"/>
    <w:rsid w:val="00121E2F"/>
    <w:rsid w:val="00133EDE"/>
    <w:rsid w:val="00142DB6"/>
    <w:rsid w:val="00152A00"/>
    <w:rsid w:val="00156EC1"/>
    <w:rsid w:val="00160E65"/>
    <w:rsid w:val="00162C1E"/>
    <w:rsid w:val="001D4207"/>
    <w:rsid w:val="001E7C2C"/>
    <w:rsid w:val="001F5571"/>
    <w:rsid w:val="00203BE3"/>
    <w:rsid w:val="00210C2B"/>
    <w:rsid w:val="00210FCB"/>
    <w:rsid w:val="00250C01"/>
    <w:rsid w:val="00293C27"/>
    <w:rsid w:val="002945DA"/>
    <w:rsid w:val="002A5B82"/>
    <w:rsid w:val="002C7916"/>
    <w:rsid w:val="002D4951"/>
    <w:rsid w:val="002E2CED"/>
    <w:rsid w:val="002F3A7B"/>
    <w:rsid w:val="002F4123"/>
    <w:rsid w:val="003033ED"/>
    <w:rsid w:val="003044A3"/>
    <w:rsid w:val="00320DAC"/>
    <w:rsid w:val="00323356"/>
    <w:rsid w:val="003242B4"/>
    <w:rsid w:val="003305F9"/>
    <w:rsid w:val="00335F83"/>
    <w:rsid w:val="00337912"/>
    <w:rsid w:val="003552A2"/>
    <w:rsid w:val="00372961"/>
    <w:rsid w:val="0038333D"/>
    <w:rsid w:val="00390295"/>
    <w:rsid w:val="003B75ED"/>
    <w:rsid w:val="003C7F5A"/>
    <w:rsid w:val="003F5CD2"/>
    <w:rsid w:val="00406170"/>
    <w:rsid w:val="00410B93"/>
    <w:rsid w:val="00414383"/>
    <w:rsid w:val="004207F8"/>
    <w:rsid w:val="00422114"/>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503D0"/>
    <w:rsid w:val="0066419E"/>
    <w:rsid w:val="00667B6D"/>
    <w:rsid w:val="0067566A"/>
    <w:rsid w:val="0067738B"/>
    <w:rsid w:val="00680752"/>
    <w:rsid w:val="0068663A"/>
    <w:rsid w:val="006907F7"/>
    <w:rsid w:val="00693F99"/>
    <w:rsid w:val="006B7982"/>
    <w:rsid w:val="006D10FD"/>
    <w:rsid w:val="006D5FEB"/>
    <w:rsid w:val="006D7001"/>
    <w:rsid w:val="006D77A9"/>
    <w:rsid w:val="006E145E"/>
    <w:rsid w:val="006E1AB0"/>
    <w:rsid w:val="00702C35"/>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473D"/>
    <w:rsid w:val="00991EE9"/>
    <w:rsid w:val="009A0AC9"/>
    <w:rsid w:val="009B61E8"/>
    <w:rsid w:val="009C12AB"/>
    <w:rsid w:val="009D4208"/>
    <w:rsid w:val="009D76D2"/>
    <w:rsid w:val="009E01A6"/>
    <w:rsid w:val="009E0C30"/>
    <w:rsid w:val="00A04493"/>
    <w:rsid w:val="00A04AFF"/>
    <w:rsid w:val="00A22272"/>
    <w:rsid w:val="00A24AAD"/>
    <w:rsid w:val="00A305AC"/>
    <w:rsid w:val="00A33B8B"/>
    <w:rsid w:val="00A57B03"/>
    <w:rsid w:val="00A678FE"/>
    <w:rsid w:val="00A831DE"/>
    <w:rsid w:val="00AA4948"/>
    <w:rsid w:val="00AA75E5"/>
    <w:rsid w:val="00AB190E"/>
    <w:rsid w:val="00AB1F1D"/>
    <w:rsid w:val="00AC4FB4"/>
    <w:rsid w:val="00AD282C"/>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530CE"/>
    <w:rsid w:val="00D60CC8"/>
    <w:rsid w:val="00D60D1B"/>
    <w:rsid w:val="00D62B97"/>
    <w:rsid w:val="00D63CA1"/>
    <w:rsid w:val="00D678D3"/>
    <w:rsid w:val="00D76C9F"/>
    <w:rsid w:val="00D95F07"/>
    <w:rsid w:val="00DA1077"/>
    <w:rsid w:val="00DA62F5"/>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826A6"/>
    <w:rsid w:val="00F9402A"/>
    <w:rsid w:val="00F96B77"/>
    <w:rsid w:val="00FA256C"/>
    <w:rsid w:val="00FB1061"/>
    <w:rsid w:val="00FB2FC2"/>
    <w:rsid w:val="00FB3047"/>
    <w:rsid w:val="00FB7E42"/>
    <w:rsid w:val="00FC2988"/>
    <w:rsid w:val="00FC3B84"/>
    <w:rsid w:val="00FF620F"/>
    <w:rsid w:val="00FF6F49"/>
    <w:rsid w:val="023A2D30"/>
    <w:rsid w:val="02D15763"/>
    <w:rsid w:val="0DA5095C"/>
    <w:rsid w:val="0EE23344"/>
    <w:rsid w:val="12104C2C"/>
    <w:rsid w:val="13643DC8"/>
    <w:rsid w:val="1AD317B4"/>
    <w:rsid w:val="25C9768D"/>
    <w:rsid w:val="268367D4"/>
    <w:rsid w:val="3156216B"/>
    <w:rsid w:val="3FF1789F"/>
    <w:rsid w:val="44771F77"/>
    <w:rsid w:val="45912CF4"/>
    <w:rsid w:val="45FC7026"/>
    <w:rsid w:val="4C4A3FB4"/>
    <w:rsid w:val="4CF16DA8"/>
    <w:rsid w:val="56C3201C"/>
    <w:rsid w:val="581118B6"/>
    <w:rsid w:val="5DAD6C18"/>
    <w:rsid w:val="655469D7"/>
    <w:rsid w:val="68AC6820"/>
    <w:rsid w:val="6FB63ED2"/>
    <w:rsid w:val="73DE2628"/>
    <w:rsid w:val="7528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5"/>
    <w:qFormat/>
    <w:uiPriority w:val="0"/>
    <w:rPr>
      <w:rFonts w:ascii="Times New Roman" w:hAnsi="Times New Roman" w:eastAsia="宋体" w:cs="Times New Roman"/>
      <w:color w:val="FF0000"/>
      <w:sz w:val="24"/>
      <w:szCs w:val="24"/>
    </w:rPr>
  </w:style>
  <w:style w:type="paragraph" w:styleId="9">
    <w:name w:val="Body Text"/>
    <w:basedOn w:val="1"/>
    <w:link w:val="49"/>
    <w:semiHidden/>
    <w:unhideWhenUsed/>
    <w:qFormat/>
    <w:uiPriority w:val="99"/>
    <w:pPr>
      <w:spacing w:after="120"/>
    </w:pPr>
  </w:style>
  <w:style w:type="paragraph" w:styleId="10">
    <w:name w:val="Body Text Indent"/>
    <w:basedOn w:val="1"/>
    <w:link w:val="53"/>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Balloon Text"/>
    <w:basedOn w:val="1"/>
    <w:link w:val="54"/>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50"/>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Hyperlink"/>
    <w:basedOn w:val="23"/>
    <w:unhideWhenUsed/>
    <w:qFormat/>
    <w:uiPriority w:val="99"/>
    <w:rPr>
      <w:color w:val="0000FF"/>
      <w:u w:val="single"/>
    </w:rPr>
  </w:style>
  <w:style w:type="character" w:customStyle="1" w:styleId="26">
    <w:name w:val="标题 1 Char"/>
    <w:basedOn w:val="23"/>
    <w:link w:val="2"/>
    <w:qFormat/>
    <w:uiPriority w:val="0"/>
    <w:rPr>
      <w:rFonts w:ascii="Calibri" w:hAnsi="Calibri" w:eastAsia="宋体" w:cs="Times New Roman"/>
      <w:b/>
      <w:bCs/>
      <w:kern w:val="44"/>
      <w:sz w:val="44"/>
      <w:szCs w:val="44"/>
    </w:rPr>
  </w:style>
  <w:style w:type="character" w:customStyle="1" w:styleId="27">
    <w:name w:val="标题 2 Char"/>
    <w:basedOn w:val="23"/>
    <w:link w:val="3"/>
    <w:qFormat/>
    <w:uiPriority w:val="0"/>
    <w:rPr>
      <w:rFonts w:ascii="Arial" w:hAnsi="Arial" w:eastAsia="黑体" w:cs="Times New Roman"/>
      <w:b/>
      <w:bCs/>
      <w:kern w:val="0"/>
      <w:sz w:val="32"/>
      <w:szCs w:val="32"/>
    </w:rPr>
  </w:style>
  <w:style w:type="character" w:customStyle="1" w:styleId="28">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3"/>
    <w:link w:val="5"/>
    <w:qFormat/>
    <w:uiPriority w:val="0"/>
    <w:rPr>
      <w:rFonts w:ascii="Arial" w:hAnsi="Arial" w:eastAsia="黑体" w:cs="Times New Roman"/>
      <w:b/>
      <w:bCs/>
      <w:kern w:val="0"/>
      <w:sz w:val="28"/>
      <w:szCs w:val="28"/>
    </w:rPr>
  </w:style>
  <w:style w:type="character" w:customStyle="1" w:styleId="30">
    <w:name w:val="纯文本 Char"/>
    <w:basedOn w:val="23"/>
    <w:link w:val="13"/>
    <w:qFormat/>
    <w:uiPriority w:val="0"/>
    <w:rPr>
      <w:rFonts w:eastAsia="宋体"/>
      <w:sz w:val="24"/>
    </w:rPr>
  </w:style>
  <w:style w:type="character" w:customStyle="1" w:styleId="31">
    <w:name w:val="日期 Char"/>
    <w:basedOn w:val="23"/>
    <w:link w:val="14"/>
    <w:qFormat/>
    <w:uiPriority w:val="99"/>
  </w:style>
  <w:style w:type="character" w:customStyle="1" w:styleId="32">
    <w:name w:val="页脚 Char"/>
    <w:basedOn w:val="23"/>
    <w:link w:val="16"/>
    <w:qFormat/>
    <w:uiPriority w:val="99"/>
    <w:rPr>
      <w:sz w:val="18"/>
      <w:szCs w:val="18"/>
    </w:rPr>
  </w:style>
  <w:style w:type="character" w:customStyle="1" w:styleId="33">
    <w:name w:val="页眉 Char"/>
    <w:basedOn w:val="23"/>
    <w:link w:val="17"/>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3"/>
    <w:link w:val="8"/>
    <w:qFormat/>
    <w:uiPriority w:val="0"/>
    <w:rPr>
      <w:rFonts w:ascii="Times New Roman" w:hAnsi="Times New Roman" w:eastAsia="宋体" w:cs="Times New Roman"/>
      <w:color w:val="FF0000"/>
      <w:sz w:val="24"/>
      <w:szCs w:val="24"/>
    </w:rPr>
  </w:style>
  <w:style w:type="character" w:customStyle="1" w:styleId="46">
    <w:name w:val="edittexttarea"/>
    <w:basedOn w:val="23"/>
    <w:qFormat/>
    <w:uiPriority w:val="0"/>
  </w:style>
  <w:style w:type="paragraph" w:customStyle="1" w:styleId="4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3"/>
    <w:link w:val="9"/>
    <w:semiHidden/>
    <w:qFormat/>
    <w:uiPriority w:val="99"/>
  </w:style>
  <w:style w:type="character" w:customStyle="1" w:styleId="50">
    <w:name w:val="正文首行缩进 Char"/>
    <w:basedOn w:val="49"/>
    <w:link w:val="21"/>
    <w:qFormat/>
    <w:uiPriority w:val="0"/>
    <w:rPr>
      <w:rFonts w:ascii="宋体" w:hAnsi="Times New Roman" w:eastAsia="宋体" w:cs="Times New Roman"/>
      <w:kern w:val="0"/>
      <w:sz w:val="34"/>
      <w:szCs w:val="20"/>
    </w:rPr>
  </w:style>
  <w:style w:type="character" w:customStyle="1" w:styleId="51">
    <w:name w:val="HTML 预设格式 Char"/>
    <w:basedOn w:val="23"/>
    <w:link w:val="19"/>
    <w:semiHidden/>
    <w:qFormat/>
    <w:uiPriority w:val="99"/>
    <w:rPr>
      <w:rFonts w:ascii="宋体" w:hAnsi="宋体" w:eastAsia="宋体" w:cs="宋体"/>
      <w:kern w:val="0"/>
      <w:sz w:val="24"/>
      <w:szCs w:val="24"/>
    </w:rPr>
  </w:style>
  <w:style w:type="character" w:customStyle="1" w:styleId="52">
    <w:name w:val="正文文本缩进 Char"/>
    <w:link w:val="10"/>
    <w:qFormat/>
    <w:uiPriority w:val="0"/>
    <w:rPr>
      <w:sz w:val="24"/>
    </w:rPr>
  </w:style>
  <w:style w:type="character" w:customStyle="1" w:styleId="53">
    <w:name w:val="正文文本缩进 Char1"/>
    <w:basedOn w:val="23"/>
    <w:link w:val="10"/>
    <w:semiHidden/>
    <w:qFormat/>
    <w:uiPriority w:val="99"/>
  </w:style>
  <w:style w:type="character" w:customStyle="1" w:styleId="54">
    <w:name w:val="批注框文本 Char"/>
    <w:basedOn w:val="23"/>
    <w:link w:val="15"/>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A4727-F211-4383-9223-C18F4486042E}">
  <ds:schemaRefs/>
</ds:datastoreItem>
</file>

<file path=docProps/app.xml><?xml version="1.0" encoding="utf-8"?>
<Properties xmlns="http://schemas.openxmlformats.org/officeDocument/2006/extended-properties" xmlns:vt="http://schemas.openxmlformats.org/officeDocument/2006/docPropsVTypes">
  <Template>Normal</Template>
  <Pages>74</Pages>
  <Words>32319</Words>
  <Characters>33797</Characters>
  <Lines>270</Lines>
  <Paragraphs>76</Paragraphs>
  <TotalTime>7</TotalTime>
  <ScaleCrop>false</ScaleCrop>
  <LinksUpToDate>false</LinksUpToDate>
  <CharactersWithSpaces>35073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许昌市公共资源交易中心:杨丹丹（备用2）</cp:lastModifiedBy>
  <cp:lastPrinted>2019-08-02T09:19:00Z</cp:lastPrinted>
  <dcterms:modified xsi:type="dcterms:W3CDTF">2019-08-16T01:54:14Z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