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sz w:val="44"/>
          <w:szCs w:val="44"/>
        </w:rPr>
      </w:pPr>
    </w:p>
    <w:p>
      <w:pPr>
        <w:spacing w:line="600" w:lineRule="exact"/>
        <w:ind w:firstLine="883" w:firstLineChars="200"/>
        <w:jc w:val="both"/>
        <w:rPr>
          <w:rFonts w:hint="eastAsia" w:ascii="黑体" w:hAnsi="黑体" w:eastAsia="黑体" w:cs="黑体"/>
          <w:b/>
          <w:bCs/>
          <w:sz w:val="44"/>
          <w:szCs w:val="44"/>
          <w:lang w:eastAsia="zh-CN"/>
        </w:rPr>
      </w:pPr>
      <w:r>
        <w:rPr>
          <w:rFonts w:hint="eastAsia" w:ascii="黑体" w:hAnsi="黑体" w:eastAsia="黑体" w:cs="黑体"/>
          <w:b/>
          <w:bCs/>
          <w:sz w:val="44"/>
          <w:szCs w:val="44"/>
        </w:rPr>
        <w:t>禹州</w:t>
      </w:r>
      <w:r>
        <w:rPr>
          <w:rFonts w:hint="eastAsia" w:ascii="黑体" w:hAnsi="黑体" w:eastAsia="黑体" w:cs="黑体"/>
          <w:b/>
          <w:bCs/>
          <w:sz w:val="44"/>
          <w:szCs w:val="44"/>
          <w:lang w:eastAsia="zh-CN"/>
        </w:rPr>
        <w:t>市畜牧局瘦肉精检测卡采购项目</w:t>
      </w:r>
    </w:p>
    <w:p>
      <w:pPr>
        <w:jc w:val="center"/>
        <w:rPr>
          <w:rFonts w:hint="eastAsia" w:ascii="华文隶书" w:eastAsia="华文隶书"/>
          <w:bCs/>
          <w:w w:val="90"/>
          <w:sz w:val="44"/>
          <w:szCs w:val="44"/>
          <w:lang w:eastAsia="zh-CN"/>
        </w:rPr>
      </w:pPr>
    </w:p>
    <w:p>
      <w:pPr>
        <w:pStyle w:val="2"/>
        <w:rPr>
          <w:rFonts w:hint="eastAsia"/>
          <w:lang w:eastAsia="zh-CN"/>
        </w:rPr>
      </w:pPr>
    </w:p>
    <w:p>
      <w:pPr>
        <w:jc w:val="center"/>
        <w:rPr>
          <w:rFonts w:hint="eastAsia" w:ascii="华文隶书" w:eastAsia="华文隶书"/>
          <w:b/>
          <w:bCs w:val="0"/>
          <w:w w:val="90"/>
          <w:sz w:val="48"/>
          <w:szCs w:val="48"/>
          <w:lang w:eastAsia="zh-CN"/>
        </w:rPr>
      </w:pPr>
    </w:p>
    <w:p>
      <w:pPr>
        <w:jc w:val="center"/>
        <w:rPr>
          <w:rFonts w:ascii="华文隶书" w:eastAsia="华文隶书"/>
          <w:b/>
          <w:bCs w:val="0"/>
          <w:w w:val="90"/>
          <w:sz w:val="48"/>
          <w:szCs w:val="48"/>
        </w:rPr>
      </w:pPr>
      <w:r>
        <w:rPr>
          <w:rFonts w:hint="eastAsia" w:ascii="华文隶书" w:eastAsia="华文隶书"/>
          <w:b/>
          <w:bCs w:val="0"/>
          <w:w w:val="90"/>
          <w:sz w:val="48"/>
          <w:szCs w:val="48"/>
          <w:lang w:eastAsia="zh-CN"/>
        </w:rPr>
        <w:t>竞争性谈判</w:t>
      </w:r>
      <w:r>
        <w:rPr>
          <w:rFonts w:hint="eastAsia" w:ascii="华文隶书" w:eastAsia="华文隶书"/>
          <w:b/>
          <w:bCs w:val="0"/>
          <w:w w:val="90"/>
          <w:sz w:val="48"/>
          <w:szCs w:val="48"/>
        </w:rPr>
        <w:t>文件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hint="default" w:asciiTheme="majorEastAsia" w:hAnsiTheme="majorEastAsia" w:eastAsiaTheme="majorEastAsia" w:cstheme="majorEastAsia"/>
          <w:b w:val="0"/>
          <w:bCs w:val="0"/>
          <w:sz w:val="36"/>
          <w:szCs w:val="36"/>
          <w:lang w:val="en-US" w:eastAsia="zh-CN"/>
        </w:rPr>
      </w:pPr>
      <w:r>
        <w:rPr>
          <w:rFonts w:hint="eastAsia" w:asciiTheme="majorEastAsia" w:hAnsiTheme="majorEastAsia" w:eastAsiaTheme="majorEastAsia" w:cstheme="majorEastAsia"/>
          <w:b/>
          <w:bCs/>
          <w:sz w:val="36"/>
          <w:szCs w:val="36"/>
        </w:rPr>
        <w:t xml:space="preserve">     </w:t>
      </w:r>
      <w:r>
        <w:rPr>
          <w:rFonts w:hint="eastAsia" w:asciiTheme="majorEastAsia" w:hAnsiTheme="majorEastAsia" w:eastAsiaTheme="majorEastAsia" w:cstheme="majorEastAsia"/>
          <w:b w:val="0"/>
          <w:bCs w:val="0"/>
          <w:sz w:val="36"/>
          <w:szCs w:val="36"/>
        </w:rPr>
        <w:t xml:space="preserve"> 项目编号：</w:t>
      </w:r>
      <w:r>
        <w:rPr>
          <w:rFonts w:hint="eastAsia" w:asciiTheme="majorEastAsia" w:hAnsiTheme="majorEastAsia" w:eastAsiaTheme="majorEastAsia" w:cstheme="majorEastAsia"/>
          <w:b w:val="0"/>
          <w:bCs w:val="0"/>
          <w:sz w:val="36"/>
          <w:szCs w:val="36"/>
          <w:lang w:val="en-US" w:eastAsia="zh-CN"/>
        </w:rPr>
        <w:t>YZCG-T2019195</w:t>
      </w:r>
    </w:p>
    <w:p>
      <w:pPr>
        <w:ind w:firstLine="1080" w:firstLineChars="300"/>
        <w:rPr>
          <w:rFonts w:hint="eastAsia" w:asciiTheme="majorEastAsia" w:hAnsiTheme="majorEastAsia" w:eastAsiaTheme="majorEastAsia" w:cstheme="majorEastAsia"/>
          <w:b w:val="0"/>
          <w:bCs w:val="0"/>
          <w:sz w:val="36"/>
          <w:szCs w:val="36"/>
        </w:rPr>
      </w:pPr>
      <w:r>
        <w:rPr>
          <w:rFonts w:hint="eastAsia" w:asciiTheme="majorEastAsia" w:hAnsiTheme="majorEastAsia" w:eastAsiaTheme="majorEastAsia" w:cstheme="majorEastAsia"/>
          <w:b w:val="0"/>
          <w:bCs w:val="0"/>
          <w:sz w:val="36"/>
          <w:szCs w:val="36"/>
        </w:rPr>
        <w:t>采购单位：禹州</w:t>
      </w:r>
      <w:r>
        <w:rPr>
          <w:rFonts w:hint="eastAsia" w:asciiTheme="majorEastAsia" w:hAnsiTheme="majorEastAsia" w:eastAsiaTheme="majorEastAsia" w:cstheme="majorEastAsia"/>
          <w:b w:val="0"/>
          <w:bCs w:val="0"/>
          <w:sz w:val="36"/>
          <w:szCs w:val="36"/>
          <w:lang w:eastAsia="zh-CN"/>
        </w:rPr>
        <w:t>市</w:t>
      </w:r>
      <w:r>
        <w:rPr>
          <w:rFonts w:hint="eastAsia" w:asciiTheme="majorEastAsia" w:hAnsiTheme="majorEastAsia" w:eastAsiaTheme="majorEastAsia" w:cstheme="majorEastAsia"/>
          <w:b w:val="0"/>
          <w:bCs w:val="0"/>
          <w:sz w:val="36"/>
          <w:szCs w:val="36"/>
        </w:rPr>
        <w:t>畜牧局</w:t>
      </w:r>
    </w:p>
    <w:p>
      <w:pPr>
        <w:ind w:firstLine="1080" w:firstLineChars="300"/>
        <w:rPr>
          <w:rFonts w:asciiTheme="majorEastAsia" w:hAnsiTheme="majorEastAsia" w:eastAsiaTheme="majorEastAsia" w:cstheme="majorEastAsia"/>
          <w:b w:val="0"/>
          <w:bCs w:val="0"/>
          <w:sz w:val="36"/>
          <w:szCs w:val="36"/>
        </w:rPr>
      </w:pPr>
      <w:r>
        <w:rPr>
          <w:rFonts w:hint="eastAsia" w:asciiTheme="majorEastAsia" w:hAnsiTheme="majorEastAsia" w:eastAsiaTheme="majorEastAsia" w:cstheme="majorEastAsia"/>
          <w:b w:val="0"/>
          <w:bCs w:val="0"/>
          <w:sz w:val="36"/>
          <w:szCs w:val="36"/>
        </w:rPr>
        <w:t>代理机构：</w:t>
      </w:r>
      <w:r>
        <w:rPr>
          <w:rFonts w:hint="eastAsia" w:asciiTheme="majorEastAsia" w:hAnsiTheme="majorEastAsia" w:eastAsiaTheme="majorEastAsia" w:cstheme="majorEastAsia"/>
          <w:b w:val="0"/>
          <w:bCs w:val="0"/>
          <w:sz w:val="36"/>
          <w:szCs w:val="36"/>
          <w:lang w:eastAsia="zh-CN"/>
        </w:rPr>
        <w:t>禹州</w:t>
      </w:r>
      <w:r>
        <w:rPr>
          <w:rFonts w:hint="eastAsia" w:asciiTheme="majorEastAsia" w:hAnsiTheme="majorEastAsia" w:eastAsiaTheme="majorEastAsia" w:cstheme="majorEastAsia"/>
          <w:b w:val="0"/>
          <w:bCs w:val="0"/>
          <w:sz w:val="36"/>
          <w:szCs w:val="36"/>
        </w:rPr>
        <w:t>市政府采购中心</w:t>
      </w:r>
    </w:p>
    <w:p>
      <w:pPr>
        <w:rPr>
          <w:rFonts w:asciiTheme="majorEastAsia" w:hAnsiTheme="majorEastAsia" w:eastAsiaTheme="majorEastAsia" w:cstheme="majorEastAsia"/>
          <w:b/>
          <w:bCs/>
          <w:sz w:val="36"/>
          <w:szCs w:val="36"/>
        </w:rPr>
      </w:pPr>
    </w:p>
    <w:p>
      <w:pPr>
        <w:jc w:val="center"/>
        <w:rPr>
          <w:rFonts w:hint="eastAsia"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二〇一九年</w:t>
      </w:r>
      <w:r>
        <w:rPr>
          <w:rFonts w:hint="eastAsia" w:asciiTheme="majorEastAsia" w:hAnsiTheme="majorEastAsia" w:eastAsiaTheme="majorEastAsia" w:cstheme="majorEastAsia"/>
          <w:b/>
          <w:bCs/>
          <w:sz w:val="36"/>
          <w:szCs w:val="36"/>
          <w:lang w:eastAsia="zh-CN"/>
        </w:rPr>
        <w:t>八</w:t>
      </w:r>
      <w:r>
        <w:rPr>
          <w:rFonts w:hint="eastAsia" w:asciiTheme="majorEastAsia" w:hAnsiTheme="majorEastAsia" w:eastAsiaTheme="majorEastAsia" w:cstheme="majorEastAsia"/>
          <w:b/>
          <w:bCs/>
          <w:sz w:val="36"/>
          <w:szCs w:val="36"/>
        </w:rPr>
        <w:t>月</w:t>
      </w:r>
    </w:p>
    <w:p>
      <w:pPr>
        <w:rPr>
          <w:rFonts w:asciiTheme="majorEastAsia" w:hAnsiTheme="majorEastAsia" w:eastAsiaTheme="majorEastAsia" w:cstheme="majorEastAsia"/>
          <w:b/>
          <w:bCs/>
          <w:sz w:val="36"/>
          <w:szCs w:val="36"/>
        </w:rPr>
      </w:pPr>
    </w:p>
    <w:p>
      <w:pPr>
        <w:widowControl/>
        <w:jc w:val="left"/>
        <w:rPr>
          <w:rFonts w:cs="黑体" w:asciiTheme="minorEastAsia" w:hAnsiTheme="minorEastAsia"/>
          <w:b/>
          <w:bCs/>
          <w:sz w:val="44"/>
          <w:szCs w:val="44"/>
          <w:lang w:val="zh-CN"/>
        </w:rPr>
      </w:pPr>
      <w:r>
        <w:rPr>
          <w:rFonts w:cs="黑体" w:asciiTheme="minorEastAsia" w:hAnsiTheme="minorEastAsia"/>
          <w:b/>
          <w:bCs/>
          <w:sz w:val="44"/>
          <w:szCs w:val="44"/>
          <w:lang w:val="zh-CN"/>
        </w:rPr>
        <w:br w:type="page"/>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numPr>
          <w:ilvl w:val="0"/>
          <w:numId w:val="4"/>
        </w:numPr>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谈判邀请</w:t>
      </w:r>
    </w:p>
    <w:p>
      <w:pPr>
        <w:numPr>
          <w:ilvl w:val="0"/>
          <w:numId w:val="0"/>
        </w:numPr>
        <w:jc w:val="both"/>
        <w:rPr>
          <w:rFonts w:hint="eastAsia" w:cs="宋体" w:asciiTheme="majorEastAsia" w:hAnsiTheme="majorEastAsia" w:eastAsiaTheme="majorEastAsia"/>
          <w:b/>
          <w:kern w:val="0"/>
          <w:sz w:val="32"/>
          <w:szCs w:val="32"/>
        </w:rPr>
      </w:pPr>
    </w:p>
    <w:p>
      <w:pPr>
        <w:spacing w:line="600" w:lineRule="exact"/>
        <w:jc w:val="center"/>
        <w:rPr>
          <w:rFonts w:hint="eastAsia"/>
          <w:b/>
          <w:bCs/>
          <w:sz w:val="36"/>
          <w:szCs w:val="36"/>
          <w:lang w:eastAsia="zh-CN"/>
        </w:rPr>
      </w:pPr>
      <w:r>
        <w:rPr>
          <w:rFonts w:hint="eastAsia"/>
          <w:b/>
          <w:bCs/>
          <w:sz w:val="36"/>
          <w:szCs w:val="36"/>
          <w:lang w:eastAsia="zh-CN"/>
        </w:rPr>
        <w:t>禹州市畜牧局瘦肉精检测卡采购项目</w:t>
      </w:r>
    </w:p>
    <w:p>
      <w:pPr>
        <w:spacing w:line="600" w:lineRule="exact"/>
        <w:jc w:val="center"/>
        <w:rPr>
          <w:rFonts w:hint="eastAsia"/>
          <w:b/>
          <w:bCs/>
          <w:sz w:val="36"/>
          <w:szCs w:val="36"/>
          <w:lang w:eastAsia="zh-CN"/>
        </w:rPr>
      </w:pPr>
      <w:r>
        <w:rPr>
          <w:rFonts w:hint="eastAsia"/>
          <w:b/>
          <w:bCs/>
          <w:sz w:val="36"/>
          <w:szCs w:val="36"/>
          <w:lang w:eastAsia="zh-CN"/>
        </w:rPr>
        <w:t>谈判邀请函</w:t>
      </w:r>
    </w:p>
    <w:p>
      <w:pPr>
        <w:spacing w:line="600" w:lineRule="exact"/>
        <w:jc w:val="center"/>
        <w:rPr>
          <w:rFonts w:hint="eastAsia"/>
          <w:b/>
          <w:bCs/>
          <w:sz w:val="36"/>
          <w:szCs w:val="36"/>
          <w:lang w:eastAsia="zh-CN"/>
        </w:rPr>
      </w:pP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禹州市政府采购中心受禹州畜牧局的委托，就“禹州</w:t>
      </w:r>
      <w:r>
        <w:rPr>
          <w:rFonts w:hint="eastAsia" w:ascii="新宋体" w:hAnsi="新宋体" w:eastAsia="新宋体" w:cs="新宋体"/>
          <w:sz w:val="24"/>
          <w:szCs w:val="24"/>
          <w:lang w:eastAsia="zh-CN"/>
        </w:rPr>
        <w:t>市</w:t>
      </w:r>
      <w:r>
        <w:rPr>
          <w:rFonts w:hint="eastAsia" w:ascii="新宋体" w:hAnsi="新宋体" w:eastAsia="新宋体" w:cs="新宋体"/>
          <w:sz w:val="24"/>
          <w:szCs w:val="24"/>
        </w:rPr>
        <w:t>畜牧局瘦肉精检测卡采购项目”进行竞争性谈判，欢迎合格的投标人前来投标。</w:t>
      </w:r>
    </w:p>
    <w:p>
      <w:pPr>
        <w:keepNext w:val="0"/>
        <w:keepLines w:val="0"/>
        <w:pageBreakBefore w:val="0"/>
        <w:widowControl/>
        <w:numPr>
          <w:ilvl w:val="0"/>
          <w:numId w:val="5"/>
        </w:numPr>
        <w:shd w:val="clear" w:color="auto" w:fill="FFFFFF"/>
        <w:kinsoku/>
        <w:overflowPunct/>
        <w:bidi w:val="0"/>
        <w:spacing w:line="440" w:lineRule="exact"/>
        <w:ind w:firstLine="482"/>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项目基本情况</w:t>
      </w:r>
    </w:p>
    <w:p>
      <w:pPr>
        <w:keepNext w:val="0"/>
        <w:keepLines w:val="0"/>
        <w:pageBreakBefore w:val="0"/>
        <w:widowControl/>
        <w:shd w:val="clear" w:color="auto" w:fill="FFFFFF"/>
        <w:kinsoku/>
        <w:overflowPunct/>
        <w:bidi w:val="0"/>
        <w:spacing w:line="440" w:lineRule="exact"/>
        <w:jc w:val="left"/>
        <w:textAlignment w:val="auto"/>
        <w:rPr>
          <w:rFonts w:hint="eastAsia" w:ascii="新宋体" w:hAnsi="新宋体" w:eastAsia="新宋体" w:cs="新宋体"/>
          <w:sz w:val="24"/>
          <w:szCs w:val="24"/>
        </w:rPr>
      </w:pPr>
      <w:r>
        <w:rPr>
          <w:rFonts w:hint="eastAsia" w:ascii="新宋体" w:hAnsi="新宋体" w:eastAsia="新宋体" w:cs="新宋体"/>
          <w:b/>
          <w:color w:val="000000"/>
          <w:kern w:val="0"/>
          <w:sz w:val="24"/>
          <w:szCs w:val="24"/>
        </w:rPr>
        <w:t xml:space="preserve">  </w:t>
      </w:r>
      <w:r>
        <w:rPr>
          <w:rFonts w:hint="eastAsia" w:ascii="新宋体" w:hAnsi="新宋体" w:eastAsia="新宋体" w:cs="新宋体"/>
          <w:sz w:val="24"/>
          <w:szCs w:val="24"/>
        </w:rPr>
        <w:t xml:space="preserve"> 1、采购人：禹州畜牧局</w:t>
      </w:r>
    </w:p>
    <w:p>
      <w:pPr>
        <w:keepNext w:val="0"/>
        <w:keepLines w:val="0"/>
        <w:pageBreakBefore w:val="0"/>
        <w:widowControl/>
        <w:shd w:val="clear" w:color="auto" w:fill="FFFFFF"/>
        <w:kinsoku/>
        <w:overflowPunct/>
        <w:bidi w:val="0"/>
        <w:spacing w:line="440" w:lineRule="exact"/>
        <w:ind w:firstLine="360" w:firstLineChars="15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2、项目名称：禹州</w:t>
      </w:r>
      <w:r>
        <w:rPr>
          <w:rFonts w:hint="eastAsia" w:ascii="新宋体" w:hAnsi="新宋体" w:eastAsia="新宋体" w:cs="新宋体"/>
          <w:color w:val="000000"/>
          <w:kern w:val="0"/>
          <w:sz w:val="24"/>
          <w:szCs w:val="24"/>
          <w:lang w:eastAsia="zh-CN"/>
        </w:rPr>
        <w:t>市</w:t>
      </w:r>
      <w:r>
        <w:rPr>
          <w:rFonts w:hint="eastAsia" w:ascii="新宋体" w:hAnsi="新宋体" w:eastAsia="新宋体" w:cs="新宋体"/>
          <w:color w:val="000000"/>
          <w:kern w:val="0"/>
          <w:sz w:val="24"/>
          <w:szCs w:val="24"/>
        </w:rPr>
        <w:t>畜牧局瘦肉精检测卡采购项目</w:t>
      </w:r>
    </w:p>
    <w:p>
      <w:pPr>
        <w:keepNext w:val="0"/>
        <w:keepLines w:val="0"/>
        <w:pageBreakBefore w:val="0"/>
        <w:widowControl/>
        <w:shd w:val="clear" w:color="auto" w:fill="FFFFFF"/>
        <w:tabs>
          <w:tab w:val="right" w:pos="8498"/>
        </w:tabs>
        <w:kinsoku/>
        <w:overflowPunct/>
        <w:bidi w:val="0"/>
        <w:spacing w:line="440" w:lineRule="exact"/>
        <w:ind w:firstLine="482"/>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3、采购编号：</w:t>
      </w:r>
      <w:r>
        <w:rPr>
          <w:rFonts w:hint="eastAsia" w:ascii="新宋体" w:hAnsi="新宋体" w:eastAsia="新宋体" w:cs="新宋体"/>
          <w:sz w:val="24"/>
          <w:szCs w:val="24"/>
        </w:rPr>
        <w:t>YZCG-T2019</w:t>
      </w:r>
      <w:r>
        <w:rPr>
          <w:rFonts w:hint="eastAsia" w:ascii="新宋体" w:hAnsi="新宋体" w:eastAsia="新宋体" w:cs="新宋体"/>
          <w:sz w:val="24"/>
          <w:szCs w:val="24"/>
          <w:lang w:val="en-US" w:eastAsia="zh-CN"/>
        </w:rPr>
        <w:t>195</w:t>
      </w:r>
      <w:r>
        <w:rPr>
          <w:rFonts w:hint="eastAsia" w:ascii="新宋体" w:hAnsi="新宋体" w:eastAsia="新宋体" w:cs="新宋体"/>
          <w:sz w:val="24"/>
          <w:szCs w:val="24"/>
          <w:lang w:val="en-US" w:eastAsia="zh-CN"/>
        </w:rPr>
        <w:tab/>
      </w:r>
    </w:p>
    <w:p>
      <w:pPr>
        <w:keepNext w:val="0"/>
        <w:keepLines w:val="0"/>
        <w:pageBreakBefore w:val="0"/>
        <w:widowControl/>
        <w:shd w:val="clear" w:color="auto" w:fill="FFFFFF"/>
        <w:kinsoku/>
        <w:overflowPunct/>
        <w:bidi w:val="0"/>
        <w:spacing w:line="440" w:lineRule="exact"/>
        <w:ind w:firstLine="482"/>
        <w:jc w:val="left"/>
        <w:textAlignment w:val="auto"/>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4、项目需求：瘦肉精检测卡</w:t>
      </w:r>
      <w:r>
        <w:rPr>
          <w:rFonts w:hint="eastAsia" w:ascii="新宋体" w:hAnsi="新宋体" w:eastAsia="新宋体" w:cs="新宋体"/>
          <w:color w:val="000000"/>
          <w:kern w:val="0"/>
          <w:sz w:val="24"/>
          <w:szCs w:val="24"/>
          <w:lang w:eastAsia="zh-CN"/>
        </w:rPr>
        <w:t>一批</w:t>
      </w:r>
      <w:r>
        <w:rPr>
          <w:rFonts w:hint="eastAsia" w:ascii="新宋体" w:hAnsi="新宋体" w:eastAsia="新宋体" w:cs="新宋体"/>
          <w:sz w:val="24"/>
          <w:szCs w:val="24"/>
        </w:rPr>
        <w:t>（详见谈判文件）</w:t>
      </w:r>
    </w:p>
    <w:p>
      <w:pPr>
        <w:keepNext w:val="0"/>
        <w:keepLines w:val="0"/>
        <w:pageBreakBefore w:val="0"/>
        <w:widowControl/>
        <w:shd w:val="clear" w:color="auto" w:fill="FFFFFF"/>
        <w:kinsoku/>
        <w:overflowPunct/>
        <w:bidi w:val="0"/>
        <w:spacing w:line="440" w:lineRule="exact"/>
        <w:ind w:firstLine="482"/>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5、采购预算：</w:t>
      </w:r>
      <w:r>
        <w:rPr>
          <w:rFonts w:hint="eastAsia" w:ascii="新宋体" w:hAnsi="新宋体" w:eastAsia="新宋体" w:cs="新宋体"/>
          <w:sz w:val="24"/>
          <w:szCs w:val="24"/>
          <w:lang w:val="en-US" w:eastAsia="zh-CN"/>
        </w:rPr>
        <w:t>16.9</w:t>
      </w:r>
      <w:r>
        <w:rPr>
          <w:rFonts w:hint="eastAsia" w:ascii="新宋体" w:hAnsi="新宋体" w:eastAsia="新宋体" w:cs="新宋体"/>
          <w:sz w:val="24"/>
          <w:szCs w:val="24"/>
        </w:rPr>
        <w:t>万元</w:t>
      </w:r>
    </w:p>
    <w:p>
      <w:pPr>
        <w:keepNext w:val="0"/>
        <w:keepLines w:val="0"/>
        <w:pageBreakBefore w:val="0"/>
        <w:widowControl/>
        <w:shd w:val="clear" w:color="auto" w:fill="FFFFFF"/>
        <w:kinsoku/>
        <w:overflowPunct/>
        <w:bidi w:val="0"/>
        <w:spacing w:line="440" w:lineRule="exact"/>
        <w:ind w:firstLine="354" w:firstLineChars="147"/>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二、需要落实的政府采购政策</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本项目落实节约能源、保护环境、扶持不发达地区和少数民族地区、促进中小企业、监狱企业发展等政府采购政策。（详见谈判文件）</w:t>
      </w:r>
    </w:p>
    <w:p>
      <w:pPr>
        <w:keepNext w:val="0"/>
        <w:keepLines w:val="0"/>
        <w:pageBreakBefore w:val="0"/>
        <w:widowControl/>
        <w:numPr>
          <w:ilvl w:val="0"/>
          <w:numId w:val="5"/>
        </w:numPr>
        <w:shd w:val="clear" w:color="auto" w:fill="FFFFFF"/>
        <w:kinsoku/>
        <w:overflowPunct/>
        <w:bidi w:val="0"/>
        <w:spacing w:line="440" w:lineRule="exact"/>
        <w:ind w:left="0" w:leftChars="0" w:firstLine="482" w:firstLineChars="0"/>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供应商资格要求</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sz w:val="24"/>
          <w:szCs w:val="24"/>
          <w:lang w:eastAsia="zh-CN"/>
        </w:rPr>
      </w:pPr>
      <w:r>
        <w:rPr>
          <w:rFonts w:hint="eastAsia" w:ascii="新宋体" w:hAnsi="新宋体" w:eastAsia="新宋体" w:cs="新宋体"/>
          <w:sz w:val="24"/>
          <w:szCs w:val="24"/>
        </w:rPr>
        <w:t>1、符合《政府采购法》第二十二条之规定</w:t>
      </w:r>
      <w:r>
        <w:rPr>
          <w:rFonts w:hint="eastAsia" w:ascii="新宋体" w:hAnsi="新宋体" w:eastAsia="新宋体" w:cs="新宋体"/>
          <w:sz w:val="24"/>
          <w:szCs w:val="24"/>
          <w:lang w:eastAsia="zh-CN"/>
        </w:rPr>
        <w:t>具有独立法人资格及相应经营范围（以营业执照为准）；</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、被委托人是须是本单位职工，须提供公司为本人缴纳社会保险证明；</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b/>
          <w:color w:val="000000"/>
          <w:kern w:val="0"/>
          <w:sz w:val="24"/>
          <w:szCs w:val="24"/>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、本项目不接受联合体投标。</w:t>
      </w:r>
    </w:p>
    <w:p>
      <w:pPr>
        <w:keepNext w:val="0"/>
        <w:keepLines w:val="0"/>
        <w:pageBreakBefore w:val="0"/>
        <w:widowControl/>
        <w:shd w:val="clear" w:color="auto" w:fill="FFFFFF"/>
        <w:kinsoku/>
        <w:overflowPunct/>
        <w:bidi w:val="0"/>
        <w:spacing w:line="440" w:lineRule="exact"/>
        <w:ind w:firstLine="482"/>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四、获取谈判文件的方式、时间、地点</w:t>
      </w:r>
    </w:p>
    <w:p>
      <w:pPr>
        <w:keepNext w:val="0"/>
        <w:keepLines w:val="0"/>
        <w:pageBreakBefore w:val="0"/>
        <w:kinsoku/>
        <w:wordWrap w:val="0"/>
        <w:overflowPunct/>
        <w:topLinePunct/>
        <w:bidi w:val="0"/>
        <w:snapToGrid w:val="0"/>
        <w:spacing w:line="440" w:lineRule="exact"/>
        <w:ind w:firstLine="480" w:firstLineChars="200"/>
        <w:textAlignment w:val="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1、持CA数字认证证书，登录</w:t>
      </w:r>
      <w:r>
        <w:rPr>
          <w:rFonts w:hint="eastAsia" w:ascii="新宋体" w:hAnsi="新宋体" w:eastAsia="新宋体" w:cs="新宋体"/>
          <w:color w:val="auto"/>
          <w:sz w:val="24"/>
          <w:szCs w:val="24"/>
          <w:u w:val="none"/>
          <w:lang w:val="zh-CN"/>
        </w:rPr>
        <w:fldChar w:fldCharType="begin"/>
      </w:r>
      <w:r>
        <w:rPr>
          <w:rFonts w:hint="eastAsia" w:ascii="新宋体" w:hAnsi="新宋体" w:eastAsia="新宋体" w:cs="新宋体"/>
          <w:color w:val="auto"/>
          <w:sz w:val="24"/>
          <w:szCs w:val="24"/>
          <w:u w:val="none"/>
          <w:lang w:val="zh-CN"/>
        </w:rPr>
        <w:instrText xml:space="preserve"> HYPERLINK "http://221.14.6.70:8088/ggzy/eps/public/RegistAllJcxx.html" </w:instrText>
      </w:r>
      <w:r>
        <w:rPr>
          <w:rFonts w:hint="eastAsia" w:ascii="新宋体" w:hAnsi="新宋体" w:eastAsia="新宋体" w:cs="新宋体"/>
          <w:color w:val="auto"/>
          <w:sz w:val="24"/>
          <w:szCs w:val="24"/>
          <w:u w:val="none"/>
          <w:lang w:val="zh-CN"/>
        </w:rPr>
        <w:fldChar w:fldCharType="separate"/>
      </w:r>
      <w:r>
        <w:rPr>
          <w:rStyle w:val="29"/>
          <w:rFonts w:hint="eastAsia" w:ascii="新宋体" w:hAnsi="新宋体" w:eastAsia="新宋体" w:cs="新宋体"/>
          <w:sz w:val="24"/>
          <w:szCs w:val="24"/>
          <w:lang w:val="zh-CN"/>
        </w:rPr>
        <w:t>http://221.14.6.70:8088/ggzy/eps/public/RegistAllJcxx.html</w:t>
      </w:r>
      <w:r>
        <w:rPr>
          <w:rFonts w:hint="eastAsia" w:ascii="新宋体" w:hAnsi="新宋体" w:eastAsia="新宋体" w:cs="新宋体"/>
          <w:color w:val="auto"/>
          <w:sz w:val="24"/>
          <w:szCs w:val="24"/>
          <w:u w:val="none"/>
          <w:lang w:val="zh-CN"/>
        </w:rPr>
        <w:fldChar w:fldCharType="end"/>
      </w:r>
      <w:r>
        <w:rPr>
          <w:rFonts w:hint="eastAsia" w:ascii="新宋体" w:hAnsi="新宋体" w:eastAsia="新宋体" w:cs="新宋体"/>
          <w:sz w:val="24"/>
          <w:szCs w:val="24"/>
          <w:lang w:val="zh-CN"/>
        </w:rPr>
        <w:t>进行免费注册登记（详见全国公共资源交易平台（河南省·许昌市）“常见问题解答-诚信库网上注册相关资料下载”）；</w:t>
      </w:r>
    </w:p>
    <w:p>
      <w:pPr>
        <w:keepNext w:val="0"/>
        <w:keepLines w:val="0"/>
        <w:pageBreakBefore w:val="0"/>
        <w:kinsoku/>
        <w:wordWrap w:val="0"/>
        <w:overflowPunct/>
        <w:topLinePunct/>
        <w:autoSpaceDE w:val="0"/>
        <w:autoSpaceDN w:val="0"/>
        <w:bidi w:val="0"/>
        <w:adjustRightInd w:val="0"/>
        <w:snapToGrid w:val="0"/>
        <w:spacing w:line="440" w:lineRule="exact"/>
        <w:ind w:firstLine="482"/>
        <w:textAlignment w:val="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　2、在投标截止时间前登录</w:t>
      </w:r>
      <w:r>
        <w:rPr>
          <w:rFonts w:hint="eastAsia" w:ascii="新宋体" w:hAnsi="新宋体" w:eastAsia="新宋体" w:cs="新宋体"/>
          <w:color w:val="auto"/>
          <w:sz w:val="24"/>
          <w:szCs w:val="24"/>
          <w:u w:val="none"/>
          <w:lang w:val="zh-CN"/>
        </w:rPr>
        <w:fldChar w:fldCharType="begin"/>
      </w:r>
      <w:r>
        <w:rPr>
          <w:rFonts w:hint="eastAsia" w:ascii="新宋体" w:hAnsi="新宋体" w:eastAsia="新宋体" w:cs="新宋体"/>
          <w:color w:val="auto"/>
          <w:sz w:val="24"/>
          <w:szCs w:val="24"/>
          <w:u w:val="none"/>
          <w:lang w:val="zh-CN"/>
        </w:rPr>
        <w:instrText xml:space="preserve"> HYPERLINK "http://ggzy.xuchang.gov.cn/" </w:instrText>
      </w:r>
      <w:r>
        <w:rPr>
          <w:rFonts w:hint="eastAsia" w:ascii="新宋体" w:hAnsi="新宋体" w:eastAsia="新宋体" w:cs="新宋体"/>
          <w:color w:val="auto"/>
          <w:sz w:val="24"/>
          <w:szCs w:val="24"/>
          <w:u w:val="none"/>
          <w:lang w:val="zh-CN"/>
        </w:rPr>
        <w:fldChar w:fldCharType="separate"/>
      </w:r>
      <w:r>
        <w:rPr>
          <w:rStyle w:val="29"/>
          <w:rFonts w:hint="eastAsia" w:ascii="新宋体" w:hAnsi="新宋体" w:eastAsia="新宋体" w:cs="新宋体"/>
          <w:sz w:val="24"/>
          <w:szCs w:val="24"/>
          <w:lang w:val="zh-CN"/>
        </w:rPr>
        <w:t>http://</w:t>
      </w:r>
      <w:r>
        <w:rPr>
          <w:rStyle w:val="29"/>
          <w:rFonts w:hint="eastAsia" w:ascii="新宋体" w:hAnsi="新宋体" w:eastAsia="新宋体" w:cs="新宋体"/>
          <w:sz w:val="24"/>
          <w:szCs w:val="24"/>
          <w:lang w:val="en-US" w:eastAsia="zh-CN"/>
        </w:rPr>
        <w:t>ggzy.xuchang.gov.cn/</w:t>
      </w:r>
      <w:r>
        <w:rPr>
          <w:rFonts w:hint="eastAsia" w:ascii="新宋体" w:hAnsi="新宋体" w:eastAsia="新宋体" w:cs="新宋体"/>
          <w:color w:val="auto"/>
          <w:sz w:val="24"/>
          <w:szCs w:val="24"/>
          <w:u w:val="none"/>
          <w:lang w:val="zh-CN"/>
        </w:rPr>
        <w:fldChar w:fldCharType="end"/>
      </w:r>
      <w:r>
        <w:rPr>
          <w:rFonts w:hint="eastAsia" w:ascii="新宋体" w:hAnsi="新宋体" w:eastAsia="新宋体" w:cs="新宋体"/>
          <w:sz w:val="24"/>
          <w:szCs w:val="24"/>
          <w:lang w:val="zh-CN"/>
        </w:rPr>
        <w:t>，自行下载招标文件（详见全国公共资源交易平台（河南省·许昌市）“常见问题解答-交易系统操作手册”）。</w:t>
      </w:r>
    </w:p>
    <w:p>
      <w:pPr>
        <w:keepNext w:val="0"/>
        <w:keepLines w:val="0"/>
        <w:pageBreakBefore w:val="0"/>
        <w:kinsoku/>
        <w:overflowPunct/>
        <w:bidi w:val="0"/>
        <w:spacing w:line="440" w:lineRule="exact"/>
        <w:textAlignment w:val="auto"/>
        <w:rPr>
          <w:rFonts w:hint="eastAsia" w:ascii="新宋体" w:hAnsi="新宋体" w:eastAsia="新宋体" w:cs="新宋体"/>
          <w:sz w:val="24"/>
          <w:szCs w:val="24"/>
        </w:rPr>
      </w:pPr>
      <w:r>
        <w:rPr>
          <w:rFonts w:hint="eastAsia" w:ascii="新宋体" w:hAnsi="新宋体" w:eastAsia="新宋体" w:cs="新宋体"/>
          <w:sz w:val="24"/>
          <w:szCs w:val="24"/>
        </w:rPr>
        <w:t>　　3、未通过全国公共资源交易平台（河南省·许昌市）下载</w:t>
      </w:r>
      <w:r>
        <w:rPr>
          <w:rFonts w:hint="eastAsia" w:ascii="新宋体" w:hAnsi="新宋体" w:eastAsia="新宋体" w:cs="新宋体"/>
          <w:sz w:val="24"/>
          <w:szCs w:val="24"/>
          <w:lang w:eastAsia="zh-CN"/>
        </w:rPr>
        <w:t>谈判</w:t>
      </w:r>
      <w:r>
        <w:rPr>
          <w:rFonts w:hint="eastAsia" w:ascii="新宋体" w:hAnsi="新宋体" w:eastAsia="新宋体" w:cs="新宋体"/>
          <w:sz w:val="24"/>
          <w:szCs w:val="24"/>
        </w:rPr>
        <w:t>文件的投标企业，拒收其递交的投标文件。</w:t>
      </w:r>
    </w:p>
    <w:p>
      <w:pPr>
        <w:keepNext w:val="0"/>
        <w:keepLines w:val="0"/>
        <w:pageBreakBefore w:val="0"/>
        <w:kinsoku/>
        <w:overflowPunct/>
        <w:bidi w:val="0"/>
        <w:spacing w:line="440" w:lineRule="exact"/>
        <w:ind w:firstLine="640"/>
        <w:textAlignment w:val="auto"/>
        <w:rPr>
          <w:rFonts w:hint="eastAsia" w:ascii="新宋体" w:hAnsi="新宋体" w:eastAsia="新宋体" w:cs="新宋体"/>
          <w:sz w:val="24"/>
          <w:szCs w:val="24"/>
        </w:rPr>
      </w:pPr>
      <w:r>
        <w:rPr>
          <w:rFonts w:hint="eastAsia" w:ascii="新宋体" w:hAnsi="新宋体" w:eastAsia="新宋体" w:cs="新宋体"/>
          <w:sz w:val="24"/>
          <w:szCs w:val="24"/>
        </w:rPr>
        <w:t>4、谈判文件每份售价人民币300元</w:t>
      </w:r>
      <w:r>
        <w:rPr>
          <w:rFonts w:hint="eastAsia" w:ascii="新宋体" w:hAnsi="新宋体" w:eastAsia="新宋体" w:cs="新宋体"/>
          <w:sz w:val="24"/>
          <w:szCs w:val="24"/>
          <w:lang w:eastAsia="zh-CN"/>
        </w:rPr>
        <w:t>（谈判现场现金收取）</w:t>
      </w:r>
      <w:r>
        <w:rPr>
          <w:rFonts w:hint="eastAsia" w:ascii="新宋体" w:hAnsi="新宋体" w:eastAsia="新宋体" w:cs="新宋体"/>
          <w:sz w:val="24"/>
          <w:szCs w:val="24"/>
        </w:rPr>
        <w:t>，于递交投标文件时缴纳给采购代理机构，售后不退。</w:t>
      </w:r>
    </w:p>
    <w:p>
      <w:pPr>
        <w:keepNext w:val="0"/>
        <w:keepLines w:val="0"/>
        <w:pageBreakBefore w:val="0"/>
        <w:widowControl/>
        <w:shd w:val="clear" w:color="auto" w:fill="FFFFFF"/>
        <w:kinsoku/>
        <w:overflowPunct/>
        <w:bidi w:val="0"/>
        <w:spacing w:line="440" w:lineRule="exact"/>
        <w:ind w:firstLine="482"/>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五、谈判截止时间、谈判时间及地点：</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1、谈判截止及谈判时间：2019年</w:t>
      </w:r>
      <w:r>
        <w:rPr>
          <w:rFonts w:hint="eastAsia" w:ascii="新宋体" w:hAnsi="新宋体" w:eastAsia="新宋体" w:cs="新宋体"/>
          <w:color w:val="000000"/>
          <w:kern w:val="0"/>
          <w:sz w:val="24"/>
          <w:szCs w:val="24"/>
          <w:lang w:val="en-US" w:eastAsia="zh-CN"/>
        </w:rPr>
        <w:t>9</w:t>
      </w:r>
      <w:r>
        <w:rPr>
          <w:rFonts w:hint="eastAsia" w:ascii="新宋体" w:hAnsi="新宋体" w:eastAsia="新宋体" w:cs="新宋体"/>
          <w:color w:val="000000"/>
          <w:kern w:val="0"/>
          <w:sz w:val="24"/>
          <w:szCs w:val="24"/>
        </w:rPr>
        <w:t>月</w:t>
      </w:r>
      <w:r>
        <w:rPr>
          <w:rFonts w:hint="eastAsia" w:ascii="新宋体" w:hAnsi="新宋体" w:eastAsia="新宋体" w:cs="新宋体"/>
          <w:color w:val="000000"/>
          <w:kern w:val="0"/>
          <w:sz w:val="24"/>
          <w:szCs w:val="24"/>
          <w:lang w:val="en-US" w:eastAsia="zh-CN"/>
        </w:rPr>
        <w:t>4</w:t>
      </w:r>
      <w:r>
        <w:rPr>
          <w:rFonts w:hint="eastAsia" w:ascii="新宋体" w:hAnsi="新宋体" w:eastAsia="新宋体" w:cs="新宋体"/>
          <w:color w:val="000000"/>
          <w:kern w:val="0"/>
          <w:sz w:val="24"/>
          <w:szCs w:val="24"/>
        </w:rPr>
        <w:t>日</w:t>
      </w:r>
      <w:r>
        <w:rPr>
          <w:rFonts w:hint="eastAsia" w:ascii="新宋体" w:hAnsi="新宋体" w:eastAsia="新宋体" w:cs="新宋体"/>
          <w:color w:val="000000"/>
          <w:kern w:val="0"/>
          <w:sz w:val="24"/>
          <w:szCs w:val="24"/>
          <w:lang w:val="en-US" w:eastAsia="zh-CN"/>
        </w:rPr>
        <w:t xml:space="preserve"> 9:00</w:t>
      </w:r>
      <w:r>
        <w:rPr>
          <w:rFonts w:hint="eastAsia" w:ascii="新宋体" w:hAnsi="新宋体" w:eastAsia="新宋体" w:cs="新宋体"/>
          <w:color w:val="000000"/>
          <w:kern w:val="0"/>
          <w:sz w:val="24"/>
          <w:szCs w:val="24"/>
        </w:rPr>
        <w:t>（北京时间），逾期送达或不符合规定的投标文件不予接受。</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2、谈判地点：</w:t>
      </w:r>
      <w:r>
        <w:rPr>
          <w:rFonts w:hint="eastAsia" w:ascii="新宋体" w:hAnsi="新宋体" w:eastAsia="新宋体" w:cs="新宋体"/>
          <w:sz w:val="24"/>
          <w:szCs w:val="24"/>
        </w:rPr>
        <w:t>禹州市公共资源交易中心第</w:t>
      </w:r>
      <w:r>
        <w:rPr>
          <w:rFonts w:hint="eastAsia" w:ascii="新宋体" w:hAnsi="新宋体" w:eastAsia="新宋体" w:cs="新宋体"/>
          <w:sz w:val="24"/>
          <w:szCs w:val="24"/>
          <w:lang w:eastAsia="zh-CN"/>
        </w:rPr>
        <w:t>一</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开标室（禹州市</w:t>
      </w:r>
      <w:r>
        <w:rPr>
          <w:rFonts w:hint="eastAsia" w:ascii="新宋体" w:hAnsi="新宋体" w:eastAsia="新宋体" w:cs="新宋体"/>
          <w:color w:val="000000"/>
          <w:kern w:val="0"/>
          <w:sz w:val="24"/>
          <w:szCs w:val="24"/>
        </w:rPr>
        <w:t xml:space="preserve">行政服务中心楼9楼） </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3、本项目为全流程电子化交易项目，投标人须提交电子投标文件和纸质投标文件。</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（1）加密电子投标文件（.file格式）须在投标截止时间（开标时间）前通过《全国公共资源交易平台(河南省·许昌市)》公共资源交易系统成功上传。</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（2）纸质投标文件（正本1份、副本1份）和备份文件1份（使用电子介质存储）在投标截止时间（开标时间）前递交至本项目开标地点。</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六、本次招标公告同时在《中国政府采购网》、《河南省政府采购网》、《全国公共资源交易平台（河南省·许昌市）》发布等。</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七、代理机构及采购单位地址、联系人、联系电话</w:t>
      </w:r>
    </w:p>
    <w:p>
      <w:pPr>
        <w:keepNext w:val="0"/>
        <w:keepLines w:val="0"/>
        <w:pageBreakBefore w:val="0"/>
        <w:widowControl/>
        <w:shd w:val="clear" w:color="auto" w:fill="FFFFFF"/>
        <w:kinsoku/>
        <w:overflowPunct/>
        <w:bidi w:val="0"/>
        <w:spacing w:line="440" w:lineRule="exact"/>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（一）代理机构：禹州市政府采购中心</w:t>
      </w:r>
    </w:p>
    <w:p>
      <w:pPr>
        <w:keepNext w:val="0"/>
        <w:keepLines w:val="0"/>
        <w:pageBreakBefore w:val="0"/>
        <w:widowControl/>
        <w:shd w:val="clear" w:color="auto" w:fill="FFFFFF"/>
        <w:kinsoku/>
        <w:overflowPunct/>
        <w:bidi w:val="0"/>
        <w:spacing w:line="440" w:lineRule="exact"/>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w:t>
      </w:r>
      <w:r>
        <w:rPr>
          <w:rFonts w:hint="eastAsia" w:ascii="新宋体" w:hAnsi="新宋体" w:eastAsia="新宋体" w:cs="新宋体"/>
          <w:sz w:val="24"/>
          <w:szCs w:val="24"/>
        </w:rPr>
        <w:t>禹州市行政服务中心楼917房间</w:t>
      </w:r>
    </w:p>
    <w:p>
      <w:pPr>
        <w:keepNext w:val="0"/>
        <w:keepLines w:val="0"/>
        <w:pageBreakBefore w:val="0"/>
        <w:widowControl/>
        <w:shd w:val="clear" w:color="auto" w:fill="FFFFFF"/>
        <w:kinsoku/>
        <w:overflowPunct/>
        <w:bidi w:val="0"/>
        <w:spacing w:line="440" w:lineRule="exact"/>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侯女士</w:t>
      </w:r>
      <w:r>
        <w:rPr>
          <w:rFonts w:hint="eastAsia" w:ascii="新宋体" w:hAnsi="新宋体" w:eastAsia="新宋体" w:cs="新宋体"/>
          <w:color w:val="000000"/>
          <w:kern w:val="0"/>
          <w:sz w:val="24"/>
          <w:szCs w:val="24"/>
        </w:rPr>
        <w:t xml:space="preserve">  联系电话：0374-2077111</w:t>
      </w:r>
    </w:p>
    <w:p>
      <w:pPr>
        <w:keepNext w:val="0"/>
        <w:keepLines w:val="0"/>
        <w:pageBreakBefore w:val="0"/>
        <w:widowControl/>
        <w:shd w:val="clear" w:color="auto" w:fill="FFFFFF"/>
        <w:kinsoku/>
        <w:overflowPunct/>
        <w:bidi w:val="0"/>
        <w:spacing w:line="440" w:lineRule="exact"/>
        <w:ind w:left="481"/>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（二）采购单位：</w:t>
      </w:r>
      <w:r>
        <w:rPr>
          <w:rFonts w:hint="eastAsia" w:ascii="新宋体" w:hAnsi="新宋体" w:eastAsia="新宋体" w:cs="新宋体"/>
          <w:sz w:val="24"/>
          <w:szCs w:val="24"/>
          <w:lang w:eastAsia="zh-CN"/>
        </w:rPr>
        <w:t>禹州市畜牧局</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rPr>
        <w:t>地址：禹州市</w:t>
      </w:r>
      <w:r>
        <w:rPr>
          <w:rFonts w:hint="eastAsia" w:ascii="新宋体" w:hAnsi="新宋体" w:eastAsia="新宋体" w:cs="新宋体"/>
          <w:color w:val="000000"/>
          <w:kern w:val="0"/>
          <w:sz w:val="24"/>
          <w:szCs w:val="24"/>
          <w:lang w:eastAsia="zh-CN"/>
        </w:rPr>
        <w:t>行政服务中心楼</w:t>
      </w:r>
    </w:p>
    <w:p>
      <w:pPr>
        <w:keepNext w:val="0"/>
        <w:keepLines w:val="0"/>
        <w:pageBreakBefore w:val="0"/>
        <w:widowControl/>
        <w:shd w:val="clear" w:color="auto" w:fill="FFFFFF"/>
        <w:kinsoku/>
        <w:overflowPunct/>
        <w:bidi w:val="0"/>
        <w:spacing w:line="440" w:lineRule="exact"/>
        <w:ind w:firstLine="641"/>
        <w:jc w:val="left"/>
        <w:textAlignment w:val="auto"/>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王先生</w:t>
      </w:r>
      <w:r>
        <w:rPr>
          <w:rFonts w:hint="eastAsia" w:ascii="新宋体" w:hAnsi="新宋体" w:eastAsia="新宋体" w:cs="新宋体"/>
          <w:color w:val="000000"/>
          <w:kern w:val="0"/>
          <w:sz w:val="24"/>
          <w:szCs w:val="24"/>
        </w:rPr>
        <w:t xml:space="preserve">  </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联系电话：</w:t>
      </w:r>
      <w:r>
        <w:rPr>
          <w:rFonts w:hint="eastAsia" w:ascii="新宋体" w:hAnsi="新宋体" w:eastAsia="新宋体" w:cs="新宋体"/>
          <w:color w:val="000000"/>
          <w:kern w:val="0"/>
          <w:sz w:val="24"/>
          <w:szCs w:val="24"/>
          <w:lang w:val="en-US" w:eastAsia="zh-CN"/>
        </w:rPr>
        <w:t>13937427912</w:t>
      </w:r>
    </w:p>
    <w:p>
      <w:pPr>
        <w:keepNext w:val="0"/>
        <w:keepLines w:val="0"/>
        <w:pageBreakBefore w:val="0"/>
        <w:kinsoku/>
        <w:overflowPunct/>
        <w:bidi w:val="0"/>
        <w:spacing w:line="440" w:lineRule="exact"/>
        <w:ind w:firstLine="4080" w:firstLineChars="1700"/>
        <w:textAlignment w:val="auto"/>
        <w:rPr>
          <w:rFonts w:hint="eastAsia" w:ascii="新宋体" w:hAnsi="新宋体" w:eastAsia="新宋体" w:cs="新宋体"/>
          <w:sz w:val="24"/>
          <w:szCs w:val="24"/>
        </w:rPr>
      </w:pPr>
      <w:r>
        <w:rPr>
          <w:rFonts w:hint="eastAsia" w:ascii="新宋体" w:hAnsi="新宋体" w:eastAsia="新宋体" w:cs="新宋体"/>
          <w:sz w:val="24"/>
          <w:szCs w:val="24"/>
        </w:rPr>
        <w:t xml:space="preserve">   </w:t>
      </w:r>
    </w:p>
    <w:p>
      <w:pPr>
        <w:keepNext w:val="0"/>
        <w:keepLines w:val="0"/>
        <w:pageBreakBefore w:val="0"/>
        <w:kinsoku/>
        <w:overflowPunct/>
        <w:bidi w:val="0"/>
        <w:spacing w:line="440" w:lineRule="exact"/>
        <w:ind w:firstLine="4560" w:firstLineChars="1900"/>
        <w:textAlignment w:val="auto"/>
        <w:rPr>
          <w:rFonts w:hint="eastAsia" w:ascii="新宋体" w:hAnsi="新宋体" w:eastAsia="新宋体" w:cs="新宋体"/>
          <w:sz w:val="24"/>
          <w:szCs w:val="24"/>
        </w:rPr>
      </w:pPr>
    </w:p>
    <w:p>
      <w:pPr>
        <w:keepNext w:val="0"/>
        <w:keepLines w:val="0"/>
        <w:pageBreakBefore w:val="0"/>
        <w:kinsoku/>
        <w:overflowPunct/>
        <w:bidi w:val="0"/>
        <w:spacing w:line="440" w:lineRule="exact"/>
        <w:ind w:firstLine="2640" w:firstLineChars="1100"/>
        <w:textAlignment w:val="auto"/>
        <w:rPr>
          <w:rFonts w:hint="eastAsia" w:ascii="新宋体" w:hAnsi="新宋体" w:eastAsia="新宋体" w:cs="新宋体"/>
          <w:sz w:val="24"/>
          <w:szCs w:val="24"/>
        </w:rPr>
      </w:pP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 xml:space="preserve"> 2019年</w:t>
      </w:r>
      <w:r>
        <w:rPr>
          <w:rFonts w:hint="eastAsia" w:ascii="新宋体" w:hAnsi="新宋体" w:eastAsia="新宋体" w:cs="新宋体"/>
          <w:sz w:val="24"/>
          <w:szCs w:val="24"/>
          <w:lang w:val="en-US" w:eastAsia="zh-CN"/>
        </w:rPr>
        <w:t>8</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15</w:t>
      </w:r>
      <w:r>
        <w:rPr>
          <w:rFonts w:hint="eastAsia" w:ascii="新宋体" w:hAnsi="新宋体" w:eastAsia="新宋体" w:cs="新宋体"/>
          <w:sz w:val="24"/>
          <w:szCs w:val="24"/>
        </w:rPr>
        <w:t>日</w:t>
      </w:r>
    </w:p>
    <w:p>
      <w:pPr>
        <w:keepNext w:val="0"/>
        <w:keepLines w:val="0"/>
        <w:pageBreakBefore w:val="0"/>
        <w:widowControl/>
        <w:shd w:val="clear" w:color="auto" w:fill="FFFFFF"/>
        <w:kinsoku/>
        <w:overflowPunct/>
        <w:bidi w:val="0"/>
        <w:spacing w:line="440" w:lineRule="exact"/>
        <w:jc w:val="left"/>
        <w:textAlignment w:val="auto"/>
        <w:rPr>
          <w:rFonts w:ascii="仿宋" w:hAnsi="仿宋" w:eastAsia="仿宋" w:cs="Arial"/>
          <w:color w:val="000000"/>
          <w:kern w:val="0"/>
          <w:sz w:val="32"/>
          <w:szCs w:val="32"/>
        </w:rPr>
      </w:pPr>
    </w:p>
    <w:p>
      <w:pPr>
        <w:pStyle w:val="2"/>
        <w:rPr>
          <w:rFonts w:hint="eastAsia"/>
          <w:lang w:eastAsia="zh-CN"/>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本项目为全流程电子化交易项目，请认真阅读谈判文件，并注意以下事项。</w:t>
      </w:r>
    </w:p>
    <w:p>
      <w:pPr>
        <w:pStyle w:val="22"/>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电子文件下载、制作、提交期间和谈判响应文件递交（</w:t>
      </w:r>
      <w:r>
        <w:rPr>
          <w:rFonts w:hint="eastAsia" w:hAnsi="宋体"/>
          <w:szCs w:val="21"/>
        </w:rPr>
        <w:t>电子响应文件的解密</w:t>
      </w:r>
      <w:r>
        <w:rPr>
          <w:rFonts w:hint="eastAsia" w:hAnsi="宋体"/>
          <w:b/>
          <w:color w:val="000000"/>
          <w:szCs w:val="21"/>
        </w:rPr>
        <w:t>）环节，供应商须使用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供应商登录《全国公共资源交易平台</w:t>
      </w:r>
      <w:r>
        <w:rPr>
          <w:rFonts w:hint="eastAsia" w:asciiTheme="majorEastAsia" w:hAnsiTheme="majorEastAsia" w:eastAsiaTheme="majorEastAsia"/>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asciiTheme="minorEastAsia" w:hAnsiTheme="minorEastAsia"/>
          <w:color w:val="000000"/>
          <w:sz w:val="24"/>
          <w:szCs w:val="24"/>
        </w:rPr>
        <w:t>)</w:t>
      </w:r>
      <w:r>
        <w:rPr>
          <w:rFonts w:hint="eastAsia" w:hAnsi="宋体"/>
          <w:color w:val="000000"/>
          <w:sz w:val="24"/>
          <w:szCs w:val="24"/>
        </w:rPr>
        <w:t>》公共资源交易系统（</w:t>
      </w:r>
      <w:r>
        <w:rPr>
          <w:sz w:val="24"/>
          <w:szCs w:val="24"/>
        </w:rPr>
        <w:fldChar w:fldCharType="begin"/>
      </w:r>
      <w:r>
        <w:rPr>
          <w:sz w:val="24"/>
          <w:szCs w:val="24"/>
        </w:rPr>
        <w:instrText xml:space="preserve"> HYPERLINK "http://221.14.6.70:8088/ggzy/" </w:instrText>
      </w:r>
      <w:r>
        <w:rPr>
          <w:sz w:val="24"/>
          <w:szCs w:val="24"/>
        </w:rPr>
        <w:fldChar w:fldCharType="separate"/>
      </w:r>
      <w:r>
        <w:rPr>
          <w:rStyle w:val="29"/>
          <w:rFonts w:hAnsi="宋体"/>
          <w:sz w:val="24"/>
          <w:szCs w:val="24"/>
        </w:rPr>
        <w:t>http://221.14.6.70:8088/ggzy/</w:t>
      </w:r>
      <w:r>
        <w:rPr>
          <w:rStyle w:val="29"/>
          <w:rFonts w:hAnsi="宋体"/>
          <w:sz w:val="24"/>
          <w:szCs w:val="24"/>
        </w:rPr>
        <w:fldChar w:fldCharType="end"/>
      </w:r>
      <w:r>
        <w:rPr>
          <w:rFonts w:hint="eastAsia" w:hAnsi="宋体"/>
          <w:color w:val="000000"/>
          <w:sz w:val="24"/>
          <w:szCs w:val="24"/>
        </w:rPr>
        <w:t>）下载“许昌投标文件制作系统SEARUN 最新版本”，按谈判文件要求制作电子响应文件。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电子响应文件的制作，参考《全国公共资源交易平台</w:t>
      </w:r>
      <w:r>
        <w:rPr>
          <w:rFonts w:hint="eastAsia" w:asciiTheme="minorEastAsia" w:hAnsiTheme="minorEastAsia"/>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asciiTheme="minorEastAsia" w:hAnsiTheme="minorEastAsia"/>
          <w:color w:val="000000"/>
          <w:sz w:val="24"/>
          <w:szCs w:val="24"/>
        </w:rPr>
        <w:t>)</w:t>
      </w:r>
      <w:r>
        <w:rPr>
          <w:rFonts w:hint="eastAsia" w:hAnsi="宋体"/>
          <w:color w:val="000000"/>
          <w:sz w:val="24"/>
          <w:szCs w:val="24"/>
        </w:rPr>
        <w:t>》公共资源交易系统——组件下载——交易系统操作手册（投标人、供应商）。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供应商对同一项目多个标段进行报价的，应分别下载所响应标段的谈判文件，按标段制作电子响应文件，并</w:t>
      </w:r>
      <w:r>
        <w:rPr>
          <w:rFonts w:hAnsi="宋体"/>
          <w:color w:val="000000"/>
          <w:sz w:val="24"/>
          <w:szCs w:val="24"/>
        </w:rPr>
        <w:t>按</w:t>
      </w:r>
      <w:r>
        <w:rPr>
          <w:rFonts w:hint="eastAsia" w:hAnsi="宋体"/>
          <w:color w:val="000000"/>
          <w:sz w:val="24"/>
          <w:szCs w:val="24"/>
        </w:rPr>
        <w:t>谈判</w:t>
      </w:r>
      <w:r>
        <w:rPr>
          <w:rFonts w:hAnsi="宋体"/>
          <w:color w:val="000000"/>
          <w:sz w:val="24"/>
          <w:szCs w:val="24"/>
        </w:rPr>
        <w:t>文件要求在相应位置加盖</w:t>
      </w:r>
      <w:r>
        <w:rPr>
          <w:rFonts w:hint="eastAsia" w:hAnsi="宋体"/>
          <w:color w:val="000000"/>
          <w:sz w:val="24"/>
          <w:szCs w:val="24"/>
        </w:rPr>
        <w:t>供应商</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电子响应文件的提交</w:t>
      </w:r>
    </w:p>
    <w:p>
      <w:pPr>
        <w:tabs>
          <w:tab w:val="left" w:pos="7095"/>
        </w:tabs>
        <w:spacing w:line="360" w:lineRule="auto"/>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电子响应文件应在谈判文件规定的谈判响应截止时间（谈判时间）之前成功提交至《全国公共资源交易平台(河南省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hAnsi="宋体"/>
          <w:color w:val="000000"/>
          <w:sz w:val="24"/>
          <w:szCs w:val="24"/>
        </w:rPr>
        <w:t>)》公共资源交易系统（</w:t>
      </w:r>
      <w:r>
        <w:rPr>
          <w:sz w:val="24"/>
          <w:szCs w:val="24"/>
        </w:rPr>
        <w:fldChar w:fldCharType="begin"/>
      </w:r>
      <w:r>
        <w:rPr>
          <w:sz w:val="24"/>
          <w:szCs w:val="24"/>
        </w:rPr>
        <w:instrText xml:space="preserve"> HYPERLINK "http://221.14.6.70:8088/ggzy/" </w:instrText>
      </w:r>
      <w:r>
        <w:rPr>
          <w:sz w:val="24"/>
          <w:szCs w:val="24"/>
        </w:rPr>
        <w:fldChar w:fldCharType="separate"/>
      </w:r>
      <w:r>
        <w:rPr>
          <w:rStyle w:val="29"/>
          <w:rFonts w:hAnsi="宋体"/>
          <w:sz w:val="24"/>
          <w:szCs w:val="24"/>
        </w:rPr>
        <w:t>http://221.14.6.70:8088/ggzy/</w:t>
      </w:r>
      <w:r>
        <w:rPr>
          <w:rStyle w:val="29"/>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供应商应充分考虑并预留技术处理和上传数据所需时间。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供应商对同一项目多个标段进行报价的，加密电子响应文件应按标段分别提交。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电子响应文件成功提交后，供应商应打印“投标文件提交回执单”供谈判响应文件递交现场备查。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评审依据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采用全流程电子化交易评审时，谈判小组以电子响应文件为依据评审。</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全流程电子化交易如因系统异常情况无法完成，将以人工方式进行。谈判小组以纸质响应文件为依据评审。</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jc w:val="center"/>
        <w:rPr>
          <w:rFonts w:cs="宋体" w:asciiTheme="majorEastAsia" w:hAnsiTheme="majorEastAsia" w:eastAsiaTheme="majorEastAsia"/>
          <w:b/>
          <w:kern w:val="0"/>
          <w:sz w:val="24"/>
          <w:szCs w:val="24"/>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both"/>
        <w:rPr>
          <w:rFonts w:hint="eastAsia"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rPr>
          <w:rFonts w:cs="宋体" w:asciiTheme="majorEastAsia" w:hAnsiTheme="majorEastAsia" w:eastAsiaTheme="majorEastAsia"/>
          <w:b/>
          <w:kern w:val="0"/>
          <w:sz w:val="32"/>
          <w:szCs w:val="32"/>
        </w:rPr>
      </w:pPr>
    </w:p>
    <w:p>
      <w:pPr>
        <w:widowControl/>
        <w:numPr>
          <w:ilvl w:val="0"/>
          <w:numId w:val="6"/>
        </w:numPr>
        <w:shd w:val="clear" w:color="auto" w:fill="FFFFFF"/>
        <w:spacing w:line="360" w:lineRule="auto"/>
        <w:ind w:firstLine="482" w:firstLineChars="200"/>
        <w:contextualSpacing/>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本项目需实现的功能或者目标</w:t>
      </w:r>
    </w:p>
    <w:p>
      <w:pPr>
        <w:pStyle w:val="2"/>
      </w:pPr>
      <w:r>
        <w:rPr>
          <w:rFonts w:hint="eastAsia"/>
        </w:rPr>
        <w:t>满足瘦肉精现场检测要求。</w:t>
      </w:r>
    </w:p>
    <w:p>
      <w:pPr>
        <w:widowControl/>
        <w:numPr>
          <w:ilvl w:val="0"/>
          <w:numId w:val="6"/>
        </w:numPr>
        <w:shd w:val="clear" w:color="auto" w:fill="FFFFFF"/>
        <w:spacing w:line="360" w:lineRule="auto"/>
        <w:ind w:left="0" w:leftChars="0" w:firstLine="482" w:firstLineChars="200"/>
        <w:contextualSpacing/>
        <w:jc w:val="left"/>
        <w:rPr>
          <w:rFonts w:hint="eastAsia" w:cs="黑体" w:asciiTheme="minorEastAsia" w:hAnsiTheme="minorEastAsia"/>
          <w:b/>
          <w:bCs/>
          <w:color w:val="000000"/>
          <w:sz w:val="24"/>
          <w:szCs w:val="24"/>
          <w:shd w:val="clear" w:color="auto" w:fill="FFFFFF"/>
          <w:lang w:eastAsia="zh-CN"/>
        </w:rPr>
      </w:pPr>
      <w:r>
        <w:rPr>
          <w:rFonts w:hint="eastAsia" w:cs="黑体" w:asciiTheme="minorEastAsia" w:hAnsiTheme="minorEastAsia"/>
          <w:b/>
          <w:bCs/>
          <w:color w:val="000000"/>
          <w:sz w:val="24"/>
          <w:szCs w:val="24"/>
          <w:shd w:val="clear" w:color="auto" w:fill="FFFFFF"/>
          <w:lang w:eastAsia="zh-CN"/>
        </w:rPr>
        <w:t>采购清单</w:t>
      </w:r>
    </w:p>
    <w:tbl>
      <w:tblPr>
        <w:tblStyle w:val="24"/>
        <w:tblpPr w:leftFromText="180" w:rightFromText="180" w:vertAnchor="text" w:horzAnchor="page" w:tblpX="1245" w:tblpY="243"/>
        <w:tblOverlap w:val="never"/>
        <w:tblW w:w="9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948"/>
        <w:gridCol w:w="6247"/>
        <w:gridCol w:w="69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22" w:type="dxa"/>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序号</w:t>
            </w:r>
          </w:p>
        </w:tc>
        <w:tc>
          <w:tcPr>
            <w:tcW w:w="948" w:type="dxa"/>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设备名称</w:t>
            </w:r>
          </w:p>
        </w:tc>
        <w:tc>
          <w:tcPr>
            <w:tcW w:w="6247" w:type="dxa"/>
            <w:vAlign w:val="bottom"/>
          </w:tcPr>
          <w:p>
            <w:pPr>
              <w:keepNext w:val="0"/>
              <w:keepLines w:val="0"/>
              <w:pageBreakBefore w:val="0"/>
              <w:kinsoku/>
              <w:wordWrap/>
              <w:overflowPunct/>
              <w:topLinePunct w:val="0"/>
              <w:autoSpaceDE/>
              <w:autoSpaceDN/>
              <w:bidi w:val="0"/>
              <w:adjustRightInd/>
              <w:snapToGrid/>
              <w:spacing w:line="400" w:lineRule="exact"/>
              <w:ind w:firstLine="1260" w:firstLineChars="600"/>
              <w:jc w:val="both"/>
              <w:textAlignment w:val="auto"/>
              <w:outlineLvl w:val="9"/>
              <w:rPr>
                <w:rFonts w:hint="eastAsia" w:ascii="宋体" w:hAnsi="宋体" w:eastAsia="宋体" w:cs="宋体"/>
                <w:b/>
                <w:sz w:val="21"/>
                <w:szCs w:val="21"/>
              </w:rPr>
            </w:pPr>
            <w:r>
              <w:rPr>
                <w:rFonts w:hint="eastAsia" w:ascii="宋体" w:hAnsi="宋体" w:eastAsia="宋体" w:cs="宋体"/>
                <w:bCs/>
                <w:color w:val="000000"/>
                <w:kern w:val="0"/>
                <w:sz w:val="21"/>
                <w:szCs w:val="21"/>
              </w:rPr>
              <w:t>技术参数/规格/配置</w:t>
            </w:r>
          </w:p>
        </w:tc>
        <w:tc>
          <w:tcPr>
            <w:tcW w:w="69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单位</w:t>
            </w:r>
          </w:p>
        </w:tc>
        <w:tc>
          <w:tcPr>
            <w:tcW w:w="81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622" w:type="dxa"/>
            <w:vAlign w:val="center"/>
          </w:tcPr>
          <w:p>
            <w:pPr>
              <w:keepNext w:val="0"/>
              <w:keepLines w:val="0"/>
              <w:pageBreakBefore w:val="0"/>
              <w:kinsoku/>
              <w:wordWrap/>
              <w:overflowPunct/>
              <w:topLinePunct w:val="0"/>
              <w:autoSpaceDE/>
              <w:autoSpaceDN/>
              <w:bidi w:val="0"/>
              <w:adjustRightInd/>
              <w:snapToGrid/>
              <w:spacing w:line="400" w:lineRule="exact"/>
              <w:ind w:right="-107" w:rightChars="-51"/>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1</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color w:val="000000"/>
                <w:kern w:val="0"/>
                <w:sz w:val="21"/>
                <w:szCs w:val="21"/>
              </w:rPr>
            </w:pPr>
            <w:r>
              <w:rPr>
                <w:rFonts w:hint="eastAsia" w:ascii="宋体" w:hAnsi="宋体" w:eastAsia="宋体" w:cs="宋体"/>
                <w:b/>
                <w:sz w:val="21"/>
                <w:szCs w:val="21"/>
              </w:rPr>
              <w:t>盐酸克伦特罗检测卡</w:t>
            </w:r>
          </w:p>
        </w:tc>
        <w:tc>
          <w:tcPr>
            <w:tcW w:w="6247" w:type="dxa"/>
            <w:vAlign w:val="bottom"/>
          </w:tcPr>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1.检测灵敏度：</w:t>
            </w:r>
            <w:r>
              <w:rPr>
                <w:rFonts w:hint="eastAsia" w:ascii="宋体" w:hAnsi="宋体" w:cs="宋体"/>
                <w:color w:val="000000"/>
                <w:sz w:val="21"/>
                <w:szCs w:val="21"/>
                <w:lang w:val="en-US" w:eastAsia="zh-CN"/>
              </w:rPr>
              <w:t>2</w:t>
            </w:r>
            <w:r>
              <w:rPr>
                <w:rFonts w:hint="eastAsia" w:ascii="宋体" w:hAnsi="宋体" w:eastAsia="宋体" w:cs="宋体"/>
                <w:color w:val="000000"/>
                <w:sz w:val="21"/>
                <w:szCs w:val="21"/>
              </w:rPr>
              <w:t>ng/ml；产品使用时检测卡不能出现假阴性，假阳性率≤1%；产品准确率≥99%；（</w:t>
            </w:r>
            <w:r>
              <w:rPr>
                <w:rFonts w:hint="eastAsia" w:ascii="宋体" w:hAnsi="宋体" w:cs="Arial"/>
                <w:color w:val="auto"/>
                <w:szCs w:val="21"/>
                <w:lang w:eastAsia="zh-CN"/>
              </w:rPr>
              <w:t>投标人开标时需提供与投标产品相对应的样品和国家</w:t>
            </w:r>
            <w:r>
              <w:rPr>
                <w:rFonts w:hint="eastAsia" w:ascii="宋体" w:hAnsi="宋体" w:cs="宋体"/>
                <w:color w:val="auto"/>
                <w:szCs w:val="21"/>
                <w:lang w:eastAsia="zh-CN"/>
              </w:rPr>
              <w:t>部级以上兽药残留监管部门</w:t>
            </w:r>
            <w:r>
              <w:rPr>
                <w:rFonts w:hint="eastAsia" w:ascii="宋体" w:hAnsi="宋体" w:cs="宋体"/>
                <w:bCs/>
                <w:color w:val="auto"/>
                <w:kern w:val="0"/>
                <w:szCs w:val="21"/>
              </w:rPr>
              <w:t>201</w:t>
            </w:r>
            <w:r>
              <w:rPr>
                <w:rFonts w:hint="eastAsia" w:ascii="宋体" w:hAnsi="宋体" w:cs="宋体"/>
                <w:bCs/>
                <w:color w:val="auto"/>
                <w:kern w:val="0"/>
                <w:szCs w:val="21"/>
                <w:lang w:val="en-US" w:eastAsia="zh-CN"/>
              </w:rPr>
              <w:t>6</w:t>
            </w:r>
            <w:r>
              <w:rPr>
                <w:rFonts w:hint="eastAsia" w:ascii="宋体" w:hAnsi="宋体" w:cs="宋体"/>
                <w:bCs/>
                <w:color w:val="auto"/>
                <w:kern w:val="0"/>
                <w:szCs w:val="21"/>
              </w:rPr>
              <w:t>年以来</w:t>
            </w:r>
            <w:r>
              <w:rPr>
                <w:rFonts w:hint="eastAsia" w:ascii="宋体" w:hAnsi="宋体" w:cs="宋体"/>
                <w:bCs/>
                <w:color w:val="auto"/>
                <w:kern w:val="0"/>
                <w:szCs w:val="21"/>
                <w:lang w:eastAsia="zh-CN"/>
              </w:rPr>
              <w:t>的</w:t>
            </w:r>
            <w:r>
              <w:rPr>
                <w:rFonts w:hint="eastAsia"/>
                <w:color w:val="auto"/>
              </w:rPr>
              <w:t>产品</w:t>
            </w:r>
            <w:r>
              <w:rPr>
                <w:rFonts w:hint="eastAsia"/>
                <w:color w:val="auto"/>
                <w:lang w:eastAsia="zh-CN"/>
              </w:rPr>
              <w:t>技术指标</w:t>
            </w:r>
            <w:r>
              <w:rPr>
                <w:rFonts w:hint="eastAsia"/>
                <w:color w:val="auto"/>
              </w:rPr>
              <w:t>复核</w:t>
            </w:r>
            <w:r>
              <w:rPr>
                <w:rFonts w:hint="eastAsia" w:ascii="宋体" w:hAnsi="宋体" w:cs="宋体"/>
                <w:color w:val="auto"/>
                <w:szCs w:val="21"/>
              </w:rPr>
              <w:t>报告</w:t>
            </w:r>
            <w:r>
              <w:rPr>
                <w:rFonts w:hint="eastAsia" w:ascii="宋体" w:hAnsi="宋体" w:cs="宋体"/>
                <w:color w:val="auto"/>
                <w:szCs w:val="21"/>
                <w:lang w:eastAsia="zh-CN"/>
              </w:rPr>
              <w:t>，</w:t>
            </w:r>
            <w:r>
              <w:rPr>
                <w:rFonts w:hint="eastAsia" w:ascii="宋体" w:hAnsi="宋体" w:cs="宋体"/>
                <w:color w:val="auto"/>
                <w:szCs w:val="21"/>
              </w:rPr>
              <w:t>并现场查验检测报告</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2.产品通过农业部备案；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3.每张检测卡都为独立密封包装，每个卡的外包装上印有品牌、生产厂名、生产日期等相关标识</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产品使用过程中无须借助任何仪器设备，适合于现场操作，结果判读简单；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cs="宋体"/>
                <w:color w:val="auto"/>
                <w:sz w:val="21"/>
                <w:szCs w:val="21"/>
                <w:lang w:eastAsia="zh-CN"/>
              </w:rPr>
            </w:pPr>
            <w:r>
              <w:rPr>
                <w:rFonts w:hint="eastAsia" w:ascii="宋体" w:hAnsi="宋体" w:eastAsia="宋体" w:cs="宋体"/>
                <w:color w:val="000000"/>
                <w:sz w:val="21"/>
                <w:szCs w:val="21"/>
              </w:rPr>
              <w:t>4.</w:t>
            </w:r>
            <w:r>
              <w:rPr>
                <w:rFonts w:hint="eastAsia" w:ascii="宋体" w:hAnsi="宋体" w:cs="宋体"/>
                <w:color w:val="auto"/>
                <w:sz w:val="21"/>
                <w:szCs w:val="21"/>
                <w:lang w:eastAsia="zh-CN"/>
              </w:rPr>
              <w:t>产品检测要求（验收时抽检）：</w:t>
            </w:r>
          </w:p>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1"/>
                <w:szCs w:val="21"/>
              </w:rPr>
            </w:pPr>
            <w:r>
              <w:rPr>
                <w:rFonts w:hint="eastAsia" w:ascii="宋体" w:hAnsi="宋体" w:eastAsia="宋体" w:cs="宋体"/>
                <w:b w:val="0"/>
                <w:bCs/>
                <w:color w:val="auto"/>
                <w:sz w:val="21"/>
                <w:szCs w:val="21"/>
              </w:rPr>
              <w:t>①空白样品结果应均为阴性，检测线清晰且颜色较深</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②1</w:t>
            </w:r>
            <w:r>
              <w:rPr>
                <w:rFonts w:hint="eastAsia" w:ascii="宋体" w:hAnsi="宋体" w:eastAsia="宋体" w:cs="宋体"/>
                <w:b w:val="0"/>
                <w:bCs/>
                <w:color w:val="auto"/>
                <w:sz w:val="21"/>
                <w:szCs w:val="21"/>
                <w:lang w:eastAsia="zh-CN"/>
              </w:rPr>
              <w:t>ng/ml</w:t>
            </w:r>
            <w:r>
              <w:rPr>
                <w:rFonts w:hint="eastAsia" w:ascii="宋体" w:hAnsi="宋体" w:eastAsia="宋体" w:cs="宋体"/>
                <w:b w:val="0"/>
                <w:bCs/>
                <w:color w:val="auto"/>
                <w:sz w:val="21"/>
                <w:szCs w:val="21"/>
              </w:rPr>
              <w:t>（第一梯度）样品结果应均为阴性，检测线清晰且颜色较深</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③</w:t>
            </w:r>
            <w:r>
              <w:rPr>
                <w:rFonts w:hint="eastAsia" w:ascii="宋体" w:hAnsi="宋体" w:cs="宋体"/>
                <w:b w:val="0"/>
                <w:bCs/>
                <w:color w:val="auto"/>
                <w:sz w:val="21"/>
                <w:szCs w:val="21"/>
                <w:lang w:val="en-US" w:eastAsia="zh-CN"/>
              </w:rPr>
              <w:t>2</w:t>
            </w:r>
            <w:r>
              <w:rPr>
                <w:rFonts w:hint="eastAsia" w:ascii="宋体" w:hAnsi="宋体" w:eastAsia="宋体" w:cs="宋体"/>
                <w:b w:val="0"/>
                <w:bCs/>
                <w:color w:val="auto"/>
                <w:sz w:val="21"/>
                <w:szCs w:val="21"/>
                <w:lang w:eastAsia="zh-CN"/>
              </w:rPr>
              <w:t>ng/ml</w:t>
            </w:r>
            <w:r>
              <w:rPr>
                <w:rFonts w:hint="eastAsia" w:ascii="宋体" w:hAnsi="宋体" w:eastAsia="宋体" w:cs="宋体"/>
                <w:b w:val="0"/>
                <w:bCs/>
                <w:color w:val="auto"/>
                <w:sz w:val="21"/>
                <w:szCs w:val="21"/>
              </w:rPr>
              <w:t>（第二梯度）样品结果应均为阳性，检测线应无色（检测线允许出现极浅的淡黄色点样线）</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 xml:space="preserve"> </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④</w:t>
            </w:r>
            <w:r>
              <w:rPr>
                <w:rFonts w:hint="eastAsia" w:ascii="宋体" w:hAnsi="宋体" w:cs="宋体"/>
                <w:b w:val="0"/>
                <w:bCs/>
                <w:color w:val="auto"/>
                <w:sz w:val="21"/>
                <w:szCs w:val="21"/>
                <w:lang w:val="en-US" w:eastAsia="zh-CN"/>
              </w:rPr>
              <w:t>3</w:t>
            </w:r>
            <w:r>
              <w:rPr>
                <w:rFonts w:hint="eastAsia" w:ascii="宋体" w:hAnsi="宋体" w:eastAsia="宋体" w:cs="宋体"/>
                <w:b w:val="0"/>
                <w:bCs/>
                <w:color w:val="auto"/>
                <w:sz w:val="21"/>
                <w:szCs w:val="21"/>
              </w:rPr>
              <w:t>.5</w:t>
            </w:r>
            <w:r>
              <w:rPr>
                <w:rFonts w:hint="eastAsia" w:ascii="宋体" w:hAnsi="宋体" w:eastAsia="宋体" w:cs="宋体"/>
                <w:b w:val="0"/>
                <w:bCs/>
                <w:color w:val="auto"/>
                <w:sz w:val="21"/>
                <w:szCs w:val="21"/>
                <w:lang w:eastAsia="zh-CN"/>
              </w:rPr>
              <w:t>ng/ml</w:t>
            </w:r>
            <w:r>
              <w:rPr>
                <w:rFonts w:hint="eastAsia" w:ascii="宋体" w:hAnsi="宋体" w:eastAsia="宋体" w:cs="宋体"/>
                <w:b w:val="0"/>
                <w:bCs/>
                <w:color w:val="auto"/>
                <w:sz w:val="21"/>
                <w:szCs w:val="21"/>
              </w:rPr>
              <w:t>（第三梯度）样品结果应均为阳性，检测线应无色（检测线允许出现极浅的淡黄色点样线）。</w:t>
            </w:r>
          </w:p>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1"/>
                <w:szCs w:val="21"/>
              </w:rPr>
            </w:pPr>
            <w:r>
              <w:rPr>
                <w:rFonts w:hint="eastAsia" w:ascii="宋体" w:hAnsi="宋体" w:cs="宋体"/>
                <w:color w:val="000000"/>
                <w:sz w:val="21"/>
                <w:szCs w:val="21"/>
                <w:lang w:val="en-US" w:eastAsia="zh-CN"/>
              </w:rPr>
              <w:t>5</w:t>
            </w:r>
            <w:r>
              <w:rPr>
                <w:rFonts w:hint="eastAsia" w:ascii="宋体" w:hAnsi="宋体" w:eastAsia="宋体" w:cs="宋体"/>
                <w:color w:val="000000"/>
                <w:sz w:val="21"/>
                <w:szCs w:val="21"/>
                <w:lang w:val="en-US" w:eastAsia="zh-CN"/>
              </w:rPr>
              <w:t>.</w:t>
            </w:r>
            <w:r>
              <w:rPr>
                <w:rFonts w:hint="eastAsia" w:ascii="宋体" w:hAnsi="宋体" w:cs="宋体"/>
                <w:color w:val="000000"/>
                <w:sz w:val="21"/>
                <w:szCs w:val="21"/>
                <w:lang w:val="en-US" w:eastAsia="zh-CN"/>
              </w:rPr>
              <w:t>质保期12个月以上，需</w:t>
            </w:r>
            <w:r>
              <w:rPr>
                <w:rFonts w:hint="eastAsia" w:ascii="宋体" w:hAnsi="宋体" w:eastAsia="宋体" w:cs="宋体"/>
                <w:color w:val="000000"/>
                <w:sz w:val="21"/>
                <w:szCs w:val="21"/>
                <w:lang w:val="en-US" w:eastAsia="zh-CN"/>
              </w:rPr>
              <w:t>生产厂家出具</w:t>
            </w:r>
            <w:r>
              <w:rPr>
                <w:rFonts w:hint="eastAsia" w:ascii="宋体" w:hAnsi="宋体" w:cs="宋体"/>
                <w:color w:val="000000"/>
                <w:sz w:val="21"/>
                <w:szCs w:val="21"/>
                <w:lang w:val="en-US" w:eastAsia="zh-CN"/>
              </w:rPr>
              <w:t>针对本项目</w:t>
            </w:r>
            <w:r>
              <w:rPr>
                <w:rFonts w:hint="eastAsia" w:ascii="宋体" w:hAnsi="宋体" w:eastAsia="宋体" w:cs="宋体"/>
                <w:color w:val="000000"/>
                <w:sz w:val="21"/>
                <w:szCs w:val="21"/>
                <w:lang w:val="en-US" w:eastAsia="zh-CN"/>
              </w:rPr>
              <w:t>售后服务承诺函。</w:t>
            </w:r>
          </w:p>
        </w:tc>
        <w:tc>
          <w:tcPr>
            <w:tcW w:w="69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套</w:t>
            </w:r>
          </w:p>
        </w:tc>
        <w:tc>
          <w:tcPr>
            <w:tcW w:w="81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cs="宋体"/>
                <w:sz w:val="21"/>
                <w:szCs w:val="21"/>
                <w:lang w:val="en-US" w:eastAsia="zh-CN"/>
              </w:rPr>
              <w:t>3</w:t>
            </w: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622" w:type="dxa"/>
            <w:vAlign w:val="center"/>
          </w:tcPr>
          <w:p>
            <w:pPr>
              <w:keepNext w:val="0"/>
              <w:keepLines w:val="0"/>
              <w:pageBreakBefore w:val="0"/>
              <w:kinsoku/>
              <w:wordWrap/>
              <w:overflowPunct/>
              <w:topLinePunct w:val="0"/>
              <w:autoSpaceDE/>
              <w:autoSpaceDN/>
              <w:bidi w:val="0"/>
              <w:adjustRightInd/>
              <w:snapToGrid/>
              <w:spacing w:line="400" w:lineRule="exact"/>
              <w:ind w:right="-107" w:rightChars="-51"/>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400" w:lineRule="exact"/>
              <w:ind w:left="-63" w:leftChars="-30" w:right="-107" w:rightChars="-51"/>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莱克多巴胺检测卡</w:t>
            </w:r>
          </w:p>
        </w:tc>
        <w:tc>
          <w:tcPr>
            <w:tcW w:w="6247" w:type="dxa"/>
            <w:vAlign w:val="top"/>
          </w:tcPr>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1.检测灵敏度：</w:t>
            </w:r>
            <w:r>
              <w:rPr>
                <w:rFonts w:hint="eastAsia" w:ascii="宋体" w:hAnsi="宋体" w:cs="宋体"/>
                <w:color w:val="000000"/>
                <w:sz w:val="21"/>
                <w:szCs w:val="21"/>
                <w:lang w:val="en-US" w:eastAsia="zh-CN"/>
              </w:rPr>
              <w:t>3</w:t>
            </w:r>
            <w:r>
              <w:rPr>
                <w:rFonts w:hint="eastAsia" w:ascii="宋体" w:hAnsi="宋体" w:eastAsia="宋体" w:cs="宋体"/>
                <w:color w:val="000000"/>
                <w:sz w:val="21"/>
                <w:szCs w:val="21"/>
              </w:rPr>
              <w:t>ng/ml；产品使用时检测卡不能出现假阴性，假阳性率≤1%；产品准确率≥99%；（</w:t>
            </w:r>
            <w:r>
              <w:rPr>
                <w:rFonts w:hint="eastAsia" w:ascii="宋体" w:hAnsi="宋体" w:cs="Arial"/>
                <w:color w:val="auto"/>
                <w:szCs w:val="21"/>
                <w:lang w:eastAsia="zh-CN"/>
              </w:rPr>
              <w:t>投标人开标时需提供与投标产品相对应的样品和国家</w:t>
            </w:r>
            <w:r>
              <w:rPr>
                <w:rFonts w:hint="eastAsia" w:ascii="宋体" w:hAnsi="宋体" w:cs="宋体"/>
                <w:color w:val="auto"/>
                <w:szCs w:val="21"/>
                <w:lang w:eastAsia="zh-CN"/>
              </w:rPr>
              <w:t>部级以上兽药残留监管部门</w:t>
            </w:r>
            <w:r>
              <w:rPr>
                <w:rFonts w:hint="eastAsia" w:ascii="宋体" w:hAnsi="宋体" w:cs="宋体"/>
                <w:bCs/>
                <w:color w:val="auto"/>
                <w:kern w:val="0"/>
                <w:szCs w:val="21"/>
              </w:rPr>
              <w:t>201</w:t>
            </w:r>
            <w:r>
              <w:rPr>
                <w:rFonts w:hint="eastAsia" w:ascii="宋体" w:hAnsi="宋体" w:cs="宋体"/>
                <w:bCs/>
                <w:color w:val="auto"/>
                <w:kern w:val="0"/>
                <w:szCs w:val="21"/>
                <w:lang w:val="en-US" w:eastAsia="zh-CN"/>
              </w:rPr>
              <w:t>6</w:t>
            </w:r>
            <w:r>
              <w:rPr>
                <w:rFonts w:hint="eastAsia" w:ascii="宋体" w:hAnsi="宋体" w:cs="宋体"/>
                <w:bCs/>
                <w:color w:val="auto"/>
                <w:kern w:val="0"/>
                <w:szCs w:val="21"/>
              </w:rPr>
              <w:t>年以来</w:t>
            </w:r>
            <w:r>
              <w:rPr>
                <w:rFonts w:hint="eastAsia" w:ascii="宋体" w:hAnsi="宋体" w:cs="宋体"/>
                <w:bCs/>
                <w:color w:val="auto"/>
                <w:kern w:val="0"/>
                <w:szCs w:val="21"/>
                <w:lang w:eastAsia="zh-CN"/>
              </w:rPr>
              <w:t>的</w:t>
            </w:r>
            <w:r>
              <w:rPr>
                <w:rFonts w:hint="eastAsia"/>
                <w:color w:val="auto"/>
              </w:rPr>
              <w:t>产品</w:t>
            </w:r>
            <w:r>
              <w:rPr>
                <w:rFonts w:hint="eastAsia"/>
                <w:color w:val="auto"/>
                <w:lang w:eastAsia="zh-CN"/>
              </w:rPr>
              <w:t>技术指标</w:t>
            </w:r>
            <w:r>
              <w:rPr>
                <w:rFonts w:hint="eastAsia"/>
                <w:color w:val="auto"/>
              </w:rPr>
              <w:t>复核</w:t>
            </w:r>
            <w:r>
              <w:rPr>
                <w:rFonts w:hint="eastAsia" w:ascii="宋体" w:hAnsi="宋体" w:cs="宋体"/>
                <w:color w:val="auto"/>
                <w:szCs w:val="21"/>
              </w:rPr>
              <w:t>报告</w:t>
            </w:r>
            <w:r>
              <w:rPr>
                <w:rFonts w:hint="eastAsia" w:ascii="宋体" w:hAnsi="宋体" w:cs="宋体"/>
                <w:color w:val="auto"/>
                <w:szCs w:val="21"/>
                <w:lang w:eastAsia="zh-CN"/>
              </w:rPr>
              <w:t>，</w:t>
            </w:r>
            <w:r>
              <w:rPr>
                <w:rFonts w:hint="eastAsia" w:ascii="宋体" w:hAnsi="宋体" w:cs="宋体"/>
                <w:color w:val="auto"/>
                <w:szCs w:val="21"/>
              </w:rPr>
              <w:t>并现场查验检测报告</w:t>
            </w:r>
            <w:r>
              <w:rPr>
                <w:rFonts w:hint="eastAsia" w:ascii="宋体" w:hAnsi="宋体" w:eastAsia="宋体" w:cs="宋体"/>
                <w:color w:val="000000"/>
                <w:sz w:val="21"/>
                <w:szCs w:val="21"/>
              </w:rPr>
              <w:t>）</w:t>
            </w:r>
          </w:p>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2.产品通过农业部备案；</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3.每张检测卡都为独立密封包装，每个卡的外包装上印有品牌、生产厂名、生产日期等相关标识</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产品使用过程中无须借助任何仪器设备，适合于现场操作，结果判读简单；</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cs="宋体"/>
                <w:color w:val="auto"/>
                <w:sz w:val="21"/>
                <w:szCs w:val="21"/>
                <w:lang w:eastAsia="zh-CN"/>
              </w:rPr>
            </w:pPr>
            <w:r>
              <w:rPr>
                <w:rFonts w:hint="eastAsia" w:ascii="宋体" w:hAnsi="宋体" w:eastAsia="宋体" w:cs="宋体"/>
                <w:color w:val="000000"/>
                <w:sz w:val="21"/>
                <w:szCs w:val="21"/>
              </w:rPr>
              <w:t>4.</w:t>
            </w:r>
            <w:r>
              <w:rPr>
                <w:rFonts w:hint="eastAsia" w:ascii="宋体" w:hAnsi="宋体" w:cs="宋体"/>
                <w:color w:val="auto"/>
                <w:sz w:val="21"/>
                <w:szCs w:val="21"/>
                <w:lang w:eastAsia="zh-CN"/>
              </w:rPr>
              <w:t>产品检测要求（验收时抽检）：</w:t>
            </w:r>
          </w:p>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1"/>
                <w:szCs w:val="21"/>
              </w:rPr>
            </w:pPr>
            <w:r>
              <w:rPr>
                <w:rFonts w:hint="eastAsia" w:ascii="宋体" w:hAnsi="宋体" w:eastAsia="宋体" w:cs="宋体"/>
                <w:b w:val="0"/>
                <w:bCs/>
                <w:color w:val="auto"/>
                <w:sz w:val="21"/>
                <w:szCs w:val="21"/>
              </w:rPr>
              <w:t xml:space="preserve">①空白样品结果应均为阴性，检测线清晰且颜色较深 </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②</w:t>
            </w:r>
            <w:r>
              <w:rPr>
                <w:rFonts w:hint="eastAsia" w:ascii="宋体" w:hAnsi="宋体" w:cs="宋体"/>
                <w:b w:val="0"/>
                <w:bCs/>
                <w:color w:val="auto"/>
                <w:sz w:val="21"/>
                <w:szCs w:val="21"/>
                <w:lang w:val="en-US" w:eastAsia="zh-CN"/>
              </w:rPr>
              <w:t>1</w:t>
            </w:r>
            <w:r>
              <w:rPr>
                <w:rFonts w:hint="eastAsia" w:ascii="宋体" w:hAnsi="宋体" w:eastAsia="宋体" w:cs="宋体"/>
                <w:b w:val="0"/>
                <w:bCs/>
                <w:color w:val="auto"/>
                <w:sz w:val="21"/>
                <w:szCs w:val="21"/>
                <w:lang w:eastAsia="zh-CN"/>
              </w:rPr>
              <w:t>ng/ml</w:t>
            </w:r>
            <w:r>
              <w:rPr>
                <w:rFonts w:hint="eastAsia" w:ascii="宋体" w:hAnsi="宋体" w:eastAsia="宋体" w:cs="宋体"/>
                <w:b w:val="0"/>
                <w:bCs/>
                <w:color w:val="auto"/>
                <w:sz w:val="21"/>
                <w:szCs w:val="21"/>
              </w:rPr>
              <w:t xml:space="preserve">（第一梯度）样品结果应均为阴性，检测线清晰且颜色较深 </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③</w:t>
            </w:r>
            <w:r>
              <w:rPr>
                <w:rFonts w:hint="eastAsia" w:ascii="宋体" w:hAnsi="宋体" w:cs="宋体"/>
                <w:b w:val="0"/>
                <w:bCs/>
                <w:color w:val="auto"/>
                <w:sz w:val="21"/>
                <w:szCs w:val="21"/>
                <w:lang w:val="en-US" w:eastAsia="zh-CN"/>
              </w:rPr>
              <w:t>3</w:t>
            </w:r>
            <w:r>
              <w:rPr>
                <w:rFonts w:hint="eastAsia" w:ascii="宋体" w:hAnsi="宋体" w:eastAsia="宋体" w:cs="宋体"/>
                <w:b w:val="0"/>
                <w:bCs/>
                <w:color w:val="auto"/>
                <w:sz w:val="21"/>
                <w:szCs w:val="21"/>
                <w:lang w:eastAsia="zh-CN"/>
              </w:rPr>
              <w:t>ng/ml</w:t>
            </w:r>
            <w:r>
              <w:rPr>
                <w:rFonts w:hint="eastAsia" w:ascii="宋体" w:hAnsi="宋体" w:eastAsia="宋体" w:cs="宋体"/>
                <w:b w:val="0"/>
                <w:bCs/>
                <w:color w:val="auto"/>
                <w:sz w:val="21"/>
                <w:szCs w:val="21"/>
              </w:rPr>
              <w:t xml:space="preserve">（第二梯度）样品结果应均为阳性，检测线应无色或几乎不可见（检测线允许出现极浅的淡黄色点样线）。 </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④</w:t>
            </w:r>
            <w:r>
              <w:rPr>
                <w:rFonts w:hint="eastAsia" w:ascii="宋体" w:hAnsi="宋体" w:cs="宋体"/>
                <w:b w:val="0"/>
                <w:bCs/>
                <w:color w:val="auto"/>
                <w:sz w:val="21"/>
                <w:szCs w:val="21"/>
                <w:lang w:val="en-US" w:eastAsia="zh-CN"/>
              </w:rPr>
              <w:t>5</w:t>
            </w:r>
            <w:r>
              <w:rPr>
                <w:rFonts w:hint="eastAsia" w:ascii="宋体" w:hAnsi="宋体" w:eastAsia="宋体" w:cs="宋体"/>
                <w:b w:val="0"/>
                <w:bCs/>
                <w:color w:val="auto"/>
                <w:sz w:val="21"/>
                <w:szCs w:val="21"/>
                <w:lang w:eastAsia="zh-CN"/>
              </w:rPr>
              <w:t>ng/ml</w:t>
            </w:r>
            <w:r>
              <w:rPr>
                <w:rFonts w:hint="eastAsia" w:ascii="宋体" w:hAnsi="宋体" w:eastAsia="宋体" w:cs="宋体"/>
                <w:b w:val="0"/>
                <w:bCs/>
                <w:color w:val="auto"/>
                <w:sz w:val="21"/>
                <w:szCs w:val="21"/>
              </w:rPr>
              <w:t>（第三梯度）样品结果应均为阳性，检测线应无色（检测线允许出现极浅的淡黄色点样线）。</w:t>
            </w:r>
          </w:p>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1"/>
                <w:szCs w:val="21"/>
              </w:rPr>
            </w:pPr>
            <w:r>
              <w:rPr>
                <w:rFonts w:hint="eastAsia" w:ascii="宋体" w:hAnsi="宋体" w:cs="宋体"/>
                <w:color w:val="000000"/>
                <w:sz w:val="21"/>
                <w:szCs w:val="21"/>
                <w:lang w:val="en-US" w:eastAsia="zh-CN"/>
              </w:rPr>
              <w:t>5</w:t>
            </w:r>
            <w:r>
              <w:rPr>
                <w:rFonts w:hint="eastAsia" w:ascii="宋体" w:hAnsi="宋体" w:eastAsia="宋体" w:cs="宋体"/>
                <w:color w:val="000000"/>
                <w:sz w:val="21"/>
                <w:szCs w:val="21"/>
                <w:lang w:val="en-US" w:eastAsia="zh-CN"/>
              </w:rPr>
              <w:t>.</w:t>
            </w:r>
            <w:r>
              <w:rPr>
                <w:rFonts w:hint="eastAsia" w:ascii="宋体" w:hAnsi="宋体" w:cs="宋体"/>
                <w:color w:val="000000"/>
                <w:sz w:val="21"/>
                <w:szCs w:val="21"/>
                <w:lang w:val="en-US" w:eastAsia="zh-CN"/>
              </w:rPr>
              <w:t>质保期12个月以上，需</w:t>
            </w:r>
            <w:r>
              <w:rPr>
                <w:rFonts w:hint="eastAsia" w:ascii="宋体" w:hAnsi="宋体" w:eastAsia="宋体" w:cs="宋体"/>
                <w:color w:val="000000"/>
                <w:sz w:val="21"/>
                <w:szCs w:val="21"/>
                <w:lang w:val="en-US" w:eastAsia="zh-CN"/>
              </w:rPr>
              <w:t>生产厂家出具</w:t>
            </w:r>
            <w:r>
              <w:rPr>
                <w:rFonts w:hint="eastAsia" w:ascii="宋体" w:hAnsi="宋体" w:cs="宋体"/>
                <w:color w:val="000000"/>
                <w:sz w:val="21"/>
                <w:szCs w:val="21"/>
                <w:lang w:val="en-US" w:eastAsia="zh-CN"/>
              </w:rPr>
              <w:t>针对本项目</w:t>
            </w:r>
            <w:r>
              <w:rPr>
                <w:rFonts w:hint="eastAsia" w:ascii="宋体" w:hAnsi="宋体" w:eastAsia="宋体" w:cs="宋体"/>
                <w:color w:val="000000"/>
                <w:sz w:val="21"/>
                <w:szCs w:val="21"/>
                <w:lang w:val="en-US" w:eastAsia="zh-CN"/>
              </w:rPr>
              <w:t>售后服务承诺函。</w:t>
            </w:r>
          </w:p>
        </w:tc>
        <w:tc>
          <w:tcPr>
            <w:tcW w:w="69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套</w:t>
            </w:r>
          </w:p>
        </w:tc>
        <w:tc>
          <w:tcPr>
            <w:tcW w:w="81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cs="宋体"/>
                <w:sz w:val="21"/>
                <w:szCs w:val="21"/>
                <w:lang w:val="en-US" w:eastAsia="zh-CN"/>
              </w:rPr>
              <w:t>3</w:t>
            </w: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2"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right="-107" w:rightChars="-51"/>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3</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沙丁胺醇检测卡</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sz w:val="21"/>
                <w:szCs w:val="21"/>
              </w:rPr>
            </w:pPr>
          </w:p>
        </w:tc>
        <w:tc>
          <w:tcPr>
            <w:tcW w:w="6247" w:type="dxa"/>
            <w:vAlign w:val="bottom"/>
          </w:tcPr>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1.检测灵敏度：</w:t>
            </w:r>
            <w:r>
              <w:rPr>
                <w:rFonts w:hint="eastAsia" w:ascii="宋体" w:hAnsi="宋体" w:cs="宋体"/>
                <w:color w:val="000000"/>
                <w:sz w:val="21"/>
                <w:szCs w:val="21"/>
                <w:lang w:val="en-US" w:eastAsia="zh-CN"/>
              </w:rPr>
              <w:t>3</w:t>
            </w:r>
            <w:r>
              <w:rPr>
                <w:rFonts w:hint="eastAsia" w:ascii="宋体" w:hAnsi="宋体" w:eastAsia="宋体" w:cs="宋体"/>
                <w:color w:val="000000"/>
                <w:sz w:val="21"/>
                <w:szCs w:val="21"/>
              </w:rPr>
              <w:t>ng/ml；产品使用时检测卡不能出现假阴性，假阳性率≤1%；产品准确率≥99%；（</w:t>
            </w:r>
            <w:r>
              <w:rPr>
                <w:rFonts w:hint="eastAsia" w:ascii="宋体" w:hAnsi="宋体" w:cs="Arial"/>
                <w:color w:val="auto"/>
                <w:szCs w:val="21"/>
                <w:lang w:eastAsia="zh-CN"/>
              </w:rPr>
              <w:t>投标人开标时需提供与投标产品相对应的样品和国家</w:t>
            </w:r>
            <w:r>
              <w:rPr>
                <w:rFonts w:hint="eastAsia" w:ascii="宋体" w:hAnsi="宋体" w:cs="宋体"/>
                <w:color w:val="auto"/>
                <w:szCs w:val="21"/>
                <w:lang w:eastAsia="zh-CN"/>
              </w:rPr>
              <w:t>部级以上兽药残留监管部门</w:t>
            </w:r>
            <w:r>
              <w:rPr>
                <w:rFonts w:hint="eastAsia" w:ascii="宋体" w:hAnsi="宋体" w:cs="宋体"/>
                <w:bCs/>
                <w:color w:val="auto"/>
                <w:kern w:val="0"/>
                <w:szCs w:val="21"/>
              </w:rPr>
              <w:t>201</w:t>
            </w:r>
            <w:r>
              <w:rPr>
                <w:rFonts w:hint="eastAsia" w:ascii="宋体" w:hAnsi="宋体" w:cs="宋体"/>
                <w:bCs/>
                <w:color w:val="auto"/>
                <w:kern w:val="0"/>
                <w:szCs w:val="21"/>
                <w:lang w:val="en-US" w:eastAsia="zh-CN"/>
              </w:rPr>
              <w:t>6</w:t>
            </w:r>
            <w:r>
              <w:rPr>
                <w:rFonts w:hint="eastAsia" w:ascii="宋体" w:hAnsi="宋体" w:cs="宋体"/>
                <w:bCs/>
                <w:color w:val="auto"/>
                <w:kern w:val="0"/>
                <w:szCs w:val="21"/>
              </w:rPr>
              <w:t>年以来</w:t>
            </w:r>
            <w:r>
              <w:rPr>
                <w:rFonts w:hint="eastAsia" w:ascii="宋体" w:hAnsi="宋体" w:cs="宋体"/>
                <w:bCs/>
                <w:color w:val="auto"/>
                <w:kern w:val="0"/>
                <w:szCs w:val="21"/>
                <w:lang w:eastAsia="zh-CN"/>
              </w:rPr>
              <w:t>的</w:t>
            </w:r>
            <w:r>
              <w:rPr>
                <w:rFonts w:hint="eastAsia"/>
                <w:color w:val="auto"/>
              </w:rPr>
              <w:t>产品</w:t>
            </w:r>
            <w:r>
              <w:rPr>
                <w:rFonts w:hint="eastAsia"/>
                <w:color w:val="auto"/>
                <w:lang w:eastAsia="zh-CN"/>
              </w:rPr>
              <w:t>技术指标</w:t>
            </w:r>
            <w:r>
              <w:rPr>
                <w:rFonts w:hint="eastAsia"/>
                <w:color w:val="auto"/>
              </w:rPr>
              <w:t>复核</w:t>
            </w:r>
            <w:r>
              <w:rPr>
                <w:rFonts w:hint="eastAsia" w:ascii="宋体" w:hAnsi="宋体" w:cs="宋体"/>
                <w:color w:val="auto"/>
                <w:szCs w:val="21"/>
              </w:rPr>
              <w:t>报告</w:t>
            </w:r>
            <w:r>
              <w:rPr>
                <w:rFonts w:hint="eastAsia" w:ascii="宋体" w:hAnsi="宋体" w:cs="宋体"/>
                <w:color w:val="auto"/>
                <w:szCs w:val="21"/>
                <w:lang w:eastAsia="zh-CN"/>
              </w:rPr>
              <w:t>，</w:t>
            </w:r>
            <w:r>
              <w:rPr>
                <w:rFonts w:hint="eastAsia" w:ascii="宋体" w:hAnsi="宋体" w:cs="宋体"/>
                <w:color w:val="auto"/>
                <w:szCs w:val="21"/>
              </w:rPr>
              <w:t>并现场查验检测报告</w:t>
            </w:r>
            <w:r>
              <w:rPr>
                <w:rFonts w:hint="eastAsia" w:ascii="宋体" w:hAnsi="宋体" w:eastAsia="宋体" w:cs="宋体"/>
                <w:color w:val="000000"/>
                <w:sz w:val="21"/>
                <w:szCs w:val="21"/>
              </w:rPr>
              <w:t>）</w:t>
            </w:r>
          </w:p>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2.产品</w:t>
            </w:r>
            <w:r>
              <w:rPr>
                <w:rFonts w:hint="eastAsia" w:ascii="宋体" w:hAnsi="宋体" w:eastAsia="宋体" w:cs="宋体"/>
                <w:sz w:val="21"/>
                <w:szCs w:val="21"/>
              </w:rPr>
              <w:t>必须是盐酸克伦特罗和莱克多巴胺检测卡农业部备案生产企业生产的产品</w:t>
            </w:r>
            <w:r>
              <w:rPr>
                <w:rFonts w:hint="eastAsia" w:ascii="宋体" w:hAnsi="宋体" w:eastAsia="宋体" w:cs="宋体"/>
                <w:color w:val="000000"/>
                <w:sz w:val="21"/>
                <w:szCs w:val="21"/>
              </w:rPr>
              <w:t>；</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3.每张检测卡都为独立密封包装，每个卡的外包装上印有品牌、生产厂名、生产日期等相关标识</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产品使用过程中无须借助任何仪器设备，适合于现场操作，结果判读简单；</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cs="宋体"/>
                <w:color w:val="auto"/>
                <w:sz w:val="21"/>
                <w:szCs w:val="21"/>
                <w:lang w:eastAsia="zh-CN"/>
              </w:rPr>
            </w:pPr>
            <w:r>
              <w:rPr>
                <w:rFonts w:hint="eastAsia" w:ascii="宋体" w:hAnsi="宋体" w:eastAsia="宋体" w:cs="宋体"/>
                <w:color w:val="000000"/>
                <w:sz w:val="21"/>
                <w:szCs w:val="21"/>
              </w:rPr>
              <w:t>4.</w:t>
            </w:r>
            <w:r>
              <w:rPr>
                <w:rFonts w:hint="eastAsia" w:ascii="宋体" w:hAnsi="宋体" w:cs="宋体"/>
                <w:color w:val="auto"/>
                <w:sz w:val="21"/>
                <w:szCs w:val="21"/>
                <w:lang w:eastAsia="zh-CN"/>
              </w:rPr>
              <w:t>产品检测要求（验收时抽检）：</w:t>
            </w:r>
          </w:p>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1"/>
                <w:szCs w:val="21"/>
              </w:rPr>
            </w:pPr>
            <w:r>
              <w:rPr>
                <w:rFonts w:hint="eastAsia" w:ascii="宋体" w:hAnsi="宋体" w:eastAsia="宋体" w:cs="宋体"/>
                <w:b w:val="0"/>
                <w:bCs/>
                <w:color w:val="auto"/>
                <w:sz w:val="21"/>
                <w:szCs w:val="21"/>
              </w:rPr>
              <w:t xml:space="preserve">①空白样品结果应均为阴性，检测线清晰且颜色较深 </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②</w:t>
            </w:r>
            <w:r>
              <w:rPr>
                <w:rFonts w:hint="eastAsia" w:ascii="宋体" w:hAnsi="宋体" w:cs="宋体"/>
                <w:b w:val="0"/>
                <w:bCs/>
                <w:color w:val="auto"/>
                <w:sz w:val="21"/>
                <w:szCs w:val="21"/>
                <w:lang w:val="en-US" w:eastAsia="zh-CN"/>
              </w:rPr>
              <w:t>1</w:t>
            </w:r>
            <w:r>
              <w:rPr>
                <w:rFonts w:hint="eastAsia" w:ascii="宋体" w:hAnsi="宋体" w:eastAsia="宋体" w:cs="宋体"/>
                <w:b w:val="0"/>
                <w:bCs/>
                <w:color w:val="auto"/>
                <w:sz w:val="21"/>
                <w:szCs w:val="21"/>
                <w:lang w:eastAsia="zh-CN"/>
              </w:rPr>
              <w:t>ng/ml</w:t>
            </w:r>
            <w:r>
              <w:rPr>
                <w:rFonts w:hint="eastAsia" w:ascii="宋体" w:hAnsi="宋体" w:eastAsia="宋体" w:cs="宋体"/>
                <w:b w:val="0"/>
                <w:bCs/>
                <w:color w:val="auto"/>
                <w:sz w:val="21"/>
                <w:szCs w:val="21"/>
              </w:rPr>
              <w:t xml:space="preserve">（第一梯度）样品结果应均为阴性，检测线清晰且颜色较深 </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③</w:t>
            </w:r>
            <w:r>
              <w:rPr>
                <w:rFonts w:hint="eastAsia" w:ascii="宋体" w:hAnsi="宋体" w:cs="宋体"/>
                <w:b w:val="0"/>
                <w:bCs/>
                <w:color w:val="auto"/>
                <w:sz w:val="21"/>
                <w:szCs w:val="21"/>
                <w:lang w:val="en-US" w:eastAsia="zh-CN"/>
              </w:rPr>
              <w:t>3</w:t>
            </w:r>
            <w:r>
              <w:rPr>
                <w:rFonts w:hint="eastAsia" w:ascii="宋体" w:hAnsi="宋体" w:eastAsia="宋体" w:cs="宋体"/>
                <w:b w:val="0"/>
                <w:bCs/>
                <w:color w:val="auto"/>
                <w:sz w:val="21"/>
                <w:szCs w:val="21"/>
                <w:lang w:eastAsia="zh-CN"/>
              </w:rPr>
              <w:t>ng/ml</w:t>
            </w:r>
            <w:r>
              <w:rPr>
                <w:rFonts w:hint="eastAsia" w:ascii="宋体" w:hAnsi="宋体" w:eastAsia="宋体" w:cs="宋体"/>
                <w:b w:val="0"/>
                <w:bCs/>
                <w:color w:val="auto"/>
                <w:sz w:val="21"/>
                <w:szCs w:val="21"/>
              </w:rPr>
              <w:t xml:space="preserve">（第二梯度）样品结果应均为阳性，检测线应无色或几乎不可见（检测线允许出现极浅的淡黄色点样线）。 </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④</w:t>
            </w:r>
            <w:r>
              <w:rPr>
                <w:rFonts w:hint="eastAsia" w:ascii="宋体" w:hAnsi="宋体" w:cs="宋体"/>
                <w:b w:val="0"/>
                <w:bCs/>
                <w:color w:val="auto"/>
                <w:sz w:val="21"/>
                <w:szCs w:val="21"/>
                <w:lang w:val="en-US" w:eastAsia="zh-CN"/>
              </w:rPr>
              <w:t>5</w:t>
            </w:r>
            <w:r>
              <w:rPr>
                <w:rFonts w:hint="eastAsia" w:ascii="宋体" w:hAnsi="宋体" w:eastAsia="宋体" w:cs="宋体"/>
                <w:b w:val="0"/>
                <w:bCs/>
                <w:color w:val="auto"/>
                <w:sz w:val="21"/>
                <w:szCs w:val="21"/>
                <w:lang w:eastAsia="zh-CN"/>
              </w:rPr>
              <w:t>ng/ml</w:t>
            </w:r>
            <w:r>
              <w:rPr>
                <w:rFonts w:hint="eastAsia" w:ascii="宋体" w:hAnsi="宋体" w:eastAsia="宋体" w:cs="宋体"/>
                <w:b w:val="0"/>
                <w:bCs/>
                <w:color w:val="auto"/>
                <w:sz w:val="21"/>
                <w:szCs w:val="21"/>
              </w:rPr>
              <w:t>（第三梯度）样品结果应均为阳性，检测线应无色</w:t>
            </w:r>
          </w:p>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b/>
                <w:bCs/>
                <w:color w:val="000000"/>
                <w:sz w:val="21"/>
                <w:szCs w:val="21"/>
              </w:rPr>
            </w:pPr>
            <w:r>
              <w:rPr>
                <w:rFonts w:hint="eastAsia" w:ascii="宋体" w:hAnsi="宋体" w:cs="宋体"/>
                <w:color w:val="000000"/>
                <w:sz w:val="21"/>
                <w:szCs w:val="21"/>
                <w:lang w:val="en-US" w:eastAsia="zh-CN"/>
              </w:rPr>
              <w:t>5</w:t>
            </w:r>
            <w:r>
              <w:rPr>
                <w:rFonts w:hint="eastAsia" w:ascii="宋体" w:hAnsi="宋体" w:eastAsia="宋体" w:cs="宋体"/>
                <w:color w:val="000000"/>
                <w:sz w:val="21"/>
                <w:szCs w:val="21"/>
                <w:lang w:val="en-US" w:eastAsia="zh-CN"/>
              </w:rPr>
              <w:t>.</w:t>
            </w:r>
            <w:r>
              <w:rPr>
                <w:rFonts w:hint="eastAsia" w:ascii="宋体" w:hAnsi="宋体" w:cs="宋体"/>
                <w:color w:val="000000"/>
                <w:sz w:val="21"/>
                <w:szCs w:val="21"/>
                <w:lang w:val="en-US" w:eastAsia="zh-CN"/>
              </w:rPr>
              <w:t>质保期12个月以上，需</w:t>
            </w:r>
            <w:r>
              <w:rPr>
                <w:rFonts w:hint="eastAsia" w:ascii="宋体" w:hAnsi="宋体" w:eastAsia="宋体" w:cs="宋体"/>
                <w:color w:val="000000"/>
                <w:sz w:val="21"/>
                <w:szCs w:val="21"/>
                <w:lang w:val="en-US" w:eastAsia="zh-CN"/>
              </w:rPr>
              <w:t>生产厂家出具</w:t>
            </w:r>
            <w:r>
              <w:rPr>
                <w:rFonts w:hint="eastAsia" w:ascii="宋体" w:hAnsi="宋体" w:cs="宋体"/>
                <w:color w:val="000000"/>
                <w:sz w:val="21"/>
                <w:szCs w:val="21"/>
                <w:lang w:val="en-US" w:eastAsia="zh-CN"/>
              </w:rPr>
              <w:t>针对本项目</w:t>
            </w:r>
            <w:r>
              <w:rPr>
                <w:rFonts w:hint="eastAsia" w:ascii="宋体" w:hAnsi="宋体" w:eastAsia="宋体" w:cs="宋体"/>
                <w:color w:val="000000"/>
                <w:sz w:val="21"/>
                <w:szCs w:val="21"/>
                <w:lang w:val="en-US" w:eastAsia="zh-CN"/>
              </w:rPr>
              <w:t>售后服务承诺函。</w:t>
            </w:r>
          </w:p>
        </w:tc>
        <w:tc>
          <w:tcPr>
            <w:tcW w:w="690" w:type="dxa"/>
            <w:vAlign w:val="center"/>
          </w:tcPr>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套</w:t>
            </w:r>
          </w:p>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1"/>
                <w:szCs w:val="21"/>
              </w:rPr>
            </w:pPr>
          </w:p>
        </w:tc>
        <w:tc>
          <w:tcPr>
            <w:tcW w:w="810"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cs="宋体"/>
                <w:sz w:val="21"/>
                <w:szCs w:val="21"/>
                <w:lang w:val="en-US" w:eastAsia="zh-CN"/>
              </w:rPr>
              <w:t>3</w:t>
            </w:r>
            <w:r>
              <w:rPr>
                <w:rFonts w:hint="eastAsia" w:ascii="宋体" w:hAnsi="宋体" w:eastAsia="宋体" w:cs="宋体"/>
                <w:sz w:val="21"/>
                <w:szCs w:val="21"/>
              </w:rPr>
              <w:t>000</w:t>
            </w:r>
          </w:p>
        </w:tc>
      </w:tr>
    </w:tbl>
    <w:p>
      <w:pPr>
        <w:pStyle w:val="2"/>
        <w:ind w:left="0" w:leftChars="0" w:firstLine="0" w:firstLineChars="0"/>
        <w:rPr>
          <w:rFonts w:hint="eastAsia" w:cs="微软雅黑" w:asciiTheme="minorEastAsia" w:hAnsiTheme="minorEastAsia"/>
          <w:b/>
          <w:color w:val="FF0000"/>
          <w:sz w:val="24"/>
          <w:szCs w:val="24"/>
        </w:rPr>
      </w:pPr>
      <w:r>
        <w:rPr>
          <w:rFonts w:hint="eastAsia" w:ascii="宋体" w:hAnsi="宋体"/>
          <w:b/>
          <w:sz w:val="36"/>
          <w:szCs w:val="36"/>
        </w:rPr>
        <w:t xml:space="preserve"> </w:t>
      </w:r>
      <w:r>
        <w:rPr>
          <w:rFonts w:hint="eastAsia" w:cs="微软雅黑" w:asciiTheme="minorEastAsia" w:hAnsiTheme="minorEastAsia"/>
          <w:b/>
          <w:color w:val="FF0000"/>
          <w:sz w:val="24"/>
          <w:szCs w:val="24"/>
          <w:lang w:eastAsia="zh-CN"/>
        </w:rPr>
        <w:t>注：</w:t>
      </w:r>
      <w:r>
        <w:rPr>
          <w:rFonts w:hint="eastAsia" w:cs="微软雅黑" w:asciiTheme="minorEastAsia" w:hAnsiTheme="minorEastAsia"/>
          <w:b/>
          <w:color w:val="FF0000"/>
          <w:sz w:val="24"/>
          <w:szCs w:val="24"/>
        </w:rPr>
        <w:t>本采购清单中所列技术规格或主要参数为最低要求，不允许负偏离，否则为无效响应文件。</w:t>
      </w:r>
    </w:p>
    <w:p>
      <w:pPr>
        <w:spacing w:line="360" w:lineRule="auto"/>
        <w:ind w:firstLine="482" w:firstLineChars="200"/>
        <w:contextualSpacing/>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（三）采购标的执行标准：达到国家、行业、地方政府有关法律法规及技术规范要求</w:t>
      </w:r>
    </w:p>
    <w:p>
      <w:pPr>
        <w:widowControl/>
        <w:numPr>
          <w:ilvl w:val="0"/>
          <w:numId w:val="0"/>
        </w:numPr>
        <w:shd w:val="clear" w:color="auto" w:fill="FFFFFF"/>
        <w:spacing w:line="360" w:lineRule="auto"/>
        <w:contextualSpacing/>
        <w:jc w:val="left"/>
        <w:rPr>
          <w:rFonts w:hint="eastAsia" w:cs="宋体" w:asciiTheme="minorEastAsia" w:hAnsiTheme="minorEastAsia"/>
          <w:b/>
          <w:color w:val="000000"/>
          <w:kern w:val="0"/>
          <w:sz w:val="24"/>
          <w:szCs w:val="24"/>
          <w:lang w:val="en-US" w:eastAsia="zh-CN"/>
        </w:rPr>
      </w:pPr>
      <w:r>
        <w:rPr>
          <w:rFonts w:hint="eastAsia" w:ascii="宋体" w:cs="宋体"/>
          <w:sz w:val="24"/>
          <w:lang w:val="en-US" w:eastAsia="zh-CN"/>
        </w:rPr>
        <w:t xml:space="preserve"> </w:t>
      </w:r>
      <w:r>
        <w:rPr>
          <w:rFonts w:hint="eastAsia" w:cs="宋体" w:asciiTheme="minorEastAsia" w:hAnsiTheme="minorEastAsia"/>
          <w:b/>
          <w:color w:val="000000"/>
          <w:kern w:val="0"/>
          <w:sz w:val="24"/>
          <w:szCs w:val="24"/>
          <w:lang w:val="en-US" w:eastAsia="zh-CN"/>
        </w:rPr>
        <w:t xml:space="preserve">  （四）</w:t>
      </w:r>
      <w:r>
        <w:rPr>
          <w:rFonts w:hint="eastAsia" w:cs="宋体" w:asciiTheme="minorEastAsia" w:hAnsiTheme="minorEastAsia"/>
          <w:b/>
          <w:color w:val="000000"/>
          <w:kern w:val="0"/>
          <w:sz w:val="24"/>
          <w:szCs w:val="24"/>
          <w:lang w:val="zh-CN"/>
        </w:rPr>
        <w:t>服务标准、期限、效率等要求</w:t>
      </w:r>
      <w:r>
        <w:rPr>
          <w:rFonts w:hint="eastAsia" w:cs="宋体" w:asciiTheme="minorEastAsia" w:hAnsiTheme="minorEastAsia"/>
          <w:b/>
          <w:color w:val="000000"/>
          <w:kern w:val="0"/>
          <w:sz w:val="24"/>
          <w:szCs w:val="24"/>
          <w:lang w:val="en-US" w:eastAsia="zh-CN"/>
        </w:rPr>
        <w:t>:</w:t>
      </w:r>
    </w:p>
    <w:p>
      <w:pPr>
        <w:widowControl/>
        <w:numPr>
          <w:ilvl w:val="0"/>
          <w:numId w:val="0"/>
        </w:numPr>
        <w:shd w:val="clear" w:color="auto" w:fill="FFFFFF"/>
        <w:spacing w:line="360" w:lineRule="auto"/>
        <w:ind w:firstLine="482" w:firstLineChars="200"/>
        <w:contextualSpacing/>
        <w:jc w:val="left"/>
        <w:rPr>
          <w:rFonts w:hint="eastAsia" w:ascii="新宋体" w:hAnsi="新宋体" w:eastAsia="新宋体" w:cs="新宋体"/>
          <w:color w:val="000000"/>
          <w:kern w:val="0"/>
          <w:sz w:val="24"/>
          <w:szCs w:val="24"/>
          <w:lang w:val="en-US" w:eastAsia="zh-CN"/>
        </w:rPr>
      </w:pPr>
      <w:r>
        <w:rPr>
          <w:rFonts w:hint="eastAsia" w:cs="宋体" w:asciiTheme="minorEastAsia" w:hAnsiTheme="minorEastAsia"/>
          <w:b/>
          <w:color w:val="000000"/>
          <w:kern w:val="0"/>
          <w:sz w:val="24"/>
          <w:szCs w:val="24"/>
          <w:lang w:val="en-US" w:eastAsia="zh-CN"/>
        </w:rPr>
        <w:t>1、</w:t>
      </w:r>
      <w:r>
        <w:rPr>
          <w:rFonts w:hint="eastAsia" w:ascii="新宋体" w:hAnsi="新宋体" w:eastAsia="新宋体" w:cs="新宋体"/>
          <w:color w:val="000000"/>
          <w:kern w:val="0"/>
          <w:sz w:val="24"/>
          <w:szCs w:val="24"/>
          <w:lang w:val="en-US" w:eastAsia="zh-CN"/>
        </w:rPr>
        <w:t>质保期12个月以上</w:t>
      </w:r>
    </w:p>
    <w:p>
      <w:pPr>
        <w:widowControl/>
        <w:numPr>
          <w:ilvl w:val="0"/>
          <w:numId w:val="0"/>
        </w:numPr>
        <w:shd w:val="clear" w:color="auto" w:fill="FFFFFF"/>
        <w:spacing w:line="360" w:lineRule="auto"/>
        <w:ind w:firstLine="480" w:firstLineChars="200"/>
        <w:contextualSpacing/>
        <w:jc w:val="left"/>
        <w:rPr>
          <w:rFonts w:hint="eastAsia" w:ascii="楷体" w:hAnsi="楷体" w:eastAsia="楷体" w:cs="宋体"/>
          <w:color w:val="000000"/>
          <w:kern w:val="0"/>
          <w:szCs w:val="21"/>
          <w:lang w:val="en-US" w:eastAsia="zh-CN"/>
        </w:rPr>
      </w:pPr>
      <w:r>
        <w:rPr>
          <w:rFonts w:hint="eastAsia" w:ascii="新宋体" w:hAnsi="新宋体" w:eastAsia="新宋体" w:cs="新宋体"/>
          <w:color w:val="000000"/>
          <w:kern w:val="0"/>
          <w:sz w:val="24"/>
          <w:szCs w:val="24"/>
          <w:lang w:val="en-US" w:eastAsia="zh-CN"/>
        </w:rPr>
        <w:t>2、合同签订后10日内送货到采购方指定的送货地点。</w:t>
      </w:r>
    </w:p>
    <w:p>
      <w:pPr>
        <w:widowControl/>
        <w:shd w:val="clear" w:color="auto" w:fill="FFFFFF"/>
        <w:spacing w:line="360" w:lineRule="auto"/>
        <w:ind w:firstLine="482" w:firstLineChars="200"/>
        <w:contextualSpacing/>
        <w:jc w:val="left"/>
        <w:rPr>
          <w:rFonts w:hint="eastAsia" w:ascii="宋体" w:cs="宋体"/>
          <w:sz w:val="24"/>
          <w:lang w:val="zh-CN"/>
        </w:rPr>
      </w:pPr>
      <w:r>
        <w:rPr>
          <w:rFonts w:hint="eastAsia" w:cs="宋体" w:asciiTheme="minorEastAsia" w:hAnsiTheme="minorEastAsia"/>
          <w:b/>
          <w:color w:val="000000"/>
          <w:kern w:val="0"/>
          <w:sz w:val="24"/>
          <w:szCs w:val="24"/>
          <w:lang w:val="zh-CN"/>
        </w:rPr>
        <w:t>（五）采购标的的其他技术、服务等要求</w:t>
      </w:r>
    </w:p>
    <w:p>
      <w:pPr>
        <w:wordWrap w:val="0"/>
        <w:topLinePunct/>
        <w:spacing w:line="360" w:lineRule="auto"/>
        <w:rPr>
          <w:rFonts w:hint="eastAsia" w:ascii="宋体" w:cs="宋体"/>
          <w:sz w:val="24"/>
          <w:lang w:val="zh-CN"/>
        </w:rPr>
      </w:pPr>
      <w:r>
        <w:rPr>
          <w:rFonts w:hint="eastAsia" w:ascii="宋体" w:cs="宋体"/>
          <w:sz w:val="24"/>
          <w:lang w:val="en-US" w:eastAsia="zh-CN"/>
        </w:rPr>
        <w:t>1</w:t>
      </w:r>
      <w:r>
        <w:rPr>
          <w:rFonts w:hint="eastAsia" w:ascii="宋体" w:cs="宋体"/>
          <w:sz w:val="24"/>
          <w:lang w:val="zh-CN"/>
        </w:rPr>
        <w:t>、投标人应就该项目完整投标（报价含运输费、税费等综合费用），否则为无效响应文件。</w:t>
      </w:r>
    </w:p>
    <w:p>
      <w:pPr>
        <w:pStyle w:val="10"/>
        <w:rPr>
          <w:rFonts w:hint="eastAsia" w:ascii="宋体" w:cs="宋体"/>
          <w:b/>
          <w:bCs/>
          <w:color w:val="FF0000"/>
          <w:sz w:val="24"/>
          <w:lang w:val="zh-CN"/>
        </w:rPr>
      </w:pPr>
      <w:r>
        <w:rPr>
          <w:rFonts w:hint="eastAsia" w:ascii="宋体" w:cs="宋体"/>
          <w:bCs/>
          <w:color w:val="FF0000"/>
          <w:sz w:val="24"/>
          <w:lang w:val="en-US" w:eastAsia="zh-CN"/>
        </w:rPr>
        <w:t>2.</w:t>
      </w:r>
      <w:r>
        <w:rPr>
          <w:rFonts w:hint="eastAsia" w:ascii="宋体" w:cs="宋体"/>
          <w:bCs/>
          <w:color w:val="FF0000"/>
          <w:sz w:val="24"/>
          <w:lang w:val="zh-CN"/>
        </w:rPr>
        <w:t>投标文件中须有详细的实施（技术）方案</w:t>
      </w:r>
      <w:r>
        <w:rPr>
          <w:rFonts w:hint="eastAsia" w:ascii="宋体" w:cs="宋体"/>
          <w:b/>
          <w:bCs/>
          <w:color w:val="FF0000"/>
          <w:sz w:val="24"/>
          <w:lang w:val="zh-CN"/>
        </w:rPr>
        <w:t>，否则为无效投标。</w:t>
      </w:r>
    </w:p>
    <w:p>
      <w:pPr>
        <w:wordWrap w:val="0"/>
        <w:topLinePunct/>
        <w:spacing w:line="360" w:lineRule="auto"/>
        <w:rPr>
          <w:rFonts w:hint="eastAsia" w:ascii="宋体" w:cs="宋体"/>
          <w:sz w:val="24"/>
          <w:lang w:val="zh-CN"/>
        </w:rPr>
      </w:pPr>
      <w:r>
        <w:rPr>
          <w:rFonts w:hint="eastAsia" w:ascii="宋体" w:cs="宋体"/>
          <w:sz w:val="24"/>
          <w:lang w:val="en-US" w:eastAsia="zh-CN"/>
        </w:rPr>
        <w:t>3、</w:t>
      </w:r>
      <w:r>
        <w:rPr>
          <w:rFonts w:hint="eastAsia" w:ascii="宋体" w:cs="宋体"/>
          <w:sz w:val="24"/>
          <w:lang w:val="zh-CN"/>
        </w:rPr>
        <w:t>投标商必须由法定代表人或其授权代表参加开标会议，随时接受谈判小组询问，并予作出书面解答。</w:t>
      </w:r>
    </w:p>
    <w:p>
      <w:pPr>
        <w:widowControl/>
        <w:shd w:val="clear" w:color="auto" w:fill="FFFFFF"/>
        <w:spacing w:line="360" w:lineRule="auto"/>
        <w:ind w:firstLine="482" w:firstLineChars="200"/>
        <w:contextualSpacing/>
        <w:jc w:val="left"/>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（六）、验收标准</w:t>
      </w:r>
    </w:p>
    <w:p>
      <w:pPr>
        <w:wordWrap w:val="0"/>
        <w:topLinePunct/>
        <w:spacing w:line="360" w:lineRule="auto"/>
        <w:ind w:firstLine="480" w:firstLineChars="200"/>
        <w:rPr>
          <w:rFonts w:ascii="宋体" w:cs="宋体"/>
          <w:sz w:val="24"/>
          <w:lang w:val="zh-CN"/>
        </w:rPr>
      </w:pPr>
      <w:r>
        <w:rPr>
          <w:rFonts w:hint="eastAsia" w:ascii="宋体" w:cs="宋体"/>
          <w:sz w:val="24"/>
          <w:lang w:val="zh-CN"/>
        </w:rPr>
        <w:t>由采购人成立验收小组,按照采购合同的约定对成交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spacing w:line="360" w:lineRule="auto"/>
        <w:ind w:firstLine="480" w:firstLineChars="200"/>
        <w:rPr>
          <w:rFonts w:ascii="宋体" w:cs="宋体"/>
          <w:sz w:val="24"/>
          <w:lang w:val="zh-CN"/>
        </w:rPr>
      </w:pPr>
      <w:r>
        <w:rPr>
          <w:rFonts w:hint="eastAsia" w:ascii="宋体" w:cs="宋体"/>
          <w:sz w:val="24"/>
          <w:lang w:val="zh-CN"/>
        </w:rPr>
        <w:t>1、按照采购标的相关国家标准规范验收；</w:t>
      </w:r>
    </w:p>
    <w:p>
      <w:pPr>
        <w:wordWrap w:val="0"/>
        <w:topLinePunct/>
        <w:spacing w:line="360" w:lineRule="auto"/>
        <w:ind w:firstLine="480" w:firstLineChars="200"/>
        <w:rPr>
          <w:rFonts w:hint="eastAsia" w:cs="宋体" w:asciiTheme="minorEastAsia" w:hAnsiTheme="minorEastAsia" w:eastAsiaTheme="minorEastAsia"/>
          <w:b/>
          <w:color w:val="000000"/>
          <w:kern w:val="0"/>
          <w:sz w:val="24"/>
          <w:szCs w:val="24"/>
          <w:lang w:val="zh-CN" w:eastAsia="zh-CN" w:bidi="ar-SA"/>
        </w:rPr>
      </w:pPr>
      <w:r>
        <w:rPr>
          <w:rFonts w:hint="eastAsia" w:ascii="宋体" w:cs="宋体"/>
          <w:sz w:val="24"/>
          <w:lang w:val="zh-CN"/>
        </w:rPr>
        <w:t>2、按照谈判文件要求、投标文件响应和承诺验收。</w:t>
      </w:r>
    </w:p>
    <w:p>
      <w:pPr>
        <w:pStyle w:val="10"/>
        <w:ind w:firstLine="241" w:firstLineChars="100"/>
        <w:rPr>
          <w:rFonts w:hint="default" w:ascii="宋体" w:cs="宋体" w:hAnsiTheme="minorHAnsi" w:eastAsiaTheme="minorEastAsia"/>
          <w:kern w:val="2"/>
          <w:sz w:val="24"/>
          <w:szCs w:val="22"/>
          <w:lang w:val="en-US" w:eastAsia="zh-CN" w:bidi="ar-SA"/>
        </w:rPr>
      </w:pPr>
      <w:r>
        <w:rPr>
          <w:rFonts w:hint="eastAsia" w:cs="宋体" w:asciiTheme="minorEastAsia" w:hAnsiTheme="minorEastAsia"/>
          <w:b/>
          <w:color w:val="000000"/>
          <w:kern w:val="0"/>
          <w:sz w:val="24"/>
          <w:szCs w:val="24"/>
          <w:lang w:val="zh-CN" w:eastAsia="zh-CN" w:bidi="ar-SA"/>
        </w:rPr>
        <w:t>（</w:t>
      </w:r>
      <w:r>
        <w:rPr>
          <w:rFonts w:hint="eastAsia" w:cs="宋体" w:asciiTheme="minorEastAsia" w:hAnsiTheme="minorEastAsia" w:eastAsiaTheme="minorEastAsia"/>
          <w:b/>
          <w:color w:val="000000"/>
          <w:kern w:val="0"/>
          <w:sz w:val="24"/>
          <w:szCs w:val="24"/>
          <w:lang w:val="zh-CN" w:eastAsia="zh-CN" w:bidi="ar-SA"/>
        </w:rPr>
        <w:t>七</w:t>
      </w:r>
      <w:r>
        <w:rPr>
          <w:rFonts w:hint="eastAsia" w:cs="宋体" w:asciiTheme="minorEastAsia" w:hAnsiTheme="minorEastAsia"/>
          <w:b/>
          <w:color w:val="000000"/>
          <w:kern w:val="0"/>
          <w:sz w:val="24"/>
          <w:szCs w:val="24"/>
          <w:lang w:val="zh-CN" w:eastAsia="zh-CN" w:bidi="ar-SA"/>
        </w:rPr>
        <w:t>）</w:t>
      </w:r>
      <w:r>
        <w:rPr>
          <w:rFonts w:hint="eastAsia" w:cs="宋体" w:asciiTheme="minorEastAsia" w:hAnsiTheme="minorEastAsia" w:eastAsiaTheme="minorEastAsia"/>
          <w:b/>
          <w:color w:val="000000"/>
          <w:kern w:val="0"/>
          <w:sz w:val="24"/>
          <w:szCs w:val="24"/>
          <w:lang w:val="zh-CN" w:eastAsia="zh-CN" w:bidi="ar-SA"/>
        </w:rPr>
        <w:t>、付款方式：</w:t>
      </w:r>
      <w:r>
        <w:rPr>
          <w:rFonts w:hint="eastAsia" w:ascii="宋体" w:cs="宋体" w:hAnsiTheme="minorHAnsi" w:eastAsiaTheme="minorEastAsia"/>
          <w:kern w:val="2"/>
          <w:sz w:val="24"/>
          <w:szCs w:val="22"/>
          <w:lang w:val="zh-CN" w:eastAsia="zh-CN" w:bidi="ar-SA"/>
        </w:rPr>
        <w:t>货物交付经验收合格，供货方开具正规发票后10日内一次性付清货款。</w:t>
      </w:r>
    </w:p>
    <w:p>
      <w:pPr>
        <w:spacing w:line="500" w:lineRule="exact"/>
        <w:jc w:val="left"/>
        <w:rPr>
          <w:rFonts w:hint="eastAsia" w:ascii="仿宋_GB2312" w:hAnsi="仿宋_GB2312" w:eastAsia="仿宋_GB2312" w:cs="仿宋_GB2312"/>
          <w:b/>
          <w:sz w:val="44"/>
          <w:lang w:val="en-US" w:eastAsia="zh-CN"/>
        </w:rPr>
      </w:pPr>
    </w:p>
    <w:p>
      <w:pPr>
        <w:pStyle w:val="10"/>
        <w:rPr>
          <w:rFonts w:hint="eastAsia" w:ascii="仿宋_GB2312" w:hAnsi="仿宋_GB2312" w:eastAsia="仿宋_GB2312" w:cs="仿宋_GB2312"/>
          <w:b/>
          <w:sz w:val="44"/>
          <w:lang w:val="en-US" w:eastAsia="zh-CN"/>
        </w:rPr>
      </w:pPr>
    </w:p>
    <w:p>
      <w:pPr>
        <w:pStyle w:val="10"/>
        <w:rPr>
          <w:rFonts w:cs="宋体" w:asciiTheme="majorEastAsia" w:hAnsiTheme="majorEastAsia" w:eastAsiaTheme="majorEastAsia"/>
          <w:b/>
          <w:kern w:val="0"/>
          <w:sz w:val="32"/>
          <w:szCs w:val="32"/>
        </w:rPr>
      </w:pPr>
    </w:p>
    <w:p>
      <w:pPr>
        <w:pStyle w:val="10"/>
        <w:rPr>
          <w:rFonts w:cs="宋体" w:asciiTheme="majorEastAsia" w:hAnsiTheme="majorEastAsia" w:eastAsiaTheme="majorEastAsia"/>
          <w:b/>
          <w:kern w:val="0"/>
          <w:sz w:val="32"/>
          <w:szCs w:val="32"/>
        </w:rPr>
      </w:pPr>
    </w:p>
    <w:p>
      <w:pPr>
        <w:pStyle w:val="10"/>
        <w:rPr>
          <w:rFonts w:cs="宋体" w:asciiTheme="majorEastAsia" w:hAnsiTheme="majorEastAsia" w:eastAsiaTheme="majorEastAsia"/>
          <w:b/>
          <w:kern w:val="0"/>
          <w:sz w:val="32"/>
          <w:szCs w:val="32"/>
        </w:rPr>
      </w:pPr>
    </w:p>
    <w:p>
      <w:pPr>
        <w:numPr>
          <w:ilvl w:val="0"/>
          <w:numId w:val="4"/>
        </w:numPr>
        <w:autoSpaceDE w:val="0"/>
        <w:autoSpaceDN w:val="0"/>
        <w:adjustRightInd w:val="0"/>
        <w:ind w:left="0" w:leftChars="0" w:firstLine="0" w:firstLineChars="0"/>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供应商须知前附表</w:t>
      </w:r>
    </w:p>
    <w:p>
      <w:pPr>
        <w:numPr>
          <w:ilvl w:val="0"/>
          <w:numId w:val="0"/>
        </w:numPr>
        <w:autoSpaceDE w:val="0"/>
        <w:autoSpaceDN w:val="0"/>
        <w:adjustRightInd w:val="0"/>
        <w:ind w:leftChars="0"/>
        <w:jc w:val="both"/>
        <w:rPr>
          <w:rFonts w:hint="eastAsia" w:cs="宋体" w:asciiTheme="majorEastAsia" w:hAnsiTheme="majorEastAsia" w:eastAsiaTheme="majorEastAsia"/>
          <w:b/>
          <w:kern w:val="0"/>
          <w:sz w:val="32"/>
          <w:szCs w:val="32"/>
        </w:rPr>
      </w:pP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谈判文件中凡标有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条款均为实质性要求条款，响应文件须完全响应，未实质响应的，按照无效报价处理。</w:t>
      </w:r>
    </w:p>
    <w:tbl>
      <w:tblPr>
        <w:tblStyle w:val="24"/>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spacing w:line="600" w:lineRule="exact"/>
              <w:jc w:val="both"/>
              <w:rPr>
                <w:rFonts w:hint="eastAsia" w:cs="仿宋_GB2312" w:asciiTheme="minorEastAsia" w:hAnsiTheme="minorEastAsia"/>
                <w:szCs w:val="21"/>
              </w:rPr>
            </w:pPr>
            <w:r>
              <w:rPr>
                <w:rFonts w:hint="eastAsia" w:cs="仿宋_GB2312" w:asciiTheme="minorEastAsia" w:hAnsiTheme="minorEastAsia"/>
                <w:szCs w:val="21"/>
              </w:rPr>
              <w:t>项目名称：禹州</w:t>
            </w:r>
            <w:r>
              <w:rPr>
                <w:rFonts w:hint="eastAsia" w:cs="仿宋_GB2312" w:asciiTheme="minorEastAsia" w:hAnsiTheme="minorEastAsia"/>
                <w:szCs w:val="21"/>
                <w:lang w:eastAsia="zh-CN"/>
              </w:rPr>
              <w:t>市畜牧局瘦肉精检测卡采购项目</w:t>
            </w:r>
          </w:p>
          <w:p>
            <w:pPr>
              <w:autoSpaceDE w:val="0"/>
              <w:autoSpaceDN w:val="0"/>
              <w:adjustRightInd w:val="0"/>
              <w:spacing w:line="360" w:lineRule="auto"/>
              <w:jc w:val="left"/>
              <w:rPr>
                <w:rFonts w:hint="eastAsia" w:cs="仿宋_GB2312" w:asciiTheme="minorEastAsia" w:hAnsi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YZCG-T2019195</w:t>
            </w:r>
          </w:p>
          <w:p>
            <w:pPr>
              <w:autoSpaceDE w:val="0"/>
              <w:autoSpaceDN w:val="0"/>
              <w:adjustRightInd w:val="0"/>
              <w:spacing w:line="360" w:lineRule="auto"/>
              <w:jc w:val="left"/>
              <w:rPr>
                <w:rFonts w:hint="default" w:cs="仿宋_GB2312" w:asciiTheme="minorEastAsia" w:hAnsiTheme="minorEastAsia"/>
                <w:szCs w:val="21"/>
                <w:lang w:val="en-US" w:eastAsia="zh-CN"/>
              </w:rPr>
            </w:pPr>
            <w:r>
              <w:rPr>
                <w:rFonts w:hint="eastAsia" w:cs="仿宋_GB2312" w:asciiTheme="minorEastAsia" w:hAnsiTheme="minorEastAsia"/>
                <w:szCs w:val="21"/>
                <w:lang w:eastAsia="zh-CN"/>
              </w:rPr>
              <w:t>工期：</w:t>
            </w:r>
            <w:r>
              <w:rPr>
                <w:rFonts w:hint="eastAsia" w:cs="仿宋_GB2312" w:asciiTheme="minorEastAsia" w:hAnsiTheme="minorEastAsia"/>
                <w:szCs w:val="21"/>
                <w:lang w:val="en-US" w:eastAsia="zh-CN"/>
              </w:rPr>
              <w:t>合同签订后10日内</w:t>
            </w:r>
          </w:p>
          <w:p>
            <w:pPr>
              <w:autoSpaceDE w:val="0"/>
              <w:autoSpaceDN w:val="0"/>
              <w:adjustRightInd w:val="0"/>
              <w:spacing w:line="360" w:lineRule="auto"/>
              <w:jc w:val="left"/>
              <w:rPr>
                <w:rFonts w:hint="eastAsia" w:cs="仿宋_GB2312" w:asciiTheme="minorEastAsia" w:hAnsiTheme="minorEastAsia" w:eastAsiaTheme="minorEastAsia"/>
                <w:szCs w:val="21"/>
                <w:lang w:val="en-US" w:eastAsia="zh-CN"/>
              </w:rPr>
            </w:pPr>
            <w:r>
              <w:rPr>
                <w:rFonts w:hint="eastAsia" w:cs="仿宋_GB2312" w:asciiTheme="minorEastAsia" w:hAnsiTheme="minorEastAsia"/>
                <w:szCs w:val="21"/>
              </w:rPr>
              <w:t>项目地址：</w:t>
            </w:r>
            <w:r>
              <w:rPr>
                <w:rFonts w:hint="eastAsia" w:cs="仿宋_GB2312" w:asciiTheme="minorEastAsia" w:hAnsiTheme="minorEastAsia"/>
                <w:szCs w:val="21"/>
                <w:lang w:eastAsia="zh-CN"/>
              </w:rPr>
              <w:t>禹州市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名称：禹州市</w:t>
            </w:r>
            <w:r>
              <w:rPr>
                <w:rFonts w:hint="eastAsia" w:cs="仿宋_GB2312" w:asciiTheme="minorEastAsia" w:hAnsiTheme="minorEastAsia"/>
                <w:szCs w:val="21"/>
                <w:lang w:eastAsia="zh-CN"/>
              </w:rPr>
              <w:t>畜牧</w:t>
            </w:r>
            <w:r>
              <w:rPr>
                <w:rFonts w:hint="eastAsia" w:cs="仿宋_GB2312" w:asciiTheme="minorEastAsia" w:hAnsiTheme="minorEastAsia"/>
                <w:szCs w:val="21"/>
              </w:rPr>
              <w:t>局</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default" w:cs="仿宋_GB2312" w:asciiTheme="minorEastAsia" w:hAnsiTheme="minorEastAsia" w:eastAsiaTheme="minorEastAsia"/>
                <w:szCs w:val="21"/>
                <w:lang w:val="en-US" w:eastAsia="zh-CN"/>
              </w:rPr>
              <w:t>联系人：王先生   联系电话：13937427912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lang w:eastAsia="zh-CN"/>
              </w:rPr>
              <w:t>代理</w:t>
            </w:r>
            <w:r>
              <w:rPr>
                <w:rFonts w:hint="eastAsia" w:cs="仿宋_GB2312" w:asciiTheme="minorEastAsia" w:hAnsiTheme="minorEastAsia"/>
                <w:szCs w:val="21"/>
              </w:rPr>
              <w:t>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名</w:t>
            </w: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侯女士</w:t>
            </w:r>
            <w:r>
              <w:rPr>
                <w:rFonts w:hint="eastAsia" w:cs="仿宋_GB2312" w:asciiTheme="minorEastAsia" w:hAnsiTheme="minorEastAsia"/>
                <w:sz w:val="24"/>
                <w:szCs w:val="24"/>
              </w:rPr>
              <w:t xml:space="preserve">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hint="eastAsia" w:cs="仿宋_GB2312" w:asciiTheme="minorEastAsia" w:hAnsiTheme="minorEastAsia"/>
                <w:b/>
                <w:szCs w:val="21"/>
              </w:rPr>
            </w:pPr>
            <w:r>
              <w:rPr>
                <w:rFonts w:hint="eastAsia" w:cs="仿宋_GB2312" w:asciiTheme="minorEastAsia" w:hAnsiTheme="minorEastAsia"/>
                <w:b/>
                <w:szCs w:val="21"/>
              </w:rPr>
              <w:t>二、财务状况报告相关材料</w:t>
            </w:r>
          </w:p>
          <w:p>
            <w:pPr>
              <w:autoSpaceDE w:val="0"/>
              <w:autoSpaceDN w:val="0"/>
              <w:adjustRightInd w:val="0"/>
              <w:spacing w:line="360" w:lineRule="auto"/>
              <w:jc w:val="left"/>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w:t>
            </w:r>
            <w:r>
              <w:rPr>
                <w:rFonts w:hint="eastAsia" w:cs="宋体" w:asciiTheme="minorEastAsia" w:hAnsiTheme="minorEastAsia"/>
                <w:bCs/>
                <w:szCs w:val="21"/>
                <w:lang w:val="zh-CN" w:eastAsia="zh-CN"/>
              </w:rPr>
              <w:t>三</w:t>
            </w:r>
            <w:r>
              <w:rPr>
                <w:rFonts w:hint="eastAsia" w:cs="宋体" w:asciiTheme="minorEastAsia" w:hAnsiTheme="minorEastAsia"/>
                <w:bCs/>
                <w:szCs w:val="21"/>
                <w:lang w:val="zh-CN"/>
              </w:rPr>
              <w:t>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未被列入“信用中国”网站(www.creditchina.gov.cn)失信被执行人、重大税收违法案件当事人名单、政府采购严重违法失信名单的</w:t>
            </w:r>
            <w:r>
              <w:rPr>
                <w:rFonts w:hint="eastAsia" w:cs="仿宋_GB2312" w:asciiTheme="minorEastAsia" w:hAnsiTheme="minorEastAsia"/>
                <w:b/>
                <w:color w:val="000000"/>
                <w:szCs w:val="21"/>
                <w:shd w:val="clear" w:color="auto" w:fill="FFFFFF"/>
              </w:rPr>
              <w:t>供应商</w:t>
            </w:r>
            <w:r>
              <w:rPr>
                <w:rFonts w:cs="仿宋_GB2312" w:asciiTheme="minorEastAsia" w:hAnsiTheme="minorEastAsia"/>
                <w:b/>
                <w:color w:val="000000"/>
                <w:szCs w:val="21"/>
                <w:shd w:val="clear" w:color="auto" w:fill="FFFFFF"/>
              </w:rPr>
              <w:t>；</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w:t>
            </w:r>
            <w:r>
              <w:rPr>
                <w:rFonts w:hint="eastAsia" w:cs="仿宋_GB2312" w:asciiTheme="minorEastAsia" w:hAnsiTheme="minorEastAsia"/>
                <w:b/>
                <w:color w:val="000000"/>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“国家企业信用公示系统”网站（</w:t>
            </w:r>
            <w:r>
              <w:rPr>
                <w:rFonts w:cs="仿宋_GB2312" w:asciiTheme="minorEastAsia" w:hAnsiTheme="minorEastAsia"/>
                <w:b/>
                <w:color w:val="000000"/>
                <w:szCs w:val="21"/>
                <w:shd w:val="clear" w:color="auto" w:fill="FFFFFF"/>
              </w:rPr>
              <w:t>www.gsxt.gov.cn</w:t>
            </w:r>
            <w:r>
              <w:rPr>
                <w:rFonts w:hint="eastAsia" w:cs="仿宋_GB2312" w:asciiTheme="minorEastAsia" w:hAnsiTheme="minorEastAsia"/>
                <w:b/>
                <w:color w:val="000000"/>
                <w:szCs w:val="21"/>
                <w:shd w:val="clear" w:color="auto" w:fill="FFFFFF"/>
              </w:rPr>
              <w:t>）严重违法失信企业名单（黑名单）的供应商；“中国社会组织公共服务平台”网站（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）严重违法失信社会组织名单的供应商（</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③“国家企业信用公示系统”网站（</w:t>
            </w:r>
            <w:r>
              <w:fldChar w:fldCharType="begin"/>
            </w:r>
            <w:r>
              <w:instrText xml:space="preserve"> HYPERLINK "http://www.gsxt.gov.cn" </w:instrText>
            </w:r>
            <w:r>
              <w:fldChar w:fldCharType="separate"/>
            </w:r>
            <w:r>
              <w:rPr>
                <w:rFonts w:cs="宋体"/>
                <w:kern w:val="0"/>
              </w:rPr>
              <w:t>www.gsxt.gov.cn</w:t>
            </w:r>
            <w:r>
              <w:rPr>
                <w:rFonts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④“中国社会组织公共服务平台”网站（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2、截止时间：同谈判响应截止时间；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的供应商、严重违法失信企业名单（黑名单）、严重违法失信社会组织名单的供应商，将拒绝其参与本次政府采购活动。</w:t>
            </w:r>
          </w:p>
          <w:p>
            <w:pPr>
              <w:autoSpaceDE w:val="0"/>
              <w:autoSpaceDN w:val="0"/>
              <w:spacing w:line="360" w:lineRule="auto"/>
              <w:contextualSpacing/>
              <w:rPr>
                <w:rFonts w:hint="default" w:cs="宋体" w:asciiTheme="minorEastAsia" w:hAnsiTheme="minorEastAsia"/>
                <w:kern w:val="0"/>
                <w:szCs w:val="21"/>
                <w:lang w:val="en-US" w:eastAsia="zh-CN"/>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lang w:eastAsia="zh-CN"/>
              </w:rPr>
              <w:t>八</w:t>
            </w:r>
            <w:r>
              <w:rPr>
                <w:rFonts w:hint="eastAsia" w:cs="宋体" w:asciiTheme="minorEastAsia" w:hAnsiTheme="minorEastAsia"/>
                <w:kern w:val="0"/>
                <w:szCs w:val="21"/>
              </w:rPr>
              <w:t>、被委托人是须是本单位职工，须提供公司为本人缴纳社会保险证明；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hint="eastAsia" w:cs="宋体" w:asciiTheme="minorEastAsia" w:hAnsiTheme="minorEastAsia"/>
                <w:kern w:val="0"/>
                <w:szCs w:val="21"/>
                <w:lang w:val="en-US" w:eastAsia="zh-CN"/>
              </w:rPr>
              <w:t xml:space="preserve"> </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szCs w:val="21"/>
                <w:lang w:val="en-US" w:eastAsia="zh-CN"/>
              </w:rPr>
              <w:t>16.9</w:t>
            </w:r>
            <w:r>
              <w:rPr>
                <w:rFonts w:hint="eastAsia" w:cs="宋体" w:asciiTheme="minorEastAsia" w:hAnsiTheme="minorEastAsia"/>
                <w:bCs/>
                <w:szCs w:val="21"/>
              </w:rPr>
              <w:t>万</w:t>
            </w:r>
            <w:r>
              <w:rPr>
                <w:rFonts w:hint="eastAsia" w:cs="宋体" w:asciiTheme="minorEastAsia" w:hAnsiTheme="minorEastAsia"/>
                <w:bCs/>
                <w:szCs w:val="21"/>
                <w:lang w:val="zh-CN"/>
              </w:rPr>
              <w:t>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en-US" w:eastAsia="zh-CN"/>
              </w:rPr>
              <w:t>6</w:t>
            </w:r>
            <w:r>
              <w:rPr>
                <w:rFonts w:hint="eastAsia" w:cs="仿宋_GB2312" w:asciiTheme="minorEastAsia" w:hAnsiTheme="minorEastAsia"/>
                <w:szCs w:val="21"/>
              </w:rPr>
              <w:t>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hint="eastAsia" w:cs="宋体" w:asciiTheme="minorEastAsia" w:hAnsiTheme="minorEastAsia"/>
                <w:bCs/>
                <w:szCs w:val="21"/>
                <w:lang w:val="zh-CN"/>
              </w:rPr>
            </w:pPr>
            <w:r>
              <w:rPr>
                <w:rFonts w:hint="eastAsia" w:cs="宋体" w:asciiTheme="minorEastAsia" w:hAnsiTheme="minorEastAsia"/>
                <w:bCs/>
                <w:szCs w:val="21"/>
                <w:lang w:val="zh-CN"/>
              </w:rPr>
              <w:t>谈判响应截止及</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2019年</w:t>
            </w:r>
            <w:r>
              <w:rPr>
                <w:rFonts w:hint="eastAsia" w:cs="宋体" w:asciiTheme="minorEastAsia" w:hAnsiTheme="minorEastAsia"/>
                <w:bCs/>
                <w:szCs w:val="21"/>
                <w:lang w:val="en-US" w:eastAsia="zh-CN"/>
              </w:rPr>
              <w:t>9</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4</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9</w:t>
            </w:r>
            <w:r>
              <w:rPr>
                <w:rFonts w:hint="eastAsia" w:cs="宋体" w:asciiTheme="minorEastAsia" w:hAnsiTheme="minorEastAsia"/>
                <w:bCs/>
                <w:szCs w:val="21"/>
                <w:lang w:val="zh-CN"/>
              </w:rPr>
              <w:t>：</w:t>
            </w:r>
            <w:r>
              <w:rPr>
                <w:rFonts w:hint="eastAsia" w:cs="宋体" w:asciiTheme="minorEastAsia" w:hAnsiTheme="minorEastAsia"/>
                <w:bCs/>
                <w:szCs w:val="21"/>
                <w:lang w:val="en-US" w:eastAsia="zh-CN"/>
              </w:rPr>
              <w:t>00</w:t>
            </w:r>
            <w:r>
              <w:rPr>
                <w:rFonts w:hint="eastAsia" w:cs="宋体" w:asciiTheme="minorEastAsia" w:hAnsiTheme="minorEastAsia"/>
                <w:bCs/>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递交谈判响应文件</w:t>
            </w:r>
          </w:p>
        </w:tc>
        <w:tc>
          <w:tcPr>
            <w:tcW w:w="6813" w:type="dxa"/>
            <w:vAlign w:val="center"/>
          </w:tcPr>
          <w:p>
            <w:pPr>
              <w:autoSpaceDE w:val="0"/>
              <w:autoSpaceDN w:val="0"/>
              <w:adjustRightInd w:val="0"/>
              <w:spacing w:line="360" w:lineRule="auto"/>
              <w:rPr>
                <w:rFonts w:hint="eastAsia" w:cs="宋体" w:asciiTheme="minorEastAsia" w:hAnsiTheme="minorEastAsia"/>
                <w:bCs/>
                <w:szCs w:val="21"/>
                <w:lang w:val="zh-CN" w:eastAsia="zh-CN"/>
              </w:rPr>
            </w:pPr>
            <w:r>
              <w:rPr>
                <w:rFonts w:hint="eastAsia" w:cs="宋体" w:asciiTheme="minorEastAsia" w:hAnsiTheme="minorEastAsia"/>
                <w:bCs/>
                <w:szCs w:val="21"/>
                <w:lang w:val="zh-CN" w:eastAsia="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13" w:type="dxa"/>
            <w:vAlign w:val="center"/>
          </w:tcPr>
          <w:p>
            <w:pPr>
              <w:tabs>
                <w:tab w:val="left" w:pos="1260"/>
              </w:tabs>
              <w:autoSpaceDE w:val="0"/>
              <w:autoSpaceDN w:val="0"/>
              <w:spacing w:line="360" w:lineRule="auto"/>
              <w:contextualSpacing/>
              <w:rPr>
                <w:rFonts w:hint="eastAsia"/>
                <w:lang w:val="zh-CN"/>
              </w:rPr>
            </w:pPr>
            <w:r>
              <w:rPr>
                <w:rFonts w:hint="eastAsia"/>
                <w:lang w:val="zh-CN"/>
              </w:rPr>
              <w:t>不收取</w:t>
            </w:r>
          </w:p>
          <w:p>
            <w:pPr>
              <w:pStyle w:val="2"/>
              <w:ind w:left="0" w:leftChars="0" w:firstLine="0" w:firstLineChars="0"/>
              <w:rPr>
                <w:lang w:val="zh-CN"/>
              </w:rPr>
            </w:pPr>
            <w:r>
              <w:rPr>
                <w:rFonts w:hint="eastAsia" w:cs="仿宋_GB2312" w:asciiTheme="minorEastAsia" w:hAnsiTheme="minorEastAsia"/>
                <w:szCs w:val="21"/>
                <w:lang w:val="zh-CN"/>
              </w:rPr>
              <w:t>但投标人须提供投标承诺函。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谈判公告、成交公告、变更（更正）公告、现场勘察答复等相关信息同时在以下网站发布：《中国政府采购网》、《河南省政府采购网》、《全国公共资源交易平台（河南省·许昌市）》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新宋体" w:hAnsi="新宋体" w:eastAsia="新宋体"/>
                <w:szCs w:val="21"/>
              </w:rPr>
              <w:t>副本一份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采购单位委派代表参加谈判小组的，须向集中采购机构出具授权函。除授权代表外，采购单位委派纪检监察人员对谈判过程实施监督的须进入</w:t>
            </w:r>
            <w:r>
              <w:rPr>
                <w:rFonts w:hint="eastAsia" w:cs="仿宋_GB2312" w:asciiTheme="minorEastAsia" w:hAnsiTheme="minorEastAsia"/>
                <w:szCs w:val="21"/>
                <w:lang w:val="en-US" w:eastAsia="zh-CN"/>
              </w:rPr>
              <w:t>g禹州</w:t>
            </w:r>
            <w:r>
              <w:rPr>
                <w:rFonts w:hint="eastAsia" w:cs="仿宋_GB2312" w:asciiTheme="minorEastAsia" w:hAnsiTheme="minorEastAsia"/>
                <w:szCs w:val="21"/>
                <w:lang w:val="zh-CN"/>
              </w:rPr>
              <w:t>市公共资源交易中心九楼电子监督室，并向集中采购机构机构出具授权函，且不得超过2人。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hint="eastAsia" w:cs="宋体" w:asciiTheme="minorEastAsia" w:hAnsiTheme="minorEastAsia"/>
                <w:bCs/>
                <w:szCs w:val="21"/>
                <w:lang w:val="zh-CN"/>
              </w:rPr>
            </w:pPr>
            <w:r>
              <w:rPr>
                <w:rFonts w:hint="eastAsia" w:cs="宋体" w:asciiTheme="minorEastAsia" w:hAnsiTheme="minorEastAsia"/>
                <w:bCs/>
                <w:szCs w:val="21"/>
                <w:lang w:val="zh-CN"/>
              </w:rPr>
              <w:t>成交供应商</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需提交的资料</w:t>
            </w:r>
          </w:p>
        </w:tc>
        <w:tc>
          <w:tcPr>
            <w:tcW w:w="6813" w:type="dxa"/>
            <w:vAlign w:val="center"/>
          </w:tcPr>
          <w:p>
            <w:pPr>
              <w:autoSpaceDE w:val="0"/>
              <w:autoSpaceDN w:val="0"/>
              <w:adjustRightInd w:val="0"/>
              <w:spacing w:line="360" w:lineRule="auto"/>
              <w:rPr>
                <w:rFonts w:hint="eastAsia"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w:t>
            </w:r>
            <w:r>
              <w:rPr>
                <w:rFonts w:hint="eastAsia" w:ascii="新宋体" w:hAnsi="新宋体" w:eastAsia="新宋体"/>
                <w:szCs w:val="21"/>
                <w:lang w:eastAsia="zh-CN"/>
              </w:rPr>
              <w:t>禹州</w:t>
            </w:r>
            <w:r>
              <w:rPr>
                <w:rFonts w:hint="eastAsia" w:ascii="新宋体" w:hAnsi="新宋体" w:eastAsia="新宋体"/>
                <w:szCs w:val="21"/>
              </w:rPr>
              <w:t>市公共资源交易中心交易见证部发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送响应报价及分项报价一览表（包含主要成交标的的名称、规格型号、数量、单价、服务要求等）电子文档，并同时电话告知交易见证部。</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 xml:space="preserve"> </w:t>
            </w:r>
            <w:r>
              <w:rPr>
                <w:rFonts w:hint="eastAsia" w:cs="宋体" w:asciiTheme="minorEastAsia" w:hAnsiTheme="minorEastAsia"/>
                <w:bCs/>
                <w:sz w:val="24"/>
                <w:szCs w:val="24"/>
                <w:lang w:val="zh-CN"/>
              </w:rPr>
              <w:t>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r>
              <w:rPr>
                <w:rFonts w:hint="eastAsia" w:cs="宋体" w:asciiTheme="minorEastAsia" w:hAnsiTheme="minorEastAsia"/>
                <w:bCs/>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Cs w:val="21"/>
                <w:lang w:val="zh-CN"/>
              </w:rPr>
            </w:pPr>
            <w:r>
              <w:rPr>
                <w:rFonts w:hint="eastAsia" w:cs="宋体" w:asciiTheme="minorEastAsia" w:hAnsiTheme="minorEastAsia"/>
                <w:bCs/>
                <w:color w:val="FF0000"/>
                <w:szCs w:val="21"/>
                <w:lang w:val="zh-CN"/>
              </w:rPr>
              <w:t>特别提示</w:t>
            </w:r>
          </w:p>
        </w:tc>
        <w:tc>
          <w:tcPr>
            <w:tcW w:w="6813" w:type="dxa"/>
            <w:vAlign w:val="center"/>
          </w:tcPr>
          <w:p>
            <w:pPr>
              <w:autoSpaceDE w:val="0"/>
              <w:autoSpaceDN w:val="0"/>
              <w:adjustRightInd w:val="0"/>
              <w:spacing w:line="360" w:lineRule="auto"/>
              <w:contextualSpacing/>
              <w:rPr>
                <w:rFonts w:ascii="ˎ̥" w:hAnsi="ˎ̥"/>
                <w:color w:val="FF0000"/>
              </w:rPr>
            </w:pPr>
            <w:r>
              <w:rPr>
                <w:rFonts w:hint="eastAsia" w:ascii="ˎ̥" w:hAnsi="ˎ̥"/>
                <w:color w:val="FF0000"/>
              </w:rPr>
              <w:t>按照《关于推进全流程电子化交易和在线监管工作有关问题的通知》（许公管办[2019]3号）规定：</w:t>
            </w:r>
          </w:p>
          <w:p>
            <w:pPr>
              <w:autoSpaceDE w:val="0"/>
              <w:autoSpaceDN w:val="0"/>
              <w:adjustRightInd w:val="0"/>
              <w:spacing w:line="360" w:lineRule="auto"/>
              <w:contextualSpacing/>
              <w:rPr>
                <w:rFonts w:ascii="ˎ̥" w:hAnsi="ˎ̥"/>
                <w:color w:val="FF0000"/>
              </w:rPr>
            </w:pPr>
            <w:r>
              <w:rPr>
                <w:rFonts w:hint="eastAsia" w:ascii="ˎ̥" w:hAnsi="ˎ̥"/>
                <w:color w:val="FF0000"/>
              </w:rPr>
              <w:t>不同供应商电子响应文件制作硬件特征码（网卡MAC地址、CPU序号、硬盘序列号等）雷同时，视为‘</w:t>
            </w:r>
            <w:r>
              <w:rPr>
                <w:rFonts w:ascii="ˎ̥" w:hAnsi="ˎ̥"/>
                <w:color w:val="FF0000"/>
              </w:rPr>
              <w:t>不同</w:t>
            </w:r>
            <w:r>
              <w:rPr>
                <w:rFonts w:hint="eastAsia" w:ascii="ˎ̥" w:hAnsi="ˎ̥"/>
                <w:color w:val="FF0000"/>
              </w:rPr>
              <w:t>供应商</w:t>
            </w:r>
            <w:r>
              <w:rPr>
                <w:rFonts w:ascii="ˎ̥" w:hAnsi="ˎ̥"/>
                <w:color w:val="FF0000"/>
              </w:rPr>
              <w:t>的</w:t>
            </w:r>
            <w:r>
              <w:rPr>
                <w:rFonts w:hint="eastAsia" w:ascii="ˎ̥" w:hAnsi="ˎ̥"/>
                <w:color w:val="FF0000"/>
              </w:rPr>
              <w:t>响应</w:t>
            </w:r>
            <w:r>
              <w:rPr>
                <w:rFonts w:ascii="ˎ̥" w:hAnsi="ˎ̥"/>
                <w:color w:val="FF0000"/>
              </w:rPr>
              <w:t>文件由同一单位或者个人编制</w:t>
            </w:r>
            <w:r>
              <w:rPr>
                <w:rFonts w:hint="eastAsia" w:ascii="ˎ̥" w:hAnsi="ˎ̥"/>
                <w:color w:val="FF0000"/>
              </w:rPr>
              <w:t>’或‘</w:t>
            </w:r>
            <w:r>
              <w:rPr>
                <w:rFonts w:ascii="ˎ̥" w:hAnsi="ˎ̥"/>
                <w:color w:val="FF0000"/>
              </w:rPr>
              <w:t>不同</w:t>
            </w:r>
            <w:r>
              <w:rPr>
                <w:rFonts w:hint="eastAsia" w:ascii="ˎ̥" w:hAnsi="ˎ̥"/>
                <w:color w:val="FF0000"/>
              </w:rPr>
              <w:t>供应商</w:t>
            </w:r>
            <w:r>
              <w:rPr>
                <w:rFonts w:ascii="ˎ̥" w:hAnsi="ˎ̥"/>
                <w:color w:val="FF0000"/>
              </w:rPr>
              <w:t>委托同一单位或者个人办理</w:t>
            </w:r>
            <w:r>
              <w:rPr>
                <w:rFonts w:hint="eastAsia" w:ascii="ˎ̥" w:hAnsi="ˎ̥"/>
                <w:color w:val="FF0000"/>
              </w:rPr>
              <w:t>响应</w:t>
            </w:r>
            <w:r>
              <w:rPr>
                <w:rFonts w:ascii="ˎ̥" w:hAnsi="ˎ̥"/>
                <w:color w:val="FF0000"/>
              </w:rPr>
              <w:t>事宜</w:t>
            </w:r>
            <w:r>
              <w:rPr>
                <w:rFonts w:hint="eastAsia" w:ascii="ˎ̥" w:hAnsi="ˎ̥"/>
                <w:color w:val="FF0000"/>
              </w:rPr>
              <w:t>’，其谈判响应无效。</w:t>
            </w:r>
          </w:p>
          <w:p>
            <w:pPr>
              <w:autoSpaceDE w:val="0"/>
              <w:autoSpaceDN w:val="0"/>
              <w:adjustRightInd w:val="0"/>
              <w:spacing w:line="360" w:lineRule="auto"/>
              <w:contextualSpacing/>
              <w:rPr>
                <w:rFonts w:hAnsi="宋体" w:cs="宋体"/>
                <w:color w:val="FF0000"/>
                <w:szCs w:val="21"/>
                <w:lang w:val="zh-CN"/>
              </w:rPr>
            </w:pPr>
            <w:r>
              <w:rPr>
                <w:rFonts w:hint="eastAsia" w:ascii="ˎ̥" w:hAnsi="ˎ̥"/>
                <w:color w:val="FF0000"/>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ind w:firstLine="1928" w:firstLineChars="600"/>
        <w:contextualSpacing/>
        <w:jc w:val="both"/>
        <w:rPr>
          <w:rFonts w:cs="宋体" w:asciiTheme="majorEastAsia" w:hAnsiTheme="majorEastAsia" w:eastAsiaTheme="majorEastAsia"/>
          <w:b/>
          <w:kern w:val="0"/>
          <w:sz w:val="32"/>
          <w:szCs w:val="32"/>
        </w:rPr>
      </w:pPr>
      <w:bookmarkStart w:id="81" w:name="_GoBack"/>
      <w:bookmarkEnd w:id="81"/>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5"/>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5"/>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“供应商”系指从采购人、集中采购机构处按规定获取谈判文件，并按照谈判文件向采购人、集中采购机构提交响应文件的供应商。</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“服务”系指磋商文件规定的供应商为完成采购项目所需承担的全部义务。</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5"/>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w:t>
      </w:r>
      <w:r>
        <w:rPr>
          <w:rFonts w:cs="宋体" w:asciiTheme="minorEastAsia" w:hAnsiTheme="minorEastAsia"/>
          <w:kern w:val="0"/>
          <w:szCs w:val="21"/>
        </w:rPr>
        <w:t>政府采购严重违法失信名单</w:t>
      </w:r>
      <w:r>
        <w:rPr>
          <w:rFonts w:hint="eastAsia" w:cs="宋体" w:asciiTheme="minorEastAsia" w:hAnsiTheme="minorEastAsia"/>
          <w:kern w:val="0"/>
          <w:szCs w:val="21"/>
        </w:rPr>
        <w:t>、政府采购严重违法失信行为记录名单、严重违法失信企业名单（黑名单）、严重违法失信社会组织名单（联合体形式响应的，联合体成员存在不良信用记录，视同联合体存在不良信用记录）。</w:t>
      </w:r>
    </w:p>
    <w:p>
      <w:pPr>
        <w:pStyle w:val="45"/>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w:t>
      </w:r>
      <w:r>
        <w:rPr>
          <w:rFonts w:hint="eastAsia" w:cs="仿宋_GB2312" w:asciiTheme="minorEastAsia" w:hAnsiTheme="minorEastAsia"/>
          <w:color w:val="000000"/>
          <w:szCs w:val="21"/>
          <w:shd w:val="clear" w:color="auto" w:fill="FFFFFF"/>
        </w:rPr>
        <w:t>“国家企业信用公示系统”网站（</w:t>
      </w:r>
      <w:r>
        <w:rPr>
          <w:rFonts w:cs="仿宋_GB2312" w:asciiTheme="minorEastAsia" w:hAnsiTheme="minorEastAsia"/>
          <w:color w:val="000000"/>
          <w:szCs w:val="21"/>
          <w:shd w:val="clear" w:color="auto" w:fill="FFFFFF"/>
        </w:rPr>
        <w:t>www.gsxt.gov.cn</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pStyle w:val="45"/>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5"/>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pStyle w:val="45"/>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严重违法失信企业名单（黑名单）、严重违法失信社会组织名单的响应人，将拒绝其参与本次政府采购活动。</w:t>
      </w:r>
    </w:p>
    <w:p>
      <w:pPr>
        <w:pStyle w:val="45"/>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5"/>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5"/>
        <w:autoSpaceDE w:val="0"/>
        <w:autoSpaceDN w:val="0"/>
        <w:spacing w:line="360" w:lineRule="auto"/>
        <w:contextualSpacing/>
        <w:rPr>
          <w:rFonts w:cs="宋体" w:asciiTheme="minorEastAsia" w:hAnsiTheme="minorEastAsia"/>
          <w:kern w:val="0"/>
          <w:szCs w:val="21"/>
        </w:rPr>
      </w:pPr>
      <w:r>
        <w:rPr>
          <w:rFonts w:hint="eastAsia" w:cs="微软雅黑"/>
          <w:color w:val="000000"/>
        </w:rPr>
        <w:t>集中采购机构</w:t>
      </w:r>
      <w:r>
        <w:rPr>
          <w:rFonts w:hint="eastAsia" w:cs="微软雅黑"/>
          <w:color w:val="000000"/>
          <w:lang w:eastAsia="zh-CN"/>
        </w:rPr>
        <w:t>除收取标书费用外</w:t>
      </w:r>
      <w:r>
        <w:rPr>
          <w:rFonts w:hint="eastAsia" w:cs="微软雅黑"/>
          <w:color w:val="000000"/>
        </w:rPr>
        <w:t>，不收取费</w:t>
      </w:r>
      <w:r>
        <w:rPr>
          <w:rFonts w:hint="eastAsia" w:cs="微软雅黑"/>
          <w:color w:val="000000"/>
          <w:lang w:eastAsia="zh-CN"/>
        </w:rPr>
        <w:t>用</w:t>
      </w:r>
      <w:r>
        <w:rPr>
          <w:rFonts w:hint="eastAsia" w:cs="宋体" w:asciiTheme="minorEastAsia" w:hAnsiTheme="minorEastAsia"/>
          <w:kern w:val="0"/>
          <w:szCs w:val="21"/>
        </w:rPr>
        <w:t>。</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numPr>
          <w:ilvl w:val="0"/>
          <w:numId w:val="0"/>
        </w:numPr>
        <w:autoSpaceDE w:val="0"/>
        <w:autoSpaceDN w:val="0"/>
        <w:spacing w:line="360" w:lineRule="auto"/>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1、</w:t>
      </w:r>
      <w:r>
        <w:rPr>
          <w:rFonts w:hint="eastAsia" w:cs="宋体" w:asciiTheme="minorEastAsia" w:hAnsiTheme="minor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adjustRightInd w:val="0"/>
        <w:spacing w:line="360" w:lineRule="auto"/>
        <w:jc w:val="left"/>
        <w:rPr>
          <w:rFonts w:hint="eastAsia" w:cs="宋体" w:asciiTheme="minorEastAsia" w:hAnsiTheme="minorEastAsia"/>
          <w:kern w:val="0"/>
          <w:szCs w:val="21"/>
        </w:rPr>
      </w:pPr>
      <w:r>
        <w:rPr>
          <w:rFonts w:hint="eastAsia" w:cs="宋体" w:asciiTheme="minorEastAsia" w:hAnsiTheme="minorEastAsia"/>
          <w:kern w:val="0"/>
          <w:szCs w:val="21"/>
          <w:lang w:val="en-US" w:eastAsia="zh-CN"/>
        </w:rPr>
        <w:t>2、</w:t>
      </w:r>
      <w:r>
        <w:rPr>
          <w:rFonts w:hint="eastAsia" w:cs="宋体" w:asciiTheme="minorEastAsia" w:hAnsiTheme="minorEastAsia"/>
          <w:kern w:val="0"/>
          <w:szCs w:val="21"/>
          <w:lang w:eastAsia="zh-CN"/>
        </w:rPr>
        <w:t>如“谈判邀请函</w:t>
      </w:r>
      <w:r>
        <w:rPr>
          <w:rFonts w:hint="default" w:cs="宋体" w:asciiTheme="minorEastAsia" w:hAnsiTheme="minorEastAsia"/>
          <w:kern w:val="0"/>
          <w:szCs w:val="21"/>
          <w:lang w:val="en-US" w:eastAsia="zh-CN"/>
        </w:rPr>
        <w:t>”</w:t>
      </w:r>
      <w:r>
        <w:rPr>
          <w:rFonts w:hint="eastAsia" w:cs="宋体" w:asciiTheme="minorEastAsia" w:hAnsiTheme="minorEastAsia"/>
          <w:kern w:val="0"/>
          <w:szCs w:val="21"/>
          <w:lang w:val="en-US" w:eastAsia="zh-CN"/>
        </w:rPr>
        <w:t>中“</w:t>
      </w:r>
      <w:r>
        <w:rPr>
          <w:rFonts w:hint="eastAsia" w:cs="宋体" w:asciiTheme="minorEastAsia" w:hAnsiTheme="minorEastAsia"/>
          <w:kern w:val="0"/>
          <w:szCs w:val="21"/>
          <w:lang w:eastAsia="zh-CN"/>
        </w:rPr>
        <w:t>谈判截止时间及谈判时间”和“投标人须知前附表”中</w:t>
      </w:r>
      <w:r>
        <w:rPr>
          <w:rFonts w:hint="eastAsia" w:ascii="黑体" w:hAnsi="黑体" w:eastAsia="黑体" w:cs="Arial"/>
          <w:color w:val="000000"/>
          <w:kern w:val="0"/>
          <w:sz w:val="32"/>
          <w:szCs w:val="32"/>
          <w:lang w:eastAsia="zh-CN"/>
        </w:rPr>
        <w:t>“</w:t>
      </w:r>
      <w:r>
        <w:rPr>
          <w:rFonts w:hint="eastAsia" w:cs="宋体" w:asciiTheme="minorEastAsia" w:hAnsiTheme="minorEastAsia"/>
          <w:bCs/>
          <w:szCs w:val="21"/>
          <w:lang w:val="zh-CN"/>
        </w:rPr>
        <w:t>谈判响应截止及谈判时间”不一致的，以《河南省政府采购网》发布的“谈判响应截止及谈判时间”为准。</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5"/>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在谈判响应截止期前，无论出于何种原因，采购人可主动地或在解答供应商提出的澄清问题时对谈判文件进行修改。</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如果澄清或者修改发出的时间距规定的谈判响应截止时间不足3个工作日的，采购人、集中采购机构将顺延提交响应文件的截止时间。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5"/>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5"/>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w:t>
      </w:r>
      <w:r>
        <w:rPr>
          <w:rFonts w:hint="eastAsia" w:cs="宋体" w:asciiTheme="minorEastAsia" w:hAnsiTheme="minorEastAsia"/>
          <w:kern w:val="0"/>
          <w:szCs w:val="21"/>
          <w:lang w:eastAsia="zh-CN"/>
        </w:rPr>
        <w:t>第二次</w:t>
      </w:r>
      <w:r>
        <w:rPr>
          <w:rFonts w:hint="eastAsia" w:cs="宋体" w:asciiTheme="minorEastAsia" w:hAnsiTheme="minorEastAsia"/>
          <w:kern w:val="0"/>
          <w:szCs w:val="21"/>
        </w:rPr>
        <w:t>报价</w:t>
      </w:r>
      <w:r>
        <w:rPr>
          <w:rFonts w:hint="eastAsia" w:cs="宋体" w:asciiTheme="minorEastAsia" w:hAnsiTheme="minorEastAsia"/>
          <w:kern w:val="0"/>
          <w:szCs w:val="21"/>
          <w:lang w:eastAsia="zh-CN"/>
        </w:rPr>
        <w:t>（即最终报价）</w:t>
      </w:r>
      <w:r>
        <w:rPr>
          <w:rFonts w:hint="eastAsia" w:cs="宋体" w:asciiTheme="minorEastAsia" w:hAnsiTheme="minorEastAsia"/>
          <w:kern w:val="0"/>
          <w:szCs w:val="21"/>
        </w:rPr>
        <w:t>。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color w:val="000000"/>
          <w:szCs w:val="21"/>
        </w:rPr>
        <w:t>经通知参加</w:t>
      </w:r>
      <w:r>
        <w:rPr>
          <w:rFonts w:hint="eastAsia" w:ascii="宋体" w:hAnsi="宋体"/>
          <w:color w:val="000000"/>
          <w:szCs w:val="21"/>
          <w:lang w:eastAsia="zh-CN"/>
        </w:rPr>
        <w:t>谈判</w:t>
      </w:r>
      <w:r>
        <w:rPr>
          <w:rFonts w:hint="eastAsia" w:ascii="宋体" w:hAnsi="宋体"/>
          <w:color w:val="000000"/>
          <w:szCs w:val="21"/>
        </w:rPr>
        <w:t>的供应商，在谈判结束后还有一次最终报价的机会</w:t>
      </w:r>
      <w:r>
        <w:rPr>
          <w:rFonts w:hint="eastAsia" w:cs="宋体" w:asciiTheme="minorEastAsia" w:hAnsiTheme="minorEastAsia"/>
          <w:kern w:val="0"/>
          <w:szCs w:val="21"/>
        </w:rPr>
        <w:t>。</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5"/>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5"/>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”的文件用于电子响应使用，后缀名为“.PDF”的文件用于打印纸质响应文件，名称为“备份”的文件夹使用电子介质存储，供谈判响应文件递交现场备用。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5"/>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w:t>
      </w:r>
    </w:p>
    <w:p>
      <w:pPr>
        <w:pStyle w:val="45"/>
        <w:numPr>
          <w:ilvl w:val="1"/>
          <w:numId w:val="7"/>
        </w:numPr>
        <w:autoSpaceDE w:val="0"/>
        <w:autoSpaceDN w:val="0"/>
        <w:spacing w:line="360" w:lineRule="auto"/>
        <w:ind w:left="964" w:leftChars="0" w:hanging="544" w:firstLineChars="0"/>
        <w:contextualSpacing/>
        <w:rPr>
          <w:rFonts w:hint="eastAsia" w:cs="宋体" w:asciiTheme="minorEastAsia" w:hAnsiTheme="minorEastAsia"/>
          <w:b/>
          <w:kern w:val="0"/>
          <w:szCs w:val="21"/>
          <w:lang w:eastAsia="zh-CN"/>
        </w:rPr>
      </w:pPr>
      <w:r>
        <w:rPr>
          <w:rFonts w:hint="eastAsia" w:cs="宋体" w:asciiTheme="minorEastAsia" w:hAnsiTheme="minorEastAsia"/>
          <w:b/>
          <w:kern w:val="0"/>
          <w:szCs w:val="21"/>
          <w:lang w:eastAsia="zh-CN"/>
        </w:rPr>
        <w:t>不收取</w:t>
      </w:r>
    </w:p>
    <w:p>
      <w:pPr>
        <w:pStyle w:val="45"/>
        <w:numPr>
          <w:ilvl w:val="0"/>
          <w:numId w:val="0"/>
        </w:numPr>
        <w:autoSpaceDE w:val="0"/>
        <w:autoSpaceDN w:val="0"/>
        <w:spacing w:line="360" w:lineRule="auto"/>
        <w:ind w:left="420" w:leftChars="0"/>
        <w:contextualSpacing/>
        <w:rPr>
          <w:rFonts w:hint="default" w:cs="宋体" w:asciiTheme="minorEastAsia" w:hAnsiTheme="minorEastAsia"/>
          <w:b/>
          <w:kern w:val="0"/>
          <w:szCs w:val="21"/>
          <w:lang w:val="en-US" w:eastAsia="zh-CN"/>
        </w:rPr>
      </w:pPr>
      <w:r>
        <w:rPr>
          <w:rFonts w:hint="eastAsia" w:cs="宋体" w:asciiTheme="minorEastAsia" w:hAnsiTheme="minorEastAsia"/>
          <w:b/>
          <w:kern w:val="0"/>
          <w:szCs w:val="21"/>
          <w:lang w:val="en-US" w:eastAsia="zh-CN"/>
        </w:rPr>
        <w:t>16.2 投标人须做出承诺</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5"/>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5"/>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5"/>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供应商必须在“采购邀请”和“供应商须知前附表”中规定的谈判响应文件截止时间前，将所有响应文件送达谈判文件指定的地点。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谈判响应文件截止时间之后送达/上传的响应文件，采购人、集中采购机构将将拒绝接收。</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5"/>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供应商应当在谈判响应截止时间前完成电子响应文件的提交，可以补充、修改或撤回。谈判响应截止时间前未完成电子响应文件提交、取得“投标文件提交回执单”的，视为撤回响应文件。</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w:t>
      </w:r>
      <w:r>
        <w:rPr>
          <w:rFonts w:hint="eastAsia" w:cs="宋体" w:asciiTheme="minorEastAsia" w:hAnsiTheme="minorEastAsia"/>
          <w:kern w:val="0"/>
          <w:szCs w:val="21"/>
          <w:lang w:eastAsia="zh-CN"/>
        </w:rPr>
        <w:t>，</w:t>
      </w:r>
      <w:r>
        <w:rPr>
          <w:rFonts w:hint="eastAsia" w:cs="宋体" w:asciiTheme="minorEastAsia" w:hAnsiTheme="minorEastAsia"/>
          <w:kern w:val="0"/>
          <w:szCs w:val="21"/>
        </w:rPr>
        <w:t>否则招标人将不退还其谈判保证金。</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（1）电子谈判文件的解密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全流程电子化交易项目电子谈判文件采用双重加密。解密需分标段进行两次解密。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供应商不足3家的，本项目谈判活动终止。</w:t>
      </w:r>
    </w:p>
    <w:p>
      <w:pPr>
        <w:pStyle w:val="45"/>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5"/>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w:t>
      </w:r>
      <w:r>
        <w:rPr>
          <w:rFonts w:ascii="ˎ̥" w:hAnsi="ˎ̥"/>
        </w:rPr>
        <w:t>由采购人代表和评审专家共3人以上单数组成，其中评审专家人数不得少于竞争性谈判小组成员总数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45"/>
        <w:numPr>
          <w:ilvl w:val="1"/>
          <w:numId w:val="12"/>
        </w:numPr>
        <w:autoSpaceDE w:val="0"/>
        <w:autoSpaceDN w:val="0"/>
        <w:spacing w:line="360" w:lineRule="auto"/>
        <w:ind w:firstLineChars="0"/>
        <w:contextualSpacing/>
        <w:rPr>
          <w:rFonts w:ascii="ˎ̥" w:hAnsi="ˎ̥"/>
          <w:vanish/>
        </w:rPr>
      </w:pP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采购人不得担任谈判小组组长。</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pStyle w:val="45"/>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5"/>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5"/>
        <w:numPr>
          <w:ilvl w:val="0"/>
          <w:numId w:val="7"/>
        </w:numPr>
        <w:autoSpaceDE w:val="0"/>
        <w:autoSpaceDN w:val="0"/>
        <w:spacing w:line="360" w:lineRule="auto"/>
        <w:ind w:firstLineChars="0"/>
        <w:contextualSpacing/>
        <w:rPr>
          <w:rFonts w:cs="宋体" w:asciiTheme="minorEastAsia" w:hAnsiTheme="minorEastAsia"/>
          <w:vanish/>
          <w:kern w:val="0"/>
          <w:szCs w:val="21"/>
        </w:rPr>
      </w:pPr>
    </w:p>
    <w:p>
      <w:pPr>
        <w:pStyle w:val="45"/>
        <w:numPr>
          <w:ilvl w:val="0"/>
          <w:numId w:val="7"/>
        </w:numPr>
        <w:autoSpaceDE w:val="0"/>
        <w:autoSpaceDN w:val="0"/>
        <w:spacing w:line="360" w:lineRule="auto"/>
        <w:ind w:firstLineChars="0"/>
        <w:contextualSpacing/>
        <w:rPr>
          <w:rFonts w:cs="宋体" w:asciiTheme="minorEastAsia" w:hAnsiTheme="minorEastAsia"/>
          <w:vanish/>
          <w:kern w:val="0"/>
          <w:szCs w:val="21"/>
        </w:rPr>
      </w:pP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依据谈判文件的规定，从响应文件的有效性、完整性和对谈判文件的响应程度进行审查，以确定是否对谈判文件的全部实质性要求作出响应。</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5"/>
        <w:numPr>
          <w:ilvl w:val="0"/>
          <w:numId w:val="15"/>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r>
        <w:rPr>
          <w:rFonts w:hint="eastAsia" w:ascii="ˎ̥" w:hAnsi="ˎ̥"/>
          <w:lang w:eastAsia="zh-CN"/>
        </w:rPr>
        <w:t>。</w:t>
      </w:r>
    </w:p>
    <w:p>
      <w:pPr>
        <w:pStyle w:val="45"/>
        <w:numPr>
          <w:ilvl w:val="1"/>
          <w:numId w:val="12"/>
        </w:numPr>
        <w:autoSpaceDE w:val="0"/>
        <w:autoSpaceDN w:val="0"/>
        <w:spacing w:line="360" w:lineRule="auto"/>
        <w:ind w:firstLineChars="0"/>
        <w:contextualSpacing/>
        <w:rPr>
          <w:rFonts w:cs="宋体" w:asciiTheme="minorEastAsia" w:hAnsiTheme="minorEastAsia"/>
          <w:vanish/>
          <w:kern w:val="0"/>
          <w:szCs w:val="21"/>
        </w:rPr>
      </w:pP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5"/>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未按照谈判文件的规定提</w:t>
      </w:r>
      <w:r>
        <w:rPr>
          <w:rFonts w:hint="eastAsia" w:cs="宋体" w:asciiTheme="minorEastAsia" w:hAnsiTheme="minorEastAsia"/>
          <w:kern w:val="0"/>
          <w:szCs w:val="21"/>
          <w:lang w:eastAsia="zh-CN"/>
        </w:rPr>
        <w:t>供</w:t>
      </w:r>
      <w:r>
        <w:rPr>
          <w:rFonts w:hint="eastAsia" w:cs="宋体" w:asciiTheme="minorEastAsia" w:hAnsiTheme="minorEastAsia"/>
          <w:kern w:val="0"/>
          <w:szCs w:val="21"/>
        </w:rPr>
        <w:t>投标保</w:t>
      </w:r>
      <w:r>
        <w:rPr>
          <w:rFonts w:hint="eastAsia" w:cs="宋体" w:asciiTheme="minorEastAsia" w:hAnsiTheme="minorEastAsia"/>
          <w:kern w:val="0"/>
          <w:szCs w:val="21"/>
          <w:lang w:eastAsia="zh-CN"/>
        </w:rPr>
        <w:t>承诺函</w:t>
      </w:r>
      <w:r>
        <w:rPr>
          <w:rFonts w:hint="eastAsia" w:cs="宋体" w:asciiTheme="minorEastAsia" w:hAnsiTheme="minorEastAsia"/>
          <w:kern w:val="0"/>
          <w:szCs w:val="21"/>
        </w:rPr>
        <w:t>的；</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响应文件未按招标文件要求签署、盖章的；</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不具备谈判文件中规定的资格要求的；</w:t>
      </w:r>
    </w:p>
    <w:p>
      <w:pPr>
        <w:pStyle w:val="45"/>
        <w:autoSpaceDE w:val="0"/>
        <w:autoSpaceDN w:val="0"/>
        <w:spacing w:line="360" w:lineRule="auto"/>
        <w:ind w:left="964" w:firstLine="0" w:firstLineChars="0"/>
        <w:contextualSpacing/>
        <w:rPr>
          <w:rFonts w:hint="eastAsia" w:cs="宋体" w:asciiTheme="minorEastAsia" w:hAnsiTheme="minorEastAsia"/>
          <w:kern w:val="0"/>
          <w:szCs w:val="21"/>
        </w:rPr>
      </w:pPr>
      <w:r>
        <w:rPr>
          <w:rFonts w:hint="eastAsia" w:cs="宋体" w:asciiTheme="minorEastAsia" w:hAnsiTheme="minorEastAsia"/>
          <w:kern w:val="0"/>
          <w:szCs w:val="21"/>
        </w:rPr>
        <w:t>28.1.4     报价超过谈判文件中规定的预算金额的；</w:t>
      </w:r>
    </w:p>
    <w:p>
      <w:pPr>
        <w:pStyle w:val="45"/>
        <w:autoSpaceDE w:val="0"/>
        <w:autoSpaceDN w:val="0"/>
        <w:spacing w:line="360" w:lineRule="auto"/>
        <w:ind w:left="964" w:firstLine="0" w:firstLineChars="0"/>
        <w:contextualSpacing/>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28.1.5    响应文件内容模糊不清，无法辨认的；</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w:t>
      </w:r>
      <w:r>
        <w:rPr>
          <w:rFonts w:hint="eastAsia" w:cs="宋体" w:asciiTheme="minorEastAsia" w:hAnsiTheme="minorEastAsia"/>
          <w:kern w:val="0"/>
          <w:szCs w:val="21"/>
          <w:lang w:val="en-US" w:eastAsia="zh-CN"/>
        </w:rPr>
        <w:t>6</w:t>
      </w:r>
      <w:r>
        <w:rPr>
          <w:rFonts w:hint="eastAsia" w:cs="宋体" w:asciiTheme="minorEastAsia" w:hAnsiTheme="minorEastAsia"/>
          <w:kern w:val="0"/>
          <w:szCs w:val="21"/>
        </w:rPr>
        <w:t xml:space="preserve">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不同供应商的响应文件异常一致或者投标报价呈规律性差异；</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28.2.6     不同供应商的谈判保证金从同一单位或者个人的账户转出。</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’，其谈判响应无效。</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5"/>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51"/>
        <w:numPr>
          <w:ilvl w:val="1"/>
          <w:numId w:val="12"/>
        </w:numPr>
        <w:spacing w:line="400" w:lineRule="exact"/>
        <w:rPr>
          <w:rFonts w:cs="微软雅黑"/>
          <w:color w:val="000000"/>
        </w:rPr>
      </w:pPr>
      <w:r>
        <w:rPr>
          <w:rFonts w:hint="eastAsia" w:cs="微软雅黑"/>
          <w:color w:val="000000"/>
        </w:rPr>
        <w:t>在谈判中，谈判的任何一方不得透露与谈判有关的其他供应商的技术资料、价格和其他信息。</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ˎ̥" w:hAnsi="ˎ̥"/>
        </w:rPr>
        <w:t>。</w:t>
      </w:r>
    </w:p>
    <w:p>
      <w:pPr>
        <w:autoSpaceDE w:val="0"/>
        <w:autoSpaceDN w:val="0"/>
        <w:spacing w:line="360" w:lineRule="auto"/>
        <w:ind w:left="964"/>
        <w:contextualSpacing/>
        <w:rPr>
          <w:rFonts w:ascii="ˎ̥" w:hAnsi="ˎ̥"/>
        </w:rPr>
      </w:pPr>
      <w:r>
        <w:rPr>
          <w:rFonts w:ascii="ˎ̥" w:hAnsi="ˎ̥"/>
        </w:rPr>
        <w:t>对谈判文件作出的实质性变动是谈判文件的有效组成部分，谈判小组应当及时以书面形式同时通知所有参加谈判的供应商</w:t>
      </w:r>
      <w:r>
        <w:rPr>
          <w:rFonts w:hint="eastAsia" w:ascii="ˎ̥" w:hAnsi="ˎ̥"/>
        </w:rPr>
        <w:t>。</w:t>
      </w:r>
    </w:p>
    <w:p>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45"/>
        <w:numPr>
          <w:ilvl w:val="1"/>
          <w:numId w:val="12"/>
        </w:numPr>
        <w:autoSpaceDE w:val="0"/>
        <w:autoSpaceDN w:val="0"/>
        <w:spacing w:line="360" w:lineRule="auto"/>
        <w:ind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w:t>
      </w:r>
      <w:r>
        <w:rPr>
          <w:rFonts w:hint="eastAsia" w:ascii="ˎ̥" w:hAnsi="ˎ̥"/>
          <w:lang w:eastAsia="zh-CN"/>
        </w:rPr>
        <w:t>（供应商最终报价不能高于第一次报价，采购人改变技术需求的除外）</w:t>
      </w:r>
      <w:r>
        <w:rPr>
          <w:rFonts w:ascii="ˎ̥" w:hAnsi="ˎ̥"/>
        </w:rPr>
        <w:t>，提交最后报价的供应商不得少于3家</w:t>
      </w:r>
      <w:r>
        <w:rPr>
          <w:rFonts w:hint="eastAsia" w:ascii="ˎ̥" w:hAnsi="ˎ̥"/>
        </w:rPr>
        <w:t>。</w:t>
      </w:r>
    </w:p>
    <w:p>
      <w:pPr>
        <w:autoSpaceDE w:val="0"/>
        <w:autoSpaceDN w:val="0"/>
        <w:spacing w:line="360" w:lineRule="auto"/>
        <w:ind w:left="964"/>
        <w:contextualSpacing/>
        <w:rPr>
          <w:rFonts w:hint="eastAsia" w:ascii="ˎ̥" w:hAnsi="ˎ̥" w:eastAsiaTheme="minorEastAsia"/>
          <w:lang w:eastAsia="zh-CN"/>
        </w:rPr>
      </w:pPr>
      <w:r>
        <w:rPr>
          <w:rFonts w:ascii="ˎ̥" w:hAnsi="ˎ̥"/>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rPr>
        <w:t>。</w:t>
      </w:r>
    </w:p>
    <w:p>
      <w:pPr>
        <w:pStyle w:val="45"/>
        <w:numPr>
          <w:ilvl w:val="1"/>
          <w:numId w:val="12"/>
        </w:numPr>
        <w:autoSpaceDE w:val="0"/>
        <w:autoSpaceDN w:val="0"/>
        <w:spacing w:line="360" w:lineRule="auto"/>
        <w:ind w:firstLineChars="0"/>
        <w:contextualSpacing/>
        <w:rPr>
          <w:rFonts w:ascii="ˎ̥" w:hAnsi="ˎ̥"/>
        </w:rPr>
      </w:pPr>
      <w:r>
        <w:rPr>
          <w:rFonts w:ascii="ˎ̥" w:hAnsi="ˎ̥"/>
        </w:rPr>
        <w:t>最后报价是供应商响应文件的有效组成部分。</w:t>
      </w:r>
    </w:p>
    <w:p>
      <w:pPr>
        <w:pStyle w:val="45"/>
        <w:numPr>
          <w:ilvl w:val="1"/>
          <w:numId w:val="12"/>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pPr>
        <w:pStyle w:val="45"/>
        <w:numPr>
          <w:ilvl w:val="1"/>
          <w:numId w:val="12"/>
        </w:numPr>
        <w:autoSpaceDE w:val="0"/>
        <w:autoSpaceDN w:val="0"/>
        <w:spacing w:line="360" w:lineRule="auto"/>
        <w:ind w:firstLineChars="0"/>
        <w:contextualSpacing/>
        <w:rPr>
          <w:rFonts w:ascii="ˎ̥" w:hAnsi="ˎ̥"/>
        </w:rPr>
      </w:pPr>
      <w:r>
        <w:rPr>
          <w:rFonts w:hint="eastAsia" w:ascii="ˎ̥" w:hAnsi="ˎ̥"/>
        </w:rPr>
        <w:t>按照《关于推进全流程电子化交易和在线监管工作有关问题的通知》（许公管办[2019]3号）规定，评审专家应严格按照要求查看“硬件特征码相” 关信息并进行评审。</w:t>
      </w:r>
    </w:p>
    <w:p>
      <w:pPr>
        <w:pStyle w:val="45"/>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5"/>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谈判小组应当从质量和服务均能满足采购文件实质性响应要求的供应商中，按照最后报价由低到高的顺序</w:t>
      </w:r>
      <w:r>
        <w:rPr>
          <w:rFonts w:hint="eastAsia" w:ascii="ˎ̥" w:hAnsi="ˎ̥"/>
          <w:lang w:eastAsia="zh-CN"/>
        </w:rPr>
        <w:t>提出</w:t>
      </w:r>
      <w:r>
        <w:rPr>
          <w:rFonts w:hint="eastAsia" w:ascii="ˎ̥" w:hAnsi="ˎ̥"/>
          <w:lang w:val="en-US" w:eastAsia="zh-CN"/>
        </w:rPr>
        <w:t>3</w:t>
      </w:r>
      <w:r>
        <w:rPr>
          <w:rFonts w:ascii="ˎ̥" w:hAnsi="ˎ̥"/>
        </w:rPr>
        <w:t>名成交候选人，并编写评审报告。</w:t>
      </w:r>
    </w:p>
    <w:p>
      <w:pPr>
        <w:tabs>
          <w:tab w:val="left" w:pos="1260"/>
        </w:tabs>
        <w:autoSpaceDE w:val="0"/>
        <w:autoSpaceDN w:val="0"/>
        <w:spacing w:line="360" w:lineRule="auto"/>
        <w:contextualSpacing/>
        <w:jc w:val="both"/>
        <w:rPr>
          <w:rFonts w:cs="宋体" w:asciiTheme="minorEastAsia" w:hAnsiTheme="minorEastAsia"/>
          <w:b/>
          <w:kern w:val="0"/>
          <w:szCs w:val="21"/>
        </w:rPr>
      </w:pPr>
    </w:p>
    <w:p>
      <w:pPr>
        <w:numPr>
          <w:ilvl w:val="0"/>
          <w:numId w:val="17"/>
        </w:numPr>
        <w:tabs>
          <w:tab w:val="left" w:pos="1260"/>
        </w:tabs>
        <w:autoSpaceDE w:val="0"/>
        <w:autoSpaceDN w:val="0"/>
        <w:spacing w:line="360" w:lineRule="auto"/>
        <w:contextualSpacing/>
        <w:jc w:val="center"/>
        <w:rPr>
          <w:rFonts w:hint="eastAsia" w:cs="宋体" w:asciiTheme="minorEastAsia" w:hAnsiTheme="minorEastAsia"/>
          <w:b/>
          <w:kern w:val="0"/>
          <w:szCs w:val="21"/>
        </w:rPr>
      </w:pPr>
      <w:r>
        <w:rPr>
          <w:rFonts w:hint="eastAsia" w:cs="宋体" w:asciiTheme="minorEastAsia" w:hAnsiTheme="minorEastAsia"/>
          <w:b/>
          <w:kern w:val="0"/>
          <w:szCs w:val="21"/>
        </w:rPr>
        <w:t>确定成交供应商和授予合同</w:t>
      </w:r>
    </w:p>
    <w:p>
      <w:pPr>
        <w:numPr>
          <w:ilvl w:val="0"/>
          <w:numId w:val="0"/>
        </w:numPr>
        <w:tabs>
          <w:tab w:val="left" w:pos="1260"/>
        </w:tabs>
        <w:autoSpaceDE w:val="0"/>
        <w:autoSpaceDN w:val="0"/>
        <w:spacing w:line="360" w:lineRule="auto"/>
        <w:contextualSpacing/>
        <w:jc w:val="both"/>
        <w:rPr>
          <w:rFonts w:hint="eastAsia" w:cs="宋体" w:asciiTheme="minorEastAsia" w:hAnsiTheme="minorEastAsia"/>
          <w:b/>
          <w:kern w:val="0"/>
          <w:szCs w:val="21"/>
        </w:rPr>
      </w:pPr>
    </w:p>
    <w:p>
      <w:pPr>
        <w:pStyle w:val="45"/>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5"/>
        <w:numPr>
          <w:ilvl w:val="0"/>
          <w:numId w:val="18"/>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45"/>
        <w:numPr>
          <w:ilvl w:val="1"/>
          <w:numId w:val="19"/>
        </w:numPr>
        <w:autoSpaceDE w:val="0"/>
        <w:autoSpaceDN w:val="0"/>
        <w:spacing w:line="360" w:lineRule="auto"/>
        <w:ind w:firstLineChars="0"/>
        <w:contextualSpacing/>
        <w:rPr>
          <w:rFonts w:cs="宋体" w:asciiTheme="minorEastAsia" w:hAnsiTheme="minorEastAsia"/>
          <w:kern w:val="0"/>
          <w:szCs w:val="21"/>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5"/>
        <w:numPr>
          <w:ilvl w:val="0"/>
          <w:numId w:val="19"/>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45"/>
        <w:numPr>
          <w:ilvl w:val="0"/>
          <w:numId w:val="12"/>
        </w:numPr>
        <w:autoSpaceDE w:val="0"/>
        <w:autoSpaceDN w:val="0"/>
        <w:spacing w:line="360" w:lineRule="auto"/>
        <w:ind w:firstLineChars="0"/>
        <w:contextualSpacing/>
        <w:rPr>
          <w:rFonts w:cs="宋体" w:asciiTheme="minorEastAsia" w:hAnsiTheme="minorEastAsia"/>
          <w:vanish/>
          <w:kern w:val="0"/>
          <w:szCs w:val="21"/>
        </w:rPr>
      </w:pP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因情况变化，不再符合规定的竞争性谈判采购方式适用情形的；</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5"/>
        <w:numPr>
          <w:ilvl w:val="1"/>
          <w:numId w:val="12"/>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在采购过程中符合竞争要求的供应商或者报价未超过采购预算的供应商不足3家的，但《政府采购非招标采购方式管理办法》第二十七条第二款规定的情形除外。</w:t>
      </w:r>
    </w:p>
    <w:p>
      <w:pPr>
        <w:pStyle w:val="45"/>
        <w:numPr>
          <w:ilvl w:val="0"/>
          <w:numId w:val="1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5"/>
        <w:numPr>
          <w:ilvl w:val="0"/>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5"/>
        <w:numPr>
          <w:ilvl w:val="1"/>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5"/>
        <w:numPr>
          <w:ilvl w:val="1"/>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pPr>
        <w:pStyle w:val="45"/>
        <w:numPr>
          <w:ilvl w:val="0"/>
          <w:numId w:val="1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5"/>
        <w:numPr>
          <w:ilvl w:val="0"/>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5"/>
        <w:numPr>
          <w:ilvl w:val="0"/>
          <w:numId w:val="21"/>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5"/>
        <w:numPr>
          <w:ilvl w:val="1"/>
          <w:numId w:val="1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w:t>
      </w:r>
      <w:r>
        <w:rPr>
          <w:rFonts w:hint="eastAsia" w:cs="宋体" w:asciiTheme="minorEastAsia" w:hAnsiTheme="minorEastAsia"/>
          <w:kern w:val="0"/>
          <w:szCs w:val="21"/>
        </w:rPr>
        <w:t>成交</w:t>
      </w:r>
      <w:r>
        <w:rPr>
          <w:rFonts w:cs="宋体" w:asciiTheme="minorEastAsia" w:hAnsiTheme="minorEastAsia"/>
          <w:kern w:val="0"/>
          <w:szCs w:val="21"/>
        </w:rPr>
        <w:t>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pStyle w:val="45"/>
        <w:numPr>
          <w:ilvl w:val="0"/>
          <w:numId w:val="1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5"/>
        <w:numPr>
          <w:ilvl w:val="0"/>
          <w:numId w:val="2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5"/>
        <w:numPr>
          <w:ilvl w:val="1"/>
          <w:numId w:val="1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5"/>
        <w:numPr>
          <w:ilvl w:val="0"/>
          <w:numId w:val="1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 xml:space="preserve">第五章 </w:t>
      </w:r>
      <w:r>
        <w:rPr>
          <w:rFonts w:hint="eastAsia" w:cs="宋体" w:asciiTheme="majorEastAsia" w:hAnsiTheme="majorEastAsia" w:eastAsiaTheme="majorEastAsia"/>
          <w:b/>
          <w:kern w:val="0"/>
          <w:sz w:val="32"/>
          <w:szCs w:val="32"/>
          <w:lang w:val="en-US" w:eastAsia="zh-CN"/>
        </w:rPr>
        <w:t xml:space="preserve"> </w:t>
      </w:r>
      <w:r>
        <w:rPr>
          <w:rFonts w:hint="eastAsia" w:cs="宋体" w:asciiTheme="majorEastAsia" w:hAnsiTheme="majorEastAsia" w:eastAsiaTheme="majorEastAsia"/>
          <w:b/>
          <w:kern w:val="0"/>
          <w:sz w:val="32"/>
          <w:szCs w:val="32"/>
        </w:rPr>
        <w:t>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4"/>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3、成交人为残疾人福利性单位的，招标人应当随成交结果同时公告其《残疾人福利性单位声明函》，接受社会监督。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9"/>
                <w:rFonts w:hint="eastAsia" w:asciiTheme="minorEastAsia" w:hAnsiTheme="minorEastAsia"/>
                <w:szCs w:val="21"/>
              </w:rPr>
              <w:t>www.creditchina.gov.cn</w:t>
            </w:r>
            <w:r>
              <w:rPr>
                <w:rStyle w:val="29"/>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9"/>
                <w:rFonts w:asciiTheme="minorEastAsia" w:hAnsiTheme="minorEastAsia"/>
                <w:szCs w:val="21"/>
              </w:rPr>
              <w:t>www.gsxt.gov.cn</w:t>
            </w:r>
            <w:r>
              <w:rPr>
                <w:rStyle w:val="29"/>
                <w:rFonts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w:t>
            </w:r>
            <w:r>
              <w:rPr>
                <w:rFonts w:hint="eastAsia" w:asciiTheme="minorEastAsia" w:hAnsiTheme="minorEastAsia"/>
                <w:bCs/>
                <w:szCs w:val="21"/>
                <w:lang w:eastAsia="zh-CN"/>
              </w:rPr>
              <w:t>谈判</w:t>
            </w:r>
            <w:r>
              <w:rPr>
                <w:rFonts w:hint="eastAsia" w:asciiTheme="minorEastAsia" w:hAnsiTheme="minorEastAsia"/>
                <w:bCs/>
                <w:szCs w:val="21"/>
              </w:rPr>
              <w:t>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谈判小组</w:t>
            </w:r>
            <w:r>
              <w:rPr>
                <w:rFonts w:hint="eastAsia" w:asciiTheme="minorEastAsia" w:hAnsiTheme="minorEastAsia"/>
                <w:bCs/>
                <w:szCs w:val="21"/>
              </w:rPr>
              <w:t>确认确认的查询结果网页截图作为查询记录和证据，与其他采购文件一并保存；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rPr>
              <w:t>谈判小组</w:t>
            </w:r>
            <w:r>
              <w:rPr>
                <w:rFonts w:hint="eastAsia" w:asciiTheme="minorEastAsia" w:hAnsiTheme="minorEastAsia"/>
                <w:bCs/>
                <w:szCs w:val="21"/>
              </w:rPr>
              <w:t>确认认定的被列入失信被执行人、重大税收违法案件当事人名单、政府采购严重违法失信行为记录名单的供应商，严重违法失信企业名单（黑名单）、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hint="eastAsia" w:asciiTheme="minorEastAsia" w:hAnsiTheme="minorEastAsia"/>
                <w:bCs/>
                <w:szCs w:val="21"/>
              </w:rPr>
            </w:pPr>
            <w:r>
              <w:rPr>
                <w:rFonts w:hint="eastAsia" w:asciiTheme="minorEastAsia" w:hAnsiTheme="minorEastAsia"/>
                <w:bCs/>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hint="eastAsia" w:asciiTheme="minorEastAsia" w:hAnsiTheme="minorEastAsia" w:eastAsiaTheme="minorEastAsia"/>
                <w:szCs w:val="21"/>
                <w:lang w:eastAsia="zh-CN"/>
              </w:rPr>
            </w:pPr>
            <w:r>
              <w:rPr>
                <w:rFonts w:hint="eastAsia" w:asciiTheme="minorEastAsia" w:hAnsiTheme="minorEastAsia"/>
                <w:b/>
                <w:szCs w:val="21"/>
                <w:lang w:eastAsia="zh-CN"/>
              </w:rPr>
              <w:t>投标承诺函</w:t>
            </w:r>
          </w:p>
        </w:tc>
        <w:tc>
          <w:tcPr>
            <w:tcW w:w="5954" w:type="dxa"/>
            <w:vAlign w:val="center"/>
          </w:tcPr>
          <w:p>
            <w:pPr>
              <w:spacing w:line="360" w:lineRule="auto"/>
              <w:rPr>
                <w:rFonts w:hint="eastAsia" w:asciiTheme="minorEastAsia" w:hAnsiTheme="minorEastAsia" w:eastAsiaTheme="minorEastAsia"/>
                <w:b/>
                <w:szCs w:val="21"/>
                <w:lang w:eastAsia="zh-CN"/>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13</w:t>
            </w:r>
          </w:p>
        </w:tc>
        <w:tc>
          <w:tcPr>
            <w:tcW w:w="2410" w:type="dxa"/>
            <w:vAlign w:val="center"/>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供应商身份证明及授权</w:t>
            </w:r>
          </w:p>
        </w:tc>
        <w:tc>
          <w:tcPr>
            <w:tcW w:w="5954" w:type="dxa"/>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（1）法定代表人身份证明或提供法定代表人授权委托书及被授权人身份证明和社保证明。（法人提供）</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（2）单位负责人身份证明或提供单位负责人授权委托书及被授权人身份证明和社保证明。（非法人提供）</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①企业（银行、保险、石油石化、电力、电信等行业除外）、事业单位和社会团体以法人身份参加谈判的，法定代表人应与实际提交的“营业执照等证明文件”载明的一致。</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③供应商为自然人的，无需填写法定代表人授权书。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所有谈判和最终报价结束后，由谈判小组根据最终报价文件，对最终报价文件进行评审，从质量和服务均能满足采购文件实质性响应要求的供应商中，按照最后报价由低到高的顺序提出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4"/>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4"/>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评审价格＝响应最终报价×</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u w:val="single"/>
                <w14:textFill>
                  <w14:solidFill>
                    <w14:schemeClr w14:val="tx1"/>
                  </w14:solidFill>
                </w14:textFill>
              </w:rPr>
              <w:t>2</w:t>
            </w:r>
            <w:r>
              <w:rPr>
                <w:rFonts w:hint="eastAsia" w:ascii="宋体" w:hAnsi="宋体"/>
                <w:color w:val="000000" w:themeColor="text1"/>
                <w:szCs w:val="21"/>
                <w:u w:val="single"/>
                <w14:textFill>
                  <w14:solidFill>
                    <w14:schemeClr w14:val="tx1"/>
                  </w14:solidFill>
                </w14:textFill>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评审价格＝响应最终报价—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w:t>
            </w:r>
            <w:r>
              <w:rPr>
                <w:rFonts w:cs="仿宋_GB2312" w:asciiTheme="minorEastAsia" w:hAnsiTheme="minorEastAsia"/>
                <w:szCs w:val="21"/>
                <w:lang w:val="zh-CN"/>
              </w:rPr>
              <w:t>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color w:val="FF0000"/>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4"/>
        <w:numPr>
          <w:ilvl w:val="0"/>
          <w:numId w:val="22"/>
        </w:numPr>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谈判小组编写评审报告。</w:t>
      </w:r>
    </w:p>
    <w:p>
      <w:pPr>
        <w:wordWrap w:val="0"/>
        <w:spacing w:line="360" w:lineRule="auto"/>
        <w:ind w:firstLine="480" w:firstLineChars="200"/>
        <w:contextualSpacing/>
        <w:rPr>
          <w:rFonts w:ascii="楷体" w:hAnsi="楷体" w:eastAsia="楷体" w:cs="仿宋_GB2312"/>
          <w:color w:val="FF0000"/>
          <w:sz w:val="24"/>
          <w:szCs w:val="24"/>
          <w:lang w:val="zh-CN"/>
        </w:rPr>
      </w:pPr>
      <w:r>
        <w:rPr>
          <w:rFonts w:hint="eastAsia" w:ascii="楷体" w:hAnsi="楷体" w:eastAsia="楷体" w:cs="仿宋_GB2312"/>
          <w:color w:val="FF0000"/>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pStyle w:val="14"/>
        <w:spacing w:line="360" w:lineRule="auto"/>
        <w:contextualSpacing/>
        <w:rPr>
          <w:rFonts w:cs="仿宋_GB2312" w:asciiTheme="minorEastAsia" w:hAnsiTheme="minorEastAsia" w:eastAsiaTheme="minorEastAsia"/>
          <w:b/>
          <w:sz w:val="21"/>
          <w:szCs w:val="21"/>
          <w:lang w:val="zh-CN"/>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both"/>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1"/>
        <w:spacing w:before="75" w:after="75" w:line="360" w:lineRule="auto"/>
        <w:rPr>
          <w:rFonts w:ascii="宋体" w:hAnsi="宋体" w:eastAsia="微软雅黑"/>
          <w:color w:val="000000"/>
          <w:u w:val="single"/>
        </w:rPr>
      </w:pPr>
    </w:p>
    <w:p>
      <w:pPr>
        <w:pStyle w:val="14"/>
        <w:spacing w:line="360" w:lineRule="auto"/>
        <w:contextualSpacing/>
        <w:jc w:val="center"/>
        <w:rPr>
          <w:rFonts w:cs="宋体" w:asciiTheme="majorEastAsia" w:hAnsiTheme="majorEastAsia" w:eastAsiaTheme="majorEastAsia"/>
          <w:b/>
          <w:kern w:val="0"/>
          <w:sz w:val="36"/>
          <w:szCs w:val="36"/>
        </w:rPr>
      </w:pPr>
    </w:p>
    <w:p>
      <w:pPr>
        <w:pStyle w:val="5"/>
        <w:spacing w:line="500" w:lineRule="exact"/>
        <w:jc w:val="center"/>
        <w:rPr>
          <w:rFonts w:hint="eastAsia" w:ascii="仿宋" w:hAnsi="仿宋" w:eastAsia="仿宋"/>
          <w:bCs w:val="0"/>
          <w:color w:val="000000"/>
          <w:sz w:val="24"/>
          <w:szCs w:val="24"/>
        </w:rPr>
      </w:pPr>
      <w:bookmarkStart w:id="0" w:name="_Toc354922980"/>
      <w:bookmarkStart w:id="1" w:name="_Toc354923119"/>
      <w:bookmarkStart w:id="2" w:name="_Toc356744034"/>
      <w:bookmarkStart w:id="3" w:name="_Toc355649942"/>
      <w:bookmarkStart w:id="4" w:name="_Toc326060505"/>
      <w:bookmarkStart w:id="5" w:name="_Toc364457259"/>
      <w:bookmarkStart w:id="6" w:name="_Toc357868214"/>
      <w:bookmarkStart w:id="7" w:name="_Toc329278149"/>
      <w:bookmarkStart w:id="8" w:name="_Toc354404029"/>
      <w:r>
        <w:rPr>
          <w:rFonts w:hint="eastAsia" w:ascii="仿宋" w:hAnsi="仿宋" w:eastAsia="仿宋"/>
          <w:bCs w:val="0"/>
          <w:color w:val="000000"/>
          <w:sz w:val="24"/>
          <w:szCs w:val="24"/>
        </w:rPr>
        <w:t>一、词语定义及合同文件</w:t>
      </w:r>
      <w:bookmarkEnd w:id="0"/>
      <w:bookmarkEnd w:id="1"/>
      <w:bookmarkEnd w:id="2"/>
      <w:bookmarkEnd w:id="3"/>
      <w:bookmarkEnd w:id="4"/>
      <w:bookmarkEnd w:id="5"/>
      <w:bookmarkEnd w:id="6"/>
      <w:bookmarkEnd w:id="7"/>
      <w:bookmarkEnd w:id="8"/>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1、合同文件及解释顺序</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合同文件组成及解释顺序:       按照通用条款执行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2、语言文字和适用法律、标准及规范</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2．1本合同除使用汉语外，还使用       无                  语言文字。</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2．2适用法律和法规</w:t>
      </w:r>
    </w:p>
    <w:p>
      <w:pPr>
        <w:spacing w:line="500" w:lineRule="exact"/>
        <w:ind w:firstLine="482"/>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需要明示的法律、行政法规:  国家及省、市的法律、法规、规章、规范性文件及协议条款约定的规章。</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2．3适用标准、规范</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适用标准、规范的名称:</w:t>
      </w:r>
    </w:p>
    <w:p>
      <w:pPr>
        <w:numPr>
          <w:ilvl w:val="1"/>
          <w:numId w:val="23"/>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工程设计要求</w:t>
      </w:r>
    </w:p>
    <w:p>
      <w:pPr>
        <w:numPr>
          <w:ilvl w:val="1"/>
          <w:numId w:val="23"/>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国家、河南省、许昌市现行有关工程的施工及验收规定、规程和标准</w:t>
      </w:r>
    </w:p>
    <w:p>
      <w:pPr>
        <w:numPr>
          <w:ilvl w:val="1"/>
          <w:numId w:val="23"/>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对不在规范验评范围内项目，执行设计院、制造厂家或发包人和承包人双方议定的补充技术标准及本标书的施工技术要求；</w:t>
      </w:r>
    </w:p>
    <w:p>
      <w:pPr>
        <w:numPr>
          <w:ilvl w:val="1"/>
          <w:numId w:val="23"/>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新材料、新工艺必须具有省级以上行业主管部门技术鉴定并须征得发包人和监理单位同意。</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发包人提供标准、规范的时间: 无。</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国内没有相应标准、规范时的约定: 由承包人提供并经发包人和设计单位认可后执行。</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3、图纸</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3．1发包人向承包人提供图纸日期和套数: 合同约定。</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 2发包人对图纸的保密要求: 施工图纸应保密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3. 3使用国外图纸的要求及费用承担:  无  </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9" w:name="_Toc364457260"/>
      <w:bookmarkStart w:id="10" w:name="_Toc354404030"/>
      <w:bookmarkStart w:id="11" w:name="_Toc354922981"/>
      <w:bookmarkStart w:id="12" w:name="_Toc356744035"/>
      <w:bookmarkStart w:id="13" w:name="_Toc355649943"/>
      <w:bookmarkStart w:id="14" w:name="_Toc326060506"/>
      <w:bookmarkStart w:id="15" w:name="_Toc329278150"/>
      <w:bookmarkStart w:id="16" w:name="_Toc357868215"/>
      <w:bookmarkStart w:id="17" w:name="_Toc354923120"/>
      <w:r>
        <w:rPr>
          <w:rFonts w:hint="eastAsia" w:cs="宋体" w:asciiTheme="minorEastAsia" w:hAnsiTheme="minorEastAsia" w:eastAsiaTheme="minorEastAsia"/>
          <w:kern w:val="0"/>
          <w:sz w:val="21"/>
          <w:szCs w:val="21"/>
          <w:lang w:val="en-US" w:eastAsia="zh-CN" w:bidi="ar-SA"/>
        </w:rPr>
        <w:t>二、双方一般权利和义务</w:t>
      </w:r>
      <w:bookmarkEnd w:id="9"/>
      <w:bookmarkEnd w:id="10"/>
      <w:bookmarkEnd w:id="11"/>
      <w:bookmarkEnd w:id="12"/>
      <w:bookmarkEnd w:id="13"/>
      <w:bookmarkEnd w:id="14"/>
      <w:bookmarkEnd w:id="15"/>
      <w:bookmarkEnd w:id="16"/>
      <w:bookmarkEnd w:id="17"/>
    </w:p>
    <w:p>
      <w:pPr>
        <w:pStyle w:val="14"/>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4．工程师</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4．1监理单位委派的工程师</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姓名：   (待定)      职务:    (待定)    </w:t>
      </w:r>
    </w:p>
    <w:p>
      <w:pPr>
        <w:pStyle w:val="60"/>
        <w:spacing w:line="500" w:lineRule="exact"/>
        <w:ind w:left="0" w:right="9"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发包人委托的职权: 按《建设工程监理规范》(GB50319-2000)执行</w:t>
      </w:r>
    </w:p>
    <w:p>
      <w:pPr>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需要取得发包人批准才能行使的职权：设计变更、发布开(停)工令、工期顺延签认、工程量及费用增减的签认、主要材料的确定、不称职技术(管理)人员撤换建议权、发包人认为须取得批准方可实施的其它重要事项等监理合同中赋予监理工程师的职权。 </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4．2发包人派驻的工程师</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姓名：  (待定)         职务:   (待定)     </w:t>
      </w:r>
    </w:p>
    <w:p>
      <w:pPr>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职权: 全权负责施工现场的管理和协调工作，并代表发包人对施工中所用材料(设备)的质量进行检验。</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4．3不实行监理的，工程师的职权:  //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5．项目经理(建造师)</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姓名:  (中标项目经理/建造师)      职务:  (待定)  _</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6、发包人工作</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6．1发包人应按约定的时间和要求完成以下工作:</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(1)施工场地具备施工条件的要求及完成的时间： 合同签订后7日内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(2)将施工所需的水、电、电讯线路接至施工场地的时间、地点和供应要求：施工所需的水、电、电讯线路已经具备条件，施工中所产生的费用由承包人负担。</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(3)施工场地与道路的通道开通时间和要求: 已具备。</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(4)工程地质和地下管线资料的提供时间：合同签订日。</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(5)由发包人办理的施工所需证件、批件的名称和完成时间:  合同开工日期前，由承包方负责办理进场的相关手续，发包方配合。</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(6)水准点与坐标控制点交验要求：合同开工日期前7天。</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(7)图纸会审和设计交底时间: 合同开工日期前7天。 </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(8)双方约定发包人应做的其他工作：      无     </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6．2发包人委托承包人办理的工作：       无      </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7．承包人工作</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招标范围，具体有招标人与中标人协商                    。</w:t>
      </w:r>
    </w:p>
    <w:p>
      <w:pPr>
        <w:pStyle w:val="14"/>
        <w:spacing w:line="500" w:lineRule="exact"/>
        <w:ind w:left="338" w:leftChars="86" w:hanging="157" w:hangingChars="7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7．1承包人应按约定时间和要求，完成以下工作:</w:t>
      </w:r>
    </w:p>
    <w:p>
      <w:pPr>
        <w:pStyle w:val="14"/>
        <w:numPr>
          <w:ilvl w:val="0"/>
          <w:numId w:val="24"/>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需自设计资质等级和业务范围允许的承包人完成的设计文件提交时间：          无      </w:t>
      </w:r>
    </w:p>
    <w:p>
      <w:pPr>
        <w:pStyle w:val="14"/>
        <w:numPr>
          <w:ilvl w:val="0"/>
          <w:numId w:val="24"/>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应提供计划、报表的名称及完成时间:</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开工前7日提交施工组织设计、总进度计划、施工机械和人员使用计划、主要材料供应计划。</w:t>
      </w:r>
    </w:p>
    <w:p>
      <w:pPr>
        <w:pStyle w:val="14"/>
        <w:numPr>
          <w:ilvl w:val="0"/>
          <w:numId w:val="24"/>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承担施工安全保卫工作及非夜间施工照明的责任和要求:设专职安全保卫人员和安全防护设施，负责施工现场安全保卫，费用自理。</w:t>
      </w:r>
    </w:p>
    <w:p>
      <w:pPr>
        <w:pStyle w:val="14"/>
        <w:numPr>
          <w:ilvl w:val="0"/>
          <w:numId w:val="24"/>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向发包人提供的办公和生活房屋及设施的要求:  无   </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需承包人办理的有关施工场地交通、住建、环卫和施工噪音管理等手续: 按照国家、省、市、县有关规定执行。</w:t>
      </w:r>
    </w:p>
    <w:p>
      <w:pPr>
        <w:pStyle w:val="14"/>
        <w:numPr>
          <w:ilvl w:val="0"/>
          <w:numId w:val="24"/>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完工工程成品保护的特殊要求及费用承担:由承包人负责。</w:t>
      </w:r>
    </w:p>
    <w:p>
      <w:pPr>
        <w:pStyle w:val="14"/>
        <w:numPr>
          <w:ilvl w:val="0"/>
          <w:numId w:val="24"/>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施工场地周围地下管线和邻近建筑物、构筑物(含文物保护建筑)、古树名木的保护要求及费用承担: 按照按照国家、省、市有关规定和投标文件的有关承诺执行。由于承包人造成的一切损失由承包人承担。</w:t>
      </w:r>
    </w:p>
    <w:p>
      <w:pPr>
        <w:pStyle w:val="14"/>
        <w:numPr>
          <w:ilvl w:val="0"/>
          <w:numId w:val="24"/>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施工现场清洁卫生的要求：按通用条款，保证每日清理，符合当地有关文明施工的规定，费用由承包方承担。</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(8)协调处理施工场地周围地下管线和邻近建筑物、构筑物(含文物保护建筑)、古树名木的保护工作: 场地周围地下管线和邻近建筑物、构筑物的保护工作由承包人负责并承担费用；文物保护建筑、古树名木的保护由施工单位负责，保护费用由承包人承担。</w:t>
      </w:r>
    </w:p>
    <w:p>
      <w:pPr>
        <w:pStyle w:val="14"/>
        <w:tabs>
          <w:tab w:val="left" w:pos="1620"/>
        </w:tabs>
        <w:spacing w:line="500" w:lineRule="exact"/>
        <w:ind w:firstLine="210" w:firstLineChars="1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(9)双方约定承包人应做的其他工作：① 投标文件中确定的项目部的成员必须坚守工作岗位，不得更换。对发包人提出的不合格的项目部工作人员，承包人必须及时更换，所更换人员的资质应不低于被更换人员。项目部组成人员的资格证书、岗位证书必须经过考核备案。② 投标人拟投入现场的施工机械设备必须满足施工要求，并保证及时到位，其主要设备应为承包人自己的设备。承包人投入现场的施工机械和设备必须经过检验或审验合格，并提交检验报告原件。③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pPr>
        <w:pStyle w:val="14"/>
        <w:tabs>
          <w:tab w:val="left" w:pos="1620"/>
        </w:tabs>
        <w:spacing w:line="500" w:lineRule="exact"/>
        <w:ind w:firstLine="210" w:firstLineChars="1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(10)按计划完成施工任务。</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18" w:name="_Toc357868216"/>
      <w:bookmarkStart w:id="19" w:name="_Toc354923121"/>
      <w:bookmarkStart w:id="20" w:name="_Toc329278151"/>
      <w:bookmarkStart w:id="21" w:name="_Toc354404031"/>
      <w:bookmarkStart w:id="22" w:name="_Toc354922982"/>
      <w:bookmarkStart w:id="23" w:name="_Toc356744036"/>
      <w:bookmarkStart w:id="24" w:name="_Toc326060507"/>
      <w:bookmarkStart w:id="25" w:name="_Toc355649944"/>
      <w:bookmarkStart w:id="26" w:name="_Toc364457261"/>
      <w:r>
        <w:rPr>
          <w:rFonts w:hint="eastAsia" w:cs="宋体" w:asciiTheme="minorEastAsia" w:hAnsiTheme="minorEastAsia" w:eastAsiaTheme="minorEastAsia"/>
          <w:kern w:val="0"/>
          <w:sz w:val="21"/>
          <w:szCs w:val="21"/>
          <w:lang w:val="en-US" w:eastAsia="zh-CN" w:bidi="ar-SA"/>
        </w:rPr>
        <w:t>三、施工组织设计和工期</w:t>
      </w:r>
      <w:bookmarkEnd w:id="18"/>
      <w:bookmarkEnd w:id="19"/>
      <w:bookmarkEnd w:id="20"/>
      <w:bookmarkEnd w:id="21"/>
      <w:bookmarkEnd w:id="22"/>
      <w:bookmarkEnd w:id="23"/>
      <w:bookmarkEnd w:id="24"/>
      <w:bookmarkEnd w:id="25"/>
      <w:bookmarkEnd w:id="26"/>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8．进度计划</w:t>
      </w:r>
    </w:p>
    <w:p>
      <w:pPr>
        <w:pStyle w:val="14"/>
        <w:spacing w:line="500" w:lineRule="exact"/>
        <w:ind w:left="1012" w:leftChars="258" w:hanging="470" w:hangingChars="22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8．1承包人提供施工组织设计(施工方案)和进度计划的时间：合同开工日期前7天。工程师确认的时间：7个工作日</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8.2群体工程中有关进度计划的要求：    无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8.3如发包人需要调整施工顺序时，承包人应无条件响应，额外发生的费用视为已包含在合同价内。</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9．工期延误</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1双方约定工期顺延的其他情况:1.重大设计变更和经监理工程师及发包人代表确认的情况。2.招标人提供的地下管网，地下构筑物等资料与现场实际情况不符而增加的工期；3.由于自然及社会因素造成的不可抗力原因而影响工程施工时。</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9.2由于承包人的原因造成工期延误，每延迟一天扣除工程款的     ‰。</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27" w:name="_Toc354922983"/>
      <w:bookmarkStart w:id="28" w:name="_Toc354923122"/>
      <w:bookmarkStart w:id="29" w:name="_Toc355649945"/>
      <w:bookmarkStart w:id="30" w:name="_Toc326060508"/>
      <w:bookmarkStart w:id="31" w:name="_Toc329278152"/>
      <w:bookmarkStart w:id="32" w:name="_Toc356744037"/>
      <w:bookmarkStart w:id="33" w:name="_Toc357868217"/>
      <w:bookmarkStart w:id="34" w:name="_Toc364457262"/>
      <w:bookmarkStart w:id="35" w:name="_Toc354404032"/>
      <w:r>
        <w:rPr>
          <w:rFonts w:hint="eastAsia" w:cs="宋体" w:asciiTheme="minorEastAsia" w:hAnsiTheme="minorEastAsia" w:eastAsiaTheme="minorEastAsia"/>
          <w:kern w:val="0"/>
          <w:sz w:val="21"/>
          <w:szCs w:val="21"/>
          <w:lang w:val="en-US" w:eastAsia="zh-CN" w:bidi="ar-SA"/>
        </w:rPr>
        <w:t>四、质量与验收</w:t>
      </w:r>
      <w:bookmarkEnd w:id="27"/>
      <w:bookmarkEnd w:id="28"/>
      <w:bookmarkEnd w:id="29"/>
      <w:bookmarkEnd w:id="30"/>
      <w:bookmarkEnd w:id="31"/>
      <w:bookmarkEnd w:id="32"/>
      <w:bookmarkEnd w:id="33"/>
      <w:bookmarkEnd w:id="34"/>
      <w:bookmarkEnd w:id="35"/>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10．隐蔽工程验收和执行规范及适用范围</w:t>
      </w:r>
    </w:p>
    <w:p>
      <w:pPr>
        <w:pStyle w:val="14"/>
        <w:numPr>
          <w:ilvl w:val="1"/>
          <w:numId w:val="25"/>
        </w:numPr>
        <w:spacing w:line="500" w:lineRule="exact"/>
        <w:ind w:hanging="27"/>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双方约定隐蔽工程验收部位：按照国家施工及验收规范要求的执行。</w:t>
      </w:r>
    </w:p>
    <w:p>
      <w:p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10.2 适用范围：使用于本项目工程施工。</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36" w:name="_Toc329278153"/>
      <w:bookmarkStart w:id="37" w:name="_Toc364457263"/>
      <w:bookmarkStart w:id="38" w:name="_Toc354404033"/>
      <w:bookmarkStart w:id="39" w:name="_Toc357868218"/>
      <w:bookmarkStart w:id="40" w:name="_Toc354923123"/>
      <w:bookmarkStart w:id="41" w:name="_Toc326060509"/>
      <w:bookmarkStart w:id="42" w:name="_Toc354922984"/>
      <w:bookmarkStart w:id="43" w:name="_Toc355649946"/>
      <w:bookmarkStart w:id="44" w:name="_Toc356744038"/>
      <w:r>
        <w:rPr>
          <w:rFonts w:hint="eastAsia" w:cs="宋体" w:asciiTheme="minorEastAsia" w:hAnsiTheme="minorEastAsia" w:eastAsiaTheme="minorEastAsia"/>
          <w:kern w:val="0"/>
          <w:sz w:val="21"/>
          <w:szCs w:val="21"/>
          <w:lang w:val="en-US" w:eastAsia="zh-CN" w:bidi="ar-SA"/>
        </w:rPr>
        <w:t>五、安全施工</w:t>
      </w:r>
      <w:bookmarkEnd w:id="36"/>
      <w:bookmarkEnd w:id="37"/>
      <w:bookmarkEnd w:id="38"/>
      <w:bookmarkEnd w:id="39"/>
      <w:bookmarkEnd w:id="40"/>
      <w:bookmarkEnd w:id="41"/>
      <w:bookmarkEnd w:id="42"/>
      <w:bookmarkEnd w:id="43"/>
      <w:bookmarkEnd w:id="44"/>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按合同文本通用条款执行</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45" w:name="_Toc354404034"/>
      <w:bookmarkStart w:id="46" w:name="_Toc329278154"/>
      <w:bookmarkStart w:id="47" w:name="_Toc326060510"/>
      <w:bookmarkStart w:id="48" w:name="_Toc354923124"/>
      <w:bookmarkStart w:id="49" w:name="_Toc364457264"/>
      <w:bookmarkStart w:id="50" w:name="_Toc355649947"/>
      <w:bookmarkStart w:id="51" w:name="_Toc354922985"/>
      <w:bookmarkStart w:id="52" w:name="_Toc356744039"/>
      <w:bookmarkStart w:id="53" w:name="_Toc357868219"/>
      <w:r>
        <w:rPr>
          <w:rFonts w:hint="eastAsia" w:cs="宋体" w:asciiTheme="minorEastAsia" w:hAnsiTheme="minorEastAsia" w:eastAsiaTheme="minorEastAsia"/>
          <w:kern w:val="0"/>
          <w:sz w:val="21"/>
          <w:szCs w:val="21"/>
          <w:lang w:val="en-US" w:eastAsia="zh-CN" w:bidi="ar-SA"/>
        </w:rPr>
        <w:t>六、合同价款与支付</w:t>
      </w:r>
      <w:bookmarkEnd w:id="45"/>
      <w:bookmarkEnd w:id="46"/>
      <w:bookmarkEnd w:id="47"/>
      <w:bookmarkEnd w:id="48"/>
      <w:bookmarkEnd w:id="49"/>
      <w:bookmarkEnd w:id="50"/>
      <w:bookmarkEnd w:id="51"/>
      <w:bookmarkEnd w:id="52"/>
      <w:bookmarkEnd w:id="53"/>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11．合同价款及调整</w:t>
      </w:r>
    </w:p>
    <w:p>
      <w:pPr>
        <w:pStyle w:val="14"/>
        <w:spacing w:line="360" w:lineRule="auto"/>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11．1本合同价款采用  固定单价  方式确定。措施费用、其他费用中的总包服务费及承包人为施工便利做出的变更及洽商产生的费用不得调整。实际发生的分部分项工程的工程量与招标文件及答疑提供的相应清单工程量增减工程量清单按实核增核减。</w:t>
      </w:r>
    </w:p>
    <w:p>
      <w:pPr>
        <w:pStyle w:val="14"/>
        <w:spacing w:line="360" w:lineRule="auto"/>
        <w:ind w:firstLine="525" w:firstLineChars="25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当发生下列情况时，合同价可作调整：</w:t>
      </w:r>
    </w:p>
    <w:p>
      <w:pPr>
        <w:pStyle w:val="14"/>
        <w:numPr>
          <w:ilvl w:val="2"/>
          <w:numId w:val="26"/>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发包人相应部门签证后报主管领导批准后的工程变更及工程洽商；</w:t>
      </w:r>
    </w:p>
    <w:p>
      <w:pPr>
        <w:pStyle w:val="14"/>
        <w:numPr>
          <w:ilvl w:val="2"/>
          <w:numId w:val="26"/>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暂估价项目、暂估材料设备及发包人指定的产品价在实际发生前由发包人认可后，按实际发生予以调整，仅计取税金；</w:t>
      </w:r>
    </w:p>
    <w:p>
      <w:pPr>
        <w:pStyle w:val="14"/>
        <w:numPr>
          <w:ilvl w:val="2"/>
          <w:numId w:val="26"/>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发包人提供的地下管网、地下构筑物等资料与现场实际情况不符，而引起的工程处理费用增加，据实调整；</w:t>
      </w:r>
    </w:p>
    <w:p>
      <w:pPr>
        <w:pStyle w:val="14"/>
        <w:numPr>
          <w:ilvl w:val="2"/>
          <w:numId w:val="26"/>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法律、行政法规和国家有关政策变化影响合同价款。</w:t>
      </w:r>
    </w:p>
    <w:p>
      <w:pPr>
        <w:pStyle w:val="14"/>
        <w:spacing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11．2合同价款调整原则及方法：</w:t>
      </w:r>
    </w:p>
    <w:p>
      <w:pPr>
        <w:numPr>
          <w:ilvl w:val="0"/>
          <w:numId w:val="27"/>
        </w:num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增减工程量清单按11.1执行；</w:t>
      </w:r>
    </w:p>
    <w:p>
      <w:pPr>
        <w:numPr>
          <w:ilvl w:val="0"/>
          <w:numId w:val="27"/>
        </w:num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除专用合同条款应有约定外，因变更引起的价格调整按照本款约定处理：①已标价工程量清单中有适用于变更工作的子目的，采用该子目的单价；②已标价工程量清单中无适用于变更工作的子目的，但有类似子目的，可在合理范围内参照类似子目的单价，由监理人与承包人商定变更工作的单价后，报发包人审核批准(发包人批准前应由造价部门出具审核意见)；③已标价工程量清单中无适用或类似子目的单价，即新增项目，参照省定额站颁布的施工期间的定额、费用标准、价格信息，由监理人与承包人商定变更工作的单价后，报发包人审核批准(发包人批准前应由造价部门出具审核意见)。以上价格调整均应考虑承包人中标价与投标总价相比的优惠率，以及不予计取的措施费用。</w:t>
      </w:r>
    </w:p>
    <w:p>
      <w:pPr>
        <w:numPr>
          <w:ilvl w:val="0"/>
          <w:numId w:val="27"/>
        </w:num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材料变更时价格确定：①承包人在投标文件中价格明细表已有的材料，按承包人材料价格明细所列的材料单价计算(风险范围以外的，按(5)款确定)；②承包人材料价格明细表中没有的材料，参照许昌市造价办发布的《许昌市建设工程材料基准价格信息》在施工期间发布的材料单价计算；③许昌市造价办发布的《许昌市建设工程材料基准价格信息》没有公布的材料，由承包人提出适当的价格，经发包人确认签字后，予以认可。</w:t>
      </w:r>
    </w:p>
    <w:p>
      <w:pPr>
        <w:pStyle w:val="61"/>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11．3双方约定合同价款的其他调整因素: 双方协商解决。</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12．工程付款</w:t>
      </w:r>
    </w:p>
    <w:p>
      <w:pPr>
        <w:pStyle w:val="14"/>
        <w:spacing w:line="500" w:lineRule="exact"/>
        <w:ind w:firstLine="525" w:firstLineChars="25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12．1工程款的支付方式：采取银行转帐结算的形式，由项目所属单位支付；</w:t>
      </w:r>
    </w:p>
    <w:p>
      <w:pPr>
        <w:pStyle w:val="14"/>
        <w:spacing w:line="500" w:lineRule="exact"/>
        <w:ind w:firstLine="525" w:firstLineChars="25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12．2设计变更和现场经济签证引起的费用在拨付进度款时暂不予考虑。</w:t>
      </w:r>
    </w:p>
    <w:p>
      <w:pPr>
        <w:pStyle w:val="14"/>
        <w:spacing w:line="500" w:lineRule="exact"/>
        <w:ind w:firstLine="577" w:firstLineChars="27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12．3双方约定的工程款(进度款)支付方式： 工程竣工验收之前，可申请已完成工程量的80% ；竣工验收完成后支付至总合同价的80%，在决算报告通过审计后支付至审定金额的95%；剩余5%做为质量保证金，待质保期满后支付。</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13.工程量增减</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因发包人或设计单位提出的设计变更，导致工程内容的任何变化，承包人均须无条件先执行，其工程量增减按实计算、综合单价按本合同专用条款有关规定执行。</w:t>
      </w:r>
    </w:p>
    <w:p>
      <w:pPr>
        <w:spacing w:line="500" w:lineRule="exact"/>
        <w:ind w:firstLine="499" w:firstLineChars="238"/>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14. 投标报价</w:t>
      </w:r>
    </w:p>
    <w:p>
      <w:pPr>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14.1 投标报价应包括招标文件所确定的招标范围内相应图纸的全部内容，以及为完成上述内容所必须的临时工程、材料、劳务及所需的全部费用；</w:t>
      </w:r>
    </w:p>
    <w:p>
      <w:p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14.2 投标人应充分考虑施工期间政策和价格风险，以及所有根据合同或其它原因应由投标人支付的税金和其它应交纳的费用一并计入总报价，中标后不作调整；</w:t>
      </w:r>
    </w:p>
    <w:p>
      <w:pPr>
        <w:adjustRightInd w:val="0"/>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14.3 投标人只能提出一个不变价格，招标人不接受任何选择价。</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54" w:name="_Toc354922986"/>
      <w:bookmarkStart w:id="55" w:name="_Toc356744040"/>
      <w:bookmarkStart w:id="56" w:name="_Toc354923125"/>
      <w:bookmarkStart w:id="57" w:name="_Toc354404035"/>
      <w:bookmarkStart w:id="58" w:name="_Toc357868220"/>
      <w:bookmarkStart w:id="59" w:name="_Toc364457265"/>
      <w:bookmarkStart w:id="60" w:name="_Toc355649948"/>
      <w:bookmarkStart w:id="61" w:name="_Toc329278155"/>
      <w:bookmarkStart w:id="62" w:name="_Toc326060511"/>
      <w:r>
        <w:rPr>
          <w:rFonts w:hint="eastAsia" w:cs="宋体" w:asciiTheme="minorEastAsia" w:hAnsiTheme="minorEastAsia" w:eastAsiaTheme="minorEastAsia"/>
          <w:kern w:val="0"/>
          <w:sz w:val="21"/>
          <w:szCs w:val="21"/>
          <w:lang w:val="en-US" w:eastAsia="zh-CN" w:bidi="ar-SA"/>
        </w:rPr>
        <w:t>七、竣工验收与结算</w:t>
      </w:r>
      <w:bookmarkEnd w:id="54"/>
      <w:bookmarkEnd w:id="55"/>
      <w:bookmarkEnd w:id="56"/>
      <w:bookmarkEnd w:id="57"/>
      <w:bookmarkEnd w:id="58"/>
      <w:bookmarkEnd w:id="59"/>
      <w:bookmarkEnd w:id="60"/>
      <w:bookmarkEnd w:id="61"/>
      <w:bookmarkEnd w:id="62"/>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15．竣工验收</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15．1承包人提供竣工图的约定：        (待定)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15．2中间交工工程的范围和竣工时间：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15．3竣工结算：审减金额超过报审金额10%时，超过部分审计费用由施工单位承担，并承担一定的违约责任。</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63" w:name="_Toc329278156"/>
      <w:bookmarkStart w:id="64" w:name="_Toc354923126"/>
      <w:bookmarkStart w:id="65" w:name="_Toc354922987"/>
      <w:bookmarkStart w:id="66" w:name="_Toc326060512"/>
      <w:bookmarkStart w:id="67" w:name="_Toc354404036"/>
      <w:bookmarkStart w:id="68" w:name="_Toc364457266"/>
      <w:bookmarkStart w:id="69" w:name="_Toc356744041"/>
      <w:bookmarkStart w:id="70" w:name="_Toc355649949"/>
      <w:bookmarkStart w:id="71" w:name="_Toc357868221"/>
      <w:r>
        <w:rPr>
          <w:rFonts w:hint="eastAsia" w:cs="宋体" w:asciiTheme="minorEastAsia" w:hAnsiTheme="minorEastAsia" w:eastAsiaTheme="minorEastAsia"/>
          <w:kern w:val="0"/>
          <w:sz w:val="21"/>
          <w:szCs w:val="21"/>
          <w:lang w:val="en-US" w:eastAsia="zh-CN" w:bidi="ar-SA"/>
        </w:rPr>
        <w:t>八、违约、索赔和争议</w:t>
      </w:r>
      <w:bookmarkEnd w:id="63"/>
      <w:bookmarkEnd w:id="64"/>
      <w:bookmarkEnd w:id="65"/>
      <w:bookmarkEnd w:id="66"/>
      <w:bookmarkEnd w:id="67"/>
      <w:bookmarkEnd w:id="68"/>
      <w:bookmarkEnd w:id="69"/>
      <w:bookmarkEnd w:id="70"/>
      <w:bookmarkEnd w:id="71"/>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16．违约</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16．1本合同中关于发包人违约的具体责任如下，</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本合同通用条款第24条约定发包人违约应承担的违约责任：甲方根据实际情况决定采取处罚措施。</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本合同通用条款第26.4款约定发包人违约应承担的违约责任:     //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本合同通用条款第33.3款约定发包人违约应承担的违约责任:     //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双方约定的发包人其他违约责任: 见补充条款。</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16．2本合同中关于承包人违约的具体责任如下:</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本合同通用条款第14.2款约定承包人违约承担的违约责任:  (待定)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本合同通用条款第15.1款约定承包人违约应承担的违约责任:  (待定)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双方约定的承包人其他违约责任:   (待定)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17．争议</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17．1双方约定，在履行合同过程中产生争议时:</w:t>
      </w:r>
    </w:p>
    <w:p>
      <w:pPr>
        <w:pStyle w:val="14"/>
        <w:numPr>
          <w:ilvl w:val="0"/>
          <w:numId w:val="28"/>
        </w:numPr>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双方本着友好协商方式解决。</w:t>
      </w:r>
    </w:p>
    <w:p>
      <w:pPr>
        <w:pStyle w:val="14"/>
        <w:numPr>
          <w:ilvl w:val="0"/>
          <w:numId w:val="28"/>
        </w:numPr>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协商不成的，向  工程所在地  人民法院提起诉讼。</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72" w:name="_Toc364457267"/>
      <w:bookmarkStart w:id="73" w:name="_Toc357868222"/>
      <w:bookmarkStart w:id="74" w:name="_Toc329278157"/>
      <w:bookmarkStart w:id="75" w:name="_Toc326060513"/>
      <w:bookmarkStart w:id="76" w:name="_Toc354404037"/>
      <w:bookmarkStart w:id="77" w:name="_Toc355649950"/>
      <w:bookmarkStart w:id="78" w:name="_Toc356744042"/>
      <w:bookmarkStart w:id="79" w:name="_Toc354922988"/>
      <w:bookmarkStart w:id="80" w:name="_Toc354923127"/>
      <w:r>
        <w:rPr>
          <w:rFonts w:hint="eastAsia" w:cs="宋体" w:asciiTheme="minorEastAsia" w:hAnsiTheme="minorEastAsia" w:eastAsiaTheme="minorEastAsia"/>
          <w:kern w:val="0"/>
          <w:sz w:val="21"/>
          <w:szCs w:val="21"/>
          <w:lang w:val="en-US" w:eastAsia="zh-CN" w:bidi="ar-SA"/>
        </w:rPr>
        <w:t>九、其他</w:t>
      </w:r>
      <w:bookmarkEnd w:id="72"/>
      <w:bookmarkEnd w:id="73"/>
      <w:bookmarkEnd w:id="74"/>
      <w:bookmarkEnd w:id="75"/>
      <w:bookmarkEnd w:id="76"/>
      <w:bookmarkEnd w:id="77"/>
      <w:bookmarkEnd w:id="78"/>
      <w:bookmarkEnd w:id="79"/>
      <w:bookmarkEnd w:id="80"/>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18．工程分包</w:t>
      </w:r>
    </w:p>
    <w:p>
      <w:pPr>
        <w:pStyle w:val="11"/>
        <w:spacing w:line="500" w:lineRule="exact"/>
        <w:ind w:left="680"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18．1本工程主体工程不允许分包。其他配套专业若确需分包，分包商须经得发包人同意。</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19．不可抗力</w:t>
      </w:r>
    </w:p>
    <w:p>
      <w:pPr>
        <w:pStyle w:val="11"/>
        <w:spacing w:line="500" w:lineRule="exact"/>
        <w:ind w:left="680"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19．1双方关于不可抗力的约定:  所发生的工期相应顺延，但涉及的费用根据国家有关规定由双方分担。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20．保险</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20．1本工程双方约定投保内容如下:</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(l)发包人投保内容:      无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发包人委托承包人办理的保险事项:    无          </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(2)承包人投保内容:       无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21．担保</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21．1本工程双方约定担保事项如下:</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(l)发包人向承包人提供履约担保，担保方式为:    (待定)     担保合同作为本合同附件。</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(2)承包人向发包人提供履约担保，担保方式为:   中标人在接到中标通知书后10日内，按中标价的5%交纳履约保证金，以转账或电汇交纳至到招标人指定账户。    </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(3)双方约定的其他担保事项:               (待定)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22．合同份数</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22．1双方约定合同副本份数:正本2份，副本4份</w:t>
      </w:r>
    </w:p>
    <w:p>
      <w:pPr>
        <w:pStyle w:val="14"/>
        <w:spacing w:line="500" w:lineRule="exact"/>
        <w:ind w:firstLine="470" w:firstLineChars="22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23．补充条款</w:t>
      </w:r>
    </w:p>
    <w:p>
      <w:pPr>
        <w:pStyle w:val="14"/>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审减金额超过报审金额10%时，超过部分审计费用由施工单位承担，并承担一定的违约责任。</w:t>
      </w:r>
    </w:p>
    <w:p>
      <w:pPr>
        <w:spacing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24．其他未尽事宜由双方协商后确定：</w:t>
      </w:r>
    </w:p>
    <w:p>
      <w:pPr>
        <w:spacing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(1)若承包方未达到双方约定的工程质量要求，承担其由此产生的一切责任。</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(2)经甲乙双方签字盖章后方可生效。</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spacing w:line="360" w:lineRule="auto"/>
        <w:jc w:val="center"/>
        <w:outlineLvl w:val="1"/>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br w:type="page"/>
      </w:r>
    </w:p>
    <w:p>
      <w:pPr>
        <w:spacing w:line="440" w:lineRule="exact"/>
        <w:ind w:firstLine="482" w:firstLineChars="200"/>
        <w:jc w:val="center"/>
        <w:rPr>
          <w:rFonts w:hint="eastAsia" w:ascii="仿宋" w:hAnsi="仿宋" w:eastAsia="仿宋"/>
          <w:b/>
          <w:sz w:val="24"/>
          <w:szCs w:val="24"/>
        </w:rPr>
      </w:pPr>
      <w:r>
        <w:rPr>
          <w:rFonts w:hint="eastAsia" w:ascii="仿宋" w:hAnsi="仿宋" w:eastAsia="仿宋"/>
          <w:b/>
          <w:sz w:val="24"/>
          <w:szCs w:val="24"/>
        </w:rPr>
        <w:t>合同协议书</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(发包人名称，以下简称“发包人” )为实施           (项目名称)，己接受                  (承包人名称，以下简称“承包人” )对该项目工程施工的投标。发包人和承包人共同达成如下协议。</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1．本协议书与下列文件一起构成合同文件：</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(l)中标通知书；</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(2)投标函及投标函附录；</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(3)专用合同条款；</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(4)通用合同条款；</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(5)技术标准和要求；</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 已标价的工程量清单；</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(7)图纸；</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(8)其他合同文件。</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2．上述文件互相补充和解释，如有不明确或不一致之处，以合同约定次序在先者为准。</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3．签约合同价：人民币(大写)                元(￥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4．承包人项目经理(建造师)：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5．工程质量符合                     标准。</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6．承包人承诺按合同约定承担工程的实施、完成及缺陷修复。</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7．发包人承诺按合同约定的条件、时间和方式向承包人支付合同价款。</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8．承包人应按照监理人指示开工，工期为      日历天。</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9．本协议书一式     份，合同双方各执      份。</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10.双方签字盖章后生效。</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11．合同未尽事宜，双方另行签订补充协议。补充协议是合同的组成部分。</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发包人：             (单位盖章)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法定代表人或其委托代理人：     (签字)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承包人：             (单位盖章)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法定代表人或其委托代理人：     (签字)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pStyle w:val="14"/>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黑体" w:asciiTheme="minorEastAsia" w:hAnsiTheme="minorEastAsia"/>
          <w:b/>
          <w:bCs/>
          <w:sz w:val="44"/>
          <w:szCs w:val="44"/>
          <w:lang w:val="zh-CN"/>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5"/>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4"/>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②本表序号10请按照本谈判文件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w:t>
      </w:r>
      <w:r>
        <w:rPr>
          <w:rFonts w:hint="eastAsia" w:asciiTheme="majorEastAsia" w:hAnsiTheme="majorEastAsia" w:eastAsiaTheme="majorEastAsia"/>
          <w:b/>
          <w:snapToGrid w:val="0"/>
          <w:kern w:val="0"/>
          <w:sz w:val="28"/>
          <w:szCs w:val="28"/>
          <w:lang w:eastAsia="zh-CN"/>
        </w:rPr>
        <w:t>第一次</w:t>
      </w:r>
      <w:r>
        <w:rPr>
          <w:rFonts w:hint="eastAsia" w:asciiTheme="majorEastAsia" w:hAnsiTheme="majorEastAsia" w:eastAsiaTheme="majorEastAsia"/>
          <w:b/>
          <w:snapToGrid w:val="0"/>
          <w:kern w:val="0"/>
          <w:sz w:val="28"/>
          <w:szCs w:val="28"/>
        </w:rPr>
        <w:t>报价一览表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4"/>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2、如谈判公告明确项目交付日期以年为单位，本表应填写完成该项目的年限。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both"/>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_（项目名称、招标编号）采购的竞争性谈判公告及谈判邀请，_______（姓名和职务）被正式授权并代表供应商（供应商名称、地址）提交。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我方确认收到贵方提供的（项目名称、招标编号）谈判文件的全部内容。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代表我方全权处理有关本项目谈判响应的一切事宜。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在此提交的响应文件，正本一份，副本一份。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一、按谈判文件提供的全部货物与相关服务的响应总价详见《报价一览表》。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谈判文件的有效期为谈判响应截止时间起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三、我方明白并同意，在规定的谈判响应时间截止之后，响应有效期之内撤销谈判响应的，则贵方将不予退还谈判保证金。</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五、我方理解贵方不一定接受最低响应价或任何贵方可能收到的谈判响应。</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1"/>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7"/>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竞争性谈判</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7"/>
        <w:spacing w:line="480" w:lineRule="auto"/>
        <w:ind w:firstLine="472" w:firstLineChars="225"/>
        <w:jc w:val="left"/>
        <w:rPr>
          <w:rFonts w:asciiTheme="minorEastAsia" w:hAnsiTheme="minorEastAsia"/>
          <w:color w:val="000000"/>
          <w:sz w:val="21"/>
          <w:szCs w:val="21"/>
        </w:rPr>
      </w:pPr>
    </w:p>
    <w:p>
      <w:pPr>
        <w:pStyle w:val="47"/>
        <w:spacing w:line="480" w:lineRule="auto"/>
        <w:ind w:firstLine="472" w:firstLineChars="225"/>
        <w:jc w:val="left"/>
        <w:rPr>
          <w:rFonts w:asciiTheme="minorEastAsia" w:hAnsiTheme="minorEastAsia"/>
          <w:color w:val="000000"/>
          <w:sz w:val="21"/>
          <w:szCs w:val="21"/>
        </w:rPr>
      </w:pPr>
    </w:p>
    <w:p>
      <w:pPr>
        <w:pStyle w:val="47"/>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7"/>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50"/>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9"/>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加本竞争性谈判</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4"/>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ind w:firstLine="3373" w:firstLineChars="1400"/>
        <w:jc w:val="both"/>
        <w:outlineLvl w:val="0"/>
        <w:rPr>
          <w:rFonts w:hAnsi="宋体" w:eastAsia="宋体"/>
          <w:b/>
          <w:snapToGrid w:val="0"/>
          <w:kern w:val="0"/>
          <w:sz w:val="36"/>
          <w:szCs w:val="36"/>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int="eastAsia" w:ascii="宋体" w:hAnsi="宋体"/>
          <w:b/>
          <w:bCs/>
          <w:color w:val="000000"/>
          <w:sz w:val="24"/>
          <w:szCs w:val="24"/>
          <w:lang w:val="zh-CN"/>
        </w:rPr>
      </w:pPr>
    </w:p>
    <w:p>
      <w:pPr>
        <w:autoSpaceDE w:val="0"/>
        <w:autoSpaceDN w:val="0"/>
        <w:adjustRightInd w:val="0"/>
        <w:spacing w:line="360" w:lineRule="auto"/>
        <w:jc w:val="center"/>
        <w:outlineLvl w:val="0"/>
        <w:rPr>
          <w:rFonts w:ascii="宋体" w:hAnsi="宋体"/>
          <w:b/>
          <w:bCs/>
          <w:color w:val="000000"/>
          <w:sz w:val="24"/>
          <w:szCs w:val="24"/>
          <w:lang w:val="zh-CN"/>
        </w:rPr>
      </w:pPr>
      <w:r>
        <w:rPr>
          <w:rFonts w:hint="eastAsia" w:ascii="宋体" w:hAnsi="宋体"/>
          <w:b/>
          <w:bCs/>
          <w:color w:val="000000"/>
          <w:sz w:val="24"/>
          <w:szCs w:val="24"/>
          <w:lang w:val="zh-CN"/>
        </w:rPr>
        <w:t>投标承诺函</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1"/>
        <w:keepNext w:val="0"/>
        <w:keepLines w:val="0"/>
        <w:pageBreakBefore w:val="0"/>
        <w:widowControl/>
        <w:shd w:val="clear" w:color="auto" w:fill="FFFFFF"/>
        <w:kinsoku/>
        <w:wordWrap/>
        <w:overflowPunct/>
        <w:topLinePunct w:val="0"/>
        <w:autoSpaceDE/>
        <w:autoSpaceDN/>
        <w:bidi w:val="0"/>
        <w:adjustRightInd/>
        <w:snapToGrid/>
        <w:spacing w:after="300" w:line="360" w:lineRule="auto"/>
        <w:ind w:firstLine="420" w:firstLineChars="200"/>
        <w:textAlignment w:val="auto"/>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1"/>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1"/>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法定代表人或者被委托人（签字盖章)：</w:t>
      </w:r>
    </w:p>
    <w:p>
      <w:pPr>
        <w:pStyle w:val="21"/>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1"/>
        <w:widowControl/>
        <w:shd w:val="clear" w:color="auto" w:fill="FFFFFF"/>
        <w:spacing w:after="300" w:line="336" w:lineRule="atLeast"/>
        <w:ind w:firstLine="6300" w:firstLineChars="3000"/>
        <w:rPr>
          <w:rFonts w:cs="宋体" w:asciiTheme="minorEastAsia" w:hAnsiTheme="minorEastAsia"/>
          <w:sz w:val="24"/>
          <w:szCs w:val="24"/>
          <w:lang w:val="zh-CN"/>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仿宋" w:hAnsi="仿宋" w:eastAsia="仿宋" w:cs="仿宋"/>
          <w:sz w:val="24"/>
          <w:szCs w:val="24"/>
        </w:rPr>
        <w:t xml:space="preserve">                </w:t>
      </w:r>
      <w:r>
        <w:rPr>
          <w:rFonts w:hint="eastAsia" w:ascii="宋体" w:hAnsi="宋体"/>
          <w:b/>
          <w:bCs/>
          <w:color w:val="000000"/>
          <w:sz w:val="24"/>
          <w:szCs w:val="24"/>
        </w:rPr>
        <w:t>4.1分项报价表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4"/>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4"/>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hint="eastAsia" w:ascii="宋体" w:hAnsi="宋体" w:eastAsiaTheme="minorEastAsia"/>
          <w:b/>
          <w:bCs/>
          <w:color w:val="000000"/>
          <w:sz w:val="24"/>
          <w:szCs w:val="24"/>
          <w:lang w:eastAsia="zh-CN"/>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4"/>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
    <w:altName w:val="Arial"/>
    <w:panose1 w:val="020B0604020202020204"/>
    <w:charset w:val="00"/>
    <w:family w:val="decorative"/>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华文隶书">
    <w:altName w:val="微软雅黑"/>
    <w:panose1 w:val="02010800040101010101"/>
    <w:charset w:val="86"/>
    <w:family w:val="auto"/>
    <w:pitch w:val="default"/>
    <w:sig w:usb0="00000000" w:usb1="00000000" w:usb2="00000010" w:usb3="00000000" w:csb0="00040000" w:csb1="00000000"/>
  </w:font>
  <w:font w:name="微软简隶书">
    <w:altName w:val="黑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7"/>
                          </w:pPr>
                          <w:r>
                            <w:fldChar w:fldCharType="begin"/>
                          </w:r>
                          <w:r>
                            <w:instrText xml:space="preserve"> PAGE  \* MERGEFORMAT </w:instrText>
                          </w:r>
                          <w:r>
                            <w:fldChar w:fldCharType="separate"/>
                          </w:r>
                          <w:r>
                            <w:t>18</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18</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054E63"/>
    <w:multiLevelType w:val="singleLevel"/>
    <w:tmpl w:val="99054E63"/>
    <w:lvl w:ilvl="0" w:tentative="0">
      <w:start w:val="3"/>
      <w:numFmt w:val="chineseCounting"/>
      <w:suff w:val="nothing"/>
      <w:lvlText w:val="%1、"/>
      <w:lvlJc w:val="left"/>
      <w:rPr>
        <w:rFonts w:hint="eastAsia"/>
      </w:rPr>
    </w:lvl>
  </w:abstractNum>
  <w:abstractNum w:abstractNumId="1">
    <w:nsid w:val="DBD26914"/>
    <w:multiLevelType w:val="singleLevel"/>
    <w:tmpl w:val="DBD26914"/>
    <w:lvl w:ilvl="0" w:tentative="0">
      <w:start w:val="1"/>
      <w:numFmt w:val="chineseCounting"/>
      <w:suff w:val="space"/>
      <w:lvlText w:val="第%1章"/>
      <w:lvlJc w:val="left"/>
      <w:rPr>
        <w:rFonts w:hint="eastAsia"/>
      </w:rPr>
    </w:lvl>
  </w:abstractNum>
  <w:abstractNum w:abstractNumId="2">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0A"/>
    <w:multiLevelType w:val="singleLevel"/>
    <w:tmpl w:val="0000000A"/>
    <w:lvl w:ilvl="0" w:tentative="0">
      <w:start w:val="1"/>
      <w:numFmt w:val="decimal"/>
      <w:suff w:val="nothing"/>
      <w:lvlText w:val="（%1）"/>
      <w:lvlJc w:val="left"/>
    </w:lvl>
  </w:abstractNum>
  <w:abstractNum w:abstractNumId="4">
    <w:nsid w:val="0000000D"/>
    <w:multiLevelType w:val="multilevel"/>
    <w:tmpl w:val="0000000D"/>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5">
    <w:nsid w:val="0000000F"/>
    <w:multiLevelType w:val="multilevel"/>
    <w:tmpl w:val="0000000F"/>
    <w:lvl w:ilvl="0" w:tentative="0">
      <w:start w:val="1"/>
      <w:numFmt w:val="decimal"/>
      <w:lvlText w:val="%1."/>
      <w:lvlJc w:val="left"/>
      <w:pPr>
        <w:tabs>
          <w:tab w:val="left" w:pos="425"/>
        </w:tabs>
        <w:ind w:left="425" w:hanging="425"/>
      </w:pPr>
      <w:rPr>
        <w:rFonts w:hint="eastAsia"/>
      </w:rPr>
    </w:lvl>
    <w:lvl w:ilvl="1" w:tentative="0">
      <w:start w:val="1"/>
      <w:numFmt w:val="none"/>
      <w:lvlText w:val="10.1"/>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00000010"/>
    <w:multiLevelType w:val="multilevel"/>
    <w:tmpl w:val="00000010"/>
    <w:lvl w:ilvl="0" w:tentative="0">
      <w:start w:val="1"/>
      <w:numFmt w:val="decimal"/>
      <w:lvlText w:val="（%1）"/>
      <w:lvlJc w:val="left"/>
      <w:pPr>
        <w:tabs>
          <w:tab w:val="left" w:pos="1260"/>
        </w:tabs>
        <w:ind w:left="1260" w:hanging="72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7">
    <w:nsid w:val="00000011"/>
    <w:multiLevelType w:val="multilevel"/>
    <w:tmpl w:val="00000011"/>
    <w:lvl w:ilvl="0" w:tentative="0">
      <w:start w:val="1"/>
      <w:numFmt w:val="decimal"/>
      <w:lvlText w:val="%1、"/>
      <w:lvlJc w:val="left"/>
      <w:pPr>
        <w:tabs>
          <w:tab w:val="left" w:pos="720"/>
        </w:tabs>
        <w:ind w:left="720" w:hanging="720"/>
      </w:pPr>
      <w:rPr>
        <w:rFonts w:hint="eastAsia"/>
      </w:rPr>
    </w:lvl>
    <w:lvl w:ilvl="1" w:tentative="0">
      <w:start w:val="1"/>
      <w:numFmt w:val="decimal"/>
      <w:lvlText w:val="%2、"/>
      <w:lvlJc w:val="left"/>
      <w:pPr>
        <w:tabs>
          <w:tab w:val="left" w:pos="720"/>
        </w:tabs>
        <w:ind w:left="720" w:hanging="720"/>
      </w:pPr>
      <w:rPr>
        <w:rFonts w:hint="eastAsia"/>
      </w:rPr>
    </w:lvl>
    <w:lvl w:ilvl="2" w:tentative="0">
      <w:start w:val="1"/>
      <w:numFmt w:val="decimal"/>
      <w:lvlText w:val="（%3）"/>
      <w:lvlJc w:val="left"/>
      <w:pPr>
        <w:tabs>
          <w:tab w:val="left" w:pos="1140"/>
        </w:tabs>
        <w:ind w:left="1140" w:hanging="720"/>
      </w:pPr>
      <w:rPr>
        <w:rFonts w:hint="eastAsia"/>
      </w:r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8">
    <w:nsid w:val="00000013"/>
    <w:multiLevelType w:val="singleLevel"/>
    <w:tmpl w:val="00000013"/>
    <w:lvl w:ilvl="0" w:tentative="0">
      <w:start w:val="17"/>
      <w:numFmt w:val="decimal"/>
      <w:suff w:val="nothing"/>
      <w:lvlText w:val="%1、"/>
      <w:lvlJc w:val="left"/>
    </w:lvl>
  </w:abstractNum>
  <w:abstractNum w:abstractNumId="9">
    <w:nsid w:val="00000014"/>
    <w:multiLevelType w:val="multilevel"/>
    <w:tmpl w:val="00000014"/>
    <w:lvl w:ilvl="0" w:tentative="0">
      <w:start w:val="1"/>
      <w:numFmt w:val="decimal"/>
      <w:pStyle w:val="5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0">
    <w:nsid w:val="05EFCDC2"/>
    <w:multiLevelType w:val="singleLevel"/>
    <w:tmpl w:val="05EFCDC2"/>
    <w:lvl w:ilvl="0" w:tentative="0">
      <w:start w:val="6"/>
      <w:numFmt w:val="chineseCounting"/>
      <w:suff w:val="nothing"/>
      <w:lvlText w:val="%1、"/>
      <w:lvlJc w:val="left"/>
      <w:rPr>
        <w:rFonts w:hint="eastAsia"/>
      </w:rPr>
    </w:lvl>
  </w:abstractNum>
  <w:abstractNum w:abstractNumId="11">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5">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9">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0">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59F817E8"/>
    <w:multiLevelType w:val="singleLevel"/>
    <w:tmpl w:val="59F817E8"/>
    <w:lvl w:ilvl="0" w:tentative="0">
      <w:start w:val="1"/>
      <w:numFmt w:val="chineseCounting"/>
      <w:pStyle w:val="55"/>
      <w:suff w:val="nothing"/>
      <w:lvlText w:val="%1、"/>
      <w:lvlJc w:val="left"/>
    </w:lvl>
  </w:abstractNum>
  <w:abstractNum w:abstractNumId="22">
    <w:nsid w:val="5A051E9E"/>
    <w:multiLevelType w:val="singleLevel"/>
    <w:tmpl w:val="5A051E9E"/>
    <w:lvl w:ilvl="0" w:tentative="0">
      <w:start w:val="1"/>
      <w:numFmt w:val="chineseCounting"/>
      <w:suff w:val="nothing"/>
      <w:lvlText w:val="%1、"/>
      <w:lvlJc w:val="left"/>
    </w:lvl>
  </w:abstractNum>
  <w:abstractNum w:abstractNumId="23">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754E4703"/>
    <w:multiLevelType w:val="singleLevel"/>
    <w:tmpl w:val="754E4703"/>
    <w:lvl w:ilvl="0" w:tentative="0">
      <w:start w:val="1"/>
      <w:numFmt w:val="chineseCounting"/>
      <w:suff w:val="nothing"/>
      <w:lvlText w:val="%1、"/>
      <w:lvlJc w:val="left"/>
      <w:rPr>
        <w:rFonts w:hint="eastAsia"/>
      </w:rPr>
    </w:lvl>
  </w:abstractNum>
  <w:abstractNum w:abstractNumId="27">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9"/>
  </w:num>
  <w:num w:numId="3">
    <w:abstractNumId w:val="21"/>
  </w:num>
  <w:num w:numId="4">
    <w:abstractNumId w:val="1"/>
  </w:num>
  <w:num w:numId="5">
    <w:abstractNumId w:val="22"/>
  </w:num>
  <w:num w:numId="6">
    <w:abstractNumId w:val="26"/>
  </w:num>
  <w:num w:numId="7">
    <w:abstractNumId w:val="18"/>
  </w:num>
  <w:num w:numId="8">
    <w:abstractNumId w:val="23"/>
  </w:num>
  <w:num w:numId="9">
    <w:abstractNumId w:val="16"/>
  </w:num>
  <w:num w:numId="10">
    <w:abstractNumId w:val="11"/>
  </w:num>
  <w:num w:numId="11">
    <w:abstractNumId w:val="17"/>
  </w:num>
  <w:num w:numId="12">
    <w:abstractNumId w:val="19"/>
  </w:num>
  <w:num w:numId="13">
    <w:abstractNumId w:val="27"/>
  </w:num>
  <w:num w:numId="14">
    <w:abstractNumId w:val="15"/>
  </w:num>
  <w:num w:numId="15">
    <w:abstractNumId w:val="12"/>
  </w:num>
  <w:num w:numId="16">
    <w:abstractNumId w:val="24"/>
  </w:num>
  <w:num w:numId="17">
    <w:abstractNumId w:val="10"/>
  </w:num>
  <w:num w:numId="18">
    <w:abstractNumId w:val="20"/>
  </w:num>
  <w:num w:numId="19">
    <w:abstractNumId w:val="14"/>
  </w:num>
  <w:num w:numId="20">
    <w:abstractNumId w:val="25"/>
  </w:num>
  <w:num w:numId="21">
    <w:abstractNumId w:val="28"/>
  </w:num>
  <w:num w:numId="22">
    <w:abstractNumId w:val="0"/>
  </w:num>
  <w:num w:numId="23">
    <w:abstractNumId w:val="4"/>
  </w:num>
  <w:num w:numId="24">
    <w:abstractNumId w:val="8"/>
  </w:num>
  <w:num w:numId="25">
    <w:abstractNumId w:val="5"/>
  </w:num>
  <w:num w:numId="26">
    <w:abstractNumId w:val="7"/>
  </w:num>
  <w:num w:numId="27">
    <w:abstractNumId w:val="3"/>
  </w:num>
  <w:num w:numId="28">
    <w:abstractNumId w:val="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70E"/>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544A"/>
    <w:rsid w:val="002567BE"/>
    <w:rsid w:val="00257257"/>
    <w:rsid w:val="00257C33"/>
    <w:rsid w:val="00261A16"/>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4DF6"/>
    <w:rsid w:val="00356510"/>
    <w:rsid w:val="00360DAD"/>
    <w:rsid w:val="003620CD"/>
    <w:rsid w:val="00362359"/>
    <w:rsid w:val="003650E5"/>
    <w:rsid w:val="00365286"/>
    <w:rsid w:val="00365BDD"/>
    <w:rsid w:val="00366838"/>
    <w:rsid w:val="003708B7"/>
    <w:rsid w:val="00370DFF"/>
    <w:rsid w:val="00372753"/>
    <w:rsid w:val="00373F74"/>
    <w:rsid w:val="00376F8E"/>
    <w:rsid w:val="0037723D"/>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A13FE"/>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23B"/>
    <w:rsid w:val="00836566"/>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2454"/>
    <w:rsid w:val="008E7034"/>
    <w:rsid w:val="008F2CA7"/>
    <w:rsid w:val="00902012"/>
    <w:rsid w:val="009024C2"/>
    <w:rsid w:val="00903C60"/>
    <w:rsid w:val="00910FBF"/>
    <w:rsid w:val="00912E30"/>
    <w:rsid w:val="009130EC"/>
    <w:rsid w:val="00913638"/>
    <w:rsid w:val="00920741"/>
    <w:rsid w:val="00924304"/>
    <w:rsid w:val="009270F3"/>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F1DA5"/>
    <w:rsid w:val="00BF21E1"/>
    <w:rsid w:val="00C00EB4"/>
    <w:rsid w:val="00C02C34"/>
    <w:rsid w:val="00C02DE2"/>
    <w:rsid w:val="00C06F9E"/>
    <w:rsid w:val="00C07CED"/>
    <w:rsid w:val="00C124C8"/>
    <w:rsid w:val="00C1466C"/>
    <w:rsid w:val="00C1514A"/>
    <w:rsid w:val="00C1518E"/>
    <w:rsid w:val="00C23622"/>
    <w:rsid w:val="00C23E9E"/>
    <w:rsid w:val="00C24818"/>
    <w:rsid w:val="00C30E18"/>
    <w:rsid w:val="00C3322D"/>
    <w:rsid w:val="00C36189"/>
    <w:rsid w:val="00C36302"/>
    <w:rsid w:val="00C36AF9"/>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3A2"/>
    <w:rsid w:val="00CC4FD6"/>
    <w:rsid w:val="00CC5DB4"/>
    <w:rsid w:val="00CD4CBE"/>
    <w:rsid w:val="00CD6E1B"/>
    <w:rsid w:val="00CD76D3"/>
    <w:rsid w:val="00CD7E6D"/>
    <w:rsid w:val="00CE0F39"/>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60BC1"/>
    <w:rsid w:val="00D6372E"/>
    <w:rsid w:val="00D65616"/>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5E7"/>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24831"/>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4989"/>
    <w:rsid w:val="00F75216"/>
    <w:rsid w:val="00F82BD9"/>
    <w:rsid w:val="00F847FE"/>
    <w:rsid w:val="00F849D7"/>
    <w:rsid w:val="00F8547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1087EB9"/>
    <w:rsid w:val="01C861C5"/>
    <w:rsid w:val="02042EF4"/>
    <w:rsid w:val="02314E41"/>
    <w:rsid w:val="02BB5D2E"/>
    <w:rsid w:val="032842A1"/>
    <w:rsid w:val="032C493C"/>
    <w:rsid w:val="03B6440A"/>
    <w:rsid w:val="04A6236A"/>
    <w:rsid w:val="053F5432"/>
    <w:rsid w:val="064E7C45"/>
    <w:rsid w:val="07BF5E31"/>
    <w:rsid w:val="07F96DEB"/>
    <w:rsid w:val="08ED0258"/>
    <w:rsid w:val="08EF08AA"/>
    <w:rsid w:val="09097ED2"/>
    <w:rsid w:val="09611AE5"/>
    <w:rsid w:val="09B61E03"/>
    <w:rsid w:val="09C3175B"/>
    <w:rsid w:val="09F97BEC"/>
    <w:rsid w:val="0A1E34A8"/>
    <w:rsid w:val="0A962F1E"/>
    <w:rsid w:val="0AD81D4C"/>
    <w:rsid w:val="0AED524D"/>
    <w:rsid w:val="0B042130"/>
    <w:rsid w:val="0B391354"/>
    <w:rsid w:val="0CAE7D79"/>
    <w:rsid w:val="0CC81D6F"/>
    <w:rsid w:val="0CE7384B"/>
    <w:rsid w:val="0DAC0795"/>
    <w:rsid w:val="0DB722F7"/>
    <w:rsid w:val="0E1D453B"/>
    <w:rsid w:val="0EA30502"/>
    <w:rsid w:val="0F492F98"/>
    <w:rsid w:val="0FC36411"/>
    <w:rsid w:val="0FCE3CD6"/>
    <w:rsid w:val="10060191"/>
    <w:rsid w:val="100B4F00"/>
    <w:rsid w:val="10C20E4B"/>
    <w:rsid w:val="110E6C6E"/>
    <w:rsid w:val="115665C0"/>
    <w:rsid w:val="115D39B8"/>
    <w:rsid w:val="119243D7"/>
    <w:rsid w:val="122C725F"/>
    <w:rsid w:val="122E3BA3"/>
    <w:rsid w:val="12314E56"/>
    <w:rsid w:val="128E3D8E"/>
    <w:rsid w:val="12E50F51"/>
    <w:rsid w:val="13BF63D1"/>
    <w:rsid w:val="14214638"/>
    <w:rsid w:val="143F6CA5"/>
    <w:rsid w:val="149819C8"/>
    <w:rsid w:val="14D058A3"/>
    <w:rsid w:val="15E8716E"/>
    <w:rsid w:val="15EE44D7"/>
    <w:rsid w:val="161D3C78"/>
    <w:rsid w:val="16B051B6"/>
    <w:rsid w:val="175E24E1"/>
    <w:rsid w:val="17B078B6"/>
    <w:rsid w:val="18A75883"/>
    <w:rsid w:val="18C216D0"/>
    <w:rsid w:val="197B011F"/>
    <w:rsid w:val="198F1D07"/>
    <w:rsid w:val="19F01D1D"/>
    <w:rsid w:val="1B70335D"/>
    <w:rsid w:val="1BC27E34"/>
    <w:rsid w:val="1C317F37"/>
    <w:rsid w:val="1C527EEE"/>
    <w:rsid w:val="1D90357B"/>
    <w:rsid w:val="1EAC0576"/>
    <w:rsid w:val="1F457DEB"/>
    <w:rsid w:val="1F4F76D7"/>
    <w:rsid w:val="1F5E25BF"/>
    <w:rsid w:val="204C3CC9"/>
    <w:rsid w:val="20ED0E50"/>
    <w:rsid w:val="20FF154F"/>
    <w:rsid w:val="21582A2C"/>
    <w:rsid w:val="21DF17AC"/>
    <w:rsid w:val="22B643D4"/>
    <w:rsid w:val="2301785C"/>
    <w:rsid w:val="23177121"/>
    <w:rsid w:val="24326801"/>
    <w:rsid w:val="2461458C"/>
    <w:rsid w:val="24D83346"/>
    <w:rsid w:val="253C62DA"/>
    <w:rsid w:val="25720679"/>
    <w:rsid w:val="25B72C88"/>
    <w:rsid w:val="25D2539F"/>
    <w:rsid w:val="25DF5154"/>
    <w:rsid w:val="265B42DF"/>
    <w:rsid w:val="270A70F3"/>
    <w:rsid w:val="27553E85"/>
    <w:rsid w:val="2783364A"/>
    <w:rsid w:val="27A229B2"/>
    <w:rsid w:val="27B5253B"/>
    <w:rsid w:val="283E3CD3"/>
    <w:rsid w:val="29C666A7"/>
    <w:rsid w:val="2B0C4E3D"/>
    <w:rsid w:val="2B3F5F01"/>
    <w:rsid w:val="2C0B7CF9"/>
    <w:rsid w:val="2C2E4C48"/>
    <w:rsid w:val="2D5F028F"/>
    <w:rsid w:val="2DFC0E28"/>
    <w:rsid w:val="2E6419C2"/>
    <w:rsid w:val="2EC5794C"/>
    <w:rsid w:val="2F124B1C"/>
    <w:rsid w:val="2F45482D"/>
    <w:rsid w:val="2F477084"/>
    <w:rsid w:val="2FE830BB"/>
    <w:rsid w:val="2FED62DF"/>
    <w:rsid w:val="2FF24A9E"/>
    <w:rsid w:val="305F0D15"/>
    <w:rsid w:val="307D673F"/>
    <w:rsid w:val="31324247"/>
    <w:rsid w:val="313D1FE0"/>
    <w:rsid w:val="320D3218"/>
    <w:rsid w:val="32985053"/>
    <w:rsid w:val="32B20743"/>
    <w:rsid w:val="32E31462"/>
    <w:rsid w:val="32E81473"/>
    <w:rsid w:val="34280373"/>
    <w:rsid w:val="3439458D"/>
    <w:rsid w:val="345D5D57"/>
    <w:rsid w:val="350A079B"/>
    <w:rsid w:val="35306958"/>
    <w:rsid w:val="35316934"/>
    <w:rsid w:val="35C15576"/>
    <w:rsid w:val="35C46C85"/>
    <w:rsid w:val="36D45DBC"/>
    <w:rsid w:val="37571F09"/>
    <w:rsid w:val="38014F46"/>
    <w:rsid w:val="38E97278"/>
    <w:rsid w:val="391E6950"/>
    <w:rsid w:val="3A1337DD"/>
    <w:rsid w:val="3A1A525E"/>
    <w:rsid w:val="3B380893"/>
    <w:rsid w:val="3BF00194"/>
    <w:rsid w:val="3C175755"/>
    <w:rsid w:val="3C725167"/>
    <w:rsid w:val="3C9839FA"/>
    <w:rsid w:val="3CB04E80"/>
    <w:rsid w:val="3CB15132"/>
    <w:rsid w:val="3CC67CD4"/>
    <w:rsid w:val="3D96637E"/>
    <w:rsid w:val="3DEC2498"/>
    <w:rsid w:val="3E4F494F"/>
    <w:rsid w:val="40A419F9"/>
    <w:rsid w:val="40BE3049"/>
    <w:rsid w:val="420665E2"/>
    <w:rsid w:val="42547D8B"/>
    <w:rsid w:val="42A75D9F"/>
    <w:rsid w:val="42F23437"/>
    <w:rsid w:val="43663E29"/>
    <w:rsid w:val="444769AF"/>
    <w:rsid w:val="444C702E"/>
    <w:rsid w:val="44EA4606"/>
    <w:rsid w:val="458C667A"/>
    <w:rsid w:val="46366161"/>
    <w:rsid w:val="46465AAA"/>
    <w:rsid w:val="467D2F1A"/>
    <w:rsid w:val="46CE1703"/>
    <w:rsid w:val="46E35449"/>
    <w:rsid w:val="473960E8"/>
    <w:rsid w:val="47A07BC1"/>
    <w:rsid w:val="47A4555A"/>
    <w:rsid w:val="47E81A91"/>
    <w:rsid w:val="48080763"/>
    <w:rsid w:val="485128BA"/>
    <w:rsid w:val="48737219"/>
    <w:rsid w:val="48C0687E"/>
    <w:rsid w:val="48EE371C"/>
    <w:rsid w:val="49574371"/>
    <w:rsid w:val="49CF3E0F"/>
    <w:rsid w:val="49E32D62"/>
    <w:rsid w:val="4A222BB1"/>
    <w:rsid w:val="4A6157D0"/>
    <w:rsid w:val="4BD701AC"/>
    <w:rsid w:val="4CE95334"/>
    <w:rsid w:val="4D005CCE"/>
    <w:rsid w:val="4DE45808"/>
    <w:rsid w:val="4E053CA7"/>
    <w:rsid w:val="4E9448CD"/>
    <w:rsid w:val="4EFD3303"/>
    <w:rsid w:val="4F374C6E"/>
    <w:rsid w:val="4FF65309"/>
    <w:rsid w:val="505F0174"/>
    <w:rsid w:val="50A050A3"/>
    <w:rsid w:val="51352836"/>
    <w:rsid w:val="51A13899"/>
    <w:rsid w:val="52581E68"/>
    <w:rsid w:val="528771C6"/>
    <w:rsid w:val="531600B4"/>
    <w:rsid w:val="535A1FCB"/>
    <w:rsid w:val="535E4DF4"/>
    <w:rsid w:val="536561B2"/>
    <w:rsid w:val="53791B43"/>
    <w:rsid w:val="53FA012A"/>
    <w:rsid w:val="54150FD2"/>
    <w:rsid w:val="544C0545"/>
    <w:rsid w:val="55684A64"/>
    <w:rsid w:val="557F3457"/>
    <w:rsid w:val="565D0CAB"/>
    <w:rsid w:val="56626902"/>
    <w:rsid w:val="56886D20"/>
    <w:rsid w:val="57820645"/>
    <w:rsid w:val="57D2139A"/>
    <w:rsid w:val="57DF4B76"/>
    <w:rsid w:val="586B1477"/>
    <w:rsid w:val="58A31F4C"/>
    <w:rsid w:val="59484EC2"/>
    <w:rsid w:val="59D8788A"/>
    <w:rsid w:val="5A85418B"/>
    <w:rsid w:val="5BAE2A99"/>
    <w:rsid w:val="5BB76680"/>
    <w:rsid w:val="5C1717D9"/>
    <w:rsid w:val="5C1A7007"/>
    <w:rsid w:val="5C20031E"/>
    <w:rsid w:val="5C8222FF"/>
    <w:rsid w:val="5CB139A0"/>
    <w:rsid w:val="5CD938B8"/>
    <w:rsid w:val="5D823D4C"/>
    <w:rsid w:val="5D912123"/>
    <w:rsid w:val="5DD54801"/>
    <w:rsid w:val="5E8E5AC1"/>
    <w:rsid w:val="5E921C4D"/>
    <w:rsid w:val="5EE83EB0"/>
    <w:rsid w:val="5EFB17CA"/>
    <w:rsid w:val="5F4A434F"/>
    <w:rsid w:val="5FDA2E56"/>
    <w:rsid w:val="6001186C"/>
    <w:rsid w:val="60DB3FC7"/>
    <w:rsid w:val="614E3A65"/>
    <w:rsid w:val="617D2E49"/>
    <w:rsid w:val="61BC4DC2"/>
    <w:rsid w:val="634675E2"/>
    <w:rsid w:val="638962A8"/>
    <w:rsid w:val="63BF3CCD"/>
    <w:rsid w:val="63F4509F"/>
    <w:rsid w:val="64603A24"/>
    <w:rsid w:val="6486046D"/>
    <w:rsid w:val="64BF36B4"/>
    <w:rsid w:val="64C76A4D"/>
    <w:rsid w:val="64FE6613"/>
    <w:rsid w:val="66980FBD"/>
    <w:rsid w:val="67341FB4"/>
    <w:rsid w:val="67F03A67"/>
    <w:rsid w:val="68D23C1D"/>
    <w:rsid w:val="69294622"/>
    <w:rsid w:val="69995CD6"/>
    <w:rsid w:val="69CA0494"/>
    <w:rsid w:val="69FB4D8B"/>
    <w:rsid w:val="6C2234CC"/>
    <w:rsid w:val="6D32159C"/>
    <w:rsid w:val="6D351CF7"/>
    <w:rsid w:val="6EB746A7"/>
    <w:rsid w:val="6F34277B"/>
    <w:rsid w:val="6F832092"/>
    <w:rsid w:val="7039129F"/>
    <w:rsid w:val="704D75D1"/>
    <w:rsid w:val="70506DB5"/>
    <w:rsid w:val="7072440C"/>
    <w:rsid w:val="7092622D"/>
    <w:rsid w:val="71CB356E"/>
    <w:rsid w:val="71EC2A56"/>
    <w:rsid w:val="721D7A06"/>
    <w:rsid w:val="737E090F"/>
    <w:rsid w:val="73E067CA"/>
    <w:rsid w:val="741756AE"/>
    <w:rsid w:val="741A563C"/>
    <w:rsid w:val="751414C1"/>
    <w:rsid w:val="755446EC"/>
    <w:rsid w:val="755E1E93"/>
    <w:rsid w:val="75752706"/>
    <w:rsid w:val="75AB4839"/>
    <w:rsid w:val="76015A01"/>
    <w:rsid w:val="76721B44"/>
    <w:rsid w:val="767C5E46"/>
    <w:rsid w:val="76B625A7"/>
    <w:rsid w:val="770C5354"/>
    <w:rsid w:val="782C7615"/>
    <w:rsid w:val="787D7581"/>
    <w:rsid w:val="78AF68A0"/>
    <w:rsid w:val="78C37659"/>
    <w:rsid w:val="790B56C3"/>
    <w:rsid w:val="7B0155BF"/>
    <w:rsid w:val="7BC16393"/>
    <w:rsid w:val="7C1D0C87"/>
    <w:rsid w:val="7CB108D8"/>
    <w:rsid w:val="7CE65B0A"/>
    <w:rsid w:val="7DE1586C"/>
    <w:rsid w:val="7E4C7A10"/>
    <w:rsid w:val="7E4D2297"/>
    <w:rsid w:val="7E583278"/>
    <w:rsid w:val="7EB52D4A"/>
    <w:rsid w:val="7EC43622"/>
    <w:rsid w:val="7ECA7D27"/>
    <w:rsid w:val="7EEC1A19"/>
    <w:rsid w:val="7EF735F0"/>
    <w:rsid w:val="7F0A2998"/>
    <w:rsid w:val="7F0B0D76"/>
    <w:rsid w:val="7F130E11"/>
    <w:rsid w:val="7FEB4240"/>
    <w:rsid w:val="7FF93B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0"/>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1"/>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2"/>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3"/>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
    <w:basedOn w:val="1"/>
    <w:qFormat/>
    <w:uiPriority w:val="0"/>
    <w:pPr>
      <w:keepNext/>
      <w:keepLines/>
      <w:spacing w:line="360" w:lineRule="auto"/>
      <w:ind w:firstLine="200" w:firstLineChars="200"/>
    </w:pPr>
    <w:rPr>
      <w:rFonts w:ascii="宋体" w:hAnsi="宋体"/>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34"/>
    <w:qFormat/>
    <w:uiPriority w:val="0"/>
    <w:rPr>
      <w:rFonts w:ascii="Times New Roman" w:hAnsi="Times New Roman" w:eastAsia="宋体" w:cs="Times New Roman"/>
      <w:color w:val="FF0000"/>
      <w:sz w:val="24"/>
      <w:szCs w:val="24"/>
    </w:rPr>
  </w:style>
  <w:style w:type="paragraph" w:styleId="10">
    <w:name w:val="Body Text"/>
    <w:basedOn w:val="1"/>
    <w:link w:val="35"/>
    <w:semiHidden/>
    <w:unhideWhenUsed/>
    <w:qFormat/>
    <w:uiPriority w:val="99"/>
    <w:pPr>
      <w:spacing w:after="120"/>
    </w:pPr>
  </w:style>
  <w:style w:type="paragraph" w:styleId="11">
    <w:name w:val="Body Text Indent"/>
    <w:basedOn w:val="1"/>
    <w:link w:val="57"/>
    <w:qFormat/>
    <w:uiPriority w:val="0"/>
    <w:pPr>
      <w:adjustRightInd w:val="0"/>
      <w:spacing w:after="120" w:line="360" w:lineRule="atLeast"/>
      <w:ind w:left="420" w:leftChars="200"/>
      <w:jc w:val="left"/>
      <w:textAlignment w:val="baseline"/>
    </w:pPr>
    <w:rPr>
      <w:kern w:val="0"/>
      <w:sz w:val="24"/>
      <w:szCs w:val="20"/>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6"/>
    <w:qFormat/>
    <w:uiPriority w:val="0"/>
    <w:rPr>
      <w:rFonts w:eastAsia="宋体"/>
      <w:sz w:val="24"/>
    </w:rPr>
  </w:style>
  <w:style w:type="paragraph" w:styleId="15">
    <w:name w:val="Date"/>
    <w:basedOn w:val="1"/>
    <w:next w:val="1"/>
    <w:link w:val="37"/>
    <w:unhideWhenUsed/>
    <w:qFormat/>
    <w:uiPriority w:val="99"/>
    <w:pPr>
      <w:ind w:left="100" w:leftChars="2500"/>
    </w:pPr>
  </w:style>
  <w:style w:type="paragraph" w:styleId="16">
    <w:name w:val="Balloon Text"/>
    <w:basedOn w:val="1"/>
    <w:link w:val="58"/>
    <w:semiHidden/>
    <w:unhideWhenUsed/>
    <w:qFormat/>
    <w:uiPriority w:val="99"/>
    <w:rPr>
      <w:sz w:val="18"/>
      <w:szCs w:val="18"/>
    </w:rPr>
  </w:style>
  <w:style w:type="paragraph" w:styleId="17">
    <w:name w:val="footer"/>
    <w:basedOn w:val="1"/>
    <w:link w:val="38"/>
    <w:unhideWhenUsed/>
    <w:qFormat/>
    <w:uiPriority w:val="99"/>
    <w:pPr>
      <w:tabs>
        <w:tab w:val="center" w:pos="4153"/>
        <w:tab w:val="right" w:pos="8306"/>
      </w:tabs>
      <w:snapToGrid w:val="0"/>
      <w:jc w:val="left"/>
    </w:pPr>
    <w:rPr>
      <w:sz w:val="18"/>
      <w:szCs w:val="18"/>
    </w:rPr>
  </w:style>
  <w:style w:type="paragraph" w:styleId="18">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4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paragraph" w:styleId="22">
    <w:name w:val="Body Text First Indent"/>
    <w:basedOn w:val="10"/>
    <w:next w:val="23"/>
    <w:link w:val="41"/>
    <w:qFormat/>
    <w:uiPriority w:val="0"/>
    <w:pPr>
      <w:ind w:firstLine="420" w:firstLineChars="100"/>
    </w:pPr>
    <w:rPr>
      <w:rFonts w:ascii="宋体" w:hAnsi="Times New Roman" w:eastAsia="宋体" w:cs="Times New Roman"/>
      <w:kern w:val="0"/>
      <w:sz w:val="34"/>
      <w:szCs w:val="20"/>
    </w:rPr>
  </w:style>
  <w:style w:type="paragraph" w:styleId="23">
    <w:name w:val="Body Text First Indent 2"/>
    <w:basedOn w:val="11"/>
    <w:qFormat/>
    <w:uiPriority w:val="0"/>
    <w:pPr>
      <w:ind w:firstLine="420" w:firstLineChars="200"/>
    </w:pPr>
    <w:rPr>
      <w:szCs w:val="24"/>
    </w:rPr>
  </w:style>
  <w:style w:type="character" w:styleId="26">
    <w:name w:val="Strong"/>
    <w:basedOn w:val="25"/>
    <w:qFormat/>
    <w:uiPriority w:val="22"/>
    <w:rPr>
      <w:b/>
      <w:bCs/>
    </w:rPr>
  </w:style>
  <w:style w:type="character" w:styleId="27">
    <w:name w:val="FollowedHyperlink"/>
    <w:basedOn w:val="25"/>
    <w:semiHidden/>
    <w:unhideWhenUsed/>
    <w:qFormat/>
    <w:uiPriority w:val="99"/>
    <w:rPr>
      <w:color w:val="800080" w:themeColor="followedHyperlink"/>
      <w:u w:val="single"/>
      <w14:textFill>
        <w14:solidFill>
          <w14:schemeClr w14:val="folHlink"/>
        </w14:solidFill>
      </w14:textFill>
    </w:rPr>
  </w:style>
  <w:style w:type="character" w:styleId="28">
    <w:name w:val="Emphasis"/>
    <w:basedOn w:val="25"/>
    <w:qFormat/>
    <w:uiPriority w:val="20"/>
    <w:rPr>
      <w:i/>
      <w:iCs/>
    </w:rPr>
  </w:style>
  <w:style w:type="character" w:styleId="29">
    <w:name w:val="Hyperlink"/>
    <w:basedOn w:val="25"/>
    <w:unhideWhenUsed/>
    <w:qFormat/>
    <w:uiPriority w:val="99"/>
    <w:rPr>
      <w:color w:val="0000FF"/>
      <w:u w:val="single"/>
    </w:rPr>
  </w:style>
  <w:style w:type="character" w:customStyle="1" w:styleId="30">
    <w:name w:val="标题 1 Char"/>
    <w:basedOn w:val="25"/>
    <w:link w:val="3"/>
    <w:qFormat/>
    <w:uiPriority w:val="0"/>
    <w:rPr>
      <w:rFonts w:ascii="Calibri" w:hAnsi="Calibri" w:eastAsia="宋体" w:cs="Times New Roman"/>
      <w:b/>
      <w:bCs/>
      <w:kern w:val="44"/>
      <w:sz w:val="44"/>
      <w:szCs w:val="44"/>
    </w:rPr>
  </w:style>
  <w:style w:type="character" w:customStyle="1" w:styleId="31">
    <w:name w:val="标题 2 Char"/>
    <w:basedOn w:val="25"/>
    <w:link w:val="4"/>
    <w:qFormat/>
    <w:uiPriority w:val="0"/>
    <w:rPr>
      <w:rFonts w:ascii="Arial" w:hAnsi="Arial" w:eastAsia="黑体" w:cs="Times New Roman"/>
      <w:b/>
      <w:bCs/>
      <w:sz w:val="32"/>
      <w:szCs w:val="32"/>
    </w:rPr>
  </w:style>
  <w:style w:type="character" w:customStyle="1" w:styleId="32">
    <w:name w:val="标题 3 Char"/>
    <w:basedOn w:val="25"/>
    <w:link w:val="5"/>
    <w:qFormat/>
    <w:uiPriority w:val="0"/>
    <w:rPr>
      <w:rFonts w:ascii="宋体" w:hAnsi="宋体" w:eastAsia="宋体" w:cs="Times New Roman"/>
      <w:b/>
      <w:color w:val="000000"/>
      <w:kern w:val="0"/>
      <w:sz w:val="24"/>
      <w:szCs w:val="20"/>
      <w:lang w:val="en-GB"/>
    </w:rPr>
  </w:style>
  <w:style w:type="character" w:customStyle="1" w:styleId="33">
    <w:name w:val="标题 4 Char"/>
    <w:basedOn w:val="25"/>
    <w:link w:val="6"/>
    <w:qFormat/>
    <w:uiPriority w:val="0"/>
    <w:rPr>
      <w:rFonts w:ascii="Arial" w:hAnsi="Arial" w:eastAsia="黑体" w:cs="Times New Roman"/>
      <w:b/>
      <w:bCs/>
      <w:sz w:val="28"/>
      <w:szCs w:val="28"/>
    </w:rPr>
  </w:style>
  <w:style w:type="character" w:customStyle="1" w:styleId="34">
    <w:name w:val="正文文本 3 Char"/>
    <w:basedOn w:val="25"/>
    <w:link w:val="9"/>
    <w:qFormat/>
    <w:uiPriority w:val="0"/>
    <w:rPr>
      <w:rFonts w:ascii="Times New Roman" w:hAnsi="Times New Roman" w:eastAsia="宋体" w:cs="Times New Roman"/>
      <w:color w:val="FF0000"/>
      <w:sz w:val="24"/>
      <w:szCs w:val="24"/>
    </w:rPr>
  </w:style>
  <w:style w:type="character" w:customStyle="1" w:styleId="35">
    <w:name w:val="正文文本 Char"/>
    <w:basedOn w:val="25"/>
    <w:link w:val="10"/>
    <w:semiHidden/>
    <w:qFormat/>
    <w:uiPriority w:val="99"/>
  </w:style>
  <w:style w:type="character" w:customStyle="1" w:styleId="36">
    <w:name w:val="纯文本 Char"/>
    <w:basedOn w:val="25"/>
    <w:link w:val="14"/>
    <w:qFormat/>
    <w:uiPriority w:val="0"/>
    <w:rPr>
      <w:rFonts w:eastAsia="宋体"/>
      <w:sz w:val="24"/>
    </w:rPr>
  </w:style>
  <w:style w:type="character" w:customStyle="1" w:styleId="37">
    <w:name w:val="日期 Char"/>
    <w:basedOn w:val="25"/>
    <w:link w:val="15"/>
    <w:qFormat/>
    <w:uiPriority w:val="99"/>
  </w:style>
  <w:style w:type="character" w:customStyle="1" w:styleId="38">
    <w:name w:val="页脚 Char"/>
    <w:basedOn w:val="25"/>
    <w:link w:val="17"/>
    <w:qFormat/>
    <w:uiPriority w:val="99"/>
    <w:rPr>
      <w:sz w:val="18"/>
      <w:szCs w:val="18"/>
    </w:rPr>
  </w:style>
  <w:style w:type="character" w:customStyle="1" w:styleId="39">
    <w:name w:val="页眉 Char"/>
    <w:basedOn w:val="25"/>
    <w:link w:val="18"/>
    <w:qFormat/>
    <w:uiPriority w:val="99"/>
    <w:rPr>
      <w:sz w:val="18"/>
      <w:szCs w:val="18"/>
    </w:rPr>
  </w:style>
  <w:style w:type="character" w:customStyle="1" w:styleId="40">
    <w:name w:val="HTML 预设格式 Char"/>
    <w:basedOn w:val="25"/>
    <w:link w:val="20"/>
    <w:semiHidden/>
    <w:qFormat/>
    <w:uiPriority w:val="99"/>
    <w:rPr>
      <w:rFonts w:ascii="宋体" w:hAnsi="宋体" w:eastAsia="宋体" w:cs="宋体"/>
      <w:kern w:val="0"/>
      <w:sz w:val="24"/>
      <w:szCs w:val="24"/>
    </w:rPr>
  </w:style>
  <w:style w:type="character" w:customStyle="1" w:styleId="41">
    <w:name w:val="正文首行缩进 Char"/>
    <w:basedOn w:val="35"/>
    <w:link w:val="22"/>
    <w:qFormat/>
    <w:uiPriority w:val="0"/>
    <w:rPr>
      <w:rFonts w:ascii="宋体" w:hAnsi="Times New Roman" w:eastAsia="宋体" w:cs="Times New Roman"/>
      <w:kern w:val="0"/>
      <w:sz w:val="34"/>
      <w:szCs w:val="20"/>
    </w:rPr>
  </w:style>
  <w:style w:type="character" w:customStyle="1" w:styleId="42">
    <w:name w:val="纯文本 Char1"/>
    <w:qFormat/>
    <w:uiPriority w:val="0"/>
    <w:rPr>
      <w:rFonts w:eastAsia="宋体"/>
      <w:sz w:val="24"/>
    </w:rPr>
  </w:style>
  <w:style w:type="paragraph" w:customStyle="1" w:styleId="43">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4">
    <w:name w:val="列出段落1"/>
    <w:basedOn w:val="1"/>
    <w:qFormat/>
    <w:uiPriority w:val="34"/>
    <w:pPr>
      <w:ind w:firstLine="420" w:firstLineChars="200"/>
    </w:pPr>
  </w:style>
  <w:style w:type="paragraph" w:styleId="45">
    <w:name w:val="List Paragraph"/>
    <w:basedOn w:val="1"/>
    <w:unhideWhenUsed/>
    <w:qFormat/>
    <w:uiPriority w:val="99"/>
    <w:pPr>
      <w:ind w:firstLine="420" w:firstLineChars="200"/>
    </w:pPr>
  </w:style>
  <w:style w:type="character" w:customStyle="1" w:styleId="46">
    <w:name w:val="正文文本缩进 Char Char"/>
    <w:link w:val="47"/>
    <w:qFormat/>
    <w:uiPriority w:val="0"/>
    <w:rPr>
      <w:rFonts w:ascii="宋体"/>
      <w:sz w:val="24"/>
    </w:rPr>
  </w:style>
  <w:style w:type="paragraph" w:customStyle="1" w:styleId="47">
    <w:name w:val="正文文本缩进1"/>
    <w:basedOn w:val="1"/>
    <w:link w:val="46"/>
    <w:qFormat/>
    <w:uiPriority w:val="0"/>
    <w:pPr>
      <w:spacing w:line="360" w:lineRule="auto"/>
      <w:ind w:firstLine="480" w:firstLineChars="200"/>
    </w:pPr>
    <w:rPr>
      <w:rFonts w:ascii="宋体"/>
      <w:sz w:val="24"/>
    </w:rPr>
  </w:style>
  <w:style w:type="character" w:customStyle="1" w:styleId="48">
    <w:name w:val="日期 Char Char"/>
    <w:link w:val="49"/>
    <w:qFormat/>
    <w:uiPriority w:val="0"/>
    <w:rPr>
      <w:sz w:val="24"/>
    </w:rPr>
  </w:style>
  <w:style w:type="paragraph" w:customStyle="1" w:styleId="49">
    <w:name w:val="日期1"/>
    <w:basedOn w:val="1"/>
    <w:next w:val="1"/>
    <w:link w:val="48"/>
    <w:qFormat/>
    <w:uiPriority w:val="0"/>
    <w:rPr>
      <w:sz w:val="24"/>
    </w:rPr>
  </w:style>
  <w:style w:type="paragraph" w:customStyle="1" w:styleId="50">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1">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2">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3">
    <w:name w:val="edittexttarea"/>
    <w:basedOn w:val="25"/>
    <w:qFormat/>
    <w:uiPriority w:val="0"/>
  </w:style>
  <w:style w:type="paragraph" w:customStyle="1" w:styleId="54">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5">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6">
    <w:name w:val="正文文本缩进 Char"/>
    <w:link w:val="11"/>
    <w:qFormat/>
    <w:uiPriority w:val="0"/>
    <w:rPr>
      <w:sz w:val="24"/>
    </w:rPr>
  </w:style>
  <w:style w:type="character" w:customStyle="1" w:styleId="57">
    <w:name w:val="正文文本缩进 Char1"/>
    <w:basedOn w:val="25"/>
    <w:link w:val="11"/>
    <w:semiHidden/>
    <w:qFormat/>
    <w:uiPriority w:val="99"/>
    <w:rPr>
      <w:kern w:val="2"/>
      <w:sz w:val="21"/>
      <w:szCs w:val="22"/>
    </w:rPr>
  </w:style>
  <w:style w:type="character" w:customStyle="1" w:styleId="58">
    <w:name w:val="批注框文本 Char"/>
    <w:basedOn w:val="25"/>
    <w:link w:val="16"/>
    <w:semiHidden/>
    <w:qFormat/>
    <w:uiPriority w:val="99"/>
    <w:rPr>
      <w:kern w:val="2"/>
      <w:sz w:val="18"/>
      <w:szCs w:val="18"/>
    </w:rPr>
  </w:style>
  <w:style w:type="character" w:customStyle="1" w:styleId="59">
    <w:name w:val="样式 标书正文 + 下划线 Char"/>
    <w:qFormat/>
    <w:uiPriority w:val="0"/>
    <w:rPr>
      <w:rFonts w:eastAsia="Ari"/>
      <w:kern w:val="2"/>
      <w:sz w:val="28"/>
      <w:szCs w:val="28"/>
      <w:u w:val="single"/>
      <w:lang w:val="en-US" w:eastAsia="zh-CN"/>
    </w:rPr>
  </w:style>
  <w:style w:type="paragraph" w:customStyle="1" w:styleId="60">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61">
    <w:name w:val="Plain Text"/>
    <w:basedOn w:val="1"/>
    <w:qFormat/>
    <w:uiPriority w:val="0"/>
    <w:rPr>
      <w:rFonts w:ascii="宋体" w:hAnsi="Courier New"/>
      <w:kern w:val="0"/>
      <w:sz w:val="20"/>
      <w:szCs w:val="21"/>
    </w:rPr>
  </w:style>
  <w:style w:type="character" w:customStyle="1" w:styleId="62">
    <w:name w:val="font131"/>
    <w:basedOn w:val="25"/>
    <w:qFormat/>
    <w:uiPriority w:val="0"/>
    <w:rPr>
      <w:rFonts w:hint="eastAsia" w:ascii="宋体" w:hAnsi="宋体" w:eastAsia="宋体" w:cs="宋体"/>
      <w:color w:val="000000"/>
      <w:sz w:val="24"/>
      <w:szCs w:val="24"/>
      <w:u w:val="none"/>
    </w:rPr>
  </w:style>
  <w:style w:type="character" w:customStyle="1" w:styleId="63">
    <w:name w:val="font61"/>
    <w:basedOn w:val="25"/>
    <w:qFormat/>
    <w:uiPriority w:val="0"/>
    <w:rPr>
      <w:rFonts w:hint="eastAsia" w:ascii="宋体" w:hAnsi="宋体" w:eastAsia="宋体" w:cs="宋体"/>
      <w:color w:val="000000"/>
      <w:sz w:val="24"/>
      <w:szCs w:val="24"/>
      <w:u w:val="none"/>
    </w:rPr>
  </w:style>
  <w:style w:type="character" w:customStyle="1" w:styleId="64">
    <w:name w:val="font11"/>
    <w:basedOn w:val="25"/>
    <w:qFormat/>
    <w:uiPriority w:val="0"/>
    <w:rPr>
      <w:rFonts w:hint="default" w:ascii="Tahoma" w:hAnsi="Tahoma" w:eastAsia="Tahoma" w:cs="Tahoma"/>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5E6AB-26FF-4703-85F4-72F8C14235AC}">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64</Pages>
  <Words>5181</Words>
  <Characters>29533</Characters>
  <Lines>246</Lines>
  <Paragraphs>69</Paragraphs>
  <TotalTime>1</TotalTime>
  <ScaleCrop>false</ScaleCrop>
  <LinksUpToDate>false</LinksUpToDate>
  <CharactersWithSpaces>34645</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许昌市公共资源交易中心:孟莉</dc:creator>
  <cp:lastModifiedBy>禹州市公共资源交易中心:侯英红</cp:lastModifiedBy>
  <cp:lastPrinted>2018-03-20T03:26:00Z</cp:lastPrinted>
  <dcterms:modified xsi:type="dcterms:W3CDTF">2019-08-15T04:32:13Z</dcterms:modified>
  <cp:revision>539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