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2" w:rsidRPr="002C2588" w:rsidRDefault="008F13EB" w:rsidP="00D60FF3">
      <w:pPr>
        <w:widowControl/>
        <w:spacing w:line="360" w:lineRule="atLeast"/>
        <w:jc w:val="center"/>
        <w:rPr>
          <w:rFonts w:asciiTheme="minorEastAsia" w:hAnsiTheme="minorEastAsia" w:cs="仿宋_GB2312"/>
          <w:b/>
          <w:color w:val="000000"/>
          <w:kern w:val="0"/>
          <w:sz w:val="44"/>
          <w:szCs w:val="44"/>
          <w:shd w:val="clear" w:color="auto" w:fill="FFFFFF"/>
        </w:rPr>
      </w:pPr>
      <w:r w:rsidRPr="008F13EB">
        <w:rPr>
          <w:rFonts w:asciiTheme="minorEastAsia" w:hAnsiTheme="minorEastAsia" w:cs="仿宋_GB2312" w:hint="eastAsia"/>
          <w:b/>
          <w:color w:val="000000"/>
          <w:kern w:val="0"/>
          <w:sz w:val="44"/>
          <w:szCs w:val="44"/>
          <w:shd w:val="clear" w:color="auto" w:fill="FFFFFF"/>
        </w:rPr>
        <w:t>许昌市卫生健康委员会“许昌市60周岁以上独生子女父母及特殊家庭住院护理扶助保险”</w:t>
      </w:r>
      <w:r w:rsidR="00D60FF3" w:rsidRPr="00D60FF3">
        <w:rPr>
          <w:rFonts w:asciiTheme="minorEastAsia" w:hAnsiTheme="minorEastAsia" w:cs="仿宋_GB2312" w:hint="eastAsia"/>
          <w:b/>
          <w:color w:val="000000"/>
          <w:kern w:val="0"/>
          <w:sz w:val="44"/>
          <w:szCs w:val="44"/>
          <w:shd w:val="clear" w:color="auto" w:fill="FFFFFF"/>
        </w:rPr>
        <w:t>服务</w:t>
      </w:r>
      <w:r w:rsidR="00D60FF3" w:rsidRPr="002C2588">
        <w:rPr>
          <w:rFonts w:asciiTheme="minorEastAsia" w:hAnsiTheme="minorEastAsia" w:cs="仿宋_GB2312" w:hint="eastAsia"/>
          <w:b/>
          <w:color w:val="000000"/>
          <w:kern w:val="0"/>
          <w:sz w:val="44"/>
          <w:szCs w:val="44"/>
          <w:shd w:val="clear" w:color="auto" w:fill="FFFFFF"/>
        </w:rPr>
        <w:t>项目</w:t>
      </w:r>
      <w:r w:rsidR="002C12B0" w:rsidRPr="002C2588">
        <w:rPr>
          <w:rFonts w:asciiTheme="minorEastAsia" w:hAnsiTheme="minorEastAsia" w:cs="仿宋_GB2312"/>
          <w:b/>
          <w:color w:val="000000"/>
          <w:kern w:val="0"/>
          <w:sz w:val="44"/>
          <w:szCs w:val="44"/>
          <w:shd w:val="clear" w:color="auto" w:fill="FFFFFF"/>
        </w:rPr>
        <w:t>采购需求</w:t>
      </w:r>
      <w:bookmarkStart w:id="0" w:name="_GoBack"/>
      <w:bookmarkEnd w:id="0"/>
    </w:p>
    <w:p w:rsidR="00D60FF3" w:rsidRDefault="00D60FF3">
      <w:pPr>
        <w:widowControl/>
        <w:spacing w:line="360" w:lineRule="atLeast"/>
        <w:ind w:firstLine="600"/>
        <w:jc w:val="left"/>
        <w:rPr>
          <w:rFonts w:ascii="黑体" w:eastAsia="黑体" w:hAnsi="宋体" w:cs="黑体"/>
          <w:color w:val="000000"/>
          <w:kern w:val="0"/>
          <w:sz w:val="30"/>
          <w:szCs w:val="30"/>
          <w:shd w:val="clear" w:color="auto" w:fill="FFFFFF"/>
        </w:rPr>
      </w:pPr>
    </w:p>
    <w:p w:rsidR="00E250F2" w:rsidRDefault="00D60FF3">
      <w:pPr>
        <w:widowControl/>
        <w:spacing w:line="360" w:lineRule="atLeast"/>
        <w:ind w:firstLine="600"/>
        <w:jc w:val="left"/>
      </w:pPr>
      <w:r>
        <w:rPr>
          <w:rFonts w:ascii="黑体" w:eastAsia="黑体" w:hAnsi="宋体" w:cs="黑体" w:hint="eastAsia"/>
          <w:color w:val="000000"/>
          <w:kern w:val="0"/>
          <w:sz w:val="30"/>
          <w:szCs w:val="30"/>
          <w:shd w:val="clear" w:color="auto" w:fill="FFFFFF"/>
        </w:rPr>
        <w:t>一</w:t>
      </w:r>
      <w:r w:rsidR="002C12B0">
        <w:rPr>
          <w:rFonts w:ascii="黑体" w:eastAsia="黑体" w:hAnsi="宋体" w:cs="黑体" w:hint="eastAsia"/>
          <w:color w:val="000000"/>
          <w:kern w:val="0"/>
          <w:sz w:val="30"/>
          <w:szCs w:val="30"/>
          <w:shd w:val="clear" w:color="auto" w:fill="FFFFFF"/>
        </w:rPr>
        <w:t>、采购需求</w:t>
      </w:r>
    </w:p>
    <w:p w:rsidR="00E250F2" w:rsidRPr="008F13EB" w:rsidRDefault="002C12B0" w:rsidP="008F13EB">
      <w:pPr>
        <w:widowControl/>
        <w:shd w:val="clear" w:color="auto" w:fill="FFFFFF"/>
        <w:spacing w:line="600" w:lineRule="exact"/>
        <w:ind w:firstLineChars="200" w:firstLine="600"/>
        <w:jc w:val="left"/>
        <w:rPr>
          <w:rFonts w:ascii="仿宋" w:eastAsia="仿宋" w:hAnsi="宋体" w:cs="宋体"/>
          <w:kern w:val="0"/>
          <w:sz w:val="30"/>
          <w:szCs w:val="30"/>
        </w:rPr>
      </w:pPr>
      <w:r w:rsidRPr="008F13EB">
        <w:rPr>
          <w:rFonts w:ascii="仿宋" w:eastAsia="仿宋" w:hAnsi="宋体" w:cs="宋体" w:hint="eastAsia"/>
          <w:kern w:val="0"/>
          <w:sz w:val="30"/>
          <w:szCs w:val="30"/>
        </w:rPr>
        <w:t>（一）本项目需实现的功能或者目标</w:t>
      </w:r>
    </w:p>
    <w:p w:rsidR="008F13EB" w:rsidRP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sidRPr="008F13EB">
        <w:rPr>
          <w:rFonts w:ascii="仿宋" w:eastAsia="仿宋" w:hAnsi="宋体" w:cs="宋体" w:hint="eastAsia"/>
          <w:kern w:val="0"/>
          <w:sz w:val="30"/>
          <w:szCs w:val="30"/>
        </w:rPr>
        <w:t>对全市60周岁以上的独生子女父母和特殊家庭父母在住院期间提供一定的住院护理扶助资金，其中独生子女父母每人每天100元，特殊家庭父母每人每天150元，每年累计不超过60天，不住院则不予以该项扶助。</w:t>
      </w:r>
    </w:p>
    <w:p w:rsidR="008F13EB" w:rsidRDefault="008F13EB" w:rsidP="008F13EB">
      <w:pPr>
        <w:widowControl/>
        <w:shd w:val="clear" w:color="auto" w:fill="FFFFFF"/>
        <w:spacing w:line="600" w:lineRule="exact"/>
        <w:ind w:firstLine="600"/>
        <w:jc w:val="left"/>
        <w:rPr>
          <w:rFonts w:ascii="宋体" w:hAnsi="宋体" w:cs="宋体"/>
          <w:kern w:val="0"/>
          <w:sz w:val="24"/>
        </w:rPr>
      </w:pPr>
      <w:r>
        <w:rPr>
          <w:rFonts w:ascii="仿宋" w:eastAsia="仿宋" w:hAnsi="宋体" w:cs="宋体" w:hint="eastAsia"/>
          <w:kern w:val="0"/>
          <w:sz w:val="30"/>
          <w:szCs w:val="30"/>
        </w:rPr>
        <w:t>（二）采购清单</w:t>
      </w:r>
    </w:p>
    <w:p w:rsidR="009F2B9F" w:rsidRDefault="008F13EB" w:rsidP="009F2B9F">
      <w:pPr>
        <w:widowControl/>
        <w:shd w:val="clear" w:color="auto" w:fill="FFFFFF"/>
        <w:spacing w:line="600" w:lineRule="exact"/>
        <w:ind w:firstLineChars="200" w:firstLine="600"/>
        <w:jc w:val="left"/>
        <w:rPr>
          <w:rFonts w:ascii="仿宋" w:eastAsia="仿宋" w:hAnsi="宋体" w:cs="宋体" w:hint="eastAsia"/>
          <w:kern w:val="0"/>
          <w:sz w:val="30"/>
          <w:szCs w:val="30"/>
        </w:rPr>
      </w:pPr>
      <w:r w:rsidRPr="008F13EB">
        <w:rPr>
          <w:rFonts w:ascii="仿宋" w:eastAsia="仿宋" w:hAnsi="宋体" w:cs="宋体" w:hint="eastAsia"/>
          <w:kern w:val="0"/>
          <w:sz w:val="30"/>
          <w:szCs w:val="30"/>
        </w:rPr>
        <w:t>许昌市60周岁以上独生子女父母及特殊家庭住院护理扶助项目分为两个部分。一部分是60周岁以上独生子女父母住院护理扶助保险，标准为扶助对象住院期间按每人每天100元的标准进行扶助，一年累计不超过60天；另一部分为女方年龄在49周岁以上的失独家庭或独生子女伤残家庭父母住院护理扶助保险，标准为扶助对象住院期间按每人每天150元的标准进行扶助，一年累计不超过60天。1年服务期内扶助对象人数合计50381人。</w:t>
      </w:r>
    </w:p>
    <w:p w:rsidR="006E040B" w:rsidRPr="006E040B" w:rsidRDefault="006E040B" w:rsidP="009F2B9F">
      <w:pPr>
        <w:widowControl/>
        <w:shd w:val="clear" w:color="auto" w:fill="FFFFFF"/>
        <w:spacing w:line="600" w:lineRule="exact"/>
        <w:ind w:firstLineChars="200" w:firstLine="600"/>
        <w:jc w:val="left"/>
        <w:rPr>
          <w:rFonts w:ascii="仿宋" w:eastAsia="仿宋" w:hAnsi="仿宋" w:cs="仿宋"/>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w:t>
      </w:r>
      <w:r w:rsidR="008F13EB">
        <w:rPr>
          <w:rFonts w:ascii="仿宋" w:eastAsia="仿宋" w:hAnsi="仿宋" w:cs="仿宋" w:hint="eastAsia"/>
          <w:color w:val="000000"/>
          <w:kern w:val="0"/>
          <w:sz w:val="30"/>
          <w:szCs w:val="30"/>
          <w:shd w:val="clear" w:color="auto" w:fill="FFFFFF"/>
        </w:rPr>
        <w:t>三</w:t>
      </w:r>
      <w:r w:rsidRPr="006E040B">
        <w:rPr>
          <w:rFonts w:ascii="仿宋" w:eastAsia="仿宋" w:hAnsi="仿宋" w:cs="仿宋" w:hint="eastAsia"/>
          <w:color w:val="000000"/>
          <w:kern w:val="0"/>
          <w:sz w:val="30"/>
          <w:szCs w:val="30"/>
          <w:shd w:val="clear" w:color="auto" w:fill="FFFFFF"/>
        </w:rPr>
        <w:t>）采购标的执行标准（无）</w:t>
      </w:r>
    </w:p>
    <w:p w:rsidR="006E040B" w:rsidRPr="006E040B" w:rsidRDefault="006E040B" w:rsidP="006E040B">
      <w:pPr>
        <w:tabs>
          <w:tab w:val="left" w:pos="788"/>
        </w:tabs>
        <w:ind w:leftChars="200" w:left="420"/>
        <w:rPr>
          <w:rFonts w:ascii="仿宋" w:eastAsia="仿宋" w:hAnsi="仿宋" w:cs="仿宋"/>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 xml:space="preserve"> （</w:t>
      </w:r>
      <w:r w:rsidR="008F13EB">
        <w:rPr>
          <w:rFonts w:ascii="仿宋" w:eastAsia="仿宋" w:hAnsi="仿宋" w:cs="仿宋" w:hint="eastAsia"/>
          <w:color w:val="000000"/>
          <w:kern w:val="0"/>
          <w:sz w:val="30"/>
          <w:szCs w:val="30"/>
          <w:shd w:val="clear" w:color="auto" w:fill="FFFFFF"/>
        </w:rPr>
        <w:t>四</w:t>
      </w:r>
      <w:r w:rsidRPr="006E040B">
        <w:rPr>
          <w:rFonts w:ascii="仿宋" w:eastAsia="仿宋" w:hAnsi="仿宋" w:cs="仿宋" w:hint="eastAsia"/>
          <w:color w:val="000000"/>
          <w:kern w:val="0"/>
          <w:sz w:val="30"/>
          <w:szCs w:val="30"/>
          <w:shd w:val="clear" w:color="auto" w:fill="FFFFFF"/>
        </w:rPr>
        <w:t>）服务标准、期限、效率等要求</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bookmarkStart w:id="1" w:name="OLE_LINK3"/>
      <w:r>
        <w:rPr>
          <w:rFonts w:ascii="仿宋" w:eastAsia="仿宋" w:hAnsi="宋体" w:cs="宋体" w:hint="eastAsia"/>
          <w:kern w:val="0"/>
          <w:sz w:val="30"/>
          <w:szCs w:val="30"/>
        </w:rPr>
        <w:t>1、扶助对象</w:t>
      </w:r>
      <w:bookmarkEnd w:id="1"/>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lastRenderedPageBreak/>
        <w:t>60周岁以上独生子女父母及特殊家庭住院护理扶助对象以个人为单位，必须同时符合以下三个条件:</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t>（1）扶助对象具有许昌市辖各县（市、区）城乡居民户籍。</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t>（2）扶助对象在1933年1月1日后出生，其中独生子女父母年满60周岁；失独家庭或独生子女伤残家庭女方年满49周岁。</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t>（3）扶助对象自1973年以来没有违反计划生育政策法规生育且现存一个子女（含依法收养）且已领取《独生子女父母光荣证》或子女死亡现无子女或独生子女伤残级别三级以上的。</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t>2、扶助方式和标准</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t>通过购买商业保险的形式为全市60周岁以上独生子女父母及特殊家庭发放住院护理补贴，商业保险购买由市级统筹。60周岁以上独生子女父母及特殊家庭住院期间，由商业保险机构给予每天100元的扶助，一年累计不超过60天；失独家庭或独生子女伤残家庭父母，由商业保险机构给予每天150元的扶助，一年累计不超过60天。其中，60周岁以上独生子女父母及特殊家庭住院护理费补贴的保险年度为自项目实施之日起，为期三个自然年度。跨年度单次住院且符合住院护理补贴规定的，可跨年度分别计算补贴费用，属于上年度的按照上年度政策执行，属于当年度的按照当年度政策执行。</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t>3、扶助资金的申请、审核和发放</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t>扶助对象出院后向所在县（市、区）商业保险机构提出扶助申请，统一提交申请材料。申请材料主要包括申请人身份证，户</w:t>
      </w:r>
      <w:r>
        <w:rPr>
          <w:rFonts w:ascii="仿宋" w:eastAsia="仿宋" w:hAnsi="宋体" w:cs="宋体" w:hint="eastAsia"/>
          <w:kern w:val="0"/>
          <w:sz w:val="30"/>
          <w:szCs w:val="30"/>
        </w:rPr>
        <w:lastRenderedPageBreak/>
        <w:t>口本（若委托办理，同时提交委托人身份证），独生子女父母光荣证、独生子女证或相关证明材料，银行卡或存折等资料原件、复印件；加盖医疗机构公章的费用结算票据、费用清单、病历复印件，以及异地就医转诊手续、疾病诊断证明、出院小结原件或加盖医疗机构公章的复印件。</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t>商业保险机构受理申请后5个工作日内完成审核，经审核不符合条件的，应以书面形式通知申请人，并说明理由。</w:t>
      </w:r>
    </w:p>
    <w:p w:rsidR="008F13EB" w:rsidRDefault="008F13EB" w:rsidP="008F13EB">
      <w:pPr>
        <w:widowControl/>
        <w:shd w:val="clear" w:color="auto" w:fill="FFFFFF"/>
        <w:spacing w:line="600" w:lineRule="exact"/>
        <w:ind w:firstLineChars="200" w:firstLine="600"/>
        <w:jc w:val="left"/>
        <w:rPr>
          <w:rFonts w:ascii="仿宋" w:eastAsia="仿宋" w:hAnsi="宋体" w:cs="宋体" w:hint="eastAsia"/>
          <w:kern w:val="0"/>
          <w:sz w:val="30"/>
          <w:szCs w:val="30"/>
        </w:rPr>
      </w:pPr>
      <w:r>
        <w:rPr>
          <w:rFonts w:ascii="仿宋" w:eastAsia="仿宋" w:hAnsi="宋体" w:cs="宋体" w:hint="eastAsia"/>
          <w:kern w:val="0"/>
          <w:sz w:val="30"/>
          <w:szCs w:val="30"/>
        </w:rPr>
        <w:t>经审核符合扶助条件的，商业保险机构在20个工作日内将扶助金发放至扶助对象指定账户。</w:t>
      </w:r>
    </w:p>
    <w:p w:rsidR="008F13EB" w:rsidRDefault="008F13EB" w:rsidP="008F13EB">
      <w:pPr>
        <w:widowControl/>
        <w:shd w:val="clear" w:color="auto" w:fill="FFFFFF"/>
        <w:spacing w:line="600" w:lineRule="exact"/>
        <w:ind w:firstLineChars="200" w:firstLine="600"/>
        <w:jc w:val="left"/>
        <w:rPr>
          <w:rFonts w:ascii="仿宋" w:eastAsia="仿宋" w:hAnsi="宋体" w:cs="宋体"/>
          <w:kern w:val="0"/>
          <w:sz w:val="30"/>
          <w:szCs w:val="30"/>
        </w:rPr>
      </w:pPr>
      <w:r>
        <w:rPr>
          <w:rFonts w:ascii="仿宋" w:eastAsia="仿宋" w:hAnsi="宋体" w:cs="宋体" w:hint="eastAsia"/>
          <w:kern w:val="0"/>
          <w:sz w:val="30"/>
          <w:szCs w:val="30"/>
        </w:rPr>
        <w:t>为保障住院护理扶助保险工作有效开展，商业保险机构需在市本级及各县（市、区）分支机构设置服务窗口，在各级服务窗口提供不低于2名工作人员（至少有一名医药卫生类专业人员），专职为扶助对象提供住院护理扶助保险日常服务。</w:t>
      </w:r>
    </w:p>
    <w:p w:rsidR="006E040B" w:rsidRPr="008F13EB" w:rsidRDefault="006E040B" w:rsidP="008F13EB">
      <w:pPr>
        <w:widowControl/>
        <w:shd w:val="clear" w:color="auto" w:fill="FFFFFF"/>
        <w:spacing w:line="600" w:lineRule="exact"/>
        <w:ind w:firstLineChars="200" w:firstLine="600"/>
        <w:jc w:val="left"/>
        <w:rPr>
          <w:rFonts w:ascii="仿宋" w:eastAsia="仿宋" w:hAnsi="宋体" w:cs="宋体"/>
          <w:kern w:val="0"/>
          <w:sz w:val="30"/>
          <w:szCs w:val="30"/>
        </w:rPr>
      </w:pPr>
      <w:r w:rsidRPr="008F13EB">
        <w:rPr>
          <w:rFonts w:ascii="仿宋" w:eastAsia="仿宋" w:hAnsi="宋体" w:cs="宋体" w:hint="eastAsia"/>
          <w:kern w:val="0"/>
          <w:sz w:val="30"/>
          <w:szCs w:val="30"/>
        </w:rPr>
        <w:t>（</w:t>
      </w:r>
      <w:r w:rsidR="008F13EB" w:rsidRPr="008F13EB">
        <w:rPr>
          <w:rFonts w:ascii="仿宋" w:eastAsia="仿宋" w:hAnsi="宋体" w:cs="宋体" w:hint="eastAsia"/>
          <w:kern w:val="0"/>
          <w:sz w:val="30"/>
          <w:szCs w:val="30"/>
        </w:rPr>
        <w:t>五</w:t>
      </w:r>
      <w:r w:rsidRPr="008F13EB">
        <w:rPr>
          <w:rFonts w:ascii="仿宋" w:eastAsia="仿宋" w:hAnsi="宋体" w:cs="宋体" w:hint="eastAsia"/>
          <w:kern w:val="0"/>
          <w:sz w:val="30"/>
          <w:szCs w:val="30"/>
        </w:rPr>
        <w:t>）验收标准</w:t>
      </w:r>
    </w:p>
    <w:p w:rsidR="008F13EB" w:rsidRPr="008F13EB" w:rsidRDefault="008F13EB" w:rsidP="008F13EB">
      <w:pPr>
        <w:widowControl/>
        <w:shd w:val="clear" w:color="auto" w:fill="FFFFFF"/>
        <w:spacing w:line="600" w:lineRule="exact"/>
        <w:ind w:firstLineChars="200" w:firstLine="600"/>
        <w:jc w:val="left"/>
        <w:rPr>
          <w:rFonts w:ascii="仿宋" w:eastAsia="仿宋" w:hAnsi="宋体" w:cs="宋体"/>
          <w:kern w:val="0"/>
          <w:sz w:val="30"/>
          <w:szCs w:val="30"/>
        </w:rPr>
      </w:pPr>
      <w:r>
        <w:rPr>
          <w:rFonts w:ascii="仿宋" w:eastAsia="仿宋" w:hAnsi="宋体" w:cs="宋体" w:hint="eastAsia"/>
          <w:kern w:val="0"/>
          <w:sz w:val="30"/>
          <w:szCs w:val="30"/>
        </w:rPr>
        <w:t>1、由采购人成立验收小组,按采购合同的约定对中标人履约情况进行验收。验收时,按采购合同的约定对每一项技术、服务、安全标准的履约情况进行确认。验收结束后,出具验收书,列明各项标准的验收情况及项目总体评价,由验收双方共同签署。</w:t>
      </w:r>
    </w:p>
    <w:p w:rsidR="008F13EB" w:rsidRPr="008F13EB" w:rsidRDefault="008F13EB" w:rsidP="008F13EB">
      <w:pPr>
        <w:widowControl/>
        <w:shd w:val="clear" w:color="auto" w:fill="FFFFFF"/>
        <w:spacing w:line="600" w:lineRule="exact"/>
        <w:ind w:firstLineChars="200" w:firstLine="600"/>
        <w:jc w:val="left"/>
        <w:rPr>
          <w:rFonts w:ascii="仿宋" w:eastAsia="仿宋" w:hAnsi="宋体" w:cs="宋体"/>
          <w:kern w:val="0"/>
          <w:sz w:val="30"/>
          <w:szCs w:val="30"/>
        </w:rPr>
      </w:pPr>
      <w:r>
        <w:rPr>
          <w:rFonts w:ascii="仿宋" w:eastAsia="仿宋" w:hAnsi="宋体" w:cs="宋体" w:hint="eastAsia"/>
          <w:kern w:val="0"/>
          <w:sz w:val="30"/>
          <w:szCs w:val="30"/>
        </w:rPr>
        <w:t>2、按照招标文件要求、投标文件响应和承诺验收；</w:t>
      </w:r>
    </w:p>
    <w:p w:rsidR="003F1CAE" w:rsidRPr="008F13EB" w:rsidRDefault="008F13EB" w:rsidP="00217A26">
      <w:pPr>
        <w:widowControl/>
        <w:shd w:val="clear" w:color="auto" w:fill="FFFFFF"/>
        <w:spacing w:line="600" w:lineRule="exact"/>
        <w:ind w:firstLineChars="200" w:firstLine="600"/>
        <w:jc w:val="left"/>
        <w:rPr>
          <w:rFonts w:ascii="仿宋" w:eastAsia="仿宋" w:hAnsi="仿宋"/>
          <w:sz w:val="30"/>
          <w:szCs w:val="30"/>
        </w:rPr>
      </w:pPr>
      <w:r>
        <w:rPr>
          <w:rFonts w:ascii="仿宋" w:eastAsia="仿宋" w:hAnsi="宋体" w:cs="宋体" w:hint="eastAsia"/>
          <w:kern w:val="0"/>
          <w:sz w:val="30"/>
          <w:szCs w:val="30"/>
        </w:rPr>
        <w:t>3、按照国家相关标准、行业</w:t>
      </w:r>
      <w:r w:rsidR="00EE40E5">
        <w:rPr>
          <w:rFonts w:ascii="仿宋" w:eastAsia="仿宋" w:hAnsi="宋体" w:cs="宋体" w:hint="eastAsia"/>
          <w:kern w:val="0"/>
          <w:sz w:val="30"/>
          <w:szCs w:val="30"/>
        </w:rPr>
        <w:t>标准、地方标准或者其他标准、规范验收（与采购标的执行标准一致）。</w:t>
      </w:r>
    </w:p>
    <w:sectPr w:rsidR="003F1CAE" w:rsidRPr="008F13EB" w:rsidSect="00E250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B44" w:rsidRDefault="00426B44" w:rsidP="00E250F2">
      <w:r>
        <w:separator/>
      </w:r>
    </w:p>
  </w:endnote>
  <w:endnote w:type="continuationSeparator" w:id="1">
    <w:p w:rsidR="00426B44" w:rsidRDefault="00426B44" w:rsidP="00E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F2" w:rsidRDefault="00974077">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250F2" w:rsidRDefault="00974077">
                <w:pPr>
                  <w:pStyle w:val="a6"/>
                </w:pPr>
                <w:r>
                  <w:rPr>
                    <w:rFonts w:hint="eastAsia"/>
                  </w:rPr>
                  <w:fldChar w:fldCharType="begin"/>
                </w:r>
                <w:r w:rsidR="002C12B0">
                  <w:rPr>
                    <w:rFonts w:hint="eastAsia"/>
                  </w:rPr>
                  <w:instrText xml:space="preserve"> PAGE  \* MERGEFORMAT </w:instrText>
                </w:r>
                <w:r>
                  <w:rPr>
                    <w:rFonts w:hint="eastAsia"/>
                  </w:rPr>
                  <w:fldChar w:fldCharType="separate"/>
                </w:r>
                <w:r w:rsidR="00217A26">
                  <w:rPr>
                    <w:noProof/>
                  </w:rPr>
                  <w:t>1</w:t>
                </w:r>
                <w:r>
                  <w:rPr>
                    <w:rFonts w:hint="eastAsia"/>
                  </w:rPr>
                  <w:fldChar w:fldCharType="end"/>
                </w:r>
              </w:p>
            </w:txbxContent>
          </v:textbox>
          <w10:wrap anchorx="margin"/>
        </v:shape>
      </w:pict>
    </w:r>
  </w:p>
  <w:p w:rsidR="00E250F2" w:rsidRDefault="00E250F2">
    <w:pPr>
      <w:pStyle w:val="a6"/>
    </w:pPr>
  </w:p>
  <w:p w:rsidR="00E250F2" w:rsidRDefault="00E25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B44" w:rsidRDefault="00426B44" w:rsidP="00E250F2">
      <w:r>
        <w:separator/>
      </w:r>
    </w:p>
  </w:footnote>
  <w:footnote w:type="continuationSeparator" w:id="1">
    <w:p w:rsidR="00426B44" w:rsidRDefault="00426B44" w:rsidP="00E2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F2C23"/>
    <w:multiLevelType w:val="multilevel"/>
    <w:tmpl w:val="576F2C23"/>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576F2E38"/>
    <w:multiLevelType w:val="multilevel"/>
    <w:tmpl w:val="576F2E38"/>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5AC348F0"/>
    <w:multiLevelType w:val="singleLevel"/>
    <w:tmpl w:val="5AC348F0"/>
    <w:lvl w:ilvl="0">
      <w:start w:val="2"/>
      <w:numFmt w:val="chineseCounting"/>
      <w:suff w:val="nothing"/>
      <w:lvlText w:val="（%1）"/>
      <w:lvlJc w:val="left"/>
      <w:rPr>
        <w:rFonts w:hint="eastAsia"/>
      </w:rPr>
    </w:lvl>
  </w:abstractNum>
  <w:abstractNum w:abstractNumId="3">
    <w:nsid w:val="5BFDE6F2"/>
    <w:multiLevelType w:val="singleLevel"/>
    <w:tmpl w:val="5BFDE6F2"/>
    <w:lvl w:ilvl="0">
      <w:start w:val="3"/>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84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7A5"/>
    <w:rsid w:val="000669F7"/>
    <w:rsid w:val="000723FA"/>
    <w:rsid w:val="000A294C"/>
    <w:rsid w:val="000A6A2A"/>
    <w:rsid w:val="000F5374"/>
    <w:rsid w:val="00101164"/>
    <w:rsid w:val="00101AC5"/>
    <w:rsid w:val="001261F7"/>
    <w:rsid w:val="00186658"/>
    <w:rsid w:val="00187FB8"/>
    <w:rsid w:val="001A2E28"/>
    <w:rsid w:val="001B48F2"/>
    <w:rsid w:val="00217A26"/>
    <w:rsid w:val="00250AF2"/>
    <w:rsid w:val="002A6926"/>
    <w:rsid w:val="002B495C"/>
    <w:rsid w:val="002C12B0"/>
    <w:rsid w:val="002C2588"/>
    <w:rsid w:val="003529F0"/>
    <w:rsid w:val="00357A89"/>
    <w:rsid w:val="00366AE1"/>
    <w:rsid w:val="0037746A"/>
    <w:rsid w:val="003B1D33"/>
    <w:rsid w:val="003B661B"/>
    <w:rsid w:val="003D25B3"/>
    <w:rsid w:val="003D7551"/>
    <w:rsid w:val="003F1701"/>
    <w:rsid w:val="003F1CAE"/>
    <w:rsid w:val="00403638"/>
    <w:rsid w:val="00426B44"/>
    <w:rsid w:val="00451DA5"/>
    <w:rsid w:val="004544E0"/>
    <w:rsid w:val="004731EC"/>
    <w:rsid w:val="004A52BB"/>
    <w:rsid w:val="004B24B7"/>
    <w:rsid w:val="004B6662"/>
    <w:rsid w:val="004D1349"/>
    <w:rsid w:val="004D4FB3"/>
    <w:rsid w:val="00507555"/>
    <w:rsid w:val="0050783E"/>
    <w:rsid w:val="00526FD7"/>
    <w:rsid w:val="00585E36"/>
    <w:rsid w:val="005979AE"/>
    <w:rsid w:val="005E135E"/>
    <w:rsid w:val="006E040B"/>
    <w:rsid w:val="00753450"/>
    <w:rsid w:val="00776CF9"/>
    <w:rsid w:val="00787450"/>
    <w:rsid w:val="00796702"/>
    <w:rsid w:val="00843292"/>
    <w:rsid w:val="008C1236"/>
    <w:rsid w:val="008C4C47"/>
    <w:rsid w:val="008D092D"/>
    <w:rsid w:val="008F13EB"/>
    <w:rsid w:val="009111D3"/>
    <w:rsid w:val="009230F9"/>
    <w:rsid w:val="009435A1"/>
    <w:rsid w:val="009438C8"/>
    <w:rsid w:val="00974077"/>
    <w:rsid w:val="009F2B9F"/>
    <w:rsid w:val="00A537A5"/>
    <w:rsid w:val="00A84862"/>
    <w:rsid w:val="00A93B00"/>
    <w:rsid w:val="00AF7072"/>
    <w:rsid w:val="00B376E5"/>
    <w:rsid w:val="00B378AB"/>
    <w:rsid w:val="00B41306"/>
    <w:rsid w:val="00B65D1A"/>
    <w:rsid w:val="00B95141"/>
    <w:rsid w:val="00BC77D5"/>
    <w:rsid w:val="00C30179"/>
    <w:rsid w:val="00CD336D"/>
    <w:rsid w:val="00D26465"/>
    <w:rsid w:val="00D60FF3"/>
    <w:rsid w:val="00D70702"/>
    <w:rsid w:val="00DA1A58"/>
    <w:rsid w:val="00DB6270"/>
    <w:rsid w:val="00DE468C"/>
    <w:rsid w:val="00DF1ACC"/>
    <w:rsid w:val="00E22522"/>
    <w:rsid w:val="00E250F2"/>
    <w:rsid w:val="00E87567"/>
    <w:rsid w:val="00EC362A"/>
    <w:rsid w:val="00EC4B48"/>
    <w:rsid w:val="00EE40E5"/>
    <w:rsid w:val="00F063FD"/>
    <w:rsid w:val="00F117F5"/>
    <w:rsid w:val="00F16DA1"/>
    <w:rsid w:val="00F45A58"/>
    <w:rsid w:val="00F92278"/>
    <w:rsid w:val="065310BC"/>
    <w:rsid w:val="07A031A0"/>
    <w:rsid w:val="116D6E9B"/>
    <w:rsid w:val="1C2B197C"/>
    <w:rsid w:val="1E614354"/>
    <w:rsid w:val="24226AA9"/>
    <w:rsid w:val="28AE33AE"/>
    <w:rsid w:val="2A810C6F"/>
    <w:rsid w:val="2B351E3B"/>
    <w:rsid w:val="2F7208DD"/>
    <w:rsid w:val="30772DB3"/>
    <w:rsid w:val="3133559A"/>
    <w:rsid w:val="342527CA"/>
    <w:rsid w:val="389F16B5"/>
    <w:rsid w:val="38BD45FF"/>
    <w:rsid w:val="3AB915FA"/>
    <w:rsid w:val="3ABF2A40"/>
    <w:rsid w:val="3E5818E3"/>
    <w:rsid w:val="41ED1033"/>
    <w:rsid w:val="442C5B81"/>
    <w:rsid w:val="452B2C17"/>
    <w:rsid w:val="46EF2CD0"/>
    <w:rsid w:val="48580401"/>
    <w:rsid w:val="498F529D"/>
    <w:rsid w:val="499F111B"/>
    <w:rsid w:val="4B0C2E7E"/>
    <w:rsid w:val="50C035DA"/>
    <w:rsid w:val="51F00BDF"/>
    <w:rsid w:val="53F354E2"/>
    <w:rsid w:val="563769D0"/>
    <w:rsid w:val="5B5F0673"/>
    <w:rsid w:val="626D4B44"/>
    <w:rsid w:val="65057DCC"/>
    <w:rsid w:val="6C425305"/>
    <w:rsid w:val="76DC7A09"/>
    <w:rsid w:val="77EE189C"/>
    <w:rsid w:val="784B0870"/>
    <w:rsid w:val="7EB50B29"/>
    <w:rsid w:val="7EDA3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50F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250F2"/>
    <w:pPr>
      <w:jc w:val="left"/>
      <w:outlineLvl w:val="2"/>
    </w:pPr>
    <w:rPr>
      <w:rFonts w:ascii="宋体" w:eastAsia="宋体" w:hAnsi="宋体" w:cs="Times New Roman"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250F2"/>
    <w:pPr>
      <w:ind w:firstLineChars="100" w:firstLine="420"/>
    </w:pPr>
    <w:rPr>
      <w:rFonts w:ascii="宋体" w:eastAsia="宋体" w:hAnsi="Times New Roman" w:cs="Times New Roman"/>
      <w:kern w:val="0"/>
      <w:sz w:val="34"/>
      <w:szCs w:val="20"/>
    </w:rPr>
  </w:style>
  <w:style w:type="paragraph" w:styleId="a4">
    <w:name w:val="Body Text"/>
    <w:basedOn w:val="a"/>
    <w:uiPriority w:val="99"/>
    <w:unhideWhenUsed/>
    <w:qFormat/>
    <w:rsid w:val="00E250F2"/>
    <w:pPr>
      <w:spacing w:after="120"/>
    </w:pPr>
  </w:style>
  <w:style w:type="paragraph" w:styleId="a5">
    <w:name w:val="annotation text"/>
    <w:basedOn w:val="a"/>
    <w:qFormat/>
    <w:rsid w:val="00E250F2"/>
    <w:pPr>
      <w:jc w:val="left"/>
    </w:pPr>
  </w:style>
  <w:style w:type="paragraph" w:styleId="a6">
    <w:name w:val="footer"/>
    <w:basedOn w:val="a"/>
    <w:link w:val="Char"/>
    <w:qFormat/>
    <w:rsid w:val="00E250F2"/>
    <w:pPr>
      <w:tabs>
        <w:tab w:val="center" w:pos="4153"/>
        <w:tab w:val="right" w:pos="8306"/>
      </w:tabs>
      <w:snapToGrid w:val="0"/>
      <w:jc w:val="left"/>
    </w:pPr>
    <w:rPr>
      <w:sz w:val="18"/>
      <w:szCs w:val="18"/>
    </w:rPr>
  </w:style>
  <w:style w:type="paragraph" w:styleId="a7">
    <w:name w:val="header"/>
    <w:basedOn w:val="a"/>
    <w:link w:val="Char0"/>
    <w:qFormat/>
    <w:rsid w:val="00E250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50F2"/>
    <w:rPr>
      <w:rFonts w:ascii="Calibri" w:eastAsia="宋体" w:hAnsi="Calibri" w:cs="Times New Roman"/>
      <w:sz w:val="24"/>
    </w:rPr>
  </w:style>
  <w:style w:type="character" w:styleId="a9">
    <w:name w:val="FollowedHyperlink"/>
    <w:basedOn w:val="a1"/>
    <w:qFormat/>
    <w:rsid w:val="00E250F2"/>
    <w:rPr>
      <w:color w:val="000000"/>
      <w:u w:val="none"/>
    </w:rPr>
  </w:style>
  <w:style w:type="character" w:styleId="aa">
    <w:name w:val="Emphasis"/>
    <w:basedOn w:val="a1"/>
    <w:qFormat/>
    <w:rsid w:val="00E250F2"/>
  </w:style>
  <w:style w:type="character" w:styleId="ab">
    <w:name w:val="Hyperlink"/>
    <w:basedOn w:val="a1"/>
    <w:qFormat/>
    <w:rsid w:val="00E250F2"/>
    <w:rPr>
      <w:color w:val="000000"/>
      <w:u w:val="none"/>
    </w:rPr>
  </w:style>
  <w:style w:type="character" w:customStyle="1" w:styleId="hover">
    <w:name w:val="hover"/>
    <w:basedOn w:val="a1"/>
    <w:qFormat/>
    <w:rsid w:val="00E250F2"/>
  </w:style>
  <w:style w:type="character" w:customStyle="1" w:styleId="red">
    <w:name w:val="red"/>
    <w:basedOn w:val="a1"/>
    <w:qFormat/>
    <w:rsid w:val="00E250F2"/>
    <w:rPr>
      <w:color w:val="FF0000"/>
      <w:sz w:val="18"/>
      <w:szCs w:val="18"/>
    </w:rPr>
  </w:style>
  <w:style w:type="character" w:customStyle="1" w:styleId="red1">
    <w:name w:val="red1"/>
    <w:basedOn w:val="a1"/>
    <w:qFormat/>
    <w:rsid w:val="00E250F2"/>
    <w:rPr>
      <w:color w:val="FF0000"/>
      <w:sz w:val="18"/>
      <w:szCs w:val="18"/>
    </w:rPr>
  </w:style>
  <w:style w:type="character" w:customStyle="1" w:styleId="red2">
    <w:name w:val="red2"/>
    <w:basedOn w:val="a1"/>
    <w:qFormat/>
    <w:rsid w:val="00E250F2"/>
    <w:rPr>
      <w:color w:val="CC0000"/>
    </w:rPr>
  </w:style>
  <w:style w:type="character" w:customStyle="1" w:styleId="red3">
    <w:name w:val="red3"/>
    <w:basedOn w:val="a1"/>
    <w:qFormat/>
    <w:rsid w:val="00E250F2"/>
    <w:rPr>
      <w:color w:val="FF0000"/>
    </w:rPr>
  </w:style>
  <w:style w:type="character" w:customStyle="1" w:styleId="green">
    <w:name w:val="green"/>
    <w:basedOn w:val="a1"/>
    <w:qFormat/>
    <w:rsid w:val="00E250F2"/>
    <w:rPr>
      <w:color w:val="66AE00"/>
      <w:sz w:val="18"/>
      <w:szCs w:val="18"/>
    </w:rPr>
  </w:style>
  <w:style w:type="character" w:customStyle="1" w:styleId="green1">
    <w:name w:val="green1"/>
    <w:basedOn w:val="a1"/>
    <w:qFormat/>
    <w:rsid w:val="00E250F2"/>
    <w:rPr>
      <w:color w:val="66AE00"/>
      <w:sz w:val="18"/>
      <w:szCs w:val="18"/>
    </w:rPr>
  </w:style>
  <w:style w:type="character" w:customStyle="1" w:styleId="gb-jt">
    <w:name w:val="gb-jt"/>
    <w:basedOn w:val="a1"/>
    <w:qFormat/>
    <w:rsid w:val="00E250F2"/>
  </w:style>
  <w:style w:type="character" w:customStyle="1" w:styleId="blue">
    <w:name w:val="blue"/>
    <w:basedOn w:val="a1"/>
    <w:qFormat/>
    <w:rsid w:val="00E250F2"/>
    <w:rPr>
      <w:color w:val="0371C6"/>
      <w:sz w:val="21"/>
      <w:szCs w:val="21"/>
    </w:rPr>
  </w:style>
  <w:style w:type="character" w:customStyle="1" w:styleId="right">
    <w:name w:val="right"/>
    <w:basedOn w:val="a1"/>
    <w:qFormat/>
    <w:rsid w:val="00E250F2"/>
    <w:rPr>
      <w:color w:val="999999"/>
      <w:sz w:val="18"/>
      <w:szCs w:val="18"/>
    </w:rPr>
  </w:style>
  <w:style w:type="character" w:customStyle="1" w:styleId="hover25">
    <w:name w:val="hover25"/>
    <w:basedOn w:val="a1"/>
    <w:qFormat/>
    <w:rsid w:val="00E250F2"/>
  </w:style>
  <w:style w:type="character" w:customStyle="1" w:styleId="Char0">
    <w:name w:val="页眉 Char"/>
    <w:basedOn w:val="a1"/>
    <w:link w:val="a7"/>
    <w:qFormat/>
    <w:rsid w:val="00E250F2"/>
    <w:rPr>
      <w:rFonts w:asciiTheme="minorHAnsi" w:eastAsiaTheme="minorEastAsia" w:hAnsiTheme="minorHAnsi" w:cstheme="minorBidi"/>
      <w:kern w:val="2"/>
      <w:sz w:val="18"/>
      <w:szCs w:val="18"/>
    </w:rPr>
  </w:style>
  <w:style w:type="character" w:customStyle="1" w:styleId="Char">
    <w:name w:val="页脚 Char"/>
    <w:basedOn w:val="a1"/>
    <w:link w:val="a6"/>
    <w:qFormat/>
    <w:rsid w:val="00E250F2"/>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E250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223</Words>
  <Characters>1276</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c:creator>
  <cp:lastModifiedBy>许昌市公共资源交易中心:李昕恬（备用）</cp:lastModifiedBy>
  <cp:revision>16</cp:revision>
  <cp:lastPrinted>2019-04-24T09:28:00Z</cp:lastPrinted>
  <dcterms:created xsi:type="dcterms:W3CDTF">2019-04-30T03:36:00Z</dcterms:created>
  <dcterms:modified xsi:type="dcterms:W3CDTF">2019-07-19T09:07:00Z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