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36"/>
          <w:szCs w:val="36"/>
          <w:lang w:eastAsia="zh-CN"/>
        </w:rPr>
      </w:pPr>
      <w:r>
        <w:rPr>
          <w:rFonts w:hint="eastAsia" w:ascii="微软雅黑" w:hAnsi="微软雅黑" w:eastAsia="微软雅黑" w:cs="微软雅黑"/>
          <w:b/>
          <w:bCs/>
          <w:sz w:val="36"/>
          <w:szCs w:val="36"/>
          <w:lang w:eastAsia="zh-CN"/>
        </w:rPr>
        <w:t>河南省禹州市职业中等专业学校采购新能源汽车</w:t>
      </w:r>
    </w:p>
    <w:p>
      <w:pPr>
        <w:jc w:val="center"/>
        <w:rPr>
          <w:rFonts w:ascii="微软简隶书" w:eastAsia="微软简隶书"/>
          <w:color w:val="000000"/>
        </w:rPr>
      </w:pPr>
      <w:r>
        <w:rPr>
          <w:rFonts w:hint="eastAsia" w:ascii="微软雅黑" w:hAnsi="微软雅黑" w:eastAsia="微软雅黑" w:cs="微软雅黑"/>
          <w:b/>
          <w:bCs/>
          <w:sz w:val="36"/>
          <w:szCs w:val="36"/>
          <w:lang w:eastAsia="zh-CN"/>
        </w:rPr>
        <w:t>实训设备项目</w:t>
      </w:r>
    </w:p>
    <w:p>
      <w:pPr>
        <w:rPr>
          <w:rFonts w:ascii="微软简隶书" w:eastAsia="微软简隶书"/>
          <w:color w:val="000000"/>
        </w:rPr>
      </w:pPr>
    </w:p>
    <w:p>
      <w:pPr>
        <w:jc w:val="center"/>
        <w:rPr>
          <w:rFonts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采购单位： 河南省禹州市职业中等专业学校</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162</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七</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autoSpaceDE w:val="0"/>
        <w:autoSpaceDN w:val="0"/>
        <w:adjustRightInd w:val="0"/>
        <w:spacing w:line="700" w:lineRule="exact"/>
        <w:rPr>
          <w:rFonts w:cs="宋体" w:asciiTheme="majorEastAsia" w:hAnsiTheme="majorEastAsia" w:eastAsiaTheme="majorEastAsia"/>
          <w:b/>
          <w:kern w:val="0"/>
          <w:sz w:val="36"/>
          <w:szCs w:val="36"/>
        </w:rPr>
      </w:pPr>
    </w:p>
    <w:p>
      <w:pPr>
        <w:pStyle w:val="19"/>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19"/>
        <w:widowControl/>
        <w:numPr>
          <w:ilvl w:val="0"/>
          <w:numId w:val="0"/>
        </w:numPr>
        <w:shd w:val="clear" w:color="auto" w:fill="FFFFFF"/>
        <w:spacing w:line="315" w:lineRule="atLeast"/>
        <w:jc w:val="both"/>
        <w:rPr>
          <w:rFonts w:hint="eastAsia"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河南省禹州市职业中等专业学校采购新能源汽车</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实训设备项目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28"/>
        <w:rPr>
          <w:rFonts w:hint="eastAsia" w:ascii="仿宋" w:hAnsi="仿宋" w:eastAsia="仿宋" w:cs="仿宋"/>
          <w:b/>
          <w:bCs/>
          <w:sz w:val="36"/>
          <w:szCs w:val="36"/>
        </w:rPr>
      </w:pPr>
    </w:p>
    <w:p>
      <w:pPr>
        <w:spacing w:line="6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w:t>
      </w:r>
      <w:r>
        <w:rPr>
          <w:rFonts w:hint="eastAsia" w:ascii="新宋体" w:hAnsi="新宋体" w:eastAsia="新宋体" w:cs="新宋体"/>
          <w:sz w:val="24"/>
          <w:szCs w:val="24"/>
          <w:lang w:eastAsia="zh-CN"/>
        </w:rPr>
        <w:t>教育体育</w:t>
      </w:r>
      <w:r>
        <w:rPr>
          <w:rFonts w:hint="eastAsia" w:ascii="新宋体" w:hAnsi="新宋体" w:eastAsia="新宋体" w:cs="新宋体"/>
          <w:sz w:val="24"/>
          <w:szCs w:val="24"/>
        </w:rPr>
        <w:t>局的委托，就“河南省禹州市职业中等专业学校采购新能源汽车实训设备项目”进行公开招标，欢迎合格的投标人前来投标。</w:t>
      </w:r>
    </w:p>
    <w:p>
      <w:pPr>
        <w:pStyle w:val="58"/>
        <w:widowControl/>
        <w:numPr>
          <w:ilvl w:val="0"/>
          <w:numId w:val="5"/>
        </w:numPr>
        <w:shd w:val="clear" w:color="auto" w:fill="FFFFFF"/>
        <w:spacing w:line="400" w:lineRule="exact"/>
        <w:ind w:firstLineChars="0"/>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采购人：河南省禹州市职业中等专业学校</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2.项目名称</w:t>
      </w:r>
      <w:r>
        <w:rPr>
          <w:rFonts w:hint="eastAsia" w:ascii="新宋体" w:hAnsi="新宋体" w:eastAsia="新宋体" w:cs="新宋体"/>
          <w:color w:val="000000"/>
          <w:kern w:val="0"/>
          <w:sz w:val="24"/>
          <w:szCs w:val="24"/>
          <w:lang w:eastAsia="zh-CN"/>
        </w:rPr>
        <w:t>：河南省禹州市职业中等专业学校采购新能源汽车实训设备项目</w:t>
      </w:r>
    </w:p>
    <w:p>
      <w:pPr>
        <w:widowControl/>
        <w:numPr>
          <w:ilvl w:val="0"/>
          <w:numId w:val="0"/>
        </w:numPr>
        <w:shd w:val="clear" w:color="auto" w:fill="FFFFFF"/>
        <w:spacing w:line="400" w:lineRule="exact"/>
        <w:ind w:firstLine="240" w:firstLineChars="100"/>
        <w:jc w:val="left"/>
        <w:rPr>
          <w:rFonts w:hint="default"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采购编号：</w:t>
      </w:r>
      <w:r>
        <w:rPr>
          <w:rFonts w:hint="eastAsia" w:ascii="新宋体" w:hAnsi="新宋体" w:eastAsia="新宋体" w:cs="新宋体"/>
          <w:sz w:val="24"/>
          <w:szCs w:val="24"/>
        </w:rPr>
        <w:t>YZCG-G2019</w:t>
      </w:r>
      <w:r>
        <w:rPr>
          <w:rFonts w:hint="eastAsia" w:ascii="新宋体" w:hAnsi="新宋体" w:eastAsia="新宋体" w:cs="新宋体"/>
          <w:sz w:val="24"/>
          <w:szCs w:val="24"/>
          <w:lang w:val="en-US" w:eastAsia="zh-CN"/>
        </w:rPr>
        <w:t>162</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项目需求：</w:t>
      </w:r>
      <w:r>
        <w:rPr>
          <w:rFonts w:hint="eastAsia" w:ascii="新宋体" w:hAnsi="新宋体" w:eastAsia="新宋体" w:cs="新宋体"/>
          <w:color w:val="000000"/>
          <w:kern w:val="0"/>
          <w:sz w:val="24"/>
          <w:szCs w:val="24"/>
          <w:lang w:eastAsia="zh-CN"/>
        </w:rPr>
        <w:t>新能源汽车实训设备</w:t>
      </w:r>
      <w:r>
        <w:rPr>
          <w:rFonts w:hint="eastAsia" w:ascii="新宋体" w:hAnsi="新宋体" w:eastAsia="新宋体" w:cs="新宋体"/>
          <w:color w:val="000000"/>
          <w:kern w:val="0"/>
          <w:sz w:val="24"/>
          <w:szCs w:val="24"/>
        </w:rPr>
        <w:t>等（详见招标文件）</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5</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采购预算：</w:t>
      </w:r>
      <w:r>
        <w:rPr>
          <w:rFonts w:hint="eastAsia" w:ascii="新宋体" w:hAnsi="新宋体" w:eastAsia="新宋体" w:cs="新宋体"/>
          <w:color w:val="000000"/>
          <w:kern w:val="0"/>
          <w:sz w:val="24"/>
          <w:szCs w:val="24"/>
          <w:lang w:val="en-US" w:eastAsia="zh-CN"/>
        </w:rPr>
        <w:t>65.5</w:t>
      </w:r>
      <w:r>
        <w:rPr>
          <w:rFonts w:hint="eastAsia" w:ascii="新宋体" w:hAnsi="新宋体" w:eastAsia="新宋体" w:cs="新宋体"/>
          <w:kern w:val="0"/>
          <w:sz w:val="24"/>
          <w:szCs w:val="24"/>
          <w:lang w:val="en-US" w:eastAsia="zh-CN"/>
        </w:rPr>
        <w:t>万</w:t>
      </w:r>
      <w:r>
        <w:rPr>
          <w:rFonts w:hint="eastAsia" w:ascii="新宋体" w:hAnsi="新宋体" w:eastAsia="新宋体" w:cs="新宋体"/>
          <w:sz w:val="24"/>
          <w:szCs w:val="24"/>
        </w:rPr>
        <w:t>元</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采购限价：</w:t>
      </w:r>
      <w:r>
        <w:rPr>
          <w:rFonts w:hint="eastAsia" w:ascii="新宋体" w:hAnsi="新宋体" w:eastAsia="新宋体" w:cs="新宋体"/>
          <w:sz w:val="24"/>
          <w:szCs w:val="24"/>
          <w:lang w:val="en-US" w:eastAsia="zh-CN"/>
        </w:rPr>
        <w:t>65.5</w:t>
      </w:r>
      <w:r>
        <w:rPr>
          <w:rFonts w:hint="eastAsia" w:ascii="新宋体" w:hAnsi="新宋体" w:eastAsia="新宋体" w:cs="新宋体"/>
          <w:sz w:val="24"/>
          <w:szCs w:val="24"/>
        </w:rPr>
        <w:t>万元</w:t>
      </w:r>
    </w:p>
    <w:p>
      <w:pPr>
        <w:widowControl/>
        <w:shd w:val="clear" w:color="auto" w:fill="FFFFFF"/>
        <w:spacing w:line="400" w:lineRule="exact"/>
        <w:ind w:firstLine="354" w:firstLineChars="147"/>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三、供应商资格要求：</w:t>
      </w:r>
    </w:p>
    <w:p>
      <w:pPr>
        <w:widowControl/>
        <w:shd w:val="clear" w:color="auto" w:fill="FFFFFF"/>
        <w:spacing w:line="400" w:lineRule="exact"/>
        <w:ind w:left="482"/>
        <w:jc w:val="left"/>
        <w:rPr>
          <w:rFonts w:hint="eastAsia" w:ascii="新宋体" w:hAnsi="新宋体" w:eastAsia="新宋体" w:cs="新宋体"/>
          <w:sz w:val="24"/>
          <w:szCs w:val="24"/>
        </w:rPr>
      </w:pPr>
      <w:r>
        <w:rPr>
          <w:rFonts w:hint="eastAsia" w:ascii="新宋体" w:hAnsi="新宋体" w:eastAsia="新宋体" w:cs="新宋体"/>
          <w:sz w:val="24"/>
          <w:szCs w:val="24"/>
        </w:rPr>
        <w:t>1、符合《政府采购法》第二十二条之规定，具有独立法人资格及相应的经营范围（</w:t>
      </w:r>
      <w:r>
        <w:rPr>
          <w:rFonts w:hint="eastAsia" w:ascii="新宋体" w:hAnsi="新宋体" w:eastAsia="新宋体" w:cs="新宋体"/>
          <w:sz w:val="24"/>
          <w:szCs w:val="24"/>
          <w:lang w:eastAsia="zh-CN"/>
        </w:rPr>
        <w:t>以营业执照为准</w:t>
      </w:r>
      <w:r>
        <w:rPr>
          <w:rFonts w:hint="eastAsia" w:ascii="新宋体" w:hAnsi="新宋体" w:eastAsia="新宋体" w:cs="新宋体"/>
          <w:sz w:val="24"/>
          <w:szCs w:val="24"/>
        </w:rPr>
        <w:t>）；</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rPr>
        <w:t>2、被委托人是须是本单位职工，须提供公司为本人缴纳社会保险证明；</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rPr>
        <w:t>3、本项目不接受联合体投标。</w:t>
      </w:r>
    </w:p>
    <w:p>
      <w:pPr>
        <w:widowControl/>
        <w:shd w:val="clear" w:color="auto" w:fill="FFFFFF"/>
        <w:spacing w:line="400" w:lineRule="exact"/>
        <w:ind w:firstLine="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四、获取招标文件的方式、时间、地点</w:t>
      </w:r>
    </w:p>
    <w:p>
      <w:pPr>
        <w:wordWrap w:val="0"/>
        <w:topLinePunct/>
        <w:snapToGrid w:val="0"/>
        <w:spacing w:line="400" w:lineRule="exact"/>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"http://221.14.6.70:8088/ggzy/eps/public/RegistAllJcxx.html"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2、在投标截止时间前登录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lang w:val="zh-CN"/>
        </w:rPr>
        <w:t>http://</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en-US" w:eastAsia="zh-CN"/>
        </w:rPr>
        <w:t>ggzy.xuchang.gov.cn</w:t>
      </w:r>
      <w:r>
        <w:rPr>
          <w:rFonts w:hint="eastAsia" w:ascii="新宋体" w:hAnsi="新宋体" w:eastAsia="新宋体" w:cs="新宋体"/>
          <w:sz w:val="24"/>
          <w:szCs w:val="24"/>
          <w:lang w:val="zh-CN"/>
        </w:rPr>
        <w:t>，自行下载招标文件（详见全国公共资源交易平台（河南省·许昌市）“常见问题解答-交易系统操作手册”）。</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spacing w:line="400" w:lineRule="exact"/>
        <w:ind w:firstLine="640"/>
        <w:rPr>
          <w:rFonts w:hint="eastAsia" w:ascii="新宋体" w:hAnsi="新宋体" w:eastAsia="新宋体" w:cs="新宋体"/>
          <w:sz w:val="24"/>
          <w:szCs w:val="24"/>
        </w:rPr>
      </w:pPr>
      <w:r>
        <w:rPr>
          <w:rFonts w:hint="eastAsia" w:ascii="新宋体" w:hAnsi="新宋体" w:eastAsia="新宋体" w:cs="新宋体"/>
          <w:sz w:val="24"/>
          <w:szCs w:val="24"/>
        </w:rPr>
        <w:t>4、招标文件每份售价人民500元（开标时现场收取现金），于递交投标文件时缴纳给采购代理机构，售后不退。</w:t>
      </w:r>
    </w:p>
    <w:p>
      <w:pPr>
        <w:widowControl/>
        <w:shd w:val="clear" w:color="auto" w:fill="FFFFFF"/>
        <w:spacing w:line="400" w:lineRule="exact"/>
        <w:ind w:firstLine="482"/>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五、投标截止时间、开标时间及地点：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1、投标截止及开标时间：2019年</w:t>
      </w:r>
      <w:r>
        <w:rPr>
          <w:rFonts w:hint="eastAsia" w:ascii="新宋体" w:hAnsi="新宋体" w:eastAsia="新宋体" w:cs="新宋体"/>
          <w:color w:val="000000"/>
          <w:kern w:val="0"/>
          <w:sz w:val="24"/>
          <w:szCs w:val="24"/>
          <w:lang w:val="en-US" w:eastAsia="zh-CN"/>
        </w:rPr>
        <w:t xml:space="preserve"> 8</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 xml:space="preserve"> 21</w:t>
      </w:r>
      <w:r>
        <w:rPr>
          <w:rFonts w:hint="eastAsia" w:ascii="新宋体" w:hAnsi="新宋体" w:eastAsia="新宋体" w:cs="新宋体"/>
          <w:color w:val="000000"/>
          <w:kern w:val="0"/>
          <w:sz w:val="24"/>
          <w:szCs w:val="24"/>
        </w:rPr>
        <w:t>日</w:t>
      </w:r>
      <w:r>
        <w:rPr>
          <w:rFonts w:hint="eastAsia" w:ascii="新宋体" w:hAnsi="新宋体" w:eastAsia="新宋体" w:cs="新宋体"/>
          <w:color w:val="000000"/>
          <w:kern w:val="0"/>
          <w:sz w:val="24"/>
          <w:szCs w:val="24"/>
          <w:lang w:val="en-US" w:eastAsia="zh-CN"/>
        </w:rPr>
        <w:t>10</w:t>
      </w:r>
      <w:r>
        <w:rPr>
          <w:rFonts w:hint="eastAsia" w:ascii="新宋体" w:hAnsi="新宋体" w:eastAsia="新宋体" w:cs="新宋体"/>
          <w:color w:val="000000"/>
          <w:kern w:val="0"/>
          <w:sz w:val="24"/>
          <w:szCs w:val="24"/>
        </w:rPr>
        <w:t>：00（北京时间），逾期送达或不符合规定的投标文件不予接受。</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2、开标地点：</w:t>
      </w:r>
      <w:r>
        <w:rPr>
          <w:rFonts w:hint="eastAsia" w:ascii="新宋体" w:hAnsi="新宋体" w:eastAsia="新宋体" w:cs="新宋体"/>
          <w:sz w:val="24"/>
          <w:szCs w:val="24"/>
        </w:rPr>
        <w:t>禹州市公共资源交易中心第二开标室（禹州市行政服务中心楼9楼）</w:t>
      </w:r>
      <w:r>
        <w:rPr>
          <w:rFonts w:hint="eastAsia" w:ascii="新宋体" w:hAnsi="新宋体" w:eastAsia="新宋体" w:cs="新宋体"/>
          <w:color w:val="000000"/>
          <w:kern w:val="0"/>
          <w:sz w:val="24"/>
          <w:szCs w:val="24"/>
        </w:rPr>
        <w:t xml:space="preserve"> </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七、代理机构及采购单位地址、联系人、联系电话</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联系人：艾先生  联系电话：0374-2077111</w:t>
      </w:r>
    </w:p>
    <w:p>
      <w:pPr>
        <w:widowControl/>
        <w:shd w:val="clear" w:color="auto" w:fill="FFFFFF"/>
        <w:spacing w:line="400" w:lineRule="exact"/>
        <w:ind w:left="481"/>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（二）采购单位：河南省禹州市职业中等专业学校</w:t>
      </w:r>
    </w:p>
    <w:p>
      <w:pPr>
        <w:widowControl/>
        <w:shd w:val="clear" w:color="auto" w:fill="FFFFFF"/>
        <w:spacing w:line="400" w:lineRule="exact"/>
        <w:ind w:firstLine="720" w:firstLineChars="300"/>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地址：</w:t>
      </w:r>
      <w:r>
        <w:rPr>
          <w:rFonts w:hint="eastAsia" w:ascii="新宋体" w:hAnsi="新宋体" w:eastAsia="新宋体" w:cs="新宋体"/>
          <w:color w:val="000000"/>
          <w:kern w:val="0"/>
          <w:sz w:val="24"/>
          <w:szCs w:val="24"/>
          <w:lang w:eastAsia="zh-CN"/>
        </w:rPr>
        <w:t>禹州市药城路</w:t>
      </w:r>
      <w:r>
        <w:rPr>
          <w:rFonts w:hint="eastAsia" w:ascii="新宋体" w:hAnsi="新宋体" w:eastAsia="新宋体" w:cs="新宋体"/>
          <w:color w:val="000000"/>
          <w:kern w:val="0"/>
          <w:sz w:val="24"/>
          <w:szCs w:val="24"/>
          <w:lang w:val="en-US" w:eastAsia="zh-CN"/>
        </w:rPr>
        <w:t xml:space="preserve"> </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王</w:t>
      </w:r>
      <w:r>
        <w:rPr>
          <w:rFonts w:hint="eastAsia" w:ascii="新宋体" w:hAnsi="新宋体" w:eastAsia="新宋体" w:cs="新宋体"/>
          <w:color w:val="000000"/>
          <w:kern w:val="0"/>
          <w:sz w:val="24"/>
          <w:szCs w:val="24"/>
        </w:rPr>
        <w:t>先生   联系电话：</w:t>
      </w:r>
      <w:r>
        <w:rPr>
          <w:rFonts w:hint="eastAsia" w:ascii="新宋体" w:hAnsi="新宋体" w:eastAsia="新宋体" w:cs="新宋体"/>
          <w:color w:val="000000"/>
          <w:kern w:val="0"/>
          <w:sz w:val="24"/>
          <w:szCs w:val="24"/>
          <w:lang w:val="en-US" w:eastAsia="zh-CN"/>
        </w:rPr>
        <w:t>0374-8816068</w:t>
      </w:r>
    </w:p>
    <w:p>
      <w:pPr>
        <w:spacing w:line="400" w:lineRule="exact"/>
        <w:ind w:firstLine="4080" w:firstLineChars="1700"/>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spacing w:line="400" w:lineRule="exact"/>
        <w:ind w:firstLine="4560" w:firstLineChars="1900"/>
        <w:rPr>
          <w:rFonts w:hint="eastAsia" w:ascii="新宋体" w:hAnsi="新宋体" w:eastAsia="新宋体" w:cs="新宋体"/>
          <w:sz w:val="24"/>
          <w:szCs w:val="24"/>
        </w:rPr>
      </w:pPr>
    </w:p>
    <w:p>
      <w:pPr>
        <w:spacing w:line="400" w:lineRule="exact"/>
        <w:ind w:firstLine="2640" w:firstLineChars="1100"/>
        <w:rPr>
          <w:rFonts w:hint="eastAsia" w:ascii="新宋体" w:hAnsi="新宋体" w:eastAsia="新宋体" w:cs="新宋体"/>
          <w:sz w:val="24"/>
          <w:szCs w:val="24"/>
        </w:rPr>
      </w:pP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  2019年 </w:t>
      </w:r>
      <w:r>
        <w:rPr>
          <w:rFonts w:hint="eastAsia" w:ascii="新宋体" w:hAnsi="新宋体" w:eastAsia="新宋体" w:cs="新宋体"/>
          <w:sz w:val="24"/>
          <w:szCs w:val="24"/>
          <w:lang w:val="en-US" w:eastAsia="zh-CN"/>
        </w:rPr>
        <w:t>7</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 xml:space="preserve"> 31</w:t>
      </w:r>
      <w:r>
        <w:rPr>
          <w:rFonts w:hint="eastAsia" w:ascii="新宋体" w:hAnsi="新宋体" w:eastAsia="新宋体" w:cs="新宋体"/>
          <w:sz w:val="24"/>
          <w:szCs w:val="24"/>
        </w:rPr>
        <w:t>日</w:t>
      </w:r>
    </w:p>
    <w:p>
      <w:pPr>
        <w:spacing w:line="360" w:lineRule="auto"/>
        <w:rPr>
          <w:rFonts w:hint="eastAsia" w:hAnsi="宋体"/>
          <w:b/>
          <w:sz w:val="32"/>
          <w:szCs w:val="32"/>
        </w:rPr>
      </w:pP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0"/>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6"/>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29"/>
        <w:rPr>
          <w:rFonts w:hint="eastAsia"/>
        </w:rPr>
      </w:pPr>
    </w:p>
    <w:p>
      <w:pPr>
        <w:widowControl/>
        <w:numPr>
          <w:ilvl w:val="0"/>
          <w:numId w:val="7"/>
        </w:numPr>
        <w:shd w:val="clear" w:color="auto" w:fill="FFFFFF"/>
        <w:spacing w:line="360" w:lineRule="auto"/>
        <w:jc w:val="left"/>
        <w:rPr>
          <w:rFonts w:hint="default" w:ascii="新宋体" w:hAnsi="新宋体" w:eastAsia="新宋体" w:cs="新宋体"/>
          <w:b/>
          <w:bCs/>
          <w:color w:val="000000"/>
          <w:kern w:val="0"/>
          <w:sz w:val="24"/>
          <w:szCs w:val="24"/>
          <w:lang w:val="en-US" w:eastAsia="zh-CN"/>
        </w:rPr>
      </w:pPr>
      <w:r>
        <w:rPr>
          <w:rFonts w:hint="eastAsia" w:ascii="新宋体" w:hAnsi="新宋体" w:eastAsia="新宋体" w:cs="新宋体"/>
          <w:b/>
          <w:bCs/>
          <w:color w:val="000000"/>
          <w:kern w:val="0"/>
          <w:sz w:val="24"/>
          <w:szCs w:val="24"/>
        </w:rPr>
        <w:t>本项目需实现的功能或者目标</w:t>
      </w:r>
    </w:p>
    <w:p>
      <w:pPr>
        <w:pStyle w:val="28"/>
        <w:rPr>
          <w:rFonts w:hint="default"/>
          <w:lang w:val="en-US" w:eastAsia="zh-CN"/>
        </w:rPr>
      </w:pPr>
      <w:r>
        <w:rPr>
          <w:rFonts w:hint="default"/>
          <w:lang w:val="en-US" w:eastAsia="zh-CN"/>
        </w:rPr>
        <w:t xml:space="preserve"> 采购的各项设备是为了满足新能源汽车整车结构认知、拆装、故障诊断实训，打造“理虚实”一体化整车教学、研训模式，对接新能源行业发展，对接企业典型工作岗位需求，创新教学模式，扩展教学手段，可以为汽车专业学生提供更好的实训环境和更多的实践机会，从而提升本专业学生的业务能力，毕业后能更快融入社会！</w:t>
      </w:r>
    </w:p>
    <w:p>
      <w:pPr>
        <w:widowControl/>
        <w:numPr>
          <w:ilvl w:val="0"/>
          <w:numId w:val="7"/>
        </w:numPr>
        <w:shd w:val="clear" w:color="auto" w:fill="FFFFFF"/>
        <w:spacing w:line="360" w:lineRule="auto"/>
        <w:ind w:left="0" w:leftChars="0" w:firstLine="0" w:firstLineChars="0"/>
        <w:jc w:val="left"/>
        <w:rPr>
          <w:rFonts w:hint="eastAsia" w:ascii="新宋体" w:hAnsi="新宋体" w:eastAsia="新宋体" w:cs="新宋体"/>
          <w:b/>
          <w:bCs/>
          <w:color w:val="000000"/>
          <w:kern w:val="0"/>
          <w:sz w:val="24"/>
          <w:szCs w:val="24"/>
          <w:lang w:val="en-US" w:eastAsia="zh-CN"/>
        </w:rPr>
      </w:pPr>
      <w:r>
        <w:rPr>
          <w:rFonts w:hint="eastAsia" w:ascii="新宋体" w:hAnsi="新宋体" w:eastAsia="新宋体" w:cs="新宋体"/>
          <w:b/>
          <w:bCs/>
          <w:color w:val="000000"/>
          <w:kern w:val="0"/>
          <w:sz w:val="24"/>
          <w:szCs w:val="24"/>
          <w:lang w:val="en-US" w:eastAsia="zh-CN"/>
        </w:rPr>
        <w:t>采购清单：</w:t>
      </w:r>
    </w:p>
    <w:tbl>
      <w:tblPr>
        <w:tblStyle w:val="22"/>
        <w:tblW w:w="9085" w:type="dxa"/>
        <w:tblInd w:w="0" w:type="dxa"/>
        <w:tblLayout w:type="fixed"/>
        <w:tblCellMar>
          <w:top w:w="0" w:type="dxa"/>
          <w:left w:w="0" w:type="dxa"/>
          <w:bottom w:w="0" w:type="dxa"/>
          <w:right w:w="0" w:type="dxa"/>
        </w:tblCellMar>
      </w:tblPr>
      <w:tblGrid>
        <w:gridCol w:w="435"/>
        <w:gridCol w:w="571"/>
        <w:gridCol w:w="6091"/>
        <w:gridCol w:w="709"/>
        <w:gridCol w:w="569"/>
        <w:gridCol w:w="710"/>
      </w:tblGrid>
      <w:tr>
        <w:tblPrEx>
          <w:tblLayout w:type="fixed"/>
          <w:tblCellMar>
            <w:top w:w="0" w:type="dxa"/>
            <w:left w:w="0" w:type="dxa"/>
            <w:bottom w:w="0" w:type="dxa"/>
            <w:right w:w="0" w:type="dxa"/>
          </w:tblCellMar>
        </w:tblPrEx>
        <w:trPr>
          <w:trHeight w:val="740" w:hRule="atLeast"/>
        </w:trPr>
        <w:tc>
          <w:tcPr>
            <w:tcW w:w="4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序号</w:t>
            </w:r>
          </w:p>
        </w:tc>
        <w:tc>
          <w:tcPr>
            <w:tcW w:w="5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设备名称</w:t>
            </w:r>
          </w:p>
        </w:tc>
        <w:tc>
          <w:tcPr>
            <w:tcW w:w="60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技术参数及描述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数量</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单位</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b/>
                <w:bCs/>
                <w:kern w:val="0"/>
                <w:sz w:val="24"/>
                <w:szCs w:val="24"/>
              </w:rPr>
            </w:pPr>
            <w:r>
              <w:rPr>
                <w:rFonts w:hint="eastAsia" w:ascii="新宋体" w:hAnsi="新宋体" w:eastAsia="新宋体" w:cs="新宋体"/>
                <w:b/>
                <w:color w:val="000000"/>
                <w:kern w:val="0"/>
                <w:sz w:val="24"/>
                <w:szCs w:val="24"/>
              </w:rPr>
              <w:t>是否核心产品（是/否）</w:t>
            </w:r>
          </w:p>
        </w:tc>
      </w:tr>
      <w:tr>
        <w:tblPrEx>
          <w:tblLayout w:type="fixed"/>
          <w:tblCellMar>
            <w:top w:w="0" w:type="dxa"/>
            <w:left w:w="0" w:type="dxa"/>
            <w:bottom w:w="0" w:type="dxa"/>
            <w:right w:w="0" w:type="dxa"/>
          </w:tblCellMar>
        </w:tblPrEx>
        <w:trPr>
          <w:trHeight w:val="402" w:hRule="atLeast"/>
        </w:trPr>
        <w:tc>
          <w:tcPr>
            <w:tcW w:w="435" w:type="dxa"/>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lang w:bidi="ar"/>
              </w:rPr>
              <w:t>1</w:t>
            </w:r>
          </w:p>
        </w:tc>
        <w:tc>
          <w:tcPr>
            <w:tcW w:w="5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整车实训系统</w:t>
            </w:r>
          </w:p>
        </w:tc>
        <w:tc>
          <w:tcPr>
            <w:tcW w:w="60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（1）能源类型：纯电动；续航里程：400km；电机类型：永磁同步电机；最大功率：120 kw；电池类型：三元锂电池；电池容量：153Ah。</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（2）具备高压配电保护、继电器状态检测保护、预充电检测和主动放电安全管理、绝缘检测安全管理、碰撞安全管理、物理隔离保护、互锁检测等保护策略。</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（3）车辆采用轻量化高能智控电池系统及ITCS2.0智能温控系统；配置HEDS高效电驱系统；配置智能高效精敏电控系统。</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车辆配备原厂电池管理系统（BMS）、整车控制器（VCU）、电机控制器（PEU）、车载充电机（OBC）等系统低压线束连接器无损对插转接盒（内置PCB板电路封装）及适配线束，可实现车辆被测系统与整车故障设置平台和故障检测盒的快速连接。</w:t>
            </w:r>
          </w:p>
          <w:p>
            <w:pPr>
              <w:widowControl/>
              <w:jc w:val="left"/>
              <w:rPr>
                <w:rFonts w:hint="eastAsia" w:ascii="新宋体" w:hAnsi="新宋体" w:eastAsia="新宋体" w:cs="新宋体"/>
                <w:color w:val="000000"/>
                <w:kern w:val="0"/>
                <w:sz w:val="24"/>
                <w:szCs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辆</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Layout w:type="fixed"/>
          <w:tblCellMar>
            <w:top w:w="0" w:type="dxa"/>
            <w:left w:w="0" w:type="dxa"/>
            <w:bottom w:w="0" w:type="dxa"/>
            <w:right w:w="0" w:type="dxa"/>
          </w:tblCellMar>
        </w:tblPrEx>
        <w:trPr>
          <w:trHeight w:val="402" w:hRule="atLeast"/>
        </w:trPr>
        <w:tc>
          <w:tcPr>
            <w:tcW w:w="435" w:type="dxa"/>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lang w:bidi="ar"/>
              </w:rPr>
              <w:t>2</w:t>
            </w:r>
          </w:p>
        </w:tc>
        <w:tc>
          <w:tcPr>
            <w:tcW w:w="5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纯电动车故障设置检测实训台</w:t>
            </w:r>
          </w:p>
        </w:tc>
        <w:tc>
          <w:tcPr>
            <w:tcW w:w="60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 产品组成</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汽车整车控制系统故障考训盒，是一款不破坏原车线路，不进行任何改装的新一代汽车故障诊断考训设备，在智能终端一键设置故障，故障排除后，对原车性能无任何影响。可以运用于日常教学、培训、竞赛、考核等。汽车整车控制系统故障考训盒主要包含五大部分：①汽车故障考训盒；②车辆通信线束；③移动端控制APP；④安卓平板电脑；⑤航空拉杆箱。   </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 考训盒要求</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 ★汽车故障考训盒内部采用精密电子器件与车用继电器，内置工业级WIFI，不占用网络流量，随时随地使用。可以使用诊断仪在实车上进行故障查询、清除、读取数据流。</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2)故障控制参数</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① 故障点数：20个以上（实际故障点以实际车型为准）；</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② 可设置故障类型：断路故障、短路故障。</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 机箱基本参数</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① 外形尺寸：60cm(L) x 40cm(W) x 13cm(H)；</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② 设备接口：55PIN高品质航空插头x3；12PIN高品质航空插头 x1；D形电源插座(带开关) x1；</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③ 测试孔：2mm专业测试用面板插座；</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④ 开关：高品质带灯金属开关。</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⑤ 可以使用万用表或示波仪在机箱上进行检测。</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 机箱运行参数</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① 输入电压：100~240VAC  50/60Hz；</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② 最大功耗：60W；</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③ 环境温度：0℃~50℃；</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④ 环境湿度：20%~80%。</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 车辆通信线束要求</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 车辆通信线束采用优秀工艺及优质材料，保证信号传输的完整性及可靠性。</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 材质规格</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① 信号线缆：优质多股镀锡铜线，外层材质FEP铁氟龙，可耐200摄氏度高温；</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② 接插件：线束与车辆通信部分选用原车接插件或是优质汽车接插件；线束与汽车故障考训盒连接部分选用优质航空插头；</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③ 包装材料：选用优质车用波纹管作为外包装，可靠、耐磨。</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 移动端控制APP</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 移动端APP运行环境： Android 2.3.1以上版本；</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 移动端APP安装汽车故障考训盒控制软件。</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 ★可采用平板电脑或智能手机终端，进行软件下载安装。并在终端上登录软件进行故障设置和排除，配备使用视频教程。</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 故障点要求</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该汽车故障考训盒考训系统，支持汽车故障点以实际车型为准，以下为新能源车型故障点的参考：</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新能源车型控制器故障点如：油门深度2、油门深度电源2、油门深度电源1、油门深度1、油门深度电源地1、油门深度电源地2、刹车深度1、刹车深度电源1、刹车深度电源2、刹车深度2、刹车深度电源地2、刹车深度电源地1、励磁+、正弦+、余弦+、励磁-、正弦-、余弦-、电机绕组温度、电机模拟温度地、巡航地、巡航信号、充电电流确认信号、充电控制信号1、充电枪座温度信号1、充电枪温度1地、外部提供常火电、ECO开关 运动经济模式输入、制动灯开关制动信号、BMS充电连接信号、BCM充电连接信号、动力网CANH、动力网CANL、动力网CANH、动力网CANL、直流霍尔屏蔽地、直流霍尔信号、直流霍尔电源+、直流霍尔电源-、交流充电接触器控制信号、直流充电负极接触器控制信号、直流充电正极接触器控制信号、主预充接触器控制信号、主接触器控制信号、一般漏电信号、严重漏电信号、高压互锁+、高压互锁-、主接触器/预充接触器电源、交直流充电正负极接触器电源、VCC双路电电源、VCC双路电电源。</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Layout w:type="fixed"/>
          <w:tblCellMar>
            <w:top w:w="0" w:type="dxa"/>
            <w:left w:w="0" w:type="dxa"/>
            <w:bottom w:w="0" w:type="dxa"/>
            <w:right w:w="0" w:type="dxa"/>
          </w:tblCellMar>
        </w:tblPrEx>
        <w:trPr>
          <w:trHeight w:val="1087" w:hRule="atLeast"/>
        </w:trPr>
        <w:tc>
          <w:tcPr>
            <w:tcW w:w="435" w:type="dxa"/>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lang w:bidi="ar"/>
              </w:rPr>
              <w:t>3</w:t>
            </w:r>
          </w:p>
        </w:tc>
        <w:tc>
          <w:tcPr>
            <w:tcW w:w="5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纯电动汽车结构原理展示台</w:t>
            </w:r>
          </w:p>
        </w:tc>
        <w:tc>
          <w:tcPr>
            <w:tcW w:w="60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一、功能说明</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 结构展示：以爆炸的方式展示纯电动汽车动力系统的结构。</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 零件独显：双击零件，可进入零件独显模式，在独显模式中可通过旋转、缩放单独的查看零件的结构。</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 原理演示：模拟纯电动汽车动力系统及组件的工作原理。</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 功能介绍：通过文字和语音介绍各个系统和组件的功能。</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 ★展示特效：模拟比亚迪E5运行时的油、气、水、电、机械运动等特效，显示水道、油道、电路等。</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 手势操作：触摸操作，支持单点旋转滑动旋转，2点缩放，3点平移等操作。</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7) 零部件名称显示：结构爆炸后的零件可显示或隐藏零件原厂维修手册对应名称。</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8) 辅助功能：左右两侧均可显示结构原理的内容目录、具有锁屏和关闭声音功能。</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9) 旋转限制：上旋转幅度70°，下旋转幅度45°，左右旋转幅度360°。</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二、内容要求</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★根据课程内容要求，能够共完成电源系统、电驱系统、电控系统的结构和原理的课程内容，具体内容包含如下：</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电源系统 结构原理 动力电池 结构原理</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  电池管理系统 结构原理</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  充电系统 结构原理</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  DC-DC转换系统 结构原理</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  动力电池温控系统 结构原理</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电驱系统 结构原理 永磁同步电机 结构原理</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  驱动电机控制器 结构原理</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  减速器 结构原理</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  旋转变压器 结构原理</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  电驱系统冷却系统 结构原理</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电控系统 结构原理 配电系统 结构原理</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  保护系统 结构原理</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三、技术要求</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 ★采用Unity 纯三维引擎交互技术，360度全方位展示比亚迪E5动力系统，随时缩放大小以方便结构展示操作。</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 采用多点触摸操作方式加强用户交互体验舒适度。</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 运行在智能触摸交互平板，清晰的展示结构与原理内容。</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 支持在线更新的方式，用户更方便快捷的更新内容。</w:t>
            </w:r>
          </w:p>
          <w:p>
            <w:pPr>
              <w:widowControl/>
              <w:jc w:val="left"/>
              <w:rPr>
                <w:rFonts w:hint="eastAsia" w:ascii="新宋体" w:hAnsi="新宋体" w:eastAsia="新宋体" w:cs="新宋体"/>
                <w:color w:val="000000"/>
                <w:kern w:val="0"/>
                <w:sz w:val="24"/>
                <w:szCs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Layout w:type="fixed"/>
          <w:tblCellMar>
            <w:top w:w="0" w:type="dxa"/>
            <w:left w:w="0" w:type="dxa"/>
            <w:bottom w:w="0" w:type="dxa"/>
            <w:right w:w="0" w:type="dxa"/>
          </w:tblCellMar>
        </w:tblPrEx>
        <w:trPr>
          <w:trHeight w:val="402" w:hRule="atLeast"/>
        </w:trPr>
        <w:tc>
          <w:tcPr>
            <w:tcW w:w="435" w:type="dxa"/>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lang w:bidi="ar"/>
              </w:rPr>
              <w:t>4</w:t>
            </w:r>
          </w:p>
        </w:tc>
        <w:tc>
          <w:tcPr>
            <w:tcW w:w="5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纯电动汽车虚拟拆装台</w:t>
            </w:r>
          </w:p>
        </w:tc>
        <w:tc>
          <w:tcPr>
            <w:tcW w:w="60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一、功能说明</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纯电动汽车动力系统虚拟拆装台（适用比亚迪E5）根据教学设计要求分为三种应用模式，分别为演示模式、训练模式、考核模式，其中演示模式主要是教师进行课堂教学使用，训练模式是学生自主进行学习任务的训练和学习使用，考核模式是学生进行学习任务的检验使用。以下为三种模式下的功能特点说明。</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1、演示模式</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 拆装步骤工单：依据原厂维修手册，梳理每个任务的拆装步骤。</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 工具提示：通过工具图片的显示，提示该步骤中所需工具型号和名称以及工艺参数。</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 步骤跳转：可以任意选择拆装工单中的步骤进行跳转。</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 自动操作：使用自动操作功能，每个拆装步骤都可以自动拆装、自动组合工具。</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 无工具拆装：双击当前步骤的拆装零件，可自动进行拆装操作。</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 内容提示：针对拆装任务中的重点、难点、注意事项内容，对应其所在的步骤中，通过语音、图片进行内容提示。</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7) 零件独显：每个拆装任务的零部件，在完成拆卸操作后，在零件桌上可以选择任意零件进行单独显示，同时可以对零件进行缩放、旋转等操作。</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8) 部件提示：每一步骤中需拆装的零件和工具，通过高亮显示拆装零件和工具的外轮廓，进行提示。</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9) 新手引导功能：在使用帮助的界面中，提供新手操作帮助指导，按照提示步骤操作，熟悉软件的操作</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2、训练模式</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 拆装步骤排序：在进行拆装任务之前，通过选择零部件的图片进行拆装顺序的排序，梳理拆装的大致流程。</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 拆装步骤工单：依据原厂维修手册，梳理每个任务的拆装步骤。</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 部件提示：每一步骤中需拆装的零件和工具，通过高亮显示拆装零件和工具的外轮廓，进行提示。</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 小测验：针对拆装步骤中的重点、难点的知识内容，转换成测验题供学生作答。</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 帮助提示：拆装任务中测验题、工具选择、螺栓拆装顺序这三个内容，在遇到不能正确选择时，软件会提供正确答案供学生学习，掌握所缺的知识内容。</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 操作评价：学生在完成拆装任务操作后，软件和即时评价，方便学生知道自己的训练情况。</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7) 维修手册：提供原厂的拆装手册资料。</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8) 螺栓拆装顺序：步骤中有拆装顺序的螺栓，需要正确选择拆装顺序。</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9) 新手引导功能：在使用帮助的界面中，提供新手操作帮助指导，按照提示步骤操作，熟悉软件的操作</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3、考核模式</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 零件桌：提供一个放置拆卸下来的零部件的桌面工具。</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 工具车：提供世达的150件套工具、新能源汽车高压拆装专用工具。</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 维修手册：提供原厂的拆装手册资料。</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 考核得分：完成拆装任务后，软件即时对学生的考核情况进行评分。</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 考核倒计时：根据设置的考试时间进行计时，时间结束后，自动提交考核。</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 当前步骤提示：提示当前步骤的拆装内容，供学生参考。</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7) 新手引导功能：在使用帮助的界面中，提供新手操作帮助指导，按照提示步骤操作，熟悉软件的操作</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4、通用功能内容</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 虚拟工具车：提供世达的150件套工具、新能源汽车高压拆装专用工具。</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 虚拟整车：模拟真实比亚迪 E5整车模型。</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 手势操作：提供缩放、旋转、视角定位重置等操作。</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 音效模拟：模拟工具在使用中的音效表现。</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 维修资料：供原厂的拆装手册资料。</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 使用帮助：介绍软件的各项功能的内容说明和操作说明。</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二、内容要求</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★根据课程内容要求，产品内容包含：高压电控总成拆装、动力电池总成拆装、驱动电机及减速器拆装、电动力转向助力系统、制动助力系统（真空泵）拆装、空调压缩机拆装。</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三、技术要求</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 ★采用Unity 纯三维引擎交互技术，360度全方位展示比亚迪E5整车，随时缩放大小以方便拆装操作。</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 采用多点触摸操作方式加强用户交互体验舒适度。</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 运行在智能触摸交互平板，清晰的展示拆装过程。</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Layout w:type="fixed"/>
          <w:tblCellMar>
            <w:top w:w="0" w:type="dxa"/>
            <w:left w:w="108" w:type="dxa"/>
            <w:bottom w:w="0" w:type="dxa"/>
            <w:right w:w="108" w:type="dxa"/>
          </w:tblCellMar>
        </w:tblPrEx>
        <w:trPr>
          <w:trHeight w:val="402" w:hRule="atLeast"/>
        </w:trPr>
        <w:tc>
          <w:tcPr>
            <w:tcW w:w="435"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lang w:bidi="ar"/>
              </w:rPr>
              <w:t>5</w:t>
            </w:r>
          </w:p>
        </w:tc>
        <w:tc>
          <w:tcPr>
            <w:tcW w:w="57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锂电池实训系统</w:t>
            </w:r>
          </w:p>
        </w:tc>
        <w:tc>
          <w:tcPr>
            <w:tcW w:w="609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产品要求</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训练台采原车动力电池包，实现动力电池及管理系统教学。</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二、功能特点</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1、电池包标称电压633.6V ，容量75AH（47.5度电），单体电池3.2V  75AH，198个串联；支持原车纯电续航305Km；采用分布式电池管理系统，由1个电池管理控制器（BMC）和13个电池信息采集器（BIC）及1套动力电池采样线组成。</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电池管理控制器的主要功能有充放电管理、接触器控制、功率控制、电池异常状态报警和保护、SOC/SOH计算、自检以及通讯功能等；电池信息采集器的主要功能有电池电压采样、温度采样、电池均衡、采样线异常检测等；动力电池采样线的主要功能是连接电池管理控制器和电池信息采集器，实现二者之间的通讯及信息交换；</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3、训练台具有4个测试工位，4个工位可同时对电信号进行测量，如电压信号、电阻信息、频率信号等。</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训练台检测面板丝印彩色电池管理系统电路原理图，检测面板采用黑色亚克力材质；检测端子名称采用白色字体丝印，并标注与原理图上线路连接关系对应的数字；检测面板平铺，检测面板左上角丝印原车线束插接器BK45(A)、BK45(B)端子排列图。</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训练台可检测：高压互锁输入、高压互锁输出、正极接触器控制、正极接触器电源、整车CAN-H、整车CAN-L、采集器电源地1、供电电源正极、分压接触器2电源、分压接触器1电源、负极接触器电源、分压接触器2控制、分压接触器1控制、负极接触器控制、碰撞信号等典型信号。</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6、训练台配置智能故障设置与考核系统，实现故障设置与恢复。</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7、训练台可与纯电动汽车高压电控总成训练台、纯电动汽车电驱动系统训练台、纯电动汽车电动空调训练台、纯电动汽车电控助力转向训练台、纯电动汽车车身电气训练台等互联互动，为互联设备提供能量源。</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8、训练台采用黑色镀膜铝塑性材料，底部安装6个万向脚轮，脚轮带自锁装置，可以固定位置。</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9、产品尺寸：约 2900mm* 1400mm* 1250mm （长*宽*高）</w:t>
            </w:r>
          </w:p>
          <w:p>
            <w:pPr>
              <w:widowControl/>
              <w:jc w:val="center"/>
              <w:rPr>
                <w:rFonts w:hint="eastAsia" w:ascii="新宋体" w:hAnsi="新宋体" w:eastAsia="新宋体" w:cs="新宋体"/>
                <w:color w:val="000000"/>
                <w:kern w:val="0"/>
                <w:sz w:val="24"/>
                <w:szCs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Layout w:type="fixed"/>
          <w:tblCellMar>
            <w:top w:w="0" w:type="dxa"/>
            <w:left w:w="0" w:type="dxa"/>
            <w:bottom w:w="0" w:type="dxa"/>
            <w:right w:w="0" w:type="dxa"/>
          </w:tblCellMar>
        </w:tblPrEx>
        <w:trPr>
          <w:trHeight w:val="402" w:hRule="atLeast"/>
        </w:trPr>
        <w:tc>
          <w:tcPr>
            <w:tcW w:w="435" w:type="dxa"/>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lang w:bidi="ar"/>
              </w:rPr>
              <w:t>6</w:t>
            </w:r>
          </w:p>
        </w:tc>
        <w:tc>
          <w:tcPr>
            <w:tcW w:w="5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新能源汽车电池虚拟结构原理展示台</w:t>
            </w:r>
          </w:p>
        </w:tc>
        <w:tc>
          <w:tcPr>
            <w:tcW w:w="60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bottom"/>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 功能要求</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1) 结构展示：以爆炸的方式展示铅酸蓄电池、镍氢电池、三元锂电池、磷酸铁锂电池的结构。</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2) 原理演示：模拟铅酸蓄电池、镍氢电池、三元锂电池、磷酸铁锂电池的工作原理。</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3) ★展示特效：模拟铅酸蓄电池、镍氢电池、三元锂电池、磷酸铁锂电池中化学反应。</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4) 手势操作：触摸操作，支持2点缩放，滑动旋转，3点平移，双击重置等操作。</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5) 零部件名称显示：结构爆炸后的零件可显示或隐藏对应的名称。</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6) 旋转限制：上旋转幅度70°，下旋转幅度45°，左右旋转幅度360°。</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2. 内容要求</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1) ★提供铅酸蓄电池、镍氢电池、三元锂电池、磷酸铁锂电池共13个结构展示、9个原理演示。</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2) ★13个结构展示包含电池结构、铅酸蓄电池结构、铅酸蓄电池壳体结构、铅酸蓄电池电芯结构、镍氢电池结构、镍氢电池壳体结构、镍氢电池电芯结构、三元锂电池结构、三元锂电池壳体结构、三元锂电池电芯结构、磷酸铁锂电池结构、磷酸铁锂电池壳体结构、磷酸铁锂电池电芯结构。</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3) ★9个原理演示包含电池原理、铅酸蓄电池原理、铅酸蓄电池电芯原理、镍氢电池原理、镍氢电池电芯原理、三元锂电池原理、三元锂电池电芯原理、磷酸铁锂电池原理、磷酸铁锂电池电芯原理。</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3. 技术要求</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1) 结构展示必须展示真实零件的标记、零件特征。</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2) 原理必须模拟铅酸蓄电池、镍氢电池、三元锂电池、磷酸铁锂电池亏电、充电、满电、放电状态下的化学反应特效。</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3) ★采用Unity 纯三维引擎交互技术，360度全方位展示，随时缩放大小以方便结构展示。</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4) 采用多点触摸操作方式加强用户交互体验舒适度。</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5) 支持在线更新的方式，用户更方便快捷的更新内容。</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Layout w:type="fixed"/>
          <w:tblCellMar>
            <w:top w:w="0" w:type="dxa"/>
            <w:left w:w="0" w:type="dxa"/>
            <w:bottom w:w="0" w:type="dxa"/>
            <w:right w:w="0" w:type="dxa"/>
          </w:tblCellMar>
        </w:tblPrEx>
        <w:trPr>
          <w:trHeight w:val="402" w:hRule="atLeast"/>
        </w:trPr>
        <w:tc>
          <w:tcPr>
            <w:tcW w:w="435" w:type="dxa"/>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lang w:bidi="ar"/>
              </w:rPr>
              <w:t>7</w:t>
            </w:r>
          </w:p>
        </w:tc>
        <w:tc>
          <w:tcPr>
            <w:tcW w:w="5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小剪举升机</w:t>
            </w:r>
          </w:p>
        </w:tc>
        <w:tc>
          <w:tcPr>
            <w:tcW w:w="60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1.剪形隐藏式平板结构,占用空间小。</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2.进口液压、气动及电器元器件，设备运行平稳。</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3.气动宽齿自锁保险及防管爆装置,安全可靠。</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4.便于轮胎拆卸和底盘检修。</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5.升程2M,同类产品中升程ZU高,平台长度可调,适合各种车型。</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 1.举升重量为3.0T。</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2.举升高度为330-2160mm。</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3.顶板长度为1540-1740 mm。</w:t>
            </w:r>
          </w:p>
          <w:p>
            <w:pPr>
              <w:widowControl/>
              <w:jc w:val="left"/>
              <w:rPr>
                <w:rFonts w:hint="eastAsia" w:ascii="新宋体" w:hAnsi="新宋体" w:eastAsia="新宋体" w:cs="新宋体"/>
                <w:color w:val="000000"/>
                <w:kern w:val="0"/>
                <w:sz w:val="24"/>
                <w:szCs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2" w:hRule="atLeast"/>
        </w:trPr>
        <w:tc>
          <w:tcPr>
            <w:tcW w:w="435" w:type="dxa"/>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lang w:bidi="ar"/>
              </w:rPr>
              <w:t>8</w:t>
            </w:r>
          </w:p>
        </w:tc>
        <w:tc>
          <w:tcPr>
            <w:tcW w:w="5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双柱举升机（龙门举升）</w:t>
            </w:r>
          </w:p>
        </w:tc>
        <w:tc>
          <w:tcPr>
            <w:tcW w:w="60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xml:space="preserve">性能特点   </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1.机械保险装置，双边手动解锁，手动下降。       </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2.双液压缸链条驱动，钢丝绳平衡系统，最大举升高度1910mm。       </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3.整体立柱龙门式设计，不阻碍地面空间。       </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4.高分子超耐磨滑块，使用寿命更长久。       </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5.设有高精密举升托臂回转角锁定装置，托臂锁定摆动极小。       </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6.两节螺旋无级调节支承托盘。       </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7.设顶梁举升高度限位，保护人车安全。  </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技术参数  </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最大举升重量:4000kg</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最大举升高度:1910mm</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托臂初始高度:110mm</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上升时间:≤45s</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下降时间:≤45s</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电机功率:2.2kw</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电源电压标配:380V 50Hz</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机器噪音:≤70dB</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型号 U-40A</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举升重量4000kg最低高度110mm举升高度1910mm机器高度3750mm机器宽度3420mm通车宽度2616mm上升时间≤45s下降时间≤45s功率2.2kw</w:t>
            </w:r>
          </w:p>
          <w:p>
            <w:pPr>
              <w:widowControl/>
              <w:jc w:val="left"/>
              <w:rPr>
                <w:rFonts w:hint="eastAsia" w:ascii="新宋体" w:hAnsi="新宋体" w:eastAsia="新宋体" w:cs="新宋体"/>
                <w:color w:val="000000"/>
                <w:kern w:val="0"/>
                <w:sz w:val="24"/>
                <w:szCs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2" w:hRule="atLeast"/>
        </w:trPr>
        <w:tc>
          <w:tcPr>
            <w:tcW w:w="435" w:type="dxa"/>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lang w:bidi="ar"/>
              </w:rPr>
              <w:t>9</w:t>
            </w:r>
          </w:p>
        </w:tc>
        <w:tc>
          <w:tcPr>
            <w:tcW w:w="5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大剪式举升机</w:t>
            </w:r>
          </w:p>
        </w:tc>
        <w:tc>
          <w:tcPr>
            <w:tcW w:w="60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xml:space="preserve">性能特点   </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1.机型优美，双层隐藏式结构，同步性能优越。</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2.水平精度可调，适合各种高精密四轮定位。</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3.便于轮胎拆卸和底盘检修。</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4.前轮转角盘（选配件）位置可调，加长后轮侧滑板。</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5.气动双齿自锁保险及防管爆装置，下降自动开启，免加油超耐磨材料滑动块。</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6.关键部分采用进口优质液压、电器元器件。</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7.具有液压锁和机械双齿保险爪双重安全保险装置，下降自动开启，通过锁定操作可以使保险爪实现反靠定位，安全可靠。</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技术参数  </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电机功率:2.2kw</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电源电压:380V/220V</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机器噪音:＜70dB</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气源压力:6-8kg/cm²</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工作环境温度:5-40℃</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工作环境湿度:30-95%</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运输、贮存高度:-25-55℃</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型号 U-Y35D </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举升重量3500kg举升高度1850mm整机长度4750mm平台长度4250mm子机长度1400mm转盘区域1020mm侧滑长度1380mm子机高度450mm平台高度330mm平台宽度620mm上升时间≤55s下降时间≤55s整机宽度2040mm</w:t>
            </w:r>
          </w:p>
          <w:p>
            <w:pPr>
              <w:widowControl/>
              <w:jc w:val="left"/>
              <w:rPr>
                <w:rFonts w:hint="eastAsia" w:ascii="新宋体" w:hAnsi="新宋体" w:eastAsia="新宋体" w:cs="新宋体"/>
                <w:color w:val="000000"/>
                <w:kern w:val="0"/>
                <w:sz w:val="24"/>
                <w:szCs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2" w:hRule="atLeast"/>
        </w:trPr>
        <w:tc>
          <w:tcPr>
            <w:tcW w:w="435" w:type="dxa"/>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lang w:bidi="ar"/>
              </w:rPr>
              <w:t>10</w:t>
            </w:r>
          </w:p>
        </w:tc>
        <w:tc>
          <w:tcPr>
            <w:tcW w:w="5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数字兆欧表</w:t>
            </w:r>
          </w:p>
        </w:tc>
        <w:tc>
          <w:tcPr>
            <w:tcW w:w="60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额定电压1000V测量范围0.0~99.9 MΩ 100~999 MΩ 1.00～1.99GΩ开路电压DC1000V 20%-0%额定电流1MΩ负荷时 1mA——1.2mA短路电路约 1.3mA精确度+-5%rdg+-3%dgt/</w:t>
            </w:r>
          </w:p>
          <w:p>
            <w:pPr>
              <w:widowControl/>
              <w:jc w:val="left"/>
              <w:rPr>
                <w:rFonts w:hint="eastAsia" w:ascii="新宋体" w:hAnsi="新宋体" w:eastAsia="新宋体" w:cs="新宋体"/>
                <w:kern w:val="0"/>
                <w:sz w:val="24"/>
                <w:szCs w:val="24"/>
              </w:rPr>
            </w:pPr>
          </w:p>
          <w:p>
            <w:pPr>
              <w:widowControl/>
              <w:jc w:val="center"/>
              <w:rPr>
                <w:rFonts w:hint="eastAsia" w:ascii="新宋体" w:hAnsi="新宋体" w:eastAsia="新宋体" w:cs="新宋体"/>
                <w:kern w:val="0"/>
                <w:sz w:val="24"/>
                <w:szCs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个</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2" w:hRule="atLeast"/>
        </w:trPr>
        <w:tc>
          <w:tcPr>
            <w:tcW w:w="435" w:type="dxa"/>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lang w:bidi="ar"/>
              </w:rPr>
              <w:t>11</w:t>
            </w:r>
          </w:p>
        </w:tc>
        <w:tc>
          <w:tcPr>
            <w:tcW w:w="5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钳形电流表</w:t>
            </w:r>
          </w:p>
        </w:tc>
        <w:tc>
          <w:tcPr>
            <w:tcW w:w="60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rPr>
                <w:rFonts w:hint="eastAsia" w:ascii="新宋体" w:hAnsi="新宋体" w:eastAsia="新宋体" w:cs="新宋体"/>
                <w:kern w:val="0"/>
                <w:sz w:val="24"/>
                <w:szCs w:val="24"/>
              </w:rPr>
            </w:pPr>
            <w:r>
              <w:rPr>
                <w:rFonts w:hint="eastAsia" w:ascii="新宋体" w:hAnsi="新宋体" w:eastAsia="新宋体" w:cs="新宋体"/>
                <w:kern w:val="0"/>
                <w:sz w:val="24"/>
                <w:szCs w:val="24"/>
              </w:rPr>
              <w:t>过夹钳进行交流电流测量 1000A 0.1A 2%±5digit(10-100Hz)</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5%±5digit(100-500Hz)</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通过 iFlex™ 进行交流电流测量 2500A 0.1A/1A 3%±5digit(45-500Hz)</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直流电流 1000A 0.1A 2%±5digit</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交流电压 600.0V/1000V 0.1V/1V 1.5%±5digit(20-500Hz)</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直流电压 600.0V/1000V 0.1V/1V 1%±5digit</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电阻 600Ω/6KΩ/60KΩ 0.1Ω/1Ω/10Ω 1%±5digit</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频率 500Hz 0.1 Hz 0.5%±5digit</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真有效值 •</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通断检测 &lt;=30Ω</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保持 •</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背光照明 •</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最小值/最大值 •</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涌流 •</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低通滤波器 •</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远程显示屏 •</w:t>
            </w:r>
          </w:p>
          <w:p>
            <w:pPr>
              <w:widowControl/>
              <w:jc w:val="center"/>
              <w:rPr>
                <w:rFonts w:hint="eastAsia" w:ascii="新宋体" w:hAnsi="新宋体" w:eastAsia="新宋体" w:cs="新宋体"/>
                <w:kern w:val="0"/>
                <w:sz w:val="24"/>
                <w:szCs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个</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108" w:type="dxa"/>
            <w:bottom w:w="0" w:type="dxa"/>
            <w:right w:w="108" w:type="dxa"/>
          </w:tblCellMar>
        </w:tblPrEx>
        <w:trPr>
          <w:trHeight w:val="402" w:hRule="atLeast"/>
        </w:trPr>
        <w:tc>
          <w:tcPr>
            <w:tcW w:w="435"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lang w:bidi="ar"/>
              </w:rPr>
              <w:t>12</w:t>
            </w:r>
          </w:p>
        </w:tc>
        <w:tc>
          <w:tcPr>
            <w:tcW w:w="57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高压安全防护套装</w:t>
            </w:r>
          </w:p>
        </w:tc>
        <w:tc>
          <w:tcPr>
            <w:tcW w:w="6091" w:type="dxa"/>
            <w:tcBorders>
              <w:top w:val="single" w:color="000000" w:sz="4" w:space="0"/>
              <w:left w:val="single" w:color="000000" w:sz="4" w:space="0"/>
              <w:bottom w:val="single" w:color="000000" w:sz="4" w:space="0"/>
              <w:right w:val="single" w:color="000000" w:sz="4" w:space="0"/>
            </w:tcBorders>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防电压：500KV</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配套：手套 上衣含帽 下裤  手套  导电鞋  导电袜</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可以近距离接触，严谨拆开穿，所有均为一套，必须全部配备</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严谨上穿导电衣服，下穿绝缘鞋等</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采用金属纤维与柞蚕丝混纺后与蒙乃尔合金丝并捻交织而成，产品具有优良可靠的电气性能和阻燃性能，在服装款式上对传统式样进行了改进，使其更加实用、美观、舒适、安全、可靠。产品经国家电力公司武汉高压研究所检测，各项指标均优于GB6568.1-2000标准规定的指标</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适合高压场所使用</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1:适用范围:100kV-500kV输变电设备带电作业</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2:屏蔽服型式: :分体式</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3:屏蔽效率: :大于等于40dB</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4:衣料电阻:小于800兆欧</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5:熔断电流:大于等于30A</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6:燃烧炭化面积:小于等于100cm2</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7:透气性能:透过衣料的空气流量大于35L/m2.s</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8:衣料径向断裂度:大于343N</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9:衣料纬向断裂度:大于294N</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10:断裂伸长率:大于10%</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11:任意两个最远端</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电阻:小于15欧姆</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12:手套及短袜电阻:小于15欧姆</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13:鞋子电阻:小于500欧姆</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Layout w:type="fixed"/>
          <w:tblCellMar>
            <w:top w:w="0" w:type="dxa"/>
            <w:left w:w="0" w:type="dxa"/>
            <w:bottom w:w="0" w:type="dxa"/>
            <w:right w:w="0" w:type="dxa"/>
          </w:tblCellMar>
        </w:tblPrEx>
        <w:trPr>
          <w:trHeight w:val="402" w:hRule="atLeast"/>
        </w:trPr>
        <w:tc>
          <w:tcPr>
            <w:tcW w:w="435" w:type="dxa"/>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lang w:bidi="ar"/>
              </w:rPr>
              <w:t>13</w:t>
            </w:r>
          </w:p>
        </w:tc>
        <w:tc>
          <w:tcPr>
            <w:tcW w:w="5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常用绝缘工具套装</w:t>
            </w:r>
          </w:p>
        </w:tc>
        <w:tc>
          <w:tcPr>
            <w:tcW w:w="60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 绝缘工具包括全套的绝缘尖嘴钳、绝缘电工钳、绝缘一字批、绝缘十字批、绝缘单、开口扳手、绝缘单梅花开口扳手、绝缘套筒、绝缘棘轮扳手、绝缘接杆、绝缘内六角、扳手等。</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 线束维修工具套装。</w:t>
            </w:r>
          </w:p>
          <w:p>
            <w:pPr>
              <w:widowControl/>
              <w:jc w:val="center"/>
              <w:rPr>
                <w:rFonts w:hint="eastAsia" w:ascii="新宋体" w:hAnsi="新宋体" w:eastAsia="新宋体" w:cs="新宋体"/>
                <w:color w:val="000000"/>
                <w:kern w:val="0"/>
                <w:sz w:val="24"/>
                <w:szCs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Layout w:type="fixed"/>
          <w:tblCellMar>
            <w:top w:w="0" w:type="dxa"/>
            <w:left w:w="0" w:type="dxa"/>
            <w:bottom w:w="0" w:type="dxa"/>
            <w:right w:w="0" w:type="dxa"/>
          </w:tblCellMar>
        </w:tblPrEx>
        <w:trPr>
          <w:trHeight w:val="402" w:hRule="atLeast"/>
        </w:trPr>
        <w:tc>
          <w:tcPr>
            <w:tcW w:w="435" w:type="dxa"/>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lang w:bidi="ar"/>
              </w:rPr>
              <w:t>14</w:t>
            </w:r>
          </w:p>
        </w:tc>
        <w:tc>
          <w:tcPr>
            <w:tcW w:w="5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混合动力汽车结构原理展示台</w:t>
            </w:r>
          </w:p>
        </w:tc>
        <w:tc>
          <w:tcPr>
            <w:tcW w:w="60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 功能要求</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 结构展示：以爆炸的方式展示比亚迪秦动力系统及组件的结构。</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 原理演示：模拟比亚迪秦动力系统及组件的工作原理。</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 ★展示特效：模拟比亚迪秦动力系统运行时的机械运动特效、电路传递特效、液体气体特效。</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 手势操作：触摸操作，支持2点缩放，滑动旋转，3点平移，双击重置等操作。</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 零部件名称显示：结构爆炸后的零件可显示或隐藏零件原厂维修手册对应名称。</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 旋转限制：上旋转幅度70°，下旋转幅度45°，左右旋转幅度360°。</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 内容要求</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 ★提供双离合变速器总成、发动机总成、电驱系统、电池系统、电控系统五大系统的28个结构展示、17个原理演示。</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 ★28个结构展示包含比亚迪秦混合动力汽车动力系统结构、发动机总成结构、双离合变速器总成结构、电驱系统结构、电池系统结构、电控系统结构、发动机结构、发动机冷却系统结构、双离合器结构、变速箱总成结构、差速器结构、半轴结构、电机定子结构、电机转子结构、电机旋转变压器结构、电机减速器结构、驱动电机控制器与DC总成结构、电驱冷却系统结构、动力电池包总成结构、维修开关结构、高压配电箱结构、漏电传感器结构、分布式电池管理系统结构、驱动电机控制器与DC总成结构、充电系统结构、档位控制器结构、油门踏板结构、制动踏板结构。</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 ★17个原理演示包含比亚迪秦混合动力汽车动力系统原理、双离合变速器总成原理、电驱系统原理、电池系统原理、电控系统原理、发动机冷却系统原理、双离合器原理、变速箱总成原理、电机减速器原理、驱动电机控制器与DC总成原理、电驱冷却系统原理、动力电池包总成原理、维修开关原理、高压配电箱原理、分布式电池管理系统原理、驱动电机控制器与DC总成原理、充电系统原理。</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 技术要求</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 结构必须展示真实零件的标记、零件特征。</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 原理演示必须模拟比亚迪秦的动力系统运行时的机械、电路、流体运动特效。</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 ★采用Unity 纯三维引擎交互技术，360度全方位展示比亚迪秦的动力系统，随时缩放大小以方便结构展示操作。</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 采用多点触摸操作方式加强用户交互体验舒适度。</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 运行在智能触摸交互平板，清晰的展示结构及工作原理。</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 支持在线更新的方式，用户更方便快捷的更新内容。</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Layout w:type="fixed"/>
          <w:tblCellMar>
            <w:top w:w="0" w:type="dxa"/>
            <w:left w:w="0" w:type="dxa"/>
            <w:bottom w:w="0" w:type="dxa"/>
            <w:right w:w="0" w:type="dxa"/>
          </w:tblCellMar>
        </w:tblPrEx>
        <w:trPr>
          <w:trHeight w:val="402" w:hRule="atLeast"/>
        </w:trPr>
        <w:tc>
          <w:tcPr>
            <w:tcW w:w="435" w:type="dxa"/>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lang w:bidi="ar"/>
              </w:rPr>
              <w:t>15</w:t>
            </w:r>
          </w:p>
        </w:tc>
        <w:tc>
          <w:tcPr>
            <w:tcW w:w="5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混合动力汽车虚拟拆装台</w:t>
            </w:r>
          </w:p>
        </w:tc>
        <w:tc>
          <w:tcPr>
            <w:tcW w:w="60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 功能要求</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 模式选择：提供3种模式的选择（教学模式、训练模式、考核模式）；教学模式：包括一键操作、自动操作、步骤跳转等功能，辅助老师授课；训练模式：包括拆装工单、操作提示、得分反馈等功能，引导学生完成拆装训练；考核模式：拆装自由度较高，考核学生对于拆装知识的掌握情况。</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 新手引导：针对于混合动力汽车动力系统虚拟拆装软件功能及操作的引导功能。</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 项目选择：提供6种部件（车载充电器总成拆装、高压配电箱总成拆装、动力电池包总成拆装、空调配电盒总成拆装、驱动电机控制器与DC总成拆装、驱动电机拆装）的拆装任务的选择界面。</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 一键操作：拆装任务步骤中，点击相应对象即可进行自动拆装。</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 自动操作：拆装任务步骤中，每一步骤可执行自动操作。</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 步骤跳转：拆装任务步骤中，点击拆装流程工单可跳转至任一步骤。</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7) 拆装工单：部件拆装流程提示，包括选择工具、扭矩等信息。</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8) 注意事项：拆装步骤中的注意事项，提示方式主要以图文结合形式。</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9) 最佳视角：由于拆装过程中视角旋转，点击可跳转至系统默认的视角。</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10) 虚拟工具车：模拟真实工具车，可通过选择不同的拆装工具进行组合。</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11) 自动组合工具：可通过点击按钮进行该步骤所需工具的自动选取、组合、设置等完整操作。</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12) 虚拟零件桌：模拟真实零件桌，可摆放零件等操作。</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13) 手势操作：提供缩放、旋转、视角定位重置等操作</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14) 装备选择：提供高压操作人体安全装备的穿戴功能。</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15) 维修资料：提供比亚迪秦高压部件拆装资料等内容。</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 内容要求</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 ★能够完成6个部件（车载充电器总成拆装、高压配电箱总成拆装、动力电池包总成拆装、空调配电盒总成拆装、驱动电机控制器与DC总成拆装、驱动电机拆装）的拆装任务。</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 技术要求</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 ★采用Unity 纯三维引擎交互技术，运行在智能触摸平板，清晰的展示拆装过程。</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 采用多点触摸操作方式加强用户交互体验舒适度。</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 支持在线更新的方式，用户更方便快捷的更新内容。</w:t>
            </w:r>
          </w:p>
          <w:p>
            <w:pPr>
              <w:widowControl/>
              <w:jc w:val="left"/>
              <w:rPr>
                <w:rFonts w:hint="eastAsia" w:ascii="新宋体" w:hAnsi="新宋体" w:eastAsia="新宋体" w:cs="新宋体"/>
                <w:color w:val="000000"/>
                <w:kern w:val="0"/>
                <w:sz w:val="24"/>
                <w:szCs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Layout w:type="fixed"/>
          <w:tblCellMar>
            <w:top w:w="0" w:type="dxa"/>
            <w:left w:w="0" w:type="dxa"/>
            <w:bottom w:w="0" w:type="dxa"/>
            <w:right w:w="0" w:type="dxa"/>
          </w:tblCellMar>
        </w:tblPrEx>
        <w:trPr>
          <w:trHeight w:val="402" w:hRule="atLeast"/>
        </w:trPr>
        <w:tc>
          <w:tcPr>
            <w:tcW w:w="4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16</w:t>
            </w:r>
          </w:p>
        </w:tc>
        <w:tc>
          <w:tcPr>
            <w:tcW w:w="5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rPr>
              <w:t>动力电池举升车</w:t>
            </w:r>
          </w:p>
        </w:tc>
        <w:tc>
          <w:tcPr>
            <w:tcW w:w="60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utoSpaceDE w:val="0"/>
              <w:autoSpaceDN w:val="0"/>
              <w:adjustRightInd w:val="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1.结构简单紧凑；具有更大的举升高度及承载力；</w:t>
            </w:r>
          </w:p>
          <w:p>
            <w:pPr>
              <w:autoSpaceDE w:val="0"/>
              <w:autoSpaceDN w:val="0"/>
              <w:adjustRightInd w:val="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2.电控系统采用DC12V安全电压；台面铺设绝缘板材；防止操作人员触电；</w:t>
            </w:r>
          </w:p>
          <w:p>
            <w:pPr>
              <w:autoSpaceDE w:val="0"/>
              <w:autoSpaceDN w:val="0"/>
              <w:adjustRightInd w:val="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3.配有电源显示灯（DC12v），急停开关按钮（DC12V）；</w:t>
            </w:r>
          </w:p>
          <w:p>
            <w:pPr>
              <w:autoSpaceDE w:val="0"/>
              <w:autoSpaceDN w:val="0"/>
              <w:adjustRightInd w:val="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4.重型脚轮承重1500KG，同时具有绝缘功能，四轮万向脚轮；</w:t>
            </w:r>
          </w:p>
          <w:p>
            <w:pPr>
              <w:autoSpaceDE w:val="0"/>
              <w:autoSpaceDN w:val="0"/>
              <w:adjustRightInd w:val="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5.内置电瓶为设备提供供电电源，可随时随地进行作业，配置有充电机，可对内置电瓶进行充电。</w:t>
            </w:r>
          </w:p>
          <w:p>
            <w:pPr>
              <w:autoSpaceDE w:val="0"/>
              <w:autoSpaceDN w:val="0"/>
              <w:adjustRightInd w:val="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设备参数：</w:t>
            </w:r>
          </w:p>
          <w:p>
            <w:pPr>
              <w:autoSpaceDE w:val="0"/>
              <w:autoSpaceDN w:val="0"/>
              <w:adjustRightInd w:val="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荷重：1000KG</w:t>
            </w:r>
          </w:p>
          <w:p>
            <w:pPr>
              <w:autoSpaceDE w:val="0"/>
              <w:autoSpaceDN w:val="0"/>
              <w:adjustRightInd w:val="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台面最高高度：1200mm</w:t>
            </w:r>
          </w:p>
          <w:p>
            <w:pPr>
              <w:autoSpaceDE w:val="0"/>
              <w:autoSpaceDN w:val="0"/>
              <w:adjustRightInd w:val="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台面最低高度：500mm</w:t>
            </w:r>
          </w:p>
          <w:p>
            <w:pPr>
              <w:autoSpaceDE w:val="0"/>
              <w:autoSpaceDN w:val="0"/>
              <w:adjustRightInd w:val="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台 面 尺 寸：1300*700mm</w:t>
            </w:r>
          </w:p>
          <w:p>
            <w:pPr>
              <w:autoSpaceDE w:val="0"/>
              <w:autoSpaceDN w:val="0"/>
              <w:adjustRightInd w:val="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底部框架宽度：800mm</w:t>
            </w:r>
            <w:bookmarkStart w:id="11" w:name="_GoBack"/>
            <w:bookmarkEnd w:id="11"/>
          </w:p>
          <w:p>
            <w:pPr>
              <w:autoSpaceDE w:val="0"/>
              <w:autoSpaceDN w:val="0"/>
              <w:adjustRightInd w:val="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台面距离控制箱：150mm</w:t>
            </w:r>
          </w:p>
          <w:p>
            <w:pPr>
              <w:autoSpaceDE w:val="0"/>
              <w:autoSpaceDN w:val="0"/>
              <w:adjustRightInd w:val="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升 降 速 度：30-40mm/s</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电瓶：12V  65AH</w:t>
            </w:r>
          </w:p>
          <w:p>
            <w:pPr>
              <w:widowControl/>
              <w:jc w:val="left"/>
              <w:rPr>
                <w:rFonts w:hint="eastAsia" w:ascii="新宋体" w:hAnsi="新宋体" w:eastAsia="新宋体" w:cs="新宋体"/>
                <w:color w:val="000000"/>
                <w:kern w:val="0"/>
                <w:sz w:val="24"/>
                <w:szCs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1</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个</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是</w:t>
            </w:r>
          </w:p>
        </w:tc>
      </w:tr>
    </w:tbl>
    <w:p>
      <w:pPr>
        <w:widowControl/>
        <w:numPr>
          <w:ilvl w:val="0"/>
          <w:numId w:val="0"/>
        </w:numPr>
        <w:shd w:val="clear" w:color="auto" w:fill="FFFFFF"/>
        <w:spacing w:line="360" w:lineRule="auto"/>
        <w:ind w:leftChars="0"/>
        <w:jc w:val="left"/>
        <w:rPr>
          <w:rFonts w:hint="eastAsia" w:ascii="新宋体" w:hAnsi="新宋体" w:eastAsia="新宋体" w:cs="新宋体"/>
          <w:b/>
          <w:bCs/>
          <w:color w:val="000000"/>
          <w:kern w:val="0"/>
          <w:sz w:val="24"/>
          <w:szCs w:val="24"/>
          <w:lang w:eastAsia="zh-CN"/>
        </w:rPr>
      </w:pPr>
      <w:r>
        <w:rPr>
          <w:rFonts w:hint="eastAsia" w:ascii="新宋体" w:hAnsi="新宋体" w:eastAsia="新宋体" w:cs="新宋体"/>
          <w:b/>
          <w:bCs/>
          <w:color w:val="000000"/>
          <w:kern w:val="0"/>
          <w:sz w:val="24"/>
          <w:szCs w:val="24"/>
          <w:lang w:eastAsia="zh-CN"/>
        </w:rPr>
        <w:t>（三）</w:t>
      </w:r>
      <w:r>
        <w:rPr>
          <w:rFonts w:hint="eastAsia" w:ascii="新宋体" w:hAnsi="新宋体" w:eastAsia="新宋体" w:cs="新宋体"/>
          <w:b/>
          <w:bCs/>
          <w:color w:val="000000"/>
          <w:kern w:val="0"/>
          <w:sz w:val="24"/>
          <w:szCs w:val="24"/>
        </w:rPr>
        <w:t>采购标的执行标准</w:t>
      </w:r>
    </w:p>
    <w:p>
      <w:pPr>
        <w:spacing w:line="360" w:lineRule="auto"/>
        <w:ind w:firstLine="480" w:firstLineChars="200"/>
        <w:contextualSpacing/>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1、国家标准：</w:t>
      </w:r>
    </w:p>
    <w:p>
      <w:pPr>
        <w:spacing w:line="360" w:lineRule="auto"/>
        <w:ind w:firstLine="480" w:firstLineChars="200"/>
        <w:contextualSpacing/>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（1）强制性产品认证</w:t>
      </w:r>
    </w:p>
    <w:p>
      <w:pPr>
        <w:spacing w:line="360" w:lineRule="auto"/>
        <w:ind w:firstLine="480" w:firstLineChars="200"/>
        <w:contextualSpacing/>
        <w:rPr>
          <w:rFonts w:hint="eastAsia" w:ascii="新宋体" w:hAnsi="新宋体" w:eastAsia="新宋体" w:cs="新宋体"/>
          <w:kern w:val="0"/>
          <w:sz w:val="24"/>
          <w:szCs w:val="24"/>
        </w:rPr>
      </w:pPr>
      <w:r>
        <w:rPr>
          <w:rFonts w:hint="eastAsia" w:ascii="新宋体" w:hAnsi="新宋体" w:eastAsia="新宋体" w:cs="新宋体"/>
          <w:sz w:val="24"/>
          <w:szCs w:val="24"/>
          <w:lang w:val="zh-CN"/>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spacing w:line="360" w:lineRule="auto"/>
        <w:ind w:firstLine="480" w:firstLineChars="200"/>
        <w:contextualSpacing/>
        <w:rPr>
          <w:rFonts w:hint="eastAsia" w:ascii="新宋体" w:hAnsi="新宋体" w:eastAsia="新宋体" w:cs="新宋体"/>
          <w:kern w:val="0"/>
          <w:sz w:val="24"/>
          <w:szCs w:val="24"/>
        </w:rPr>
      </w:pPr>
      <w:r>
        <w:rPr>
          <w:rFonts w:hint="eastAsia" w:ascii="新宋体" w:hAnsi="新宋体" w:eastAsia="新宋体" w:cs="新宋体"/>
          <w:kern w:val="0"/>
          <w:sz w:val="24"/>
          <w:szCs w:val="24"/>
        </w:rPr>
        <w:t>（2）信息安全产品强制性认证</w:t>
      </w:r>
    </w:p>
    <w:p>
      <w:pPr>
        <w:spacing w:line="360" w:lineRule="auto"/>
        <w:ind w:firstLine="480" w:firstLineChars="200"/>
        <w:contextualSpacing/>
        <w:rPr>
          <w:rFonts w:hint="eastAsia" w:ascii="新宋体" w:hAnsi="新宋体" w:eastAsia="新宋体" w:cs="新宋体"/>
          <w:kern w:val="0"/>
          <w:sz w:val="24"/>
          <w:szCs w:val="24"/>
        </w:rPr>
      </w:pPr>
      <w:r>
        <w:rPr>
          <w:rFonts w:hint="eastAsia" w:ascii="新宋体" w:hAnsi="新宋体" w:eastAsia="新宋体" w:cs="新宋体"/>
          <w:sz w:val="24"/>
          <w:szCs w:val="24"/>
          <w:lang w:val="zh-CN"/>
        </w:rPr>
        <w:t>如投标人所投产品</w:t>
      </w:r>
      <w:r>
        <w:rPr>
          <w:rFonts w:hint="eastAsia" w:ascii="新宋体" w:hAnsi="新宋体" w:eastAsia="新宋体" w:cs="新宋体"/>
          <w:kern w:val="0"/>
          <w:sz w:val="24"/>
          <w:szCs w:val="24"/>
        </w:rPr>
        <w:t>被列入《信息安全产品强制性认证目录》，投标人不能提供超出此目录范畴外的替代品并须在投标文件中提供：</w:t>
      </w:r>
    </w:p>
    <w:p>
      <w:pPr>
        <w:wordWrap w:val="0"/>
        <w:spacing w:line="360" w:lineRule="auto"/>
        <w:ind w:firstLine="480" w:firstLineChars="200"/>
        <w:contextualSpacing/>
        <w:rPr>
          <w:rFonts w:hint="eastAsia" w:ascii="新宋体" w:hAnsi="新宋体" w:eastAsia="新宋体" w:cs="新宋体"/>
          <w:kern w:val="0"/>
          <w:sz w:val="24"/>
          <w:szCs w:val="24"/>
        </w:rPr>
      </w:pPr>
      <w:r>
        <w:rPr>
          <w:rFonts w:hint="eastAsia" w:ascii="新宋体" w:hAnsi="新宋体" w:eastAsia="新宋体" w:cs="新宋体"/>
          <w:kern w:val="0"/>
          <w:sz w:val="24"/>
          <w:szCs w:val="24"/>
        </w:rPr>
        <w:t>①中国信息安全认证中心官网（http://www.isccc.gov.cn/index.shtml）产品查询结果截图并加盖投标人公章；</w:t>
      </w:r>
    </w:p>
    <w:p>
      <w:pPr>
        <w:wordWrap w:val="0"/>
        <w:spacing w:line="360" w:lineRule="auto"/>
        <w:ind w:firstLine="480" w:firstLineChars="200"/>
        <w:contextualSpacing/>
        <w:rPr>
          <w:rFonts w:hint="eastAsia" w:ascii="新宋体" w:hAnsi="新宋体" w:eastAsia="新宋体" w:cs="新宋体"/>
          <w:kern w:val="0"/>
          <w:sz w:val="24"/>
          <w:szCs w:val="24"/>
        </w:rPr>
      </w:pPr>
      <w:r>
        <w:rPr>
          <w:rFonts w:hint="eastAsia" w:ascii="新宋体" w:hAnsi="新宋体" w:eastAsia="新宋体" w:cs="新宋体"/>
          <w:kern w:val="0"/>
          <w:sz w:val="24"/>
          <w:szCs w:val="24"/>
        </w:rPr>
        <w:t>②中国信息安全认证中心颁发的《</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"http://www.cnca.gov.cn/cnca/zwxx/ggxx/images/2010/07/19/A6C32D2A507AC2A38326896013A67542.doc" \t "_blank" </w:instrText>
      </w:r>
      <w:r>
        <w:rPr>
          <w:rFonts w:hint="eastAsia" w:ascii="新宋体" w:hAnsi="新宋体" w:eastAsia="新宋体" w:cs="新宋体"/>
          <w:sz w:val="24"/>
          <w:szCs w:val="24"/>
        </w:rPr>
        <w:fldChar w:fldCharType="separate"/>
      </w:r>
      <w:r>
        <w:rPr>
          <w:rFonts w:hint="eastAsia" w:ascii="新宋体" w:hAnsi="新宋体" w:eastAsia="新宋体" w:cs="新宋体"/>
          <w:kern w:val="0"/>
          <w:sz w:val="24"/>
          <w:szCs w:val="24"/>
        </w:rPr>
        <w:t>中国国家信息安全产品认证证书</w:t>
      </w:r>
      <w:r>
        <w:rPr>
          <w:rFonts w:hint="eastAsia" w:ascii="新宋体" w:hAnsi="新宋体" w:eastAsia="新宋体" w:cs="新宋体"/>
          <w:kern w:val="0"/>
          <w:sz w:val="24"/>
          <w:szCs w:val="24"/>
        </w:rPr>
        <w:fldChar w:fldCharType="end"/>
      </w:r>
      <w:r>
        <w:rPr>
          <w:rFonts w:hint="eastAsia" w:ascii="新宋体" w:hAnsi="新宋体" w:eastAsia="新宋体" w:cs="新宋体"/>
          <w:kern w:val="0"/>
          <w:sz w:val="24"/>
          <w:szCs w:val="24"/>
        </w:rPr>
        <w:t>》的原件扫描件（或图片）并加盖投标人公章。</w:t>
      </w:r>
    </w:p>
    <w:p>
      <w:pPr>
        <w:wordWrap w:val="0"/>
        <w:spacing w:line="360" w:lineRule="auto"/>
        <w:ind w:firstLine="480" w:firstLineChars="200"/>
        <w:contextualSpacing/>
        <w:rPr>
          <w:rFonts w:hint="eastAsia" w:ascii="楷体" w:hAnsi="楷体" w:eastAsia="楷体"/>
          <w:color w:val="000000"/>
          <w:sz w:val="24"/>
          <w:szCs w:val="24"/>
        </w:rPr>
      </w:pPr>
      <w:r>
        <w:rPr>
          <w:rFonts w:hint="eastAsia" w:ascii="新宋体" w:hAnsi="新宋体" w:eastAsia="新宋体" w:cs="新宋体"/>
          <w:sz w:val="24"/>
          <w:szCs w:val="24"/>
          <w:lang w:val="zh-CN"/>
        </w:rPr>
        <w:t>注：仅需提供序号</w:t>
      </w:r>
      <w:r>
        <w:rPr>
          <w:rFonts w:hint="eastAsia" w:ascii="新宋体" w:hAnsi="新宋体" w:eastAsia="新宋体" w:cs="新宋体"/>
          <w:color w:val="000000"/>
          <w:sz w:val="24"/>
          <w:szCs w:val="24"/>
        </w:rPr>
        <w:t>①～②其中之一即可。</w:t>
      </w:r>
    </w:p>
    <w:p>
      <w:pPr>
        <w:pStyle w:val="20"/>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cs="宋体" w:asciiTheme="minorEastAsia" w:hAnsiTheme="minorEastAsia" w:eastAsiaTheme="minorEastAsia"/>
          <w:b/>
          <w:bCs/>
          <w:kern w:val="0"/>
          <w:sz w:val="24"/>
          <w:szCs w:val="24"/>
          <w:lang w:val="en-US" w:eastAsia="zh-CN" w:bidi="ar-SA"/>
        </w:rPr>
      </w:pPr>
      <w:r>
        <w:rPr>
          <w:rFonts w:hint="eastAsia" w:cs="宋体" w:asciiTheme="minorEastAsia" w:hAnsiTheme="minorEastAsia" w:eastAsiaTheme="minorEastAsia"/>
          <w:b/>
          <w:bCs/>
          <w:kern w:val="0"/>
          <w:sz w:val="24"/>
          <w:szCs w:val="24"/>
          <w:lang w:val="en-US" w:eastAsia="zh-CN" w:bidi="ar-SA"/>
        </w:rPr>
        <w:t>（四）服务标准、期限、效率等要求</w:t>
      </w:r>
    </w:p>
    <w:p>
      <w:pPr>
        <w:widowControl/>
        <w:spacing w:line="360" w:lineRule="auto"/>
        <w:ind w:firstLine="480" w:firstLineChars="200"/>
        <w:jc w:val="left"/>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 xml:space="preserve">  实施方案编制满足禹州市职业中专新能源汽车专业建设所必要的，可以为汽车专业学生提供更好的实训环境和更多的实践机会，从而提升本专业学生的业务能力，毕业后能更快融入社会。</w:t>
      </w:r>
    </w:p>
    <w:p>
      <w:pPr>
        <w:widowControl/>
        <w:shd w:val="clear" w:color="auto" w:fill="FFFFFF"/>
        <w:spacing w:line="360" w:lineRule="auto"/>
        <w:contextualSpacing/>
        <w:jc w:val="left"/>
        <w:rPr>
          <w:rFonts w:hint="eastAsia" w:ascii="宋体" w:cs="宋体"/>
          <w:sz w:val="24"/>
          <w:lang w:val="zh-CN"/>
        </w:rPr>
      </w:pPr>
      <w:r>
        <w:rPr>
          <w:rFonts w:hint="eastAsia" w:cs="宋体" w:asciiTheme="minorEastAsia" w:hAnsiTheme="minorEastAsia"/>
          <w:b/>
          <w:color w:val="000000"/>
          <w:kern w:val="0"/>
          <w:sz w:val="24"/>
          <w:szCs w:val="24"/>
          <w:lang w:val="zh-CN"/>
        </w:rPr>
        <w:t>（五）采购标的的其他技术、服务等要求</w:t>
      </w:r>
    </w:p>
    <w:p>
      <w:pPr>
        <w:wordWrap w:val="0"/>
        <w:topLinePunct/>
        <w:spacing w:line="360" w:lineRule="auto"/>
        <w:ind w:firstLine="480" w:firstLineChars="200"/>
        <w:rPr>
          <w:rFonts w:hint="eastAsia"/>
          <w:lang w:val="zh-CN"/>
        </w:rPr>
      </w:pPr>
      <w:r>
        <w:rPr>
          <w:rFonts w:hint="eastAsia" w:ascii="宋体" w:cs="宋体"/>
          <w:sz w:val="24"/>
          <w:lang w:val="zh-CN"/>
        </w:rPr>
        <w:t>1、供应商须明确响应产品的厂家、产地、品牌、型号、详细参数，</w:t>
      </w:r>
      <w:r>
        <w:rPr>
          <w:rFonts w:hint="eastAsia" w:ascii="宋体" w:cs="宋体"/>
          <w:b/>
          <w:sz w:val="24"/>
          <w:lang w:val="zh-CN"/>
        </w:rPr>
        <w:t>否则为无效投标。</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2</w:t>
      </w:r>
      <w:r>
        <w:rPr>
          <w:rFonts w:hint="eastAsia" w:ascii="宋体" w:cs="宋体"/>
          <w:sz w:val="24"/>
          <w:lang w:val="zh-CN"/>
        </w:rPr>
        <w:t>、投标人应就该项目完整投标（报价含运输费、税费等综合费用），否则为无效投标。</w:t>
      </w:r>
    </w:p>
    <w:p>
      <w:pPr>
        <w:pStyle w:val="2"/>
        <w:ind w:firstLine="480" w:firstLineChars="200"/>
        <w:rPr>
          <w:rFonts w:hint="eastAsia" w:ascii="宋体" w:cs="宋体" w:hAnsiTheme="minorHAnsi" w:eastAsiaTheme="minorEastAsia"/>
          <w:kern w:val="2"/>
          <w:sz w:val="24"/>
          <w:szCs w:val="22"/>
          <w:lang w:val="zh-CN" w:eastAsia="zh-CN" w:bidi="ar-SA"/>
        </w:rPr>
      </w:pPr>
      <w:r>
        <w:rPr>
          <w:rFonts w:hint="eastAsia" w:ascii="宋体" w:cs="宋体" w:hAnsiTheme="minorHAnsi" w:eastAsiaTheme="minorEastAsia"/>
          <w:kern w:val="2"/>
          <w:sz w:val="24"/>
          <w:szCs w:val="22"/>
          <w:lang w:val="zh-CN" w:eastAsia="zh-CN" w:bidi="ar-SA"/>
        </w:rPr>
        <w:t>3、所响应产品必须符合国家质量检测标准和本</w:t>
      </w:r>
      <w:r>
        <w:rPr>
          <w:rFonts w:hint="eastAsia" w:ascii="宋体" w:cs="宋体"/>
          <w:kern w:val="2"/>
          <w:sz w:val="24"/>
          <w:szCs w:val="22"/>
          <w:lang w:val="zh-CN" w:eastAsia="zh-CN" w:bidi="ar-SA"/>
        </w:rPr>
        <w:t>招标</w:t>
      </w:r>
      <w:r>
        <w:rPr>
          <w:rFonts w:hint="eastAsia" w:ascii="宋体" w:cs="宋体" w:hAnsiTheme="minorHAnsi" w:eastAsiaTheme="minorEastAsia"/>
          <w:kern w:val="2"/>
          <w:sz w:val="24"/>
          <w:szCs w:val="22"/>
          <w:lang w:val="zh-CN" w:eastAsia="zh-CN" w:bidi="ar-SA"/>
        </w:rPr>
        <w:t>文件规定标准的全新正品现货。</w:t>
      </w:r>
    </w:p>
    <w:p>
      <w:pPr>
        <w:pStyle w:val="2"/>
        <w:ind w:firstLine="480" w:firstLineChars="200"/>
        <w:rPr>
          <w:rFonts w:hint="eastAsia" w:ascii="宋体" w:cs="宋体" w:hAnsiTheme="minorHAnsi" w:eastAsiaTheme="minorEastAsia"/>
          <w:kern w:val="2"/>
          <w:sz w:val="24"/>
          <w:szCs w:val="22"/>
          <w:lang w:val="zh-CN" w:eastAsia="zh-CN" w:bidi="ar-SA"/>
        </w:rPr>
      </w:pPr>
      <w:r>
        <w:rPr>
          <w:rFonts w:hint="eastAsia" w:ascii="宋体" w:cs="宋体" w:hAnsiTheme="minorHAnsi" w:eastAsiaTheme="minorEastAsia"/>
          <w:kern w:val="2"/>
          <w:sz w:val="24"/>
          <w:szCs w:val="22"/>
          <w:lang w:val="en-US" w:eastAsia="zh-CN" w:bidi="ar-SA"/>
        </w:rPr>
        <w:t>4.</w:t>
      </w:r>
      <w:r>
        <w:rPr>
          <w:rFonts w:hint="eastAsia" w:ascii="宋体" w:cs="宋体" w:hAnsiTheme="minorHAnsi" w:eastAsiaTheme="minorEastAsia"/>
          <w:kern w:val="2"/>
          <w:sz w:val="24"/>
          <w:szCs w:val="22"/>
          <w:lang w:val="zh-CN" w:eastAsia="zh-CN" w:bidi="ar-SA"/>
        </w:rPr>
        <w:t>投标文件中须有详细的实施（技术）方案，否则为无效投标。</w:t>
      </w:r>
    </w:p>
    <w:p>
      <w:pPr>
        <w:pStyle w:val="2"/>
        <w:ind w:firstLine="480" w:firstLineChars="200"/>
        <w:rPr>
          <w:rFonts w:hint="eastAsia" w:ascii="宋体" w:cs="宋体" w:hAnsiTheme="minorHAnsi" w:eastAsiaTheme="minorEastAsia"/>
          <w:kern w:val="2"/>
          <w:sz w:val="24"/>
          <w:szCs w:val="22"/>
          <w:lang w:val="en-US" w:eastAsia="zh-CN" w:bidi="ar-SA"/>
        </w:rPr>
      </w:pPr>
      <w:r>
        <w:rPr>
          <w:rFonts w:hint="eastAsia" w:ascii="宋体" w:cs="宋体" w:hAnsiTheme="minorHAnsi" w:eastAsiaTheme="minorEastAsia"/>
          <w:kern w:val="2"/>
          <w:sz w:val="24"/>
          <w:szCs w:val="22"/>
          <w:lang w:val="en-US" w:eastAsia="zh-CN" w:bidi="ar-SA"/>
        </w:rPr>
        <w:t>5、投标人须明确免费包修期，同时应提出故障响应时间，在免费包修期内，同一质量问题连续两次维修仍无法正常使用，投标人必须予以更换同品牌、同型号的全新产品</w:t>
      </w:r>
      <w:r>
        <w:rPr>
          <w:rFonts w:hint="eastAsia" w:ascii="宋体" w:cs="宋体"/>
          <w:kern w:val="2"/>
          <w:sz w:val="24"/>
          <w:szCs w:val="22"/>
          <w:lang w:val="en-US" w:eastAsia="zh-CN" w:bidi="ar-SA"/>
        </w:rPr>
        <w:t>并安装到采购人指定单位。</w:t>
      </w:r>
    </w:p>
    <w:p>
      <w:pPr>
        <w:pStyle w:val="2"/>
        <w:ind w:firstLine="480" w:firstLineChars="200"/>
        <w:rPr>
          <w:rFonts w:hint="default" w:ascii="宋体" w:cs="宋体" w:hAnsiTheme="minorHAnsi" w:eastAsiaTheme="minorEastAsia"/>
          <w:kern w:val="2"/>
          <w:sz w:val="24"/>
          <w:szCs w:val="22"/>
          <w:lang w:val="en-US" w:eastAsia="zh-CN" w:bidi="ar-SA"/>
        </w:rPr>
      </w:pPr>
      <w:r>
        <w:rPr>
          <w:rFonts w:hint="eastAsia" w:ascii="宋体" w:cs="宋体" w:hAnsiTheme="minorHAnsi" w:eastAsiaTheme="minorEastAsia"/>
          <w:kern w:val="2"/>
          <w:sz w:val="24"/>
          <w:szCs w:val="22"/>
          <w:lang w:val="en-US" w:eastAsia="zh-CN" w:bidi="ar-SA"/>
        </w:rPr>
        <w:t>6、</w:t>
      </w:r>
      <w:r>
        <w:rPr>
          <w:rFonts w:hint="eastAsia" w:ascii="宋体" w:cs="宋体"/>
          <w:kern w:val="2"/>
          <w:sz w:val="24"/>
          <w:szCs w:val="22"/>
          <w:lang w:val="en-US" w:eastAsia="zh-CN" w:bidi="ar-SA"/>
        </w:rPr>
        <w:t>本项目为交钥匙工程（（包括设备、材料、运输、安装调试等一切费用），</w:t>
      </w:r>
      <w:r>
        <w:rPr>
          <w:rFonts w:hint="eastAsia" w:ascii="宋体" w:cs="宋体" w:hAnsiTheme="minorHAnsi" w:eastAsiaTheme="minorEastAsia"/>
          <w:kern w:val="2"/>
          <w:sz w:val="24"/>
          <w:szCs w:val="22"/>
          <w:lang w:val="en-US" w:eastAsia="zh-CN" w:bidi="ar-SA"/>
        </w:rPr>
        <w:t>投标人须明确维修点地址、负责人、联系人和联系电话</w:t>
      </w:r>
      <w:r>
        <w:rPr>
          <w:rFonts w:hint="eastAsia" w:ascii="宋体" w:cs="宋体"/>
          <w:kern w:val="2"/>
          <w:sz w:val="24"/>
          <w:szCs w:val="22"/>
          <w:lang w:val="en-US" w:eastAsia="zh-CN" w:bidi="ar-SA"/>
        </w:rPr>
        <w:t>。</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7、</w:t>
      </w:r>
      <w:r>
        <w:rPr>
          <w:rFonts w:hint="eastAsia" w:ascii="宋体" w:cs="宋体"/>
          <w:sz w:val="24"/>
          <w:lang w:val="zh-CN"/>
        </w:rPr>
        <w:t>投标商必须由法定代表人或其授权代表参加开标会议，随时接受评标委员会询问，并予作出书面解答。</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（六）验收标准</w:t>
      </w:r>
    </w:p>
    <w:p>
      <w:pPr>
        <w:wordWrap w:val="0"/>
        <w:topLinePunct/>
        <w:spacing w:line="360" w:lineRule="auto"/>
        <w:ind w:firstLine="480" w:firstLineChars="200"/>
        <w:rPr>
          <w:rFonts w:ascii="宋体" w:cs="宋体"/>
          <w:sz w:val="24"/>
          <w:lang w:val="zh-CN"/>
        </w:rPr>
      </w:pPr>
      <w:r>
        <w:rPr>
          <w:rFonts w:hint="eastAsia" w:ascii="宋体" w:cs="宋体"/>
          <w:sz w:val="24"/>
          <w:lang w:val="zh-CN"/>
        </w:rPr>
        <w:t>由采购人成立验收小组,按照采购合同的约定对成交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spacing w:line="360" w:lineRule="auto"/>
        <w:ind w:firstLine="480" w:firstLineChars="200"/>
        <w:rPr>
          <w:rFonts w:ascii="宋体" w:cs="宋体"/>
          <w:sz w:val="24"/>
          <w:lang w:val="zh-CN"/>
        </w:rPr>
      </w:pPr>
      <w:r>
        <w:rPr>
          <w:rFonts w:hint="eastAsia" w:ascii="宋体" w:cs="宋体"/>
          <w:sz w:val="24"/>
          <w:lang w:val="zh-CN"/>
        </w:rPr>
        <w:t>1、按照采购标的相关国家标准规范验收；</w:t>
      </w:r>
    </w:p>
    <w:p>
      <w:pPr>
        <w:wordWrap w:val="0"/>
        <w:topLinePunct/>
        <w:spacing w:line="360" w:lineRule="auto"/>
        <w:ind w:firstLine="480" w:firstLineChars="200"/>
        <w:rPr>
          <w:rFonts w:hint="eastAsia" w:cs="宋体" w:asciiTheme="minorEastAsia" w:hAnsiTheme="minorEastAsia" w:eastAsiaTheme="minorEastAsia"/>
          <w:b/>
          <w:color w:val="000000"/>
          <w:kern w:val="0"/>
          <w:sz w:val="24"/>
          <w:szCs w:val="24"/>
          <w:lang w:val="zh-CN" w:eastAsia="zh-CN" w:bidi="ar-SA"/>
        </w:rPr>
      </w:pPr>
      <w:r>
        <w:rPr>
          <w:rFonts w:hint="eastAsia" w:ascii="宋体" w:cs="宋体"/>
          <w:sz w:val="24"/>
          <w:lang w:val="zh-CN"/>
        </w:rPr>
        <w:t>2、按照谈判文件要求、投标文件响应和承诺验收。</w:t>
      </w:r>
    </w:p>
    <w:p>
      <w:pPr>
        <w:pStyle w:val="2"/>
        <w:ind w:firstLine="241" w:firstLineChars="100"/>
        <w:rPr>
          <w:rFonts w:hint="eastAsia" w:cs="宋体" w:asciiTheme="minorEastAsia" w:hAnsiTheme="minorEastAsia" w:eastAsiaTheme="minorEastAsia"/>
          <w:b/>
          <w:color w:val="000000"/>
          <w:kern w:val="0"/>
          <w:sz w:val="24"/>
          <w:szCs w:val="24"/>
          <w:lang w:val="zh-CN" w:eastAsia="zh-CN" w:bidi="ar-SA"/>
        </w:rPr>
      </w:pPr>
      <w:r>
        <w:rPr>
          <w:rFonts w:hint="eastAsia" w:cs="宋体" w:asciiTheme="minorEastAsia" w:hAnsiTheme="minorEastAsia"/>
          <w:b/>
          <w:color w:val="000000"/>
          <w:kern w:val="0"/>
          <w:sz w:val="24"/>
          <w:szCs w:val="24"/>
          <w:lang w:val="zh-CN" w:eastAsia="zh-CN" w:bidi="ar-SA"/>
        </w:rPr>
        <w:t>（</w:t>
      </w:r>
      <w:r>
        <w:rPr>
          <w:rFonts w:hint="eastAsia" w:cs="宋体" w:asciiTheme="minorEastAsia" w:hAnsiTheme="minorEastAsia" w:eastAsiaTheme="minorEastAsia"/>
          <w:b/>
          <w:color w:val="000000"/>
          <w:kern w:val="0"/>
          <w:sz w:val="24"/>
          <w:szCs w:val="24"/>
          <w:lang w:val="zh-CN" w:eastAsia="zh-CN" w:bidi="ar-SA"/>
        </w:rPr>
        <w:t>七</w:t>
      </w:r>
      <w:r>
        <w:rPr>
          <w:rFonts w:hint="eastAsia" w:cs="宋体" w:asciiTheme="minorEastAsia" w:hAnsiTheme="minorEastAsia"/>
          <w:b/>
          <w:color w:val="000000"/>
          <w:kern w:val="0"/>
          <w:sz w:val="24"/>
          <w:szCs w:val="24"/>
          <w:lang w:val="zh-CN" w:eastAsia="zh-CN" w:bidi="ar-SA"/>
        </w:rPr>
        <w:t>）</w:t>
      </w:r>
      <w:r>
        <w:rPr>
          <w:rFonts w:hint="eastAsia" w:cs="宋体" w:asciiTheme="minorEastAsia" w:hAnsiTheme="minorEastAsia" w:eastAsiaTheme="minorEastAsia"/>
          <w:b/>
          <w:color w:val="000000"/>
          <w:kern w:val="0"/>
          <w:sz w:val="24"/>
          <w:szCs w:val="24"/>
          <w:lang w:val="zh-CN" w:eastAsia="zh-CN" w:bidi="ar-SA"/>
        </w:rPr>
        <w:t>付款方式：</w:t>
      </w:r>
      <w:r>
        <w:rPr>
          <w:rFonts w:hint="eastAsia" w:cs="宋体" w:asciiTheme="minorEastAsia" w:hAnsiTheme="minorEastAsia"/>
          <w:b/>
          <w:color w:val="000000"/>
          <w:kern w:val="0"/>
          <w:sz w:val="24"/>
          <w:szCs w:val="24"/>
          <w:lang w:val="zh-CN" w:eastAsia="zh-CN" w:bidi="ar-SA"/>
        </w:rPr>
        <w:t>以签订合同为准</w:t>
      </w:r>
      <w:r>
        <w:rPr>
          <w:rFonts w:hint="eastAsia" w:cs="宋体" w:asciiTheme="minorEastAsia" w:hAnsiTheme="minorEastAsia" w:eastAsiaTheme="minorEastAsia"/>
          <w:b/>
          <w:color w:val="000000"/>
          <w:kern w:val="0"/>
          <w:sz w:val="24"/>
          <w:szCs w:val="24"/>
          <w:lang w:val="zh-CN" w:eastAsia="zh-CN" w:bidi="ar-SA"/>
        </w:rPr>
        <w:t>。</w:t>
      </w:r>
    </w:p>
    <w:p>
      <w:pPr>
        <w:spacing w:line="500" w:lineRule="exact"/>
        <w:jc w:val="left"/>
        <w:rPr>
          <w:rFonts w:hint="eastAsia" w:ascii="仿宋_GB2312" w:hAnsi="仿宋_GB2312" w:eastAsia="仿宋_GB2312" w:cs="仿宋_GB2312"/>
          <w:b/>
          <w:sz w:val="44"/>
          <w:lang w:val="en-US" w:eastAsia="zh-CN"/>
        </w:rPr>
      </w:pPr>
    </w:p>
    <w:p>
      <w:pPr>
        <w:pStyle w:val="2"/>
        <w:rPr>
          <w:rFonts w:hint="eastAsia" w:ascii="仿宋_GB2312" w:hAnsi="仿宋_GB2312" w:eastAsia="仿宋_GB2312" w:cs="仿宋_GB2312"/>
          <w:b/>
          <w:sz w:val="44"/>
          <w:lang w:val="en-US" w:eastAsia="zh-CN"/>
        </w:rPr>
      </w:pPr>
    </w:p>
    <w:p>
      <w:pPr>
        <w:pStyle w:val="2"/>
        <w:rPr>
          <w:rFonts w:hint="eastAsia" w:ascii="仿宋_GB2312" w:hAnsi="仿宋_GB2312" w:eastAsia="仿宋_GB2312" w:cs="仿宋_GB2312"/>
          <w:b/>
          <w:sz w:val="44"/>
          <w:lang w:val="en-US" w:eastAsia="zh-CN"/>
        </w:rPr>
      </w:pPr>
    </w:p>
    <w:p>
      <w:pPr>
        <w:pStyle w:val="2"/>
        <w:rPr>
          <w:rFonts w:hint="eastAsia" w:ascii="仿宋_GB2312" w:hAnsi="仿宋_GB2312" w:eastAsia="仿宋_GB2312" w:cs="仿宋_GB2312"/>
          <w:b/>
          <w:sz w:val="44"/>
          <w:lang w:val="en-US" w:eastAsia="zh-CN"/>
        </w:rPr>
      </w:pPr>
    </w:p>
    <w:p>
      <w:pPr>
        <w:autoSpaceDE w:val="0"/>
        <w:autoSpaceDN w:val="0"/>
        <w:adjustRightInd w:val="0"/>
        <w:jc w:val="both"/>
        <w:rPr>
          <w:rFonts w:cs="宋体" w:asciiTheme="majorEastAsia" w:hAnsiTheme="majorEastAsia" w:eastAsiaTheme="majorEastAsia"/>
          <w:b/>
          <w:kern w:val="0"/>
          <w:sz w:val="32"/>
          <w:szCs w:val="32"/>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jc w:val="both"/>
              <w:rPr>
                <w:rFonts w:hint="eastAsia" w:cs="仿宋_GB2312" w:asciiTheme="minorEastAsia" w:hAnsiTheme="minorEastAsia"/>
                <w:szCs w:val="21"/>
              </w:rPr>
            </w:pPr>
            <w:r>
              <w:rPr>
                <w:rFonts w:hint="eastAsia" w:cs="仿宋_GB2312" w:asciiTheme="minorEastAsia" w:hAnsiTheme="minorEastAsia"/>
                <w:szCs w:val="21"/>
              </w:rPr>
              <w:t>项目名称：河南省禹州市职业中等专业学校采购新能源汽车实训设备项目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YZCG-G2019162</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lang w:eastAsia="zh-CN"/>
              </w:rPr>
              <w:t>工期：合同签订后30天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名称：河南省禹州市职业中等专业学校</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 w:val="24"/>
                <w:szCs w:val="24"/>
              </w:rPr>
              <w:t>地址：</w:t>
            </w:r>
            <w:r>
              <w:rPr>
                <w:rFonts w:hint="eastAsia" w:cs="仿宋_GB2312" w:asciiTheme="minorEastAsia" w:hAnsiTheme="minorEastAsia"/>
                <w:sz w:val="24"/>
                <w:szCs w:val="24"/>
                <w:lang w:eastAsia="zh-CN"/>
              </w:rPr>
              <w:t>禹州市药城路</w:t>
            </w:r>
          </w:p>
          <w:p>
            <w:pPr>
              <w:widowControl/>
              <w:shd w:val="clear" w:color="auto" w:fill="FFFFFF"/>
              <w:spacing w:line="400" w:lineRule="exact"/>
              <w:jc w:val="left"/>
              <w:rPr>
                <w:rFonts w:hint="default" w:cs="仿宋_GB2312" w:asciiTheme="minorEastAsia" w:hAnsiTheme="minorEastAsia"/>
                <w:sz w:val="24"/>
                <w:szCs w:val="24"/>
                <w:lang w:val="en-US"/>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王</w:t>
            </w:r>
            <w:r>
              <w:rPr>
                <w:rFonts w:hint="eastAsia" w:cs="仿宋_GB2312" w:asciiTheme="minorEastAsia" w:hAnsiTheme="minorEastAsia"/>
                <w:sz w:val="24"/>
                <w:szCs w:val="24"/>
              </w:rPr>
              <w:t>先生                    电话：</w:t>
            </w:r>
            <w:r>
              <w:rPr>
                <w:rFonts w:hint="eastAsia" w:cs="仿宋_GB2312" w:asciiTheme="minorEastAsia" w:hAnsiTheme="minorEastAsia"/>
                <w:sz w:val="24"/>
                <w:szCs w:val="24"/>
                <w:lang w:val="en-US" w:eastAsia="zh-CN"/>
              </w:rPr>
              <w:t>0374-8816068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en-US" w:eastAsia="zh-CN"/>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③“国家企业信用公示系统”网站（</w:t>
            </w:r>
            <w:r>
              <w:fldChar w:fldCharType="begin"/>
            </w:r>
            <w:r>
              <w:instrText xml:space="preserve"> HYPERLINK "http://www.gsxt.gov.cn" </w:instrText>
            </w:r>
            <w:r>
              <w:fldChar w:fldCharType="separate"/>
            </w:r>
            <w:r>
              <w:t>www.gsxt.gov.cn</w:t>
            </w:r>
            <w:r>
              <w:fldChar w:fldCharType="end"/>
            </w:r>
            <w:r>
              <w:rPr>
                <w:rFonts w:hint="eastAsia"/>
              </w:rPr>
              <w:t>）</w:t>
            </w:r>
          </w:p>
          <w:p>
            <w:pPr>
              <w:spacing w:line="360" w:lineRule="auto"/>
            </w:pPr>
            <w:r>
              <w:rPr>
                <w:rFonts w:hint="eastAsia"/>
              </w:rPr>
              <w:t>④“中国社会组织公共服务平台”网站（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w:t>
            </w:r>
            <w:r>
              <w:rPr>
                <w:rFonts w:hint="eastAsia"/>
                <w:lang w:eastAsia="zh-CN"/>
              </w:rPr>
              <w:t>投标截止</w:t>
            </w:r>
            <w:r>
              <w:rPr>
                <w:rFonts w:hint="eastAsia"/>
              </w:rPr>
              <w:t>时间；</w:t>
            </w:r>
          </w:p>
          <w:p>
            <w:pPr>
              <w:autoSpaceDE w:val="0"/>
              <w:autoSpaceDN w:val="0"/>
              <w:spacing w:line="360" w:lineRule="auto"/>
              <w:contextualSpacing/>
            </w:pPr>
            <w:r>
              <w:rPr>
                <w:rFonts w:hint="eastAsia"/>
              </w:rPr>
              <w:t>3、信用信息查询记录和证据留存具体方式：经</w:t>
            </w:r>
            <w:r>
              <w:rPr>
                <w:rFonts w:hint="eastAsia"/>
                <w:lang w:eastAsia="zh-CN"/>
              </w:rPr>
              <w:t>采购人</w:t>
            </w:r>
            <w:r>
              <w:rPr>
                <w:rFonts w:hint="eastAsia"/>
              </w:rPr>
              <w:t>确认的查询结果网页截图作为查询记录和证据，与其他采购文件一并保存；</w:t>
            </w:r>
          </w:p>
          <w:p>
            <w:pPr>
              <w:autoSpaceDE w:val="0"/>
              <w:autoSpaceDN w:val="0"/>
              <w:spacing w:line="360" w:lineRule="auto"/>
              <w:contextualSpacing/>
            </w:pPr>
            <w:r>
              <w:rPr>
                <w:rFonts w:hint="eastAsia"/>
              </w:rPr>
              <w:t>4、信用信息的使用原则：经</w:t>
            </w:r>
            <w:r>
              <w:rPr>
                <w:rFonts w:hint="eastAsia"/>
                <w:lang w:eastAsia="zh-CN"/>
              </w:rPr>
              <w:t>采购人</w:t>
            </w:r>
            <w:r>
              <w:rPr>
                <w:rFonts w:hint="eastAsia"/>
              </w:rPr>
              <w:t>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hint="eastAsia"/>
                <w:lang w:val="en-US" w:eastAsia="zh-CN"/>
              </w:rPr>
            </w:pPr>
            <w:r>
              <w:rPr>
                <w:rFonts w:hint="eastAsia"/>
              </w:rPr>
              <w:t>5、供应商不良信用记录以</w:t>
            </w:r>
            <w:r>
              <w:rPr>
                <w:rFonts w:hint="eastAsia"/>
                <w:lang w:eastAsia="zh-CN"/>
              </w:rPr>
              <w:t>采购人</w:t>
            </w:r>
            <w:r>
              <w:rPr>
                <w:rFonts w:hint="eastAsia"/>
              </w:rPr>
              <w:t>查询结果为准，</w:t>
            </w:r>
            <w:r>
              <w:rPr>
                <w:rFonts w:hint="eastAsia"/>
                <w:lang w:eastAsia="zh-CN"/>
              </w:rPr>
              <w:t>采购人</w:t>
            </w:r>
            <w:r>
              <w:rPr>
                <w:rFonts w:hint="eastAsia"/>
              </w:rPr>
              <w:t>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color w:val="FF0000"/>
                <w:sz w:val="24"/>
                <w:szCs w:val="24"/>
                <w:lang w:val="zh-CN" w:eastAsia="zh-CN"/>
              </w:rPr>
              <w:t>65.5</w:t>
            </w:r>
            <w:r>
              <w:rPr>
                <w:rFonts w:hint="eastAsia" w:cs="宋体" w:asciiTheme="minorEastAsia" w:hAnsiTheme="minorEastAsia"/>
                <w:bCs/>
                <w:color w:val="FF0000"/>
                <w:sz w:val="24"/>
                <w:szCs w:val="24"/>
                <w:lang w:val="zh-CN"/>
              </w:rPr>
              <w:t>万元</w:t>
            </w:r>
            <w:r>
              <w:rPr>
                <w:rFonts w:hint="eastAsia" w:cs="宋体" w:asciiTheme="minorEastAsia" w:hAnsiTheme="minorEastAsia"/>
                <w:bCs/>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rPr>
              <w:t>2019</w:t>
            </w:r>
            <w:r>
              <w:rPr>
                <w:rFonts w:hint="eastAsia" w:cs="宋体" w:asciiTheme="minorEastAsia" w:hAnsiTheme="minorEastAsia"/>
                <w:bCs/>
                <w:color w:val="FF0000"/>
                <w:sz w:val="24"/>
                <w:szCs w:val="24"/>
                <w:lang w:val="zh-CN"/>
              </w:rPr>
              <w:t xml:space="preserve">年 </w:t>
            </w:r>
            <w:r>
              <w:rPr>
                <w:rFonts w:hint="eastAsia" w:cs="宋体" w:asciiTheme="minorEastAsia" w:hAnsiTheme="minorEastAsia"/>
                <w:bCs/>
                <w:color w:val="FF0000"/>
                <w:sz w:val="24"/>
                <w:szCs w:val="24"/>
                <w:lang w:val="en-US" w:eastAsia="zh-CN"/>
              </w:rPr>
              <w:t xml:space="preserve"> </w:t>
            </w:r>
            <w:r>
              <w:rPr>
                <w:rFonts w:hint="eastAsia" w:cs="宋体" w:asciiTheme="minorEastAsia" w:hAnsiTheme="minorEastAsia"/>
                <w:bCs/>
                <w:color w:val="FF0000"/>
                <w:sz w:val="24"/>
                <w:szCs w:val="24"/>
                <w:lang w:val="zh-CN"/>
              </w:rPr>
              <w:t>月</w:t>
            </w:r>
            <w:r>
              <w:rPr>
                <w:rFonts w:hint="eastAsia" w:cs="宋体" w:asciiTheme="minorEastAsia" w:hAnsiTheme="minorEastAsia"/>
                <w:bCs/>
                <w:color w:val="FF0000"/>
                <w:sz w:val="24"/>
                <w:szCs w:val="24"/>
                <w:lang w:val="en-US" w:eastAsia="zh-CN"/>
              </w:rPr>
              <w:t xml:space="preserve">  </w:t>
            </w:r>
            <w:r>
              <w:rPr>
                <w:rFonts w:hint="eastAsia" w:cs="宋体" w:asciiTheme="minorEastAsia" w:hAnsiTheme="minorEastAsia"/>
                <w:bCs/>
                <w:color w:val="FF0000"/>
                <w:sz w:val="24"/>
                <w:szCs w:val="24"/>
                <w:lang w:val="zh-CN"/>
              </w:rPr>
              <w:t>日</w:t>
            </w:r>
            <w:r>
              <w:rPr>
                <w:rFonts w:hint="eastAsia" w:cs="宋体" w:asciiTheme="minorEastAsia" w:hAnsiTheme="minorEastAsia"/>
                <w:bCs/>
                <w:color w:val="FF0000"/>
                <w:sz w:val="24"/>
                <w:szCs w:val="24"/>
                <w:lang w:val="en-US" w:eastAsia="zh-CN"/>
              </w:rPr>
              <w:t>9</w:t>
            </w:r>
            <w:r>
              <w:rPr>
                <w:rFonts w:hint="eastAsia" w:cs="宋体" w:asciiTheme="minorEastAsia" w:hAnsiTheme="minorEastAsia"/>
                <w:bCs/>
                <w:color w:val="FF0000"/>
                <w:sz w:val="24"/>
                <w:szCs w:val="24"/>
                <w:lang w:val="zh-CN"/>
              </w:rPr>
              <w:t>：</w:t>
            </w:r>
            <w:r>
              <w:rPr>
                <w:rFonts w:hint="eastAsia" w:cs="宋体" w:asciiTheme="minorEastAsia" w:hAnsiTheme="minorEastAsia"/>
                <w:bCs/>
                <w:color w:val="FF0000"/>
                <w:sz w:val="24"/>
                <w:szCs w:val="24"/>
              </w:rPr>
              <w:t>00</w:t>
            </w:r>
            <w:r>
              <w:rPr>
                <w:rFonts w:hint="eastAsia" w:cs="宋体" w:asciiTheme="minorEastAsia" w:hAnsiTheme="minorEastAsia"/>
                <w:bCs/>
                <w:color w:val="FF0000"/>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金额：壹万元整</w:t>
            </w:r>
            <w:r>
              <w:rPr>
                <w:rFonts w:hint="eastAsia" w:cs="仿宋_GB2312" w:asciiTheme="minorEastAsia" w:hAnsiTheme="minorEastAsia"/>
                <w:color w:val="FF0000"/>
                <w:sz w:val="24"/>
                <w:szCs w:val="24"/>
                <w:lang w:val="en-US" w:eastAsia="zh-CN"/>
              </w:rPr>
              <w:t xml:space="preserve"> </w:t>
            </w:r>
            <w:r>
              <w:rPr>
                <w:rFonts w:hint="eastAsia" w:cs="仿宋_GB2312" w:asciiTheme="minorEastAsia" w:hAnsiTheme="minorEastAsia"/>
                <w:color w:val="FF0000"/>
                <w:sz w:val="24"/>
                <w:szCs w:val="24"/>
                <w:lang w:val="zh-CN"/>
              </w:rPr>
              <w:t>（¥ ：</w:t>
            </w:r>
            <w:r>
              <w:rPr>
                <w:rFonts w:hint="eastAsia" w:cs="仿宋_GB2312" w:asciiTheme="minorEastAsia" w:hAnsiTheme="minorEastAsia"/>
                <w:color w:val="FF0000"/>
                <w:sz w:val="24"/>
                <w:szCs w:val="24"/>
                <w:lang w:val="en-US" w:eastAsia="zh-CN"/>
              </w:rPr>
              <w:t>1</w:t>
            </w:r>
            <w:r>
              <w:rPr>
                <w:rFonts w:hint="eastAsia" w:cs="仿宋_GB2312" w:asciiTheme="minorEastAsia" w:hAnsiTheme="minorEastAsia"/>
                <w:color w:val="FF0000"/>
                <w:sz w:val="24"/>
                <w:szCs w:val="24"/>
              </w:rPr>
              <w:t>0000.00</w:t>
            </w:r>
            <w:r>
              <w:rPr>
                <w:rFonts w:hint="eastAsia" w:cs="仿宋_GB2312" w:asciiTheme="minorEastAsia" w:hAnsiTheme="minorEastAsia"/>
                <w:color w:val="FF0000"/>
                <w:sz w:val="24"/>
                <w:szCs w:val="24"/>
                <w:lang w:val="zh-CN"/>
              </w:rPr>
              <w:t xml:space="preserve"> 元）</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要求提交。履约保证金的数额为合同金额的5%。中标人以支票、汇票、本票或者金融机构、担保机构出具的保函等非现金形式向采购人提交。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8"/>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8"/>
        <w:numPr>
          <w:ilvl w:val="0"/>
          <w:numId w:val="9"/>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8"/>
        <w:numPr>
          <w:ilvl w:val="0"/>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8"/>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8"/>
        <w:autoSpaceDE w:val="0"/>
        <w:autoSpaceDN w:val="0"/>
        <w:spacing w:line="360" w:lineRule="auto"/>
        <w:ind w:left="780" w:firstLine="0" w:firstLineChars="0"/>
        <w:contextualSpacing/>
        <w:rPr>
          <w:rFonts w:cs="宋体" w:asciiTheme="minorEastAsia" w:hAnsiTheme="minorEastAsia"/>
          <w:kern w:val="0"/>
          <w:sz w:val="24"/>
          <w:szCs w:val="24"/>
        </w:rPr>
      </w:pPr>
    </w:p>
    <w:p>
      <w:pPr>
        <w:pStyle w:val="58"/>
        <w:numPr>
          <w:ilvl w:val="0"/>
          <w:numId w:val="9"/>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8"/>
        <w:numPr>
          <w:ilvl w:val="0"/>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8"/>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8"/>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8"/>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8"/>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8"/>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8"/>
        <w:numPr>
          <w:ilvl w:val="1"/>
          <w:numId w:val="9"/>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58"/>
        <w:numPr>
          <w:ilvl w:val="1"/>
          <w:numId w:val="9"/>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6"/>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8"/>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28"/>
        <w:rPr>
          <w:rFonts w:hint="eastAsia"/>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28"/>
        <w:rPr>
          <w:rFonts w:hint="eastAsia"/>
          <w:sz w:val="24"/>
          <w:szCs w:val="24"/>
        </w:rPr>
      </w:pPr>
      <w:r>
        <w:rPr>
          <w:rFonts w:hint="eastAsia"/>
          <w:sz w:val="24"/>
          <w:szCs w:val="24"/>
        </w:rPr>
        <w:t>（2）截止时间：同投标截止时间；</w:t>
      </w:r>
    </w:p>
    <w:p>
      <w:pPr>
        <w:pStyle w:val="28"/>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28"/>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28"/>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8"/>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58"/>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8"/>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58"/>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58"/>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8"/>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28"/>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29"/>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自采购合同签订并备案后5个工作日内退还中标人的投标保证金（0374-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hint="eastAsia" w:cs="仿宋_GB2312" w:asciiTheme="minorEastAsia" w:hAnsiTheme="minorEastAsia"/>
          <w:sz w:val="24"/>
          <w:szCs w:val="24"/>
          <w:lang w:val="zh-CN"/>
        </w:rPr>
        <w:t>（电话：0374-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3"/>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3"/>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3"/>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3"/>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3"/>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3"/>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3"/>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bCs/>
                <w:szCs w:val="21"/>
              </w:rPr>
              <w:t>www.creditchina.gov.cn</w:t>
            </w:r>
            <w:r>
              <w:rPr>
                <w:rStyle w:val="27"/>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7"/>
                <w:rFonts w:asciiTheme="minorEastAsia" w:hAnsiTheme="minorEastAsia"/>
                <w:bCs/>
                <w:szCs w:val="21"/>
              </w:rPr>
              <w:t>www.gsxt.gov.cn</w:t>
            </w:r>
            <w:r>
              <w:rPr>
                <w:rStyle w:val="27"/>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投标保证金</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1" w:name="baidusnap2"/>
            <w:bookmarkEnd w:id="1"/>
            <w:r>
              <w:rPr>
                <w:rFonts w:hint="eastAsia" w:cs="仿宋_GB2312" w:asciiTheme="minorEastAsia" w:hAnsiTheme="minorEastAsia"/>
                <w:szCs w:val="21"/>
                <w:lang w:val="zh-CN"/>
              </w:rPr>
              <w:t>提供未为本项目提供整体设计、</w:t>
            </w:r>
            <w:bookmarkStart w:id="2" w:name="baidusnap9"/>
            <w:bookmarkEnd w:id="2"/>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contextualSpacing/>
        <w:jc w:val="both"/>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hint="eastAsia"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en-US" w:eastAsia="zh-CN"/>
        </w:rPr>
        <w:t>本项目采用综合评分法。总分为100分。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3"/>
        <w:spacing w:line="360" w:lineRule="auto"/>
        <w:ind w:firstLine="482" w:firstLineChars="200"/>
        <w:contextualSpacing/>
        <w:rPr>
          <w:rFonts w:hint="eastAsia"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（6）评标标准</w:t>
      </w:r>
    </w:p>
    <w:tbl>
      <w:tblPr>
        <w:tblStyle w:val="2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
        <w:gridCol w:w="705"/>
        <w:gridCol w:w="989"/>
        <w:gridCol w:w="317"/>
        <w:gridCol w:w="683"/>
        <w:gridCol w:w="639"/>
        <w:gridCol w:w="5844"/>
        <w:gridCol w:w="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9" w:type="dxa"/>
          <w:trHeight w:val="900" w:hRule="atLeast"/>
        </w:trPr>
        <w:tc>
          <w:tcPr>
            <w:tcW w:w="2119" w:type="dxa"/>
            <w:gridSpan w:val="4"/>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分值构成</w:t>
            </w:r>
          </w:p>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(总分100分)</w:t>
            </w:r>
          </w:p>
        </w:tc>
        <w:tc>
          <w:tcPr>
            <w:tcW w:w="716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价格分值：      50</w:t>
            </w:r>
            <w:r>
              <w:rPr>
                <w:rFonts w:hint="eastAsia" w:cs="仿宋" w:asciiTheme="minorEastAsia" w:hAnsiTheme="minorEastAsia"/>
                <w:kern w:val="0"/>
                <w:sz w:val="24"/>
                <w:szCs w:val="24"/>
              </w:rPr>
              <w:t xml:space="preserve"> </w:t>
            </w:r>
            <w:r>
              <w:rPr>
                <w:rFonts w:hint="eastAsia" w:cs="宋体" w:asciiTheme="minorEastAsia" w:hAnsiTheme="minorEastAsia"/>
                <w:kern w:val="0"/>
                <w:sz w:val="24"/>
                <w:szCs w:val="24"/>
              </w:rPr>
              <w:t>分</w:t>
            </w:r>
          </w:p>
          <w:p>
            <w:pPr>
              <w:widowControl/>
              <w:spacing w:line="360" w:lineRule="auto"/>
              <w:ind w:firstLine="480"/>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商务部分：      </w:t>
            </w:r>
            <w:r>
              <w:rPr>
                <w:rFonts w:hint="eastAsia" w:cs="宋体" w:asciiTheme="minorEastAsia" w:hAnsiTheme="minorEastAsia"/>
                <w:kern w:val="0"/>
                <w:sz w:val="24"/>
                <w:szCs w:val="24"/>
                <w:lang w:val="en-US" w:eastAsia="zh-CN"/>
              </w:rPr>
              <w:t>20</w:t>
            </w:r>
            <w:r>
              <w:rPr>
                <w:rFonts w:hint="eastAsia" w:cs="仿宋" w:asciiTheme="minorEastAsia" w:hAnsiTheme="minorEastAsia"/>
                <w:kern w:val="0"/>
                <w:sz w:val="24"/>
                <w:szCs w:val="24"/>
              </w:rPr>
              <w:t xml:space="preserve"> </w:t>
            </w:r>
            <w:r>
              <w:rPr>
                <w:rFonts w:hint="eastAsia" w:cs="宋体" w:asciiTheme="minorEastAsia" w:hAnsiTheme="minorEastAsia"/>
                <w:kern w:val="0"/>
                <w:sz w:val="24"/>
                <w:szCs w:val="24"/>
              </w:rPr>
              <w:t>分</w:t>
            </w:r>
          </w:p>
          <w:p>
            <w:pPr>
              <w:widowControl/>
              <w:spacing w:line="360" w:lineRule="auto"/>
              <w:ind w:firstLine="480"/>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技术部分：      </w:t>
            </w:r>
            <w:r>
              <w:rPr>
                <w:rFonts w:hint="eastAsia" w:cs="宋体" w:asciiTheme="minorEastAsia" w:hAnsiTheme="minorEastAsia"/>
                <w:kern w:val="0"/>
                <w:sz w:val="24"/>
                <w:szCs w:val="24"/>
                <w:lang w:val="en-US" w:eastAsia="zh-CN"/>
              </w:rPr>
              <w:t>3</w:t>
            </w:r>
            <w:r>
              <w:rPr>
                <w:rFonts w:cs="宋体" w:asciiTheme="minorEastAsia" w:hAnsiTheme="minorEastAsia"/>
                <w:kern w:val="0"/>
                <w:sz w:val="24"/>
                <w:szCs w:val="24"/>
              </w:rPr>
              <w:t>0</w:t>
            </w:r>
            <w:r>
              <w:rPr>
                <w:rFonts w:hint="eastAsia" w:cs="宋体" w:asciiTheme="minorEastAsia" w:hAnsiTheme="minorEastAsia"/>
                <w:kern w:val="0"/>
                <w:sz w:val="24"/>
                <w:szCs w:val="24"/>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108" w:type="dxa"/>
          <w:trHeight w:val="435" w:hRule="atLeast"/>
        </w:trPr>
        <w:tc>
          <w:tcPr>
            <w:tcW w:w="705" w:type="dxa"/>
            <w:vMerge w:val="restart"/>
            <w:tcBorders>
              <w:right w:val="single" w:color="auto" w:sz="4" w:space="0"/>
            </w:tcBorders>
            <w:vAlign w:val="center"/>
          </w:tcPr>
          <w:p>
            <w:pPr>
              <w:adjustRightInd w:val="0"/>
              <w:rPr>
                <w:rFonts w:ascii="仿宋" w:hAnsi="仿宋" w:eastAsia="仿宋" w:cs="仿宋"/>
                <w:color w:val="000000"/>
                <w:kern w:val="0"/>
                <w:sz w:val="24"/>
                <w:szCs w:val="24"/>
              </w:rPr>
            </w:pPr>
            <w:r>
              <w:rPr>
                <w:rFonts w:hint="eastAsia" w:ascii="仿宋" w:hAnsi="仿宋" w:eastAsia="仿宋" w:cs="仿宋"/>
                <w:color w:val="000000"/>
                <w:kern w:val="0"/>
                <w:sz w:val="24"/>
                <w:szCs w:val="24"/>
              </w:rPr>
              <w:t>第二章第1.2.3款</w:t>
            </w:r>
          </w:p>
        </w:tc>
        <w:tc>
          <w:tcPr>
            <w:tcW w:w="989" w:type="dxa"/>
            <w:tcBorders>
              <w:left w:val="single" w:color="auto" w:sz="4" w:space="0"/>
              <w:bottom w:val="single" w:color="auto" w:sz="4" w:space="0"/>
              <w:right w:val="single" w:color="auto" w:sz="4" w:space="0"/>
            </w:tcBorders>
            <w:vAlign w:val="center"/>
          </w:tcPr>
          <w:p>
            <w:pPr>
              <w:adjustRightIn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评审</w:t>
            </w:r>
          </w:p>
          <w:p>
            <w:pPr>
              <w:adjustRightIn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因素</w:t>
            </w:r>
          </w:p>
        </w:tc>
        <w:tc>
          <w:tcPr>
            <w:tcW w:w="1639" w:type="dxa"/>
            <w:gridSpan w:val="3"/>
            <w:tcBorders>
              <w:left w:val="single" w:color="auto" w:sz="4" w:space="0"/>
              <w:bottom w:val="single" w:color="auto" w:sz="4" w:space="0"/>
              <w:right w:val="single" w:color="auto" w:sz="4" w:space="0"/>
            </w:tcBorders>
            <w:vAlign w:val="center"/>
          </w:tcPr>
          <w:p>
            <w:pPr>
              <w:adjustRightIn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权值</w:t>
            </w:r>
          </w:p>
        </w:tc>
        <w:tc>
          <w:tcPr>
            <w:tcW w:w="6023" w:type="dxa"/>
            <w:gridSpan w:val="2"/>
            <w:tcBorders>
              <w:left w:val="single" w:color="auto" w:sz="4" w:space="0"/>
              <w:bottom w:val="single" w:color="auto" w:sz="4" w:space="0"/>
            </w:tcBorders>
            <w:vAlign w:val="center"/>
          </w:tcPr>
          <w:p>
            <w:pPr>
              <w:adjustRightInd w:val="0"/>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评分标准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108" w:type="dxa"/>
          <w:trHeight w:val="1210" w:hRule="atLeast"/>
        </w:trPr>
        <w:tc>
          <w:tcPr>
            <w:tcW w:w="705" w:type="dxa"/>
            <w:vMerge w:val="continue"/>
            <w:tcBorders>
              <w:right w:val="single" w:color="auto" w:sz="4" w:space="0"/>
            </w:tcBorders>
            <w:vAlign w:val="center"/>
          </w:tcPr>
          <w:p>
            <w:pPr>
              <w:adjustRightInd w:val="0"/>
              <w:jc w:val="center"/>
              <w:rPr>
                <w:rFonts w:ascii="仿宋" w:hAnsi="仿宋" w:eastAsia="仿宋" w:cs="仿宋"/>
                <w:color w:val="000000"/>
                <w:kern w:val="0"/>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  价格</w:t>
            </w:r>
          </w:p>
          <w:p>
            <w:pPr>
              <w:adjustRightInd w:val="0"/>
              <w:snapToGrid w:val="0"/>
              <w:spacing w:line="52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(50分)</w:t>
            </w:r>
          </w:p>
        </w:tc>
        <w:tc>
          <w:tcPr>
            <w:tcW w:w="163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50</w:t>
            </w:r>
          </w:p>
        </w:tc>
        <w:tc>
          <w:tcPr>
            <w:tcW w:w="6023" w:type="dxa"/>
            <w:gridSpan w:val="2"/>
            <w:tcBorders>
              <w:top w:val="single" w:color="auto" w:sz="4" w:space="0"/>
              <w:left w:val="single" w:color="auto" w:sz="4" w:space="0"/>
              <w:bottom w:val="single" w:color="auto" w:sz="4" w:space="0"/>
            </w:tcBorders>
            <w:vAlign w:val="center"/>
          </w:tcPr>
          <w:p>
            <w:pPr>
              <w:widowControl/>
              <w:spacing w:line="36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评标基准价：满足招标文件要求的有效投标报价中，最低的投标报价为评标基准价。</w:t>
            </w:r>
          </w:p>
          <w:p>
            <w:pPr>
              <w:widowControl/>
              <w:spacing w:line="36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投标报价得分=（评标基准价/投标报价）×50</w:t>
            </w:r>
          </w:p>
          <w:p>
            <w:pPr>
              <w:adjustRightInd w:val="0"/>
              <w:snapToGrid w:val="0"/>
              <w:rPr>
                <w:rFonts w:ascii="仿宋" w:hAnsi="仿宋" w:eastAsia="仿宋" w:cs="仿宋"/>
                <w:color w:val="000000"/>
                <w:kern w:val="0"/>
                <w:sz w:val="24"/>
                <w:szCs w:val="24"/>
              </w:rPr>
            </w:pPr>
            <w:r>
              <w:rPr>
                <w:rFonts w:hint="eastAsia" w:ascii="仿宋" w:hAnsi="仿宋" w:eastAsia="仿宋" w:cs="仿宋"/>
                <w:color w:val="000000"/>
                <w:kern w:val="0"/>
                <w:sz w:val="24"/>
                <w:szCs w:val="24"/>
              </w:rPr>
              <w:t>说明：如投标人满足财库【2011】181号及工信部联企业【2011】300号文件的规定且按招标文件要求提供相关内容的，由评标委员会认可的，则投标报价给予6%的扣除（四舍五入保留2位小数），进行报价得分的计算。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108" w:type="dxa"/>
          <w:trHeight w:val="2288" w:hRule="atLeast"/>
        </w:trPr>
        <w:tc>
          <w:tcPr>
            <w:tcW w:w="705" w:type="dxa"/>
            <w:vMerge w:val="continue"/>
            <w:tcBorders>
              <w:right w:val="single" w:color="auto" w:sz="4" w:space="0"/>
            </w:tcBorders>
            <w:vAlign w:val="center"/>
          </w:tcPr>
          <w:p>
            <w:pPr>
              <w:adjustRightInd w:val="0"/>
              <w:jc w:val="center"/>
              <w:rPr>
                <w:rFonts w:ascii="仿宋" w:hAnsi="仿宋" w:eastAsia="仿宋" w:cs="仿宋"/>
                <w:color w:val="000000"/>
                <w:kern w:val="0"/>
                <w:sz w:val="24"/>
                <w:szCs w:val="24"/>
              </w:rPr>
            </w:pPr>
          </w:p>
        </w:tc>
        <w:tc>
          <w:tcPr>
            <w:tcW w:w="989" w:type="dxa"/>
            <w:tcBorders>
              <w:left w:val="single" w:color="auto" w:sz="4" w:space="0"/>
              <w:right w:val="single" w:color="auto" w:sz="4" w:space="0"/>
            </w:tcBorders>
            <w:vAlign w:val="center"/>
          </w:tcPr>
          <w:p>
            <w:pPr>
              <w:adjustRightInd w:val="0"/>
              <w:snapToGrid w:val="0"/>
              <w:spacing w:line="52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技术部分</w:t>
            </w:r>
          </w:p>
          <w:p>
            <w:pPr>
              <w:adjustRightInd w:val="0"/>
              <w:snapToGrid w:val="0"/>
              <w:spacing w:line="52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(20分)</w:t>
            </w:r>
          </w:p>
        </w:tc>
        <w:tc>
          <w:tcPr>
            <w:tcW w:w="1000" w:type="dxa"/>
            <w:gridSpan w:val="2"/>
            <w:tcBorders>
              <w:left w:val="single" w:color="auto" w:sz="4" w:space="0"/>
              <w:right w:val="single" w:color="auto" w:sz="4" w:space="0"/>
            </w:tcBorders>
            <w:vAlign w:val="center"/>
          </w:tcPr>
          <w:p>
            <w:pPr>
              <w:spacing w:line="36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投标产品技术响应程度</w:t>
            </w:r>
          </w:p>
        </w:tc>
        <w:tc>
          <w:tcPr>
            <w:tcW w:w="639" w:type="dxa"/>
            <w:tcBorders>
              <w:left w:val="single" w:color="auto" w:sz="4" w:space="0"/>
              <w:right w:val="single" w:color="auto" w:sz="4" w:space="0"/>
            </w:tcBorders>
            <w:vAlign w:val="center"/>
          </w:tcPr>
          <w:p>
            <w:pPr>
              <w:spacing w:line="36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20</w:t>
            </w:r>
          </w:p>
        </w:tc>
        <w:tc>
          <w:tcPr>
            <w:tcW w:w="6023" w:type="dxa"/>
            <w:gridSpan w:val="2"/>
            <w:tcBorders>
              <w:top w:val="single" w:color="auto" w:sz="4" w:space="0"/>
              <w:left w:val="single" w:color="auto" w:sz="4" w:space="0"/>
            </w:tcBorders>
            <w:vAlign w:val="center"/>
          </w:tcPr>
          <w:p>
            <w:pPr>
              <w:adjustRightInd w:val="0"/>
              <w:snapToGrid w:val="0"/>
              <w:rPr>
                <w:rFonts w:ascii="仿宋" w:hAnsi="仿宋" w:eastAsia="仿宋" w:cs="仿宋"/>
                <w:color w:val="000000"/>
                <w:kern w:val="0"/>
                <w:sz w:val="24"/>
                <w:szCs w:val="24"/>
              </w:rPr>
            </w:pPr>
            <w:r>
              <w:rPr>
                <w:rFonts w:hint="eastAsia" w:hAnsi="宋体"/>
                <w:szCs w:val="21"/>
              </w:rPr>
              <w:t>以</w:t>
            </w:r>
            <w:r>
              <w:rPr>
                <w:rFonts w:hint="eastAsia" w:ascii="仿宋" w:hAnsi="仿宋" w:eastAsia="仿宋" w:cs="仿宋"/>
                <w:color w:val="000000"/>
                <w:kern w:val="0"/>
                <w:sz w:val="24"/>
                <w:szCs w:val="24"/>
              </w:rPr>
              <w:t>招标文件要求以及投标产品的规格技术参数和性能指标等方面为评定依据，全部满足技术参数要求的得20分，“★”号项为重要指标参数，不满足的，每项扣2分；非“★”号项任何一项不满足招标文件要求的，每项扣1分，扣完为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108" w:type="dxa"/>
          <w:trHeight w:val="530" w:hRule="atLeast"/>
        </w:trPr>
        <w:tc>
          <w:tcPr>
            <w:tcW w:w="705" w:type="dxa"/>
            <w:vMerge w:val="continue"/>
            <w:tcBorders>
              <w:right w:val="single" w:color="auto" w:sz="4" w:space="0"/>
            </w:tcBorders>
            <w:shd w:val="clear" w:color="auto" w:fill="auto"/>
            <w:vAlign w:val="center"/>
          </w:tcPr>
          <w:p>
            <w:pPr>
              <w:adjustRightInd w:val="0"/>
              <w:jc w:val="center"/>
              <w:rPr>
                <w:rFonts w:ascii="仿宋" w:hAnsi="仿宋" w:eastAsia="仿宋" w:cs="仿宋"/>
                <w:color w:val="000000"/>
                <w:kern w:val="0"/>
                <w:sz w:val="24"/>
                <w:szCs w:val="24"/>
              </w:rPr>
            </w:pPr>
          </w:p>
        </w:tc>
        <w:tc>
          <w:tcPr>
            <w:tcW w:w="989" w:type="dxa"/>
            <w:vMerge w:val="restart"/>
            <w:tcBorders>
              <w:top w:val="single" w:color="auto" w:sz="4" w:space="0"/>
              <w:left w:val="single" w:color="auto" w:sz="4" w:space="0"/>
              <w:right w:val="single" w:color="auto" w:sz="4" w:space="0"/>
            </w:tcBorders>
            <w:shd w:val="clear" w:color="auto" w:fill="auto"/>
            <w:vAlign w:val="center"/>
          </w:tcPr>
          <w:p>
            <w:pPr>
              <w:spacing w:line="52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商务部分</w:t>
            </w:r>
          </w:p>
          <w:p>
            <w:pPr>
              <w:spacing w:line="52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(30分)</w:t>
            </w:r>
          </w:p>
        </w:tc>
        <w:tc>
          <w:tcPr>
            <w:tcW w:w="1000" w:type="dxa"/>
            <w:gridSpan w:val="2"/>
            <w:tcBorders>
              <w:top w:val="single" w:color="auto" w:sz="4" w:space="0"/>
              <w:left w:val="single" w:color="auto" w:sz="4" w:space="0"/>
              <w:right w:val="single" w:color="auto" w:sz="4" w:space="0"/>
            </w:tcBorders>
            <w:shd w:val="clear" w:color="000000" w:fill="FFFFFF"/>
            <w:vAlign w:val="center"/>
          </w:tcPr>
          <w:p>
            <w:pPr>
              <w:adjustRightInd w:val="0"/>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综合实力</w:t>
            </w:r>
          </w:p>
        </w:tc>
        <w:tc>
          <w:tcPr>
            <w:tcW w:w="639" w:type="dxa"/>
            <w:tcBorders>
              <w:top w:val="single" w:color="auto" w:sz="4" w:space="0"/>
              <w:left w:val="single" w:color="auto" w:sz="4" w:space="0"/>
              <w:right w:val="single" w:color="auto" w:sz="4" w:space="0"/>
            </w:tcBorders>
            <w:shd w:val="clear" w:color="000000" w:fill="FFFFFF"/>
            <w:vAlign w:val="center"/>
          </w:tcPr>
          <w:p>
            <w:pPr>
              <w:adjustRightInd w:val="0"/>
              <w:snapToGrid w:val="0"/>
              <w:spacing w:before="156" w:beforeLines="5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12</w:t>
            </w:r>
          </w:p>
        </w:tc>
        <w:tc>
          <w:tcPr>
            <w:tcW w:w="6023" w:type="dxa"/>
            <w:gridSpan w:val="2"/>
            <w:tcBorders>
              <w:top w:val="single" w:color="auto" w:sz="4" w:space="0"/>
              <w:left w:val="single" w:color="auto" w:sz="4" w:space="0"/>
              <w:bottom w:val="single" w:color="auto" w:sz="4" w:space="0"/>
            </w:tcBorders>
            <w:shd w:val="clear" w:color="000000" w:fill="FFFFFF"/>
            <w:vAlign w:val="center"/>
          </w:tcPr>
          <w:p>
            <w:pPr>
              <w:adjustRightInd w:val="0"/>
              <w:snapToGrid w:val="0"/>
              <w:spacing w:before="156" w:beforeLines="50" w:line="276" w:lineRule="auto"/>
              <w:rPr>
                <w:rFonts w:ascii="仿宋" w:hAnsi="仿宋" w:eastAsia="仿宋" w:cs="仿宋"/>
                <w:color w:val="000000"/>
                <w:kern w:val="0"/>
                <w:sz w:val="24"/>
                <w:szCs w:val="24"/>
              </w:rPr>
            </w:pP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.投标人参与起草《中华人民共和国教育行业标准—职业院校汽车运用与维修类相关专业仪器设备装备规范》，提供相关证明材料得</w:t>
            </w:r>
            <w:r>
              <w:rPr>
                <w:rFonts w:ascii="仿宋" w:hAnsi="仿宋" w:eastAsia="仿宋" w:cs="仿宋"/>
                <w:color w:val="000000"/>
                <w:kern w:val="0"/>
                <w:sz w:val="24"/>
                <w:szCs w:val="24"/>
              </w:rPr>
              <w:t>2</w:t>
            </w:r>
            <w:r>
              <w:rPr>
                <w:rFonts w:hint="eastAsia" w:ascii="仿宋" w:hAnsi="仿宋" w:eastAsia="仿宋" w:cs="仿宋"/>
                <w:color w:val="000000"/>
                <w:kern w:val="0"/>
                <w:sz w:val="24"/>
                <w:szCs w:val="24"/>
              </w:rPr>
              <w:t>分。不提供不得分。</w:t>
            </w:r>
          </w:p>
          <w:p>
            <w:pPr>
              <w:adjustRightInd w:val="0"/>
              <w:snapToGrid w:val="0"/>
              <w:spacing w:before="156" w:beforeLines="50" w:line="276" w:lineRule="auto"/>
              <w:rPr>
                <w:rFonts w:ascii="仿宋" w:hAnsi="仿宋" w:eastAsia="仿宋" w:cs="仿宋"/>
                <w:color w:val="000000"/>
                <w:kern w:val="0"/>
                <w:sz w:val="24"/>
                <w:szCs w:val="24"/>
              </w:rPr>
            </w:pPr>
            <w:r>
              <w:rPr>
                <w:rFonts w:ascii="仿宋" w:hAnsi="仿宋" w:eastAsia="仿宋" w:cs="仿宋"/>
                <w:color w:val="000000"/>
                <w:kern w:val="0"/>
                <w:sz w:val="24"/>
                <w:szCs w:val="24"/>
              </w:rPr>
              <w:t>2</w:t>
            </w:r>
            <w:r>
              <w:rPr>
                <w:rFonts w:hint="eastAsia" w:ascii="仿宋" w:hAnsi="仿宋" w:eastAsia="仿宋" w:cs="仿宋"/>
                <w:color w:val="000000"/>
                <w:kern w:val="0"/>
                <w:sz w:val="24"/>
                <w:szCs w:val="24"/>
              </w:rPr>
              <w:t>.投标人获得中国汽车维修行业协会授权的“中国汽车维修服务资源库研发中心”证书得</w:t>
            </w:r>
            <w:r>
              <w:rPr>
                <w:rFonts w:ascii="仿宋" w:hAnsi="仿宋" w:eastAsia="仿宋" w:cs="仿宋"/>
                <w:color w:val="000000"/>
                <w:kern w:val="0"/>
                <w:sz w:val="24"/>
                <w:szCs w:val="24"/>
              </w:rPr>
              <w:t>2</w:t>
            </w:r>
            <w:r>
              <w:rPr>
                <w:rFonts w:hint="eastAsia" w:ascii="仿宋" w:hAnsi="仿宋" w:eastAsia="仿宋" w:cs="仿宋"/>
                <w:color w:val="000000"/>
                <w:kern w:val="0"/>
                <w:sz w:val="24"/>
                <w:szCs w:val="24"/>
              </w:rPr>
              <w:t>分</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不提供不得分。</w:t>
            </w:r>
          </w:p>
          <w:p>
            <w:pPr>
              <w:adjustRightInd w:val="0"/>
              <w:snapToGrid w:val="0"/>
              <w:spacing w:before="156" w:beforeLines="50" w:line="276" w:lineRule="auto"/>
              <w:rPr>
                <w:rFonts w:ascii="仿宋" w:hAnsi="仿宋" w:eastAsia="仿宋" w:cs="仿宋"/>
                <w:color w:val="000000"/>
                <w:kern w:val="0"/>
                <w:sz w:val="24"/>
                <w:szCs w:val="24"/>
              </w:rPr>
            </w:pPr>
            <w:r>
              <w:rPr>
                <w:rFonts w:ascii="仿宋" w:hAnsi="仿宋" w:eastAsia="仿宋" w:cs="仿宋"/>
                <w:color w:val="000000"/>
                <w:kern w:val="0"/>
                <w:sz w:val="24"/>
                <w:szCs w:val="24"/>
              </w:rPr>
              <w:t>3</w:t>
            </w:r>
            <w:r>
              <w:rPr>
                <w:rFonts w:hint="eastAsia" w:ascii="仿宋" w:hAnsi="仿宋" w:eastAsia="仿宋" w:cs="仿宋"/>
                <w:color w:val="000000"/>
                <w:kern w:val="0"/>
                <w:sz w:val="24"/>
                <w:szCs w:val="24"/>
              </w:rPr>
              <w:t>．投标人取得国家级教学成果荣誉证书得</w:t>
            </w:r>
            <w:r>
              <w:rPr>
                <w:rFonts w:ascii="仿宋" w:hAnsi="仿宋" w:eastAsia="仿宋" w:cs="仿宋"/>
                <w:color w:val="000000"/>
                <w:kern w:val="0"/>
                <w:sz w:val="24"/>
                <w:szCs w:val="24"/>
              </w:rPr>
              <w:t>2</w:t>
            </w:r>
            <w:r>
              <w:rPr>
                <w:rFonts w:hint="eastAsia" w:ascii="仿宋" w:hAnsi="仿宋" w:eastAsia="仿宋" w:cs="仿宋"/>
                <w:color w:val="000000"/>
                <w:kern w:val="0"/>
                <w:sz w:val="24"/>
                <w:szCs w:val="24"/>
              </w:rPr>
              <w:t>分。不提供不得分。</w:t>
            </w:r>
          </w:p>
          <w:p>
            <w:pPr>
              <w:widowControl/>
              <w:spacing w:line="276"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4．</w:t>
            </w:r>
            <w:r>
              <w:rPr>
                <w:rFonts w:ascii="仿宋" w:hAnsi="仿宋" w:eastAsia="仿宋" w:cs="仿宋"/>
                <w:color w:val="000000"/>
                <w:kern w:val="0"/>
                <w:sz w:val="24"/>
                <w:szCs w:val="24"/>
              </w:rPr>
              <w:t>投标人具有参与国家教育部汽修专业共建共享课程资源建设课题，提供</w:t>
            </w:r>
            <w:r>
              <w:rPr>
                <w:rFonts w:hint="eastAsia" w:ascii="仿宋" w:hAnsi="仿宋" w:eastAsia="仿宋" w:cs="仿宋"/>
                <w:color w:val="000000"/>
                <w:kern w:val="0"/>
                <w:sz w:val="24"/>
                <w:szCs w:val="24"/>
              </w:rPr>
              <w:t>相关</w:t>
            </w:r>
            <w:r>
              <w:rPr>
                <w:rFonts w:ascii="仿宋" w:hAnsi="仿宋" w:eastAsia="仿宋" w:cs="仿宋"/>
                <w:color w:val="000000"/>
                <w:kern w:val="0"/>
                <w:sz w:val="24"/>
                <w:szCs w:val="24"/>
              </w:rPr>
              <w:t>证明材料得</w:t>
            </w:r>
            <w:r>
              <w:rPr>
                <w:rFonts w:hint="eastAsia" w:ascii="仿宋" w:hAnsi="仿宋" w:eastAsia="仿宋" w:cs="仿宋"/>
                <w:color w:val="000000"/>
                <w:kern w:val="0"/>
                <w:sz w:val="24"/>
                <w:szCs w:val="24"/>
              </w:rPr>
              <w:t>2分。不提供不得分。</w:t>
            </w:r>
          </w:p>
          <w:p>
            <w:pPr>
              <w:adjustRightInd w:val="0"/>
              <w:snapToGrid w:val="0"/>
              <w:spacing w:before="156" w:beforeLines="50" w:line="276" w:lineRule="auto"/>
              <w:rPr>
                <w:rFonts w:ascii="仿宋" w:hAnsi="仿宋" w:eastAsia="仿宋" w:cs="仿宋"/>
                <w:color w:val="000000"/>
                <w:kern w:val="0"/>
                <w:sz w:val="24"/>
                <w:szCs w:val="24"/>
              </w:rPr>
            </w:pP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 xml:space="preserve"> 投标人具备国家师资培训基地流动站资格，</w:t>
            </w:r>
            <w:r>
              <w:rPr>
                <w:rFonts w:ascii="仿宋" w:hAnsi="仿宋" w:eastAsia="仿宋" w:cs="仿宋"/>
                <w:color w:val="000000"/>
                <w:kern w:val="0"/>
                <w:sz w:val="24"/>
                <w:szCs w:val="24"/>
              </w:rPr>
              <w:t>提供</w:t>
            </w:r>
            <w:r>
              <w:rPr>
                <w:rFonts w:hint="eastAsia" w:ascii="仿宋" w:hAnsi="仿宋" w:eastAsia="仿宋" w:cs="仿宋"/>
                <w:color w:val="000000"/>
                <w:kern w:val="0"/>
                <w:sz w:val="24"/>
                <w:szCs w:val="24"/>
              </w:rPr>
              <w:t>相关</w:t>
            </w:r>
            <w:r>
              <w:rPr>
                <w:rFonts w:ascii="仿宋" w:hAnsi="仿宋" w:eastAsia="仿宋" w:cs="仿宋"/>
                <w:color w:val="000000"/>
                <w:kern w:val="0"/>
                <w:sz w:val="24"/>
                <w:szCs w:val="24"/>
              </w:rPr>
              <w:t>证明材料得</w:t>
            </w:r>
            <w:r>
              <w:rPr>
                <w:rFonts w:hint="eastAsia" w:ascii="仿宋" w:hAnsi="仿宋" w:eastAsia="仿宋" w:cs="仿宋"/>
                <w:color w:val="000000"/>
                <w:kern w:val="0"/>
                <w:sz w:val="24"/>
                <w:szCs w:val="24"/>
              </w:rPr>
              <w:t>2分。不提供不得分。</w:t>
            </w:r>
          </w:p>
          <w:p>
            <w:pPr>
              <w:adjustRightInd w:val="0"/>
              <w:snapToGrid w:val="0"/>
              <w:spacing w:before="156" w:beforeLines="50"/>
              <w:rPr>
                <w:rFonts w:ascii="仿宋" w:hAnsi="仿宋" w:eastAsia="仿宋" w:cs="仿宋"/>
                <w:color w:val="000000"/>
                <w:kern w:val="0"/>
                <w:sz w:val="24"/>
                <w:szCs w:val="24"/>
              </w:rPr>
            </w:pPr>
            <w:r>
              <w:rPr>
                <w:rFonts w:hint="eastAsia" w:ascii="仿宋" w:hAnsi="仿宋" w:eastAsia="仿宋" w:cs="仿宋"/>
                <w:color w:val="000000"/>
                <w:kern w:val="0"/>
                <w:sz w:val="24"/>
                <w:szCs w:val="24"/>
              </w:rPr>
              <w:t>6.投标人提供2014年以来参与汽车运用与维修专业全国技能大赛相关证明资料一份得2分。不提供不得分。</w:t>
            </w:r>
          </w:p>
          <w:p>
            <w:pPr>
              <w:adjustRightInd w:val="0"/>
              <w:snapToGrid w:val="0"/>
              <w:spacing w:before="156" w:beforeLines="50"/>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【投标人要求提供以上相关证明资料复印件并加盖投标人单位公章，否则不予计分。】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108" w:type="dxa"/>
          <w:trHeight w:val="427" w:hRule="atLeast"/>
        </w:trPr>
        <w:tc>
          <w:tcPr>
            <w:tcW w:w="705" w:type="dxa"/>
            <w:vMerge w:val="continue"/>
            <w:tcBorders>
              <w:right w:val="single" w:color="auto" w:sz="4" w:space="0"/>
            </w:tcBorders>
            <w:shd w:val="clear" w:color="auto" w:fill="auto"/>
            <w:vAlign w:val="center"/>
          </w:tcPr>
          <w:p>
            <w:pPr>
              <w:adjustRightInd w:val="0"/>
              <w:jc w:val="center"/>
              <w:rPr>
                <w:rFonts w:ascii="仿宋" w:hAnsi="仿宋" w:eastAsia="仿宋" w:cs="仿宋"/>
                <w:color w:val="000000"/>
                <w:kern w:val="0"/>
                <w:sz w:val="24"/>
                <w:szCs w:val="24"/>
              </w:rPr>
            </w:pPr>
          </w:p>
        </w:tc>
        <w:tc>
          <w:tcPr>
            <w:tcW w:w="989" w:type="dxa"/>
            <w:vMerge w:val="continue"/>
            <w:tcBorders>
              <w:left w:val="single" w:color="auto" w:sz="4" w:space="0"/>
              <w:right w:val="single" w:color="auto" w:sz="4" w:space="0"/>
            </w:tcBorders>
            <w:shd w:val="clear" w:color="auto" w:fill="auto"/>
            <w:vAlign w:val="center"/>
          </w:tcPr>
          <w:p>
            <w:pPr>
              <w:adjustRightInd w:val="0"/>
              <w:snapToGrid w:val="0"/>
              <w:spacing w:line="520" w:lineRule="exact"/>
              <w:jc w:val="center"/>
              <w:rPr>
                <w:rFonts w:ascii="仿宋" w:hAnsi="仿宋" w:eastAsia="仿宋" w:cs="仿宋"/>
                <w:color w:val="000000"/>
                <w:kern w:val="0"/>
                <w:sz w:val="24"/>
                <w:szCs w:val="24"/>
              </w:rPr>
            </w:pPr>
          </w:p>
        </w:tc>
        <w:tc>
          <w:tcPr>
            <w:tcW w:w="10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spacing w:before="156" w:beforeLines="50" w:line="276" w:lineRule="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经营</w:t>
            </w:r>
          </w:p>
          <w:p>
            <w:pPr>
              <w:adjustRightInd w:val="0"/>
              <w:snapToGrid w:val="0"/>
              <w:spacing w:before="156" w:beforeLines="50" w:line="276" w:lineRule="auto"/>
              <w:rPr>
                <w:rFonts w:ascii="仿宋" w:hAnsi="仿宋" w:eastAsia="仿宋" w:cs="仿宋"/>
                <w:color w:val="000000"/>
                <w:kern w:val="0"/>
                <w:sz w:val="24"/>
                <w:szCs w:val="24"/>
              </w:rPr>
            </w:pPr>
            <w:r>
              <w:rPr>
                <w:rFonts w:hint="eastAsia" w:ascii="仿宋" w:hAnsi="仿宋" w:eastAsia="仿宋" w:cs="仿宋"/>
                <w:color w:val="000000"/>
                <w:kern w:val="0"/>
                <w:sz w:val="24"/>
                <w:szCs w:val="24"/>
              </w:rPr>
              <w:t>业绩</w:t>
            </w:r>
          </w:p>
        </w:tc>
        <w:tc>
          <w:tcPr>
            <w:tcW w:w="639"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spacing w:before="156" w:beforeLines="50" w:line="276"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6023" w:type="dxa"/>
            <w:gridSpan w:val="2"/>
            <w:tcBorders>
              <w:top w:val="single" w:color="auto" w:sz="4" w:space="0"/>
              <w:left w:val="single" w:color="auto" w:sz="4" w:space="0"/>
              <w:bottom w:val="single" w:color="auto" w:sz="4" w:space="0"/>
            </w:tcBorders>
            <w:shd w:val="clear" w:color="000000" w:fill="FFFFFF"/>
            <w:vAlign w:val="center"/>
          </w:tcPr>
          <w:p>
            <w:pPr>
              <w:spacing w:line="276" w:lineRule="auto"/>
              <w:rPr>
                <w:rFonts w:ascii="仿宋" w:hAnsi="仿宋" w:eastAsia="仿宋" w:cs="仿宋"/>
                <w:color w:val="000000"/>
                <w:kern w:val="0"/>
                <w:sz w:val="24"/>
                <w:szCs w:val="24"/>
              </w:rPr>
            </w:pPr>
            <w:r>
              <w:rPr>
                <w:rFonts w:hint="eastAsia" w:ascii="仿宋" w:hAnsi="仿宋" w:eastAsia="仿宋" w:cs="仿宋"/>
                <w:color w:val="000000"/>
                <w:kern w:val="0"/>
                <w:sz w:val="24"/>
                <w:szCs w:val="24"/>
              </w:rPr>
              <w:t>投标人提供2015年-2017年有汽车专业（新能源方向）同类型的经营业绩：项目合同金额</w:t>
            </w:r>
            <w:r>
              <w:rPr>
                <w:rFonts w:hint="eastAsia" w:ascii="仿宋" w:hAnsi="仿宋" w:eastAsia="仿宋" w:cs="仿宋"/>
                <w:color w:val="000000"/>
                <w:kern w:val="0"/>
                <w:sz w:val="24"/>
                <w:szCs w:val="24"/>
                <w:lang w:val="en-US" w:eastAsia="zh-CN"/>
              </w:rPr>
              <w:t>60</w:t>
            </w:r>
            <w:r>
              <w:rPr>
                <w:rFonts w:hint="eastAsia" w:ascii="仿宋" w:hAnsi="仿宋" w:eastAsia="仿宋" w:cs="仿宋"/>
                <w:color w:val="000000"/>
                <w:kern w:val="0"/>
                <w:sz w:val="24"/>
                <w:szCs w:val="24"/>
              </w:rPr>
              <w:t xml:space="preserve">万元（含）以上的，每提供一份得2分，满分为6分。 </w:t>
            </w:r>
          </w:p>
          <w:p>
            <w:pPr>
              <w:spacing w:line="276" w:lineRule="auto"/>
              <w:rPr>
                <w:rFonts w:ascii="仿宋" w:hAnsi="仿宋" w:eastAsia="仿宋" w:cs="仿宋"/>
                <w:color w:val="000000"/>
                <w:kern w:val="0"/>
                <w:sz w:val="24"/>
                <w:szCs w:val="24"/>
              </w:rPr>
            </w:pPr>
            <w:r>
              <w:rPr>
                <w:rFonts w:hint="eastAsia" w:ascii="仿宋" w:hAnsi="仿宋" w:eastAsia="仿宋" w:cs="仿宋"/>
                <w:color w:val="000000"/>
                <w:kern w:val="0"/>
                <w:sz w:val="24"/>
                <w:szCs w:val="24"/>
              </w:rPr>
              <w:t>【投标人要求提供相应的政府采购中标通知书、合同复印件并加盖单位公章，否则不计分】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108" w:type="dxa"/>
          <w:trHeight w:val="1502" w:hRule="atLeast"/>
        </w:trPr>
        <w:tc>
          <w:tcPr>
            <w:tcW w:w="705" w:type="dxa"/>
            <w:vMerge w:val="continue"/>
            <w:tcBorders>
              <w:right w:val="single" w:color="auto" w:sz="4" w:space="0"/>
            </w:tcBorders>
            <w:shd w:val="clear" w:color="auto" w:fill="auto"/>
            <w:vAlign w:val="center"/>
          </w:tcPr>
          <w:p>
            <w:pPr>
              <w:adjustRightInd w:val="0"/>
              <w:jc w:val="center"/>
              <w:rPr>
                <w:rFonts w:ascii="仿宋" w:hAnsi="仿宋" w:eastAsia="仿宋" w:cs="仿宋"/>
                <w:color w:val="000000"/>
                <w:kern w:val="0"/>
                <w:sz w:val="24"/>
                <w:szCs w:val="24"/>
              </w:rPr>
            </w:pPr>
          </w:p>
        </w:tc>
        <w:tc>
          <w:tcPr>
            <w:tcW w:w="989" w:type="dxa"/>
            <w:vMerge w:val="continue"/>
            <w:tcBorders>
              <w:left w:val="single" w:color="auto" w:sz="4" w:space="0"/>
              <w:right w:val="single" w:color="auto" w:sz="4" w:space="0"/>
            </w:tcBorders>
            <w:shd w:val="clear" w:color="auto" w:fill="auto"/>
            <w:vAlign w:val="center"/>
          </w:tcPr>
          <w:p>
            <w:pPr>
              <w:adjustRightInd w:val="0"/>
              <w:snapToGrid w:val="0"/>
              <w:spacing w:line="520" w:lineRule="exact"/>
              <w:jc w:val="center"/>
              <w:rPr>
                <w:rFonts w:ascii="仿宋" w:hAnsi="仿宋" w:eastAsia="仿宋" w:cs="仿宋"/>
                <w:color w:val="000000"/>
                <w:kern w:val="0"/>
                <w:sz w:val="24"/>
                <w:szCs w:val="24"/>
              </w:rPr>
            </w:pPr>
          </w:p>
        </w:tc>
        <w:tc>
          <w:tcPr>
            <w:tcW w:w="10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spacing w:before="156" w:beforeLines="50" w:line="360" w:lineRule="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资质</w:t>
            </w:r>
          </w:p>
          <w:p>
            <w:pPr>
              <w:adjustRightInd w:val="0"/>
              <w:snapToGrid w:val="0"/>
              <w:spacing w:before="156" w:beforeLines="50" w:line="360" w:lineRule="auto"/>
              <w:rPr>
                <w:rFonts w:ascii="仿宋" w:hAnsi="仿宋" w:eastAsia="仿宋" w:cs="仿宋"/>
                <w:color w:val="000000"/>
                <w:kern w:val="0"/>
                <w:sz w:val="24"/>
                <w:szCs w:val="24"/>
              </w:rPr>
            </w:pPr>
            <w:r>
              <w:rPr>
                <w:rFonts w:hint="eastAsia" w:ascii="仿宋" w:hAnsi="仿宋" w:eastAsia="仿宋" w:cs="仿宋"/>
                <w:color w:val="000000"/>
                <w:kern w:val="0"/>
                <w:sz w:val="24"/>
                <w:szCs w:val="24"/>
              </w:rPr>
              <w:t>证书</w:t>
            </w:r>
          </w:p>
        </w:tc>
        <w:tc>
          <w:tcPr>
            <w:tcW w:w="639"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spacing w:before="156" w:beforeLines="50" w:line="360" w:lineRule="auto"/>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5</w:t>
            </w:r>
          </w:p>
        </w:tc>
        <w:tc>
          <w:tcPr>
            <w:tcW w:w="6023" w:type="dxa"/>
            <w:gridSpan w:val="2"/>
            <w:tcBorders>
              <w:top w:val="single" w:color="auto" w:sz="4" w:space="0"/>
              <w:left w:val="single" w:color="auto" w:sz="4" w:space="0"/>
              <w:bottom w:val="single" w:color="auto" w:sz="4" w:space="0"/>
            </w:tcBorders>
            <w:shd w:val="clear" w:color="000000" w:fill="FFFFFF"/>
            <w:vAlign w:val="center"/>
          </w:tcPr>
          <w:p>
            <w:pPr>
              <w:widowControl/>
              <w:spacing w:line="276" w:lineRule="auto"/>
              <w:jc w:val="left"/>
              <w:rPr>
                <w:rFonts w:ascii="仿宋" w:hAnsi="仿宋" w:eastAsia="仿宋" w:cs="仿宋"/>
                <w:color w:val="000000"/>
                <w:kern w:val="0"/>
                <w:sz w:val="24"/>
                <w:szCs w:val="24"/>
              </w:rPr>
            </w:pPr>
            <w:r>
              <w:rPr>
                <w:rFonts w:ascii="仿宋" w:hAnsi="仿宋" w:eastAsia="仿宋" w:cs="仿宋"/>
                <w:color w:val="000000"/>
                <w:kern w:val="0"/>
                <w:sz w:val="24"/>
                <w:szCs w:val="24"/>
              </w:rPr>
              <w:t>1.投标人获得软件企业认定证书</w:t>
            </w:r>
            <w:r>
              <w:rPr>
                <w:rFonts w:hint="eastAsia" w:ascii="仿宋" w:hAnsi="仿宋" w:eastAsia="仿宋" w:cs="仿宋"/>
                <w:color w:val="000000"/>
                <w:kern w:val="0"/>
                <w:sz w:val="24"/>
                <w:szCs w:val="24"/>
              </w:rPr>
              <w:t>，</w:t>
            </w:r>
            <w:r>
              <w:rPr>
                <w:rFonts w:ascii="仿宋" w:hAnsi="仿宋" w:eastAsia="仿宋" w:cs="仿宋"/>
                <w:color w:val="000000"/>
                <w:kern w:val="0"/>
                <w:sz w:val="24"/>
                <w:szCs w:val="24"/>
              </w:rPr>
              <w:t>提供相关证明文件得</w:t>
            </w:r>
            <w:r>
              <w:rPr>
                <w:rFonts w:hint="eastAsia" w:ascii="仿宋" w:hAnsi="仿宋" w:eastAsia="仿宋" w:cs="仿宋"/>
                <w:color w:val="000000"/>
                <w:kern w:val="0"/>
                <w:sz w:val="24"/>
                <w:szCs w:val="24"/>
              </w:rPr>
              <w:t>1分。</w:t>
            </w:r>
          </w:p>
          <w:p>
            <w:pPr>
              <w:widowControl/>
              <w:spacing w:line="276" w:lineRule="auto"/>
              <w:jc w:val="left"/>
              <w:rPr>
                <w:rFonts w:ascii="仿宋" w:hAnsi="仿宋" w:eastAsia="仿宋" w:cs="仿宋"/>
                <w:color w:val="000000"/>
                <w:kern w:val="0"/>
                <w:sz w:val="24"/>
                <w:szCs w:val="24"/>
              </w:rPr>
            </w:pPr>
            <w:r>
              <w:rPr>
                <w:rFonts w:ascii="仿宋" w:hAnsi="仿宋" w:eastAsia="仿宋" w:cs="仿宋"/>
                <w:color w:val="000000"/>
                <w:kern w:val="0"/>
                <w:sz w:val="24"/>
                <w:szCs w:val="24"/>
              </w:rPr>
              <w:t>2.投标人获得ISO9001质量体系认证证书</w:t>
            </w:r>
            <w:r>
              <w:rPr>
                <w:rFonts w:hint="eastAsia" w:ascii="仿宋" w:hAnsi="仿宋" w:eastAsia="仿宋" w:cs="仿宋"/>
                <w:color w:val="000000"/>
                <w:kern w:val="0"/>
                <w:sz w:val="24"/>
                <w:szCs w:val="24"/>
              </w:rPr>
              <w:t>，</w:t>
            </w:r>
            <w:r>
              <w:rPr>
                <w:rFonts w:ascii="仿宋" w:hAnsi="仿宋" w:eastAsia="仿宋" w:cs="仿宋"/>
                <w:color w:val="000000"/>
                <w:kern w:val="0"/>
                <w:sz w:val="24"/>
                <w:szCs w:val="24"/>
              </w:rPr>
              <w:t>提供相关证明文件得</w:t>
            </w:r>
            <w:r>
              <w:rPr>
                <w:rFonts w:hint="eastAsia" w:ascii="仿宋" w:hAnsi="仿宋" w:eastAsia="仿宋" w:cs="仿宋"/>
                <w:color w:val="000000"/>
                <w:kern w:val="0"/>
                <w:sz w:val="24"/>
                <w:szCs w:val="24"/>
              </w:rPr>
              <w:t>1分。</w:t>
            </w:r>
          </w:p>
          <w:p>
            <w:pPr>
              <w:widowControl/>
              <w:spacing w:line="276"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 xml:space="preserve"> 投标人获得ISO14001环境管理体系认证证书</w:t>
            </w:r>
            <w:r>
              <w:rPr>
                <w:rFonts w:hint="eastAsia" w:ascii="仿宋" w:hAnsi="仿宋" w:eastAsia="仿宋" w:cs="仿宋"/>
                <w:color w:val="000000"/>
                <w:kern w:val="0"/>
                <w:sz w:val="24"/>
                <w:szCs w:val="24"/>
              </w:rPr>
              <w:t>，</w:t>
            </w:r>
            <w:r>
              <w:rPr>
                <w:rFonts w:ascii="仿宋" w:hAnsi="仿宋" w:eastAsia="仿宋" w:cs="仿宋"/>
                <w:color w:val="000000"/>
                <w:kern w:val="0"/>
                <w:sz w:val="24"/>
                <w:szCs w:val="24"/>
              </w:rPr>
              <w:t>提供相关证明文件得</w:t>
            </w:r>
            <w:r>
              <w:rPr>
                <w:rFonts w:hint="eastAsia" w:ascii="仿宋" w:hAnsi="仿宋" w:eastAsia="仿宋" w:cs="仿宋"/>
                <w:color w:val="000000"/>
                <w:kern w:val="0"/>
                <w:sz w:val="24"/>
                <w:szCs w:val="24"/>
              </w:rPr>
              <w:t>1分。</w:t>
            </w:r>
          </w:p>
          <w:p>
            <w:pPr>
              <w:widowControl/>
              <w:spacing w:line="276" w:lineRule="auto"/>
              <w:jc w:val="left"/>
              <w:rPr>
                <w:rFonts w:ascii="仿宋" w:hAnsi="仿宋" w:eastAsia="仿宋" w:cs="仿宋"/>
                <w:color w:val="000000"/>
                <w:kern w:val="0"/>
                <w:sz w:val="24"/>
                <w:szCs w:val="24"/>
              </w:rPr>
            </w:pPr>
            <w:r>
              <w:rPr>
                <w:rFonts w:ascii="仿宋" w:hAnsi="仿宋" w:eastAsia="仿宋" w:cs="仿宋"/>
                <w:color w:val="000000"/>
                <w:kern w:val="0"/>
                <w:sz w:val="24"/>
                <w:szCs w:val="24"/>
              </w:rPr>
              <w:t>4. 投标人获得ISO27001信息安全管理体系认证证书</w:t>
            </w:r>
            <w:r>
              <w:rPr>
                <w:rFonts w:hint="eastAsia" w:ascii="仿宋" w:hAnsi="仿宋" w:eastAsia="仿宋" w:cs="仿宋"/>
                <w:color w:val="000000"/>
                <w:kern w:val="0"/>
                <w:sz w:val="24"/>
                <w:szCs w:val="24"/>
              </w:rPr>
              <w:t>，</w:t>
            </w:r>
            <w:r>
              <w:rPr>
                <w:rFonts w:ascii="仿宋" w:hAnsi="仿宋" w:eastAsia="仿宋" w:cs="仿宋"/>
                <w:color w:val="000000"/>
                <w:kern w:val="0"/>
                <w:sz w:val="24"/>
                <w:szCs w:val="24"/>
              </w:rPr>
              <w:t>提供相关证明文件得</w:t>
            </w:r>
            <w:r>
              <w:rPr>
                <w:rFonts w:hint="eastAsia" w:ascii="仿宋" w:hAnsi="仿宋" w:eastAsia="仿宋" w:cs="仿宋"/>
                <w:color w:val="000000"/>
                <w:kern w:val="0"/>
                <w:sz w:val="24"/>
                <w:szCs w:val="24"/>
              </w:rPr>
              <w:t>1分。</w:t>
            </w:r>
          </w:p>
          <w:p>
            <w:pPr>
              <w:adjustRightInd w:val="0"/>
              <w:snapToGrid w:val="0"/>
              <w:spacing w:before="156" w:beforeLines="50" w:line="360" w:lineRule="auto"/>
              <w:rPr>
                <w:rFonts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.投标人在全国仿真教学软件大赛获得一等奖荣誉，提供相关证书得1分。</w:t>
            </w:r>
          </w:p>
          <w:p>
            <w:pPr>
              <w:adjustRightInd w:val="0"/>
              <w:snapToGrid w:val="0"/>
              <w:spacing w:before="156" w:beforeLines="50" w:line="360" w:lineRule="auto"/>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【投标人要求提供以上相关证明资料复印件并加盖投标人单位公章，否则不予计分。】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108" w:type="dxa"/>
          <w:trHeight w:val="1351" w:hRule="atLeast"/>
        </w:trPr>
        <w:tc>
          <w:tcPr>
            <w:tcW w:w="705" w:type="dxa"/>
            <w:vMerge w:val="continue"/>
            <w:tcBorders>
              <w:right w:val="single" w:color="auto" w:sz="4" w:space="0"/>
            </w:tcBorders>
            <w:shd w:val="clear" w:color="auto" w:fill="auto"/>
            <w:vAlign w:val="center"/>
          </w:tcPr>
          <w:p>
            <w:pPr>
              <w:adjustRightInd w:val="0"/>
              <w:jc w:val="center"/>
              <w:rPr>
                <w:rFonts w:ascii="仿宋" w:hAnsi="仿宋" w:eastAsia="仿宋" w:cs="仿宋"/>
                <w:color w:val="000000"/>
                <w:kern w:val="0"/>
                <w:sz w:val="24"/>
                <w:szCs w:val="24"/>
              </w:rPr>
            </w:pPr>
          </w:p>
        </w:tc>
        <w:tc>
          <w:tcPr>
            <w:tcW w:w="989" w:type="dxa"/>
            <w:vMerge w:val="continue"/>
            <w:tcBorders>
              <w:left w:val="single" w:color="auto" w:sz="4" w:space="0"/>
              <w:right w:val="single" w:color="auto" w:sz="4" w:space="0"/>
            </w:tcBorders>
            <w:shd w:val="clear" w:color="auto" w:fill="auto"/>
            <w:vAlign w:val="center"/>
          </w:tcPr>
          <w:p>
            <w:pPr>
              <w:adjustRightInd w:val="0"/>
              <w:snapToGrid w:val="0"/>
              <w:spacing w:line="520" w:lineRule="exact"/>
              <w:jc w:val="center"/>
              <w:rPr>
                <w:rFonts w:ascii="仿宋" w:hAnsi="仿宋" w:eastAsia="仿宋" w:cs="仿宋"/>
                <w:color w:val="000000"/>
                <w:kern w:val="0"/>
                <w:sz w:val="24"/>
                <w:szCs w:val="24"/>
              </w:rPr>
            </w:pPr>
          </w:p>
        </w:tc>
        <w:tc>
          <w:tcPr>
            <w:tcW w:w="1000" w:type="dxa"/>
            <w:gridSpan w:val="2"/>
            <w:tcBorders>
              <w:top w:val="single" w:color="auto" w:sz="4" w:space="0"/>
              <w:left w:val="single" w:color="auto" w:sz="4" w:space="0"/>
              <w:right w:val="single" w:color="auto" w:sz="4" w:space="0"/>
            </w:tcBorders>
            <w:shd w:val="clear" w:color="000000" w:fill="FFFFFF"/>
            <w:vAlign w:val="center"/>
          </w:tcPr>
          <w:p>
            <w:pPr>
              <w:spacing w:line="36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售后</w:t>
            </w:r>
          </w:p>
          <w:p>
            <w:pPr>
              <w:spacing w:line="36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服务</w:t>
            </w:r>
          </w:p>
        </w:tc>
        <w:tc>
          <w:tcPr>
            <w:tcW w:w="639" w:type="dxa"/>
            <w:tcBorders>
              <w:top w:val="single" w:color="auto" w:sz="4" w:space="0"/>
              <w:left w:val="single" w:color="auto" w:sz="4" w:space="0"/>
              <w:right w:val="single" w:color="auto" w:sz="4" w:space="0"/>
            </w:tcBorders>
            <w:shd w:val="clear" w:color="000000" w:fill="FFFFFF"/>
            <w:vAlign w:val="center"/>
          </w:tcPr>
          <w:p>
            <w:pPr>
              <w:spacing w:line="360" w:lineRule="auto"/>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w:t>
            </w:r>
          </w:p>
        </w:tc>
        <w:tc>
          <w:tcPr>
            <w:tcW w:w="6023" w:type="dxa"/>
            <w:gridSpan w:val="2"/>
            <w:tcBorders>
              <w:top w:val="single" w:color="auto" w:sz="4" w:space="0"/>
              <w:left w:val="single" w:color="auto" w:sz="4" w:space="0"/>
              <w:bottom w:val="single" w:color="auto" w:sz="4" w:space="0"/>
            </w:tcBorders>
            <w:shd w:val="clear" w:color="000000" w:fill="FFFFFF"/>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投标人提供完整的售后服务方案（包括本地化服务，有专人负责售前、售中和售后服务的、驻场人员安排、培训等），质保期、服务响应时间等满足招标文件要求，优计</w:t>
            </w:r>
            <w:r>
              <w:rPr>
                <w:rFonts w:hint="eastAsia" w:ascii="仿宋" w:hAnsi="仿宋" w:eastAsia="仿宋" w:cs="仿宋"/>
                <w:color w:val="000000"/>
                <w:kern w:val="0"/>
                <w:sz w:val="24"/>
                <w:szCs w:val="24"/>
                <w:lang w:val="en-US" w:eastAsia="zh-CN"/>
              </w:rPr>
              <w:t>4</w:t>
            </w:r>
            <w:r>
              <w:rPr>
                <w:rFonts w:hint="eastAsia" w:ascii="仿宋" w:hAnsi="仿宋" w:eastAsia="仿宋" w:cs="仿宋"/>
                <w:color w:val="000000"/>
                <w:kern w:val="0"/>
                <w:sz w:val="24"/>
                <w:szCs w:val="24"/>
              </w:rPr>
              <w:t xml:space="preserve">分，良计2分，一般1分。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108" w:type="dxa"/>
          <w:trHeight w:val="1351" w:hRule="atLeast"/>
        </w:trPr>
        <w:tc>
          <w:tcPr>
            <w:tcW w:w="705" w:type="dxa"/>
            <w:tcBorders>
              <w:right w:val="single" w:color="auto" w:sz="4" w:space="0"/>
            </w:tcBorders>
            <w:shd w:val="clear" w:color="auto" w:fill="auto"/>
            <w:vAlign w:val="center"/>
          </w:tcPr>
          <w:p>
            <w:pPr>
              <w:adjustRightInd w:val="0"/>
              <w:jc w:val="center"/>
              <w:rPr>
                <w:rFonts w:ascii="仿宋" w:hAnsi="仿宋" w:eastAsia="仿宋" w:cs="仿宋"/>
                <w:color w:val="000000"/>
                <w:kern w:val="0"/>
                <w:sz w:val="24"/>
                <w:szCs w:val="24"/>
              </w:rPr>
            </w:pPr>
          </w:p>
        </w:tc>
        <w:tc>
          <w:tcPr>
            <w:tcW w:w="989" w:type="dxa"/>
            <w:vMerge w:val="continue"/>
            <w:tcBorders>
              <w:left w:val="single" w:color="auto" w:sz="4" w:space="0"/>
              <w:right w:val="single" w:color="auto" w:sz="4" w:space="0"/>
            </w:tcBorders>
            <w:shd w:val="clear" w:color="auto" w:fill="auto"/>
            <w:vAlign w:val="center"/>
          </w:tcPr>
          <w:p>
            <w:pPr>
              <w:adjustRightInd w:val="0"/>
              <w:snapToGrid w:val="0"/>
              <w:spacing w:line="520" w:lineRule="exact"/>
              <w:jc w:val="center"/>
              <w:rPr>
                <w:rFonts w:ascii="仿宋" w:hAnsi="仿宋" w:eastAsia="仿宋" w:cs="仿宋"/>
                <w:color w:val="000000"/>
                <w:kern w:val="0"/>
                <w:sz w:val="24"/>
                <w:szCs w:val="24"/>
              </w:rPr>
            </w:pPr>
          </w:p>
        </w:tc>
        <w:tc>
          <w:tcPr>
            <w:tcW w:w="1000" w:type="dxa"/>
            <w:gridSpan w:val="2"/>
            <w:tcBorders>
              <w:top w:val="single" w:color="auto" w:sz="4" w:space="0"/>
              <w:left w:val="single" w:color="auto" w:sz="4" w:space="0"/>
              <w:right w:val="single" w:color="auto" w:sz="4" w:space="0"/>
            </w:tcBorders>
            <w:shd w:val="clear" w:color="000000" w:fill="FFFFFF"/>
            <w:vAlign w:val="center"/>
          </w:tcPr>
          <w:p>
            <w:pPr>
              <w:spacing w:line="36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商务</w:t>
            </w:r>
          </w:p>
          <w:p>
            <w:pPr>
              <w:spacing w:line="360" w:lineRule="auto"/>
              <w:jc w:val="center"/>
              <w:rPr>
                <w:rFonts w:ascii="仿宋" w:hAnsi="仿宋" w:eastAsia="仿宋" w:cs="仿宋"/>
                <w:color w:val="000000"/>
                <w:kern w:val="0"/>
                <w:sz w:val="24"/>
                <w:szCs w:val="24"/>
              </w:rPr>
            </w:pPr>
            <w:r>
              <w:rPr>
                <w:rFonts w:ascii="仿宋" w:hAnsi="仿宋" w:eastAsia="仿宋" w:cs="仿宋"/>
                <w:color w:val="000000"/>
                <w:kern w:val="0"/>
                <w:sz w:val="24"/>
                <w:szCs w:val="24"/>
              </w:rPr>
              <w:t>响应</w:t>
            </w:r>
          </w:p>
        </w:tc>
        <w:tc>
          <w:tcPr>
            <w:tcW w:w="639" w:type="dxa"/>
            <w:tcBorders>
              <w:top w:val="single" w:color="auto" w:sz="4" w:space="0"/>
              <w:left w:val="single" w:color="auto" w:sz="4" w:space="0"/>
              <w:right w:val="single" w:color="auto" w:sz="4" w:space="0"/>
            </w:tcBorders>
            <w:shd w:val="clear" w:color="000000" w:fill="FFFFFF"/>
            <w:vAlign w:val="center"/>
          </w:tcPr>
          <w:p>
            <w:pPr>
              <w:spacing w:line="36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6023" w:type="dxa"/>
            <w:gridSpan w:val="2"/>
            <w:tcBorders>
              <w:top w:val="single" w:color="auto" w:sz="4" w:space="0"/>
              <w:left w:val="single" w:color="auto" w:sz="4" w:space="0"/>
              <w:bottom w:val="single" w:color="auto" w:sz="4" w:space="0"/>
            </w:tcBorders>
            <w:shd w:val="clear" w:color="000000" w:fill="FFFFFF"/>
            <w:vAlign w:val="center"/>
          </w:tcPr>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投标文件没有商务条款响应/偏离表的不计分。质保期、服务响应时间、交货时间和付款方式等商务条款满足招标文件要求的计3分。缺项或偏离每处扣1分，扣完为止。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108" w:type="dxa"/>
          <w:trHeight w:val="403" w:hRule="atLeast"/>
        </w:trPr>
        <w:tc>
          <w:tcPr>
            <w:tcW w:w="9356" w:type="dxa"/>
            <w:gridSpan w:val="7"/>
            <w:vAlign w:val="center"/>
          </w:tcPr>
          <w:p>
            <w:pPr>
              <w:adjustRightInd w:val="0"/>
              <w:snapToGrid w:val="0"/>
              <w:rPr>
                <w:rFonts w:ascii="仿宋" w:hAnsi="仿宋" w:eastAsia="仿宋" w:cs="仿宋"/>
                <w:color w:val="000000"/>
                <w:kern w:val="0"/>
                <w:sz w:val="24"/>
                <w:szCs w:val="24"/>
              </w:rPr>
            </w:pPr>
            <w:r>
              <w:rPr>
                <w:rFonts w:hint="eastAsia" w:ascii="仿宋" w:hAnsi="仿宋" w:eastAsia="仿宋" w:cs="仿宋"/>
                <w:color w:val="000000"/>
                <w:kern w:val="0"/>
                <w:sz w:val="24"/>
                <w:szCs w:val="24"/>
              </w:rPr>
              <w:t>说明：1、评分依据评标标准，对照投标书进行。评标标准涉及要求提供复印件的，投标文件中须附相关证书和证明文件的复印件并加盖单位公章，否则相应计分项不予计分。</w:t>
            </w:r>
          </w:p>
        </w:tc>
      </w:tr>
    </w:tbl>
    <w:p>
      <w:pPr>
        <w:pStyle w:val="2"/>
        <w:rPr>
          <w:rFonts w:hint="eastAsia"/>
          <w:lang w:val="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6</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7</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3"/>
        <w:spacing w:line="360" w:lineRule="auto"/>
        <w:contextualSpacing/>
        <w:jc w:val="both"/>
        <w:rPr>
          <w:rFonts w:hint="eastAsia"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28"/>
        <w:ind w:left="0" w:leftChars="0" w:firstLine="0" w:firstLineChars="0"/>
        <w:rPr>
          <w:rFonts w:cs="黑体" w:asciiTheme="minorEastAsia" w:hAnsiTheme="minorEastAsia"/>
          <w:b/>
          <w:bCs/>
          <w:sz w:val="44"/>
          <w:szCs w:val="44"/>
          <w:lang w:val="zh-CN"/>
        </w:rPr>
      </w:pPr>
    </w:p>
    <w:p>
      <w:pPr>
        <w:pStyle w:val="51"/>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3" w:name="_Toc186274126"/>
      <w:bookmarkStart w:id="4" w:name="_Toc184023138"/>
      <w:bookmarkStart w:id="5" w:name="_Toc174185203"/>
      <w:r>
        <w:rPr>
          <w:rFonts w:hint="eastAsia" w:cs="黑体" w:asciiTheme="minorEastAsia" w:hAnsiTheme="minorEastAsia" w:eastAsiaTheme="minorEastAsia"/>
          <w:color w:val="auto"/>
          <w:kern w:val="2"/>
          <w:sz w:val="28"/>
          <w:szCs w:val="28"/>
          <w:lang w:val="zh-CN"/>
        </w:rPr>
        <w:t>一、投标人应答索引表</w:t>
      </w:r>
      <w:bookmarkEnd w:id="3"/>
      <w:bookmarkEnd w:id="4"/>
      <w:bookmarkEnd w:id="5"/>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投标保证金缴纳回执</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三、我方明白并同意，在规定的开标日之后，投标有效期之内撤销投标的，则贵方将不予退还投标保证金。</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19"/>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2"/>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2"/>
        <w:spacing w:line="480" w:lineRule="auto"/>
        <w:ind w:firstLine="472" w:firstLineChars="225"/>
        <w:jc w:val="left"/>
        <w:rPr>
          <w:rFonts w:asciiTheme="minorEastAsia" w:hAnsiTheme="minorEastAsia"/>
          <w:color w:val="000000"/>
          <w:sz w:val="21"/>
          <w:szCs w:val="21"/>
        </w:rPr>
      </w:pPr>
    </w:p>
    <w:p>
      <w:pPr>
        <w:pStyle w:val="42"/>
        <w:spacing w:line="480" w:lineRule="auto"/>
        <w:ind w:firstLine="472" w:firstLineChars="225"/>
        <w:jc w:val="left"/>
        <w:rPr>
          <w:rFonts w:asciiTheme="minorEastAsia" w:hAnsiTheme="minorEastAsia"/>
          <w:color w:val="000000"/>
          <w:sz w:val="21"/>
          <w:szCs w:val="21"/>
        </w:rPr>
      </w:pPr>
    </w:p>
    <w:p>
      <w:pPr>
        <w:pStyle w:val="42"/>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2"/>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5"/>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4"/>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6" w:name="_资格证明文件"/>
            <w:bookmarkEnd w:id="6"/>
            <w:bookmarkStart w:id="7"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7"/>
          </w:p>
        </w:tc>
        <w:tc>
          <w:tcPr>
            <w:tcW w:w="4492" w:type="dxa"/>
            <w:gridSpan w:val="2"/>
            <w:vAlign w:val="center"/>
          </w:tcPr>
          <w:p>
            <w:pPr>
              <w:jc w:val="center"/>
              <w:rPr>
                <w:rFonts w:asciiTheme="minorEastAsia" w:hAnsiTheme="minorEastAsia"/>
                <w:szCs w:val="21"/>
              </w:rPr>
            </w:pPr>
            <w:bookmarkStart w:id="8"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8"/>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eastAsia="zh-CN"/>
        </w:rPr>
        <w:t>禹州市</w:t>
      </w:r>
      <w:r>
        <w:rPr>
          <w:rFonts w:hint="eastAsia" w:cs="宋体" w:asciiTheme="minorEastAsia" w:hAnsiTheme="minorEastAsia"/>
          <w:szCs w:val="21"/>
          <w:lang w:val="zh-CN"/>
        </w:rPr>
        <w:t>公共资源交易中心保证金缴纳回执</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r>
        <w:rPr>
          <w:rFonts w:hint="eastAsia" w:ascii="宋体" w:cs="宋体"/>
          <w:szCs w:val="21"/>
          <w:lang w:val="zh-CN"/>
        </w:rPr>
        <w:t>（注：开标现场单独提供一份“禹州市公共资源交易中心保证金缴纳回执”以备查询）</w:t>
      </w: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Ansi="宋体" w:eastAsia="宋体"/>
          <w:b/>
          <w:snapToGrid w:val="0"/>
          <w:kern w:val="0"/>
          <w:sz w:val="36"/>
          <w:szCs w:val="36"/>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9" w:name="OLE_LINK14"/>
      <w:bookmarkStart w:id="10" w:name="OLE_LINK13"/>
      <w:r>
        <w:rPr>
          <w:rFonts w:hint="eastAsia" w:ascii="宋体" w:hAnsi="宋体"/>
          <w:b/>
          <w:bCs/>
          <w:color w:val="000000"/>
          <w:sz w:val="24"/>
          <w:szCs w:val="24"/>
        </w:rPr>
        <w:t>4.7 残疾人福利性单位声明函</w:t>
      </w:r>
    </w:p>
    <w:bookmarkEnd w:id="9"/>
    <w:bookmarkEnd w:id="10"/>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28"/>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403A2"/>
    <w:multiLevelType w:val="singleLevel"/>
    <w:tmpl w:val="E7B403A2"/>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31D40CE9"/>
    <w:multiLevelType w:val="singleLevel"/>
    <w:tmpl w:val="31D40CE9"/>
    <w:lvl w:ilvl="0" w:tentative="0">
      <w:start w:val="1"/>
      <w:numFmt w:val="chineseCounting"/>
      <w:suff w:val="space"/>
      <w:lvlText w:val="第%1章"/>
      <w:lvlJc w:val="left"/>
      <w:rPr>
        <w:rFonts w:hint="eastAsia"/>
      </w:rPr>
    </w:lvl>
  </w:abstractNum>
  <w:abstractNum w:abstractNumId="7">
    <w:nsid w:val="59F817C2"/>
    <w:multiLevelType w:val="singleLevel"/>
    <w:tmpl w:val="59F817C2"/>
    <w:lvl w:ilvl="0" w:tentative="0">
      <w:start w:val="2"/>
      <w:numFmt w:val="chineseCounting"/>
      <w:suff w:val="space"/>
      <w:lvlText w:val="第%1章"/>
      <w:lvlJc w:val="left"/>
    </w:lvl>
  </w:abstractNum>
  <w:abstractNum w:abstractNumId="8">
    <w:nsid w:val="59F817E8"/>
    <w:multiLevelType w:val="singleLevel"/>
    <w:tmpl w:val="59F817E8"/>
    <w:lvl w:ilvl="0" w:tentative="0">
      <w:start w:val="1"/>
      <w:numFmt w:val="chineseCounting"/>
      <w:pStyle w:val="51"/>
      <w:suff w:val="nothing"/>
      <w:lvlText w:val="%1、"/>
      <w:lvlJc w:val="left"/>
    </w:lvl>
  </w:abstractNum>
  <w:abstractNum w:abstractNumId="9">
    <w:nsid w:val="5D1F0770"/>
    <w:multiLevelType w:val="singleLevel"/>
    <w:tmpl w:val="5D1F0770"/>
    <w:lvl w:ilvl="0" w:tentative="0">
      <w:start w:val="1"/>
      <w:numFmt w:val="chineseCounting"/>
      <w:suff w:val="nothing"/>
      <w:lvlText w:val="（%1）"/>
      <w:lvlJc w:val="left"/>
      <w:rPr>
        <w:rFonts w:hint="eastAsia"/>
      </w:rPr>
    </w:lvl>
  </w:abstractNum>
  <w:abstractNum w:abstractNumId="10">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8"/>
  </w:num>
  <w:num w:numId="4">
    <w:abstractNumId w:val="6"/>
  </w:num>
  <w:num w:numId="5">
    <w:abstractNumId w:val="3"/>
  </w:num>
  <w:num w:numId="6">
    <w:abstractNumId w:val="7"/>
  </w:num>
  <w:num w:numId="7">
    <w:abstractNumId w:val="9"/>
  </w:num>
  <w:num w:numId="8">
    <w:abstractNumId w:val="0"/>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90070A"/>
    <w:rsid w:val="027C7D92"/>
    <w:rsid w:val="032449BC"/>
    <w:rsid w:val="037217D3"/>
    <w:rsid w:val="03A87C38"/>
    <w:rsid w:val="03C54AE6"/>
    <w:rsid w:val="080C2BBA"/>
    <w:rsid w:val="08FD5745"/>
    <w:rsid w:val="0930075F"/>
    <w:rsid w:val="094C0742"/>
    <w:rsid w:val="0A5E16AE"/>
    <w:rsid w:val="0A7C3AAF"/>
    <w:rsid w:val="0A7F2B85"/>
    <w:rsid w:val="0AB50907"/>
    <w:rsid w:val="0B01317F"/>
    <w:rsid w:val="0BBD5765"/>
    <w:rsid w:val="0C1D2223"/>
    <w:rsid w:val="0C3D4298"/>
    <w:rsid w:val="0C9523A6"/>
    <w:rsid w:val="0CA67F00"/>
    <w:rsid w:val="0F485C64"/>
    <w:rsid w:val="0FD30C14"/>
    <w:rsid w:val="101B403B"/>
    <w:rsid w:val="116D26CD"/>
    <w:rsid w:val="11C23651"/>
    <w:rsid w:val="11E13F76"/>
    <w:rsid w:val="129267D1"/>
    <w:rsid w:val="12C422CE"/>
    <w:rsid w:val="13EB69AF"/>
    <w:rsid w:val="13EF7D11"/>
    <w:rsid w:val="140778EB"/>
    <w:rsid w:val="158908A7"/>
    <w:rsid w:val="158E318D"/>
    <w:rsid w:val="160E3E81"/>
    <w:rsid w:val="16EE4E99"/>
    <w:rsid w:val="171E620C"/>
    <w:rsid w:val="17A87F25"/>
    <w:rsid w:val="17F27C17"/>
    <w:rsid w:val="183965F3"/>
    <w:rsid w:val="189035FD"/>
    <w:rsid w:val="18C769E5"/>
    <w:rsid w:val="18D55096"/>
    <w:rsid w:val="194C1AA6"/>
    <w:rsid w:val="198348D6"/>
    <w:rsid w:val="1A08396D"/>
    <w:rsid w:val="1AFBFFDD"/>
    <w:rsid w:val="1B1653FD"/>
    <w:rsid w:val="1BC2665F"/>
    <w:rsid w:val="1C2D1536"/>
    <w:rsid w:val="1CCF2F1D"/>
    <w:rsid w:val="1CFB73D3"/>
    <w:rsid w:val="1E8E722F"/>
    <w:rsid w:val="1F8E45BB"/>
    <w:rsid w:val="1FE15514"/>
    <w:rsid w:val="208614E5"/>
    <w:rsid w:val="20E47EF3"/>
    <w:rsid w:val="2157706F"/>
    <w:rsid w:val="21DD4A96"/>
    <w:rsid w:val="22605721"/>
    <w:rsid w:val="23531816"/>
    <w:rsid w:val="24D35795"/>
    <w:rsid w:val="25A60734"/>
    <w:rsid w:val="26EC1901"/>
    <w:rsid w:val="271F4B16"/>
    <w:rsid w:val="275038F3"/>
    <w:rsid w:val="27CD14F5"/>
    <w:rsid w:val="293C5FB1"/>
    <w:rsid w:val="29A55E19"/>
    <w:rsid w:val="29F94CB1"/>
    <w:rsid w:val="2A553543"/>
    <w:rsid w:val="2A745111"/>
    <w:rsid w:val="2AF87034"/>
    <w:rsid w:val="2B022C78"/>
    <w:rsid w:val="2B792340"/>
    <w:rsid w:val="2C014C3B"/>
    <w:rsid w:val="2CA9520B"/>
    <w:rsid w:val="2D4A693F"/>
    <w:rsid w:val="2E252DC4"/>
    <w:rsid w:val="2F112255"/>
    <w:rsid w:val="2F650AED"/>
    <w:rsid w:val="2FFD3F6B"/>
    <w:rsid w:val="30EA79C7"/>
    <w:rsid w:val="30FD56B7"/>
    <w:rsid w:val="329E1B24"/>
    <w:rsid w:val="32BF12F4"/>
    <w:rsid w:val="33563CED"/>
    <w:rsid w:val="338A4286"/>
    <w:rsid w:val="347F0816"/>
    <w:rsid w:val="34B644B7"/>
    <w:rsid w:val="36B46A4A"/>
    <w:rsid w:val="36E65B38"/>
    <w:rsid w:val="375656B9"/>
    <w:rsid w:val="37627558"/>
    <w:rsid w:val="37B91083"/>
    <w:rsid w:val="39FD28B4"/>
    <w:rsid w:val="3AC47AB6"/>
    <w:rsid w:val="3ADD0A2E"/>
    <w:rsid w:val="3B4C7808"/>
    <w:rsid w:val="3B7A3E82"/>
    <w:rsid w:val="3B8D0CE8"/>
    <w:rsid w:val="3BA71EF1"/>
    <w:rsid w:val="3C1651F0"/>
    <w:rsid w:val="3CBF1608"/>
    <w:rsid w:val="3CC749D9"/>
    <w:rsid w:val="3CFB31CE"/>
    <w:rsid w:val="3DCA2531"/>
    <w:rsid w:val="3E3A26DB"/>
    <w:rsid w:val="3F263B0E"/>
    <w:rsid w:val="410B53EF"/>
    <w:rsid w:val="414D7438"/>
    <w:rsid w:val="41A16B13"/>
    <w:rsid w:val="41EF3AE9"/>
    <w:rsid w:val="423A7A11"/>
    <w:rsid w:val="428968C5"/>
    <w:rsid w:val="430D37F8"/>
    <w:rsid w:val="43420F67"/>
    <w:rsid w:val="43AF27C5"/>
    <w:rsid w:val="443E3AC2"/>
    <w:rsid w:val="444772BC"/>
    <w:rsid w:val="444D773E"/>
    <w:rsid w:val="44972791"/>
    <w:rsid w:val="458D2A4C"/>
    <w:rsid w:val="459D509E"/>
    <w:rsid w:val="45A926DC"/>
    <w:rsid w:val="45FC4042"/>
    <w:rsid w:val="477C4489"/>
    <w:rsid w:val="477E79DB"/>
    <w:rsid w:val="48BB1E61"/>
    <w:rsid w:val="48E44347"/>
    <w:rsid w:val="4AB4093D"/>
    <w:rsid w:val="4AE22F4C"/>
    <w:rsid w:val="4B536EA5"/>
    <w:rsid w:val="4CA91082"/>
    <w:rsid w:val="4E8F0D2C"/>
    <w:rsid w:val="4EAC4ADD"/>
    <w:rsid w:val="4EB72836"/>
    <w:rsid w:val="4ED23FD5"/>
    <w:rsid w:val="4EE945C2"/>
    <w:rsid w:val="4EFB1FC3"/>
    <w:rsid w:val="4F3C1178"/>
    <w:rsid w:val="4F661CEB"/>
    <w:rsid w:val="4FEB5C49"/>
    <w:rsid w:val="527B1821"/>
    <w:rsid w:val="5310611D"/>
    <w:rsid w:val="53276344"/>
    <w:rsid w:val="53293BFC"/>
    <w:rsid w:val="533D55CA"/>
    <w:rsid w:val="535D3032"/>
    <w:rsid w:val="53C97953"/>
    <w:rsid w:val="53F5577A"/>
    <w:rsid w:val="547F6D52"/>
    <w:rsid w:val="5590515E"/>
    <w:rsid w:val="562D2F69"/>
    <w:rsid w:val="5703196B"/>
    <w:rsid w:val="57140DA8"/>
    <w:rsid w:val="574A43AC"/>
    <w:rsid w:val="58077CBD"/>
    <w:rsid w:val="5812110B"/>
    <w:rsid w:val="582E1358"/>
    <w:rsid w:val="58FD658D"/>
    <w:rsid w:val="5B0C6CA4"/>
    <w:rsid w:val="5C7C747C"/>
    <w:rsid w:val="5CFD3C28"/>
    <w:rsid w:val="5E2C7B65"/>
    <w:rsid w:val="5EB8046C"/>
    <w:rsid w:val="5EC23D91"/>
    <w:rsid w:val="5EEA6FD8"/>
    <w:rsid w:val="5F91300B"/>
    <w:rsid w:val="5FBD74DE"/>
    <w:rsid w:val="5FFC61BE"/>
    <w:rsid w:val="601812B8"/>
    <w:rsid w:val="60BD0412"/>
    <w:rsid w:val="616C5D6E"/>
    <w:rsid w:val="61775FA5"/>
    <w:rsid w:val="619B680C"/>
    <w:rsid w:val="62E53998"/>
    <w:rsid w:val="648D2FFF"/>
    <w:rsid w:val="656839C3"/>
    <w:rsid w:val="65725730"/>
    <w:rsid w:val="65B92974"/>
    <w:rsid w:val="65C80747"/>
    <w:rsid w:val="672B7704"/>
    <w:rsid w:val="6753455D"/>
    <w:rsid w:val="68594ADA"/>
    <w:rsid w:val="68741D48"/>
    <w:rsid w:val="6AB31C19"/>
    <w:rsid w:val="6B357A50"/>
    <w:rsid w:val="6B5B7DCB"/>
    <w:rsid w:val="6BB95672"/>
    <w:rsid w:val="6C1E4AF0"/>
    <w:rsid w:val="6C4712E8"/>
    <w:rsid w:val="6C9C46AE"/>
    <w:rsid w:val="6CE55F45"/>
    <w:rsid w:val="6D7644F7"/>
    <w:rsid w:val="6D8D5D8A"/>
    <w:rsid w:val="6DE87E82"/>
    <w:rsid w:val="6DFC3DF2"/>
    <w:rsid w:val="6E673C05"/>
    <w:rsid w:val="6E6F4DC3"/>
    <w:rsid w:val="6E7511ED"/>
    <w:rsid w:val="6E76180E"/>
    <w:rsid w:val="6ED546F7"/>
    <w:rsid w:val="6F272507"/>
    <w:rsid w:val="6FF11A89"/>
    <w:rsid w:val="70117814"/>
    <w:rsid w:val="70602224"/>
    <w:rsid w:val="70C1699F"/>
    <w:rsid w:val="70F11E9C"/>
    <w:rsid w:val="71617265"/>
    <w:rsid w:val="71C32A07"/>
    <w:rsid w:val="71E53350"/>
    <w:rsid w:val="720E5D3A"/>
    <w:rsid w:val="72254E2A"/>
    <w:rsid w:val="7290558D"/>
    <w:rsid w:val="72ED3426"/>
    <w:rsid w:val="73184127"/>
    <w:rsid w:val="73733509"/>
    <w:rsid w:val="73D40348"/>
    <w:rsid w:val="74AB41BE"/>
    <w:rsid w:val="753171BD"/>
    <w:rsid w:val="75EA3934"/>
    <w:rsid w:val="774700AD"/>
    <w:rsid w:val="777E0158"/>
    <w:rsid w:val="788A0F31"/>
    <w:rsid w:val="78F56DD8"/>
    <w:rsid w:val="7A77760E"/>
    <w:rsid w:val="7AC70899"/>
    <w:rsid w:val="7B3F7553"/>
    <w:rsid w:val="7B7986D1"/>
    <w:rsid w:val="7B877587"/>
    <w:rsid w:val="7CF25F91"/>
    <w:rsid w:val="7EE52F06"/>
    <w:rsid w:val="7F7C60D3"/>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2"/>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3"/>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52"/>
    <w:unhideWhenUsed/>
    <w:qFormat/>
    <w:uiPriority w:val="99"/>
    <w:pPr>
      <w:spacing w:after="12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8"/>
    <w:qFormat/>
    <w:uiPriority w:val="0"/>
    <w:rPr>
      <w:rFonts w:ascii="Times New Roman" w:hAnsi="Times New Roman" w:eastAsia="宋体" w:cs="Times New Roman"/>
      <w:color w:val="FF0000"/>
      <w:sz w:val="24"/>
      <w:szCs w:val="24"/>
    </w:rPr>
  </w:style>
  <w:style w:type="paragraph" w:styleId="10">
    <w:name w:val="Body Text Indent"/>
    <w:basedOn w:val="1"/>
    <w:qFormat/>
    <w:uiPriority w:val="0"/>
    <w:pPr>
      <w:spacing w:line="400" w:lineRule="exact"/>
      <w:ind w:left="630"/>
    </w:pPr>
    <w:rPr>
      <w:rFonts w:ascii="楷体_GB2312" w:eastAsia="宋体"/>
      <w:sz w:val="21"/>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4"/>
    <w:qFormat/>
    <w:uiPriority w:val="0"/>
    <w:rPr>
      <w:rFonts w:eastAsia="宋体"/>
      <w:sz w:val="24"/>
    </w:rPr>
  </w:style>
  <w:style w:type="paragraph" w:styleId="14">
    <w:name w:val="Date"/>
    <w:basedOn w:val="1"/>
    <w:next w:val="1"/>
    <w:link w:val="35"/>
    <w:unhideWhenUsed/>
    <w:qFormat/>
    <w:uiPriority w:val="99"/>
    <w:pPr>
      <w:ind w:left="100" w:leftChars="2500"/>
    </w:pPr>
  </w:style>
  <w:style w:type="paragraph" w:styleId="15">
    <w:name w:val="footer"/>
    <w:basedOn w:val="1"/>
    <w:link w:val="36"/>
    <w:unhideWhenUsed/>
    <w:qFormat/>
    <w:uiPriority w:val="99"/>
    <w:pPr>
      <w:tabs>
        <w:tab w:val="center" w:pos="4153"/>
        <w:tab w:val="right" w:pos="8306"/>
      </w:tabs>
      <w:snapToGrid w:val="0"/>
      <w:jc w:val="left"/>
    </w:pPr>
    <w:rPr>
      <w:sz w:val="18"/>
      <w:szCs w:val="18"/>
    </w:rPr>
  </w:style>
  <w:style w:type="paragraph" w:styleId="16">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paragraph" w:styleId="20">
    <w:name w:val="Body Text First Indent"/>
    <w:basedOn w:val="2"/>
    <w:link w:val="53"/>
    <w:qFormat/>
    <w:uiPriority w:val="0"/>
    <w:pPr>
      <w:ind w:firstLine="420" w:firstLineChars="100"/>
    </w:pPr>
    <w:rPr>
      <w:rFonts w:ascii="宋体" w:hAnsi="Times New Roman" w:eastAsia="宋体" w:cs="Times New Roman"/>
      <w:kern w:val="0"/>
      <w:sz w:val="34"/>
      <w:szCs w:val="20"/>
    </w:rPr>
  </w:style>
  <w:style w:type="paragraph" w:styleId="21">
    <w:name w:val="Body Text First Indent 2"/>
    <w:basedOn w:val="10"/>
    <w:semiHidden/>
    <w:qFormat/>
    <w:uiPriority w:val="99"/>
    <w:pPr>
      <w:snapToGrid/>
      <w:spacing w:after="120" w:line="240" w:lineRule="auto"/>
      <w:ind w:left="420" w:leftChars="200" w:firstLine="420" w:firstLineChars="200"/>
    </w:pPr>
    <w:rPr>
      <w:sz w:val="21"/>
      <w:szCs w:val="24"/>
    </w:rPr>
  </w:style>
  <w:style w:type="character" w:styleId="24">
    <w:name w:val="Strong"/>
    <w:basedOn w:val="23"/>
    <w:qFormat/>
    <w:uiPriority w:val="22"/>
    <w:rPr>
      <w:b/>
      <w:bCs/>
    </w:rPr>
  </w:style>
  <w:style w:type="character" w:styleId="25">
    <w:name w:val="FollowedHyperlink"/>
    <w:basedOn w:val="23"/>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paragraph" w:customStyle="1" w:styleId="28">
    <w:name w:val="*正文"/>
    <w:basedOn w:val="1"/>
    <w:qFormat/>
    <w:uiPriority w:val="0"/>
    <w:pPr>
      <w:keepNext/>
      <w:keepLines/>
      <w:spacing w:line="360" w:lineRule="auto"/>
      <w:ind w:firstLine="200" w:firstLineChars="200"/>
    </w:pPr>
    <w:rPr>
      <w:rFonts w:ascii="宋体" w:hAnsi="宋体"/>
    </w:rPr>
  </w:style>
  <w:style w:type="paragraph" w:customStyle="1" w:styleId="29">
    <w:name w:val="列出段落1"/>
    <w:basedOn w:val="1"/>
    <w:unhideWhenUsed/>
    <w:qFormat/>
    <w:uiPriority w:val="99"/>
    <w:pPr>
      <w:ind w:firstLine="420" w:firstLineChars="200"/>
    </w:pPr>
  </w:style>
  <w:style w:type="character" w:customStyle="1" w:styleId="30">
    <w:name w:val="标题 1 Char"/>
    <w:basedOn w:val="23"/>
    <w:link w:val="3"/>
    <w:qFormat/>
    <w:uiPriority w:val="0"/>
    <w:rPr>
      <w:rFonts w:ascii="Calibri" w:hAnsi="Calibri" w:eastAsia="宋体" w:cs="Times New Roman"/>
      <w:b/>
      <w:bCs/>
      <w:kern w:val="44"/>
      <w:sz w:val="44"/>
      <w:szCs w:val="44"/>
    </w:rPr>
  </w:style>
  <w:style w:type="character" w:customStyle="1" w:styleId="31">
    <w:name w:val="标题 2 Char"/>
    <w:basedOn w:val="23"/>
    <w:link w:val="4"/>
    <w:qFormat/>
    <w:uiPriority w:val="0"/>
    <w:rPr>
      <w:rFonts w:ascii="Arial" w:hAnsi="Arial" w:eastAsia="黑体" w:cs="Times New Roman"/>
      <w:b/>
      <w:bCs/>
      <w:kern w:val="0"/>
      <w:sz w:val="32"/>
      <w:szCs w:val="32"/>
    </w:rPr>
  </w:style>
  <w:style w:type="character" w:customStyle="1" w:styleId="32">
    <w:name w:val="标题 3 Char"/>
    <w:basedOn w:val="23"/>
    <w:link w:val="5"/>
    <w:qFormat/>
    <w:uiPriority w:val="0"/>
    <w:rPr>
      <w:rFonts w:ascii="宋体" w:hAnsi="宋体" w:eastAsia="宋体" w:cs="Times New Roman"/>
      <w:b/>
      <w:color w:val="000000"/>
      <w:kern w:val="0"/>
      <w:sz w:val="24"/>
      <w:szCs w:val="20"/>
      <w:lang w:val="en-GB"/>
    </w:rPr>
  </w:style>
  <w:style w:type="character" w:customStyle="1" w:styleId="33">
    <w:name w:val="标题 4 Char"/>
    <w:basedOn w:val="23"/>
    <w:link w:val="6"/>
    <w:qFormat/>
    <w:uiPriority w:val="0"/>
    <w:rPr>
      <w:rFonts w:ascii="Arial" w:hAnsi="Arial" w:eastAsia="黑体" w:cs="Times New Roman"/>
      <w:b/>
      <w:bCs/>
      <w:kern w:val="0"/>
      <w:sz w:val="28"/>
      <w:szCs w:val="28"/>
    </w:rPr>
  </w:style>
  <w:style w:type="character" w:customStyle="1" w:styleId="34">
    <w:name w:val="纯文本 Char"/>
    <w:basedOn w:val="23"/>
    <w:link w:val="13"/>
    <w:qFormat/>
    <w:uiPriority w:val="0"/>
    <w:rPr>
      <w:rFonts w:eastAsia="宋体"/>
      <w:sz w:val="24"/>
    </w:rPr>
  </w:style>
  <w:style w:type="character" w:customStyle="1" w:styleId="35">
    <w:name w:val="日期 Char"/>
    <w:basedOn w:val="23"/>
    <w:link w:val="14"/>
    <w:qFormat/>
    <w:uiPriority w:val="99"/>
  </w:style>
  <w:style w:type="character" w:customStyle="1" w:styleId="36">
    <w:name w:val="页脚 Char"/>
    <w:basedOn w:val="23"/>
    <w:link w:val="15"/>
    <w:qFormat/>
    <w:uiPriority w:val="99"/>
    <w:rPr>
      <w:sz w:val="18"/>
      <w:szCs w:val="18"/>
    </w:rPr>
  </w:style>
  <w:style w:type="character" w:customStyle="1" w:styleId="37">
    <w:name w:val="页眉 Char"/>
    <w:basedOn w:val="23"/>
    <w:link w:val="16"/>
    <w:qFormat/>
    <w:uiPriority w:val="99"/>
    <w:rPr>
      <w:sz w:val="18"/>
      <w:szCs w:val="18"/>
    </w:rPr>
  </w:style>
  <w:style w:type="character" w:customStyle="1" w:styleId="38">
    <w:name w:val="纯文本 Char1"/>
    <w:qFormat/>
    <w:uiPriority w:val="0"/>
    <w:rPr>
      <w:rFonts w:eastAsia="宋体"/>
      <w:sz w:val="24"/>
    </w:rPr>
  </w:style>
  <w:style w:type="paragraph" w:customStyle="1" w:styleId="3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0">
    <w:name w:val="列出段落11"/>
    <w:basedOn w:val="1"/>
    <w:qFormat/>
    <w:uiPriority w:val="34"/>
    <w:pPr>
      <w:ind w:firstLine="420" w:firstLineChars="200"/>
    </w:pPr>
  </w:style>
  <w:style w:type="character" w:customStyle="1" w:styleId="41">
    <w:name w:val="正文文本缩进 Char Char"/>
    <w:link w:val="42"/>
    <w:qFormat/>
    <w:uiPriority w:val="0"/>
    <w:rPr>
      <w:rFonts w:ascii="宋体"/>
      <w:sz w:val="24"/>
    </w:rPr>
  </w:style>
  <w:style w:type="paragraph" w:customStyle="1" w:styleId="42">
    <w:name w:val="正文文本缩进1"/>
    <w:basedOn w:val="1"/>
    <w:link w:val="41"/>
    <w:qFormat/>
    <w:uiPriority w:val="0"/>
    <w:pPr>
      <w:spacing w:line="360" w:lineRule="auto"/>
      <w:ind w:firstLine="480" w:firstLineChars="200"/>
    </w:pPr>
    <w:rPr>
      <w:rFonts w:ascii="宋体"/>
      <w:sz w:val="24"/>
    </w:rPr>
  </w:style>
  <w:style w:type="character" w:customStyle="1" w:styleId="43">
    <w:name w:val="日期 Char Char"/>
    <w:link w:val="44"/>
    <w:qFormat/>
    <w:uiPriority w:val="0"/>
    <w:rPr>
      <w:sz w:val="24"/>
    </w:rPr>
  </w:style>
  <w:style w:type="paragraph" w:customStyle="1" w:styleId="44">
    <w:name w:val="日期1"/>
    <w:basedOn w:val="1"/>
    <w:next w:val="1"/>
    <w:link w:val="43"/>
    <w:qFormat/>
    <w:uiPriority w:val="0"/>
    <w:rPr>
      <w:sz w:val="24"/>
    </w:rPr>
  </w:style>
  <w:style w:type="paragraph" w:customStyle="1" w:styleId="45">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6">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7">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8">
    <w:name w:val="正文文本 3 Char"/>
    <w:basedOn w:val="23"/>
    <w:link w:val="9"/>
    <w:qFormat/>
    <w:uiPriority w:val="0"/>
    <w:rPr>
      <w:rFonts w:ascii="Times New Roman" w:hAnsi="Times New Roman" w:eastAsia="宋体" w:cs="Times New Roman"/>
      <w:color w:val="FF0000"/>
      <w:sz w:val="24"/>
      <w:szCs w:val="24"/>
    </w:rPr>
  </w:style>
  <w:style w:type="character" w:customStyle="1" w:styleId="49">
    <w:name w:val="edittexttarea"/>
    <w:basedOn w:val="23"/>
    <w:qFormat/>
    <w:uiPriority w:val="0"/>
  </w:style>
  <w:style w:type="paragraph" w:customStyle="1" w:styleId="50">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1">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2">
    <w:name w:val="正文文本 Char"/>
    <w:basedOn w:val="23"/>
    <w:link w:val="2"/>
    <w:semiHidden/>
    <w:qFormat/>
    <w:uiPriority w:val="99"/>
  </w:style>
  <w:style w:type="character" w:customStyle="1" w:styleId="53">
    <w:name w:val="正文首行缩进 Char"/>
    <w:basedOn w:val="52"/>
    <w:link w:val="20"/>
    <w:qFormat/>
    <w:uiPriority w:val="0"/>
    <w:rPr>
      <w:rFonts w:ascii="宋体" w:hAnsi="Times New Roman" w:eastAsia="宋体" w:cs="Times New Roman"/>
      <w:kern w:val="0"/>
      <w:sz w:val="34"/>
      <w:szCs w:val="20"/>
    </w:rPr>
  </w:style>
  <w:style w:type="character" w:customStyle="1" w:styleId="54">
    <w:name w:val="HTML 预设格式 Char"/>
    <w:basedOn w:val="23"/>
    <w:link w:val="18"/>
    <w:semiHidden/>
    <w:qFormat/>
    <w:uiPriority w:val="99"/>
    <w:rPr>
      <w:rFonts w:ascii="宋体" w:hAnsi="宋体" w:eastAsia="宋体" w:cs="宋体"/>
      <w:kern w:val="0"/>
      <w:sz w:val="24"/>
      <w:szCs w:val="24"/>
    </w:rPr>
  </w:style>
  <w:style w:type="paragraph" w:customStyle="1" w:styleId="55">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6">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List Paragraph1"/>
    <w:basedOn w:val="1"/>
    <w:qFormat/>
    <w:uiPriority w:val="99"/>
    <w:pPr>
      <w:ind w:firstLine="420" w:firstLineChars="200"/>
    </w:pPr>
    <w:rPr>
      <w:rFonts w:ascii="Times New Roman" w:hAnsi="Times New Roman" w:eastAsia="宋体" w:cs="Times New Roman"/>
      <w:szCs w:val="24"/>
    </w:rPr>
  </w:style>
  <w:style w:type="paragraph" w:styleId="58">
    <w:name w:val="List Paragraph"/>
    <w:basedOn w:val="1"/>
    <w:unhideWhenUsed/>
    <w:qFormat/>
    <w:uiPriority w:val="99"/>
    <w:pPr>
      <w:ind w:firstLine="420" w:firstLineChars="200"/>
    </w:pPr>
  </w:style>
  <w:style w:type="character" w:customStyle="1" w:styleId="59">
    <w:name w:val="font01"/>
    <w:basedOn w:val="2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18</TotalTime>
  <ScaleCrop>false</ScaleCrop>
  <LinksUpToDate>false</LinksUpToDate>
  <CharactersWithSpaces>43544</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禹州市公共资源交易中心:艾明辉</cp:lastModifiedBy>
  <cp:lastPrinted>2018-08-01T18:20:00Z</cp:lastPrinted>
  <dcterms:modified xsi:type="dcterms:W3CDTF">2019-07-31T04:01:14Z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