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319" w:leftChars="209" w:hanging="880" w:hangingChars="200"/>
        <w:jc w:val="center"/>
        <w:rPr>
          <w:rFonts w:hint="eastAsia" w:ascii="微软雅黑" w:hAnsi="微软雅黑" w:eastAsia="微软雅黑" w:cs="微软雅黑"/>
          <w:b/>
          <w:bCs/>
          <w:sz w:val="44"/>
          <w:szCs w:val="44"/>
          <w:lang w:eastAsia="zh-CN"/>
        </w:rPr>
      </w:pPr>
      <w:r>
        <w:rPr>
          <w:rFonts w:hint="eastAsia" w:ascii="微软雅黑" w:hAnsi="微软雅黑" w:eastAsia="微软雅黑" w:cs="微软雅黑"/>
          <w:b/>
          <w:bCs/>
          <w:sz w:val="44"/>
          <w:szCs w:val="44"/>
        </w:rPr>
        <w:t>禹州市</w:t>
      </w:r>
      <w:r>
        <w:rPr>
          <w:rFonts w:hint="eastAsia" w:ascii="微软雅黑" w:hAnsi="微软雅黑" w:eastAsia="微软雅黑" w:cs="微软雅黑"/>
          <w:b/>
          <w:bCs/>
          <w:sz w:val="44"/>
          <w:szCs w:val="44"/>
          <w:lang w:eastAsia="zh-CN"/>
        </w:rPr>
        <w:t>公安</w:t>
      </w:r>
      <w:r>
        <w:rPr>
          <w:rFonts w:hint="eastAsia" w:ascii="微软雅黑" w:hAnsi="微软雅黑" w:eastAsia="微软雅黑" w:cs="微软雅黑"/>
          <w:b/>
          <w:bCs/>
          <w:sz w:val="44"/>
          <w:szCs w:val="44"/>
        </w:rPr>
        <w:t>局</w:t>
      </w:r>
      <w:r>
        <w:rPr>
          <w:rFonts w:hint="eastAsia" w:ascii="微软雅黑" w:hAnsi="微软雅黑" w:eastAsia="微软雅黑" w:cs="微软雅黑"/>
          <w:b/>
          <w:bCs/>
          <w:sz w:val="44"/>
          <w:szCs w:val="44"/>
          <w:lang w:eastAsia="zh-CN"/>
        </w:rPr>
        <w:t>新建改建交通设施</w:t>
      </w:r>
    </w:p>
    <w:p>
      <w:pPr>
        <w:ind w:left="1319" w:leftChars="209" w:hanging="880" w:hangingChars="200"/>
        <w:jc w:val="center"/>
        <w:rPr>
          <w:rFonts w:ascii="微软简隶书" w:eastAsia="微软简隶书"/>
          <w:color w:val="000000"/>
        </w:rPr>
      </w:pPr>
      <w:r>
        <w:rPr>
          <w:rFonts w:hint="eastAsia" w:ascii="微软雅黑" w:hAnsi="微软雅黑" w:eastAsia="微软雅黑" w:cs="微软雅黑"/>
          <w:b/>
          <w:bCs/>
          <w:sz w:val="44"/>
          <w:szCs w:val="44"/>
          <w:lang w:eastAsia="zh-CN"/>
        </w:rPr>
        <w:t>及安装电子警察和反向抓拍系统采购项目</w:t>
      </w:r>
    </w:p>
    <w:p>
      <w:pPr>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采购单位： 禹州市</w:t>
      </w:r>
      <w:r>
        <w:rPr>
          <w:rFonts w:hint="eastAsia" w:ascii="仿宋" w:hAnsi="仿宋" w:eastAsia="仿宋" w:cs="仿宋"/>
          <w:b/>
          <w:bCs/>
          <w:color w:val="000000"/>
          <w:sz w:val="32"/>
          <w:szCs w:val="32"/>
          <w:lang w:eastAsia="zh-CN"/>
        </w:rPr>
        <w:t>公安</w:t>
      </w:r>
      <w:r>
        <w:rPr>
          <w:rFonts w:hint="eastAsia" w:ascii="仿宋" w:hAnsi="仿宋" w:eastAsia="仿宋" w:cs="仿宋"/>
          <w:b/>
          <w:bCs/>
          <w:color w:val="000000"/>
          <w:sz w:val="32"/>
          <w:szCs w:val="32"/>
        </w:rPr>
        <w:t>局</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168</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七</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20"/>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20"/>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禹州市公安局新建改建交通设施</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及安装电子警察和反向抓拍系统采购项目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9"/>
        <w:rPr>
          <w:rFonts w:hint="eastAsia" w:ascii="仿宋" w:hAnsi="仿宋" w:eastAsia="仿宋" w:cs="仿宋"/>
          <w:b/>
          <w:bCs/>
          <w:sz w:val="36"/>
          <w:szCs w:val="36"/>
        </w:rPr>
      </w:pPr>
    </w:p>
    <w:p>
      <w:pPr>
        <w:spacing w:line="6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rPr>
        <w:t>禹州市政府采购中心受禹州市</w:t>
      </w:r>
      <w:r>
        <w:rPr>
          <w:rFonts w:hint="eastAsia" w:ascii="新宋体" w:hAnsi="新宋体" w:eastAsia="新宋体" w:cs="新宋体"/>
          <w:sz w:val="24"/>
          <w:szCs w:val="24"/>
          <w:lang w:eastAsia="zh-CN"/>
        </w:rPr>
        <w:t>公安</w:t>
      </w:r>
      <w:r>
        <w:rPr>
          <w:rFonts w:hint="eastAsia" w:ascii="新宋体" w:hAnsi="新宋体" w:eastAsia="新宋体" w:cs="新宋体"/>
          <w:sz w:val="24"/>
          <w:szCs w:val="24"/>
        </w:rPr>
        <w:t>局的委托，就“禹州市公安局新建改建交通设施及安装电子警察和反向抓拍系统采购项目”进行公开招标，欢迎合格的投标人前来投标。</w:t>
      </w:r>
    </w:p>
    <w:p>
      <w:pPr>
        <w:pStyle w:val="59"/>
        <w:widowControl/>
        <w:numPr>
          <w:ilvl w:val="0"/>
          <w:numId w:val="5"/>
        </w:numPr>
        <w:shd w:val="clear" w:color="auto" w:fill="FFFFFF"/>
        <w:spacing w:line="400" w:lineRule="exact"/>
        <w:ind w:firstLineChars="0"/>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项目基本情况</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采购人：禹州</w:t>
      </w:r>
      <w:r>
        <w:rPr>
          <w:rFonts w:hint="eastAsia" w:ascii="新宋体" w:hAnsi="新宋体" w:eastAsia="新宋体" w:cs="新宋体"/>
          <w:sz w:val="24"/>
          <w:szCs w:val="24"/>
          <w:lang w:eastAsia="zh-CN"/>
        </w:rPr>
        <w:t>公安</w:t>
      </w:r>
      <w:r>
        <w:rPr>
          <w:rFonts w:hint="eastAsia" w:ascii="新宋体" w:hAnsi="新宋体" w:eastAsia="新宋体" w:cs="新宋体"/>
          <w:sz w:val="24"/>
          <w:szCs w:val="24"/>
        </w:rPr>
        <w:t>局</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lang w:eastAsia="zh-CN"/>
        </w:rPr>
      </w:pPr>
      <w:r>
        <w:rPr>
          <w:rFonts w:hint="eastAsia" w:ascii="新宋体" w:hAnsi="新宋体" w:eastAsia="新宋体" w:cs="新宋体"/>
          <w:color w:val="000000"/>
          <w:kern w:val="0"/>
          <w:sz w:val="24"/>
          <w:szCs w:val="24"/>
        </w:rPr>
        <w:t>2.项目名称</w:t>
      </w:r>
      <w:r>
        <w:rPr>
          <w:rFonts w:hint="eastAsia" w:ascii="新宋体" w:hAnsi="新宋体" w:eastAsia="新宋体" w:cs="新宋体"/>
          <w:color w:val="000000"/>
          <w:kern w:val="0"/>
          <w:sz w:val="24"/>
          <w:szCs w:val="24"/>
          <w:lang w:eastAsia="zh-CN"/>
        </w:rPr>
        <w:t>：禹州市公安局新建改建交通设施及安装电子警察和反向抓拍系统采购项目</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sz w:val="24"/>
          <w:szCs w:val="24"/>
          <w:lang w:val="en-US" w:eastAsia="zh-CN"/>
        </w:rPr>
      </w:pPr>
      <w:r>
        <w:rPr>
          <w:rFonts w:hint="eastAsia" w:ascii="新宋体" w:hAnsi="新宋体" w:eastAsia="新宋体" w:cs="新宋体"/>
          <w:color w:val="000000"/>
          <w:kern w:val="0"/>
          <w:sz w:val="24"/>
          <w:szCs w:val="24"/>
        </w:rPr>
        <w:t>3</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采购编号：</w:t>
      </w:r>
      <w:r>
        <w:rPr>
          <w:rFonts w:hint="eastAsia" w:ascii="新宋体" w:hAnsi="新宋体" w:eastAsia="新宋体" w:cs="新宋体"/>
          <w:sz w:val="24"/>
          <w:szCs w:val="24"/>
        </w:rPr>
        <w:t>YZCG-G2019</w:t>
      </w:r>
      <w:r>
        <w:rPr>
          <w:rFonts w:hint="eastAsia" w:ascii="新宋体" w:hAnsi="新宋体" w:eastAsia="新宋体" w:cs="新宋体"/>
          <w:sz w:val="24"/>
          <w:szCs w:val="24"/>
          <w:lang w:val="en-US" w:eastAsia="zh-CN"/>
        </w:rPr>
        <w:t>168</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4</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项目需求：</w:t>
      </w:r>
      <w:r>
        <w:rPr>
          <w:rFonts w:hint="eastAsia" w:ascii="新宋体" w:hAnsi="新宋体" w:eastAsia="新宋体" w:cs="新宋体"/>
          <w:color w:val="000000"/>
          <w:kern w:val="0"/>
          <w:sz w:val="24"/>
          <w:szCs w:val="24"/>
          <w:lang w:eastAsia="zh-CN"/>
        </w:rPr>
        <w:t>本项目分三个标段，</w:t>
      </w:r>
      <w:r>
        <w:rPr>
          <w:rFonts w:hint="eastAsia" w:ascii="新宋体" w:hAnsi="新宋体" w:eastAsia="新宋体" w:cs="新宋体"/>
          <w:color w:val="000000"/>
          <w:kern w:val="0"/>
          <w:sz w:val="24"/>
          <w:szCs w:val="24"/>
        </w:rPr>
        <w:t>第一标段：（1）药城路与北环路交叉口等21个路口新建及改建交通设施工程（2）鸠神快速通道新建交通设施工程（3）北环路和西环路北段新建交通设施工程</w:t>
      </w:r>
      <w:r>
        <w:rPr>
          <w:rFonts w:hint="eastAsia" w:ascii="新宋体" w:hAnsi="新宋体" w:eastAsia="新宋体" w:cs="新宋体"/>
          <w:color w:val="000000"/>
          <w:kern w:val="0"/>
          <w:sz w:val="24"/>
          <w:szCs w:val="24"/>
        </w:rPr>
        <w:tab/>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第二标段:（1）人民医院路口等9个路口安装电子警察和反向抓拍系统安装工程</w:t>
      </w:r>
      <w:r>
        <w:rPr>
          <w:rFonts w:hint="eastAsia" w:ascii="新宋体" w:hAnsi="新宋体" w:eastAsia="新宋体" w:cs="新宋体"/>
          <w:color w:val="000000"/>
          <w:kern w:val="0"/>
          <w:sz w:val="24"/>
          <w:szCs w:val="24"/>
        </w:rPr>
        <w:tab/>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（2）大学路与学府西路交叉口等五个路口新建及改扩建交通设施工程</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（3）滨河路与府东路交叉口等交通设施位置调整及更换国标信号灯工程</w:t>
      </w:r>
      <w:r>
        <w:rPr>
          <w:rFonts w:hint="eastAsia" w:ascii="新宋体" w:hAnsi="新宋体" w:eastAsia="新宋体" w:cs="新宋体"/>
          <w:color w:val="000000"/>
          <w:kern w:val="0"/>
          <w:sz w:val="24"/>
          <w:szCs w:val="24"/>
        </w:rPr>
        <w:tab/>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第三标段</w:t>
      </w:r>
    </w:p>
    <w:p>
      <w:pPr>
        <w:widowControl/>
        <w:numPr>
          <w:ilvl w:val="0"/>
          <w:numId w:val="0"/>
        </w:numPr>
        <w:shd w:val="clear" w:color="auto" w:fill="FFFFFF"/>
        <w:spacing w:line="400" w:lineRule="exact"/>
        <w:ind w:firstLine="240" w:firstLineChars="1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（1）开元大道和禹王大道东延伸段等11个主要路口新建交通设施工程</w:t>
      </w:r>
      <w:r>
        <w:rPr>
          <w:rFonts w:hint="eastAsia" w:ascii="新宋体" w:hAnsi="新宋体" w:eastAsia="新宋体" w:cs="新宋体"/>
          <w:color w:val="000000"/>
          <w:kern w:val="0"/>
          <w:sz w:val="24"/>
          <w:szCs w:val="24"/>
        </w:rPr>
        <w:tab/>
      </w:r>
    </w:p>
    <w:p>
      <w:pPr>
        <w:widowControl/>
        <w:numPr>
          <w:ilvl w:val="0"/>
          <w:numId w:val="0"/>
        </w:numPr>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5</w:t>
      </w: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采购预算：第一标段：253.33万元；第二标段：261.48万元；第三标段：252.38万元</w:t>
      </w:r>
    </w:p>
    <w:p>
      <w:pPr>
        <w:widowControl/>
        <w:numPr>
          <w:ilvl w:val="0"/>
          <w:numId w:val="0"/>
        </w:numPr>
        <w:shd w:val="clear" w:color="auto" w:fill="FFFFFF"/>
        <w:spacing w:line="400" w:lineRule="exact"/>
        <w:ind w:firstLine="480" w:firstLineChars="200"/>
        <w:jc w:val="left"/>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采购限价：第一标段：253.33万元；第二标段：261.48万元；第三标段：252.38万元</w:t>
      </w:r>
    </w:p>
    <w:p>
      <w:pPr>
        <w:widowControl/>
        <w:shd w:val="clear" w:color="auto" w:fill="FFFFFF"/>
        <w:spacing w:line="400" w:lineRule="exact"/>
        <w:ind w:firstLine="354" w:firstLineChars="147"/>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二、需要落实的政府采购政策</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三、供应商资格要求：</w:t>
      </w:r>
    </w:p>
    <w:p>
      <w:pPr>
        <w:widowControl/>
        <w:shd w:val="clear" w:color="auto" w:fill="FFFFFF"/>
        <w:spacing w:line="400" w:lineRule="exact"/>
        <w:ind w:left="482"/>
        <w:jc w:val="left"/>
        <w:rPr>
          <w:rFonts w:hint="eastAsia" w:ascii="新宋体" w:hAnsi="新宋体" w:eastAsia="新宋体" w:cs="新宋体"/>
          <w:sz w:val="24"/>
          <w:szCs w:val="24"/>
        </w:rPr>
      </w:pPr>
      <w:r>
        <w:rPr>
          <w:rFonts w:hint="eastAsia" w:ascii="新宋体" w:hAnsi="新宋体" w:eastAsia="新宋体" w:cs="新宋体"/>
          <w:sz w:val="24"/>
          <w:szCs w:val="24"/>
        </w:rPr>
        <w:t>1、符合《政府采购法》第二十二条之规定，具有独立法人资格及相应的经营范围（</w:t>
      </w:r>
      <w:r>
        <w:rPr>
          <w:rFonts w:hint="eastAsia" w:ascii="新宋体" w:hAnsi="新宋体" w:eastAsia="新宋体" w:cs="新宋体"/>
          <w:sz w:val="24"/>
          <w:szCs w:val="24"/>
          <w:lang w:eastAsia="zh-CN"/>
        </w:rPr>
        <w:t>以营业执照为准</w:t>
      </w:r>
      <w:r>
        <w:rPr>
          <w:rFonts w:hint="eastAsia" w:ascii="新宋体" w:hAnsi="新宋体" w:eastAsia="新宋体" w:cs="新宋体"/>
          <w:sz w:val="24"/>
          <w:szCs w:val="24"/>
        </w:rPr>
        <w:t>）；</w:t>
      </w:r>
    </w:p>
    <w:p>
      <w:pPr>
        <w:widowControl/>
        <w:shd w:val="clear" w:color="auto" w:fill="FFFFFF"/>
        <w:spacing w:line="400" w:lineRule="exact"/>
        <w:ind w:left="482"/>
        <w:jc w:val="left"/>
        <w:rPr>
          <w:rFonts w:hint="eastAsia" w:ascii="新宋体" w:hAnsi="新宋体" w:eastAsia="新宋体" w:cs="新宋体"/>
          <w:sz w:val="24"/>
          <w:szCs w:val="24"/>
          <w:lang w:eastAsia="zh-CN"/>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、投标人须具备电子与智能化工程专业承包贰级及以上资质</w:t>
      </w:r>
      <w:r>
        <w:rPr>
          <w:rFonts w:hint="eastAsia" w:ascii="新宋体" w:hAnsi="新宋体" w:eastAsia="新宋体" w:cs="新宋体"/>
          <w:sz w:val="24"/>
          <w:szCs w:val="24"/>
          <w:lang w:eastAsia="zh-CN"/>
        </w:rPr>
        <w:t>且</w:t>
      </w:r>
      <w:r>
        <w:rPr>
          <w:rFonts w:hint="eastAsia" w:ascii="新宋体" w:hAnsi="新宋体" w:eastAsia="新宋体" w:cs="新宋体"/>
          <w:sz w:val="24"/>
          <w:szCs w:val="24"/>
        </w:rPr>
        <w:t>具有有效期内的安全生产许可证</w:t>
      </w:r>
      <w:r>
        <w:rPr>
          <w:rFonts w:hint="eastAsia" w:ascii="新宋体" w:hAnsi="新宋体" w:eastAsia="新宋体" w:cs="新宋体"/>
          <w:sz w:val="24"/>
          <w:szCs w:val="24"/>
          <w:lang w:eastAsia="zh-CN"/>
        </w:rPr>
        <w:t>；</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、被委托人是须是本单位职工，须提供公司为本人缴纳社会保险证明；</w:t>
      </w:r>
    </w:p>
    <w:p>
      <w:pPr>
        <w:spacing w:line="400" w:lineRule="exact"/>
        <w:ind w:left="319" w:leftChars="152" w:firstLine="120" w:firstLineChars="5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、本项目不接受联合体投标。</w:t>
      </w:r>
    </w:p>
    <w:p>
      <w:pPr>
        <w:widowControl/>
        <w:shd w:val="clear" w:color="auto" w:fill="FFFFFF"/>
        <w:spacing w:line="400" w:lineRule="exact"/>
        <w:ind w:firstLine="482"/>
        <w:jc w:val="left"/>
        <w:rPr>
          <w:rFonts w:hint="eastAsia" w:ascii="新宋体" w:hAnsi="新宋体" w:eastAsia="新宋体" w:cs="新宋体"/>
          <w:b/>
          <w:color w:val="000000"/>
          <w:kern w:val="0"/>
          <w:sz w:val="24"/>
          <w:szCs w:val="24"/>
        </w:rPr>
      </w:pPr>
      <w:r>
        <w:rPr>
          <w:rFonts w:hint="eastAsia" w:ascii="新宋体" w:hAnsi="新宋体" w:eastAsia="新宋体" w:cs="新宋体"/>
          <w:b/>
          <w:color w:val="000000"/>
          <w:kern w:val="0"/>
          <w:sz w:val="24"/>
          <w:szCs w:val="24"/>
        </w:rPr>
        <w:t>四、获取招标文件的方式、时间、地点</w:t>
      </w:r>
    </w:p>
    <w:p>
      <w:pPr>
        <w:wordWrap w:val="0"/>
        <w:topLinePunct/>
        <w:snapToGrid w:val="0"/>
        <w:spacing w:line="400" w:lineRule="exact"/>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1、持CA数字认证证书，登录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"http://221.14.6.70:8088/ggzy/eps/public/RegistAllJcxx.html"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http://221.14.6.70:8088/ggzy/eps/public/RegistAllJcxx.html</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2、在投标截止时间前登录</w:t>
      </w:r>
      <w:r>
        <w:rPr>
          <w:rFonts w:hint="eastAsia" w:ascii="新宋体" w:hAnsi="新宋体" w:eastAsia="新宋体" w:cs="新宋体"/>
          <w:sz w:val="24"/>
          <w:szCs w:val="24"/>
        </w:rPr>
        <w:fldChar w:fldCharType="begin"/>
      </w:r>
      <w:r>
        <w:rPr>
          <w:rFonts w:hint="eastAsia" w:ascii="新宋体" w:hAnsi="新宋体" w:eastAsia="新宋体" w:cs="新宋体"/>
          <w:sz w:val="24"/>
          <w:szCs w:val="24"/>
        </w:rPr>
        <w:instrText xml:space="preserve"> HYPERLINK "http://221.14.6.70:8088/ggzy/" </w:instrText>
      </w:r>
      <w:r>
        <w:rPr>
          <w:rFonts w:hint="eastAsia" w:ascii="新宋体" w:hAnsi="新宋体" w:eastAsia="新宋体" w:cs="新宋体"/>
          <w:sz w:val="24"/>
          <w:szCs w:val="24"/>
        </w:rPr>
        <w:fldChar w:fldCharType="separate"/>
      </w:r>
      <w:r>
        <w:rPr>
          <w:rFonts w:hint="eastAsia" w:ascii="新宋体" w:hAnsi="新宋体" w:eastAsia="新宋体" w:cs="新宋体"/>
          <w:sz w:val="24"/>
          <w:szCs w:val="24"/>
          <w:lang w:val="zh-CN"/>
        </w:rPr>
        <w:t>http://</w:t>
      </w:r>
      <w:r>
        <w:rPr>
          <w:rFonts w:hint="eastAsia" w:ascii="新宋体" w:hAnsi="新宋体" w:eastAsia="新宋体" w:cs="新宋体"/>
          <w:sz w:val="24"/>
          <w:szCs w:val="24"/>
          <w:lang w:val="zh-CN"/>
        </w:rPr>
        <w:fldChar w:fldCharType="end"/>
      </w:r>
      <w:r>
        <w:rPr>
          <w:rFonts w:hint="eastAsia" w:ascii="新宋体" w:hAnsi="新宋体" w:eastAsia="新宋体" w:cs="新宋体"/>
          <w:sz w:val="24"/>
          <w:szCs w:val="24"/>
          <w:lang w:val="en-US" w:eastAsia="zh-CN"/>
        </w:rPr>
        <w:t>ggzy.xuchang.gov.cn</w:t>
      </w:r>
      <w:r>
        <w:rPr>
          <w:rFonts w:hint="eastAsia" w:ascii="新宋体" w:hAnsi="新宋体" w:eastAsia="新宋体" w:cs="新宋体"/>
          <w:sz w:val="24"/>
          <w:szCs w:val="24"/>
          <w:lang w:val="zh-CN"/>
        </w:rPr>
        <w:t>，自行下载招标文件（详见全国公共资源交易平台（河南省·许昌市）“常见问题解答-交易系统操作手册”）。</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　　3、未通过全国公共资源交易平台（河南省·许昌市）下载招标文件的投标企业，拒收其递交的投标文件。</w:t>
      </w:r>
    </w:p>
    <w:p>
      <w:pPr>
        <w:spacing w:line="400" w:lineRule="exact"/>
        <w:ind w:firstLine="640"/>
        <w:rPr>
          <w:rFonts w:hint="eastAsia" w:ascii="新宋体" w:hAnsi="新宋体" w:eastAsia="新宋体" w:cs="新宋体"/>
          <w:sz w:val="24"/>
          <w:szCs w:val="24"/>
        </w:rPr>
      </w:pPr>
      <w:r>
        <w:rPr>
          <w:rFonts w:hint="eastAsia" w:ascii="新宋体" w:hAnsi="新宋体" w:eastAsia="新宋体" w:cs="新宋体"/>
          <w:sz w:val="24"/>
          <w:szCs w:val="24"/>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五、投标截止时间、开标时间及地点：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1、投标截止及开标时间：2019年</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月</w:t>
      </w:r>
      <w:r>
        <w:rPr>
          <w:rFonts w:hint="eastAsia" w:ascii="新宋体" w:hAnsi="新宋体" w:eastAsia="新宋体" w:cs="新宋体"/>
          <w:color w:val="000000"/>
          <w:kern w:val="0"/>
          <w:sz w:val="24"/>
          <w:szCs w:val="24"/>
          <w:lang w:val="en-US" w:eastAsia="zh-CN"/>
        </w:rPr>
        <w:t xml:space="preserve"> </w:t>
      </w:r>
      <w:r>
        <w:rPr>
          <w:rFonts w:hint="eastAsia" w:ascii="新宋体" w:hAnsi="新宋体" w:eastAsia="新宋体" w:cs="新宋体"/>
          <w:color w:val="000000"/>
          <w:kern w:val="0"/>
          <w:sz w:val="24"/>
          <w:szCs w:val="24"/>
        </w:rPr>
        <w:t>日</w:t>
      </w:r>
      <w:r>
        <w:rPr>
          <w:rFonts w:hint="eastAsia" w:ascii="新宋体" w:hAnsi="新宋体" w:eastAsia="新宋体" w:cs="新宋体"/>
          <w:color w:val="000000"/>
          <w:kern w:val="0"/>
          <w:sz w:val="24"/>
          <w:szCs w:val="24"/>
          <w:lang w:val="en-US" w:eastAsia="zh-CN"/>
        </w:rPr>
        <w:t xml:space="preserve">9 </w:t>
      </w:r>
      <w:r>
        <w:rPr>
          <w:rFonts w:hint="eastAsia" w:ascii="新宋体" w:hAnsi="新宋体" w:eastAsia="新宋体" w:cs="新宋体"/>
          <w:color w:val="000000"/>
          <w:kern w:val="0"/>
          <w:sz w:val="24"/>
          <w:szCs w:val="24"/>
        </w:rPr>
        <w:t>：00（北京时间），逾期送达或不符合规定的投标文件不予接受。</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2、开标地点：</w:t>
      </w:r>
      <w:r>
        <w:rPr>
          <w:rFonts w:hint="eastAsia" w:ascii="新宋体" w:hAnsi="新宋体" w:eastAsia="新宋体" w:cs="新宋体"/>
          <w:sz w:val="24"/>
          <w:szCs w:val="24"/>
        </w:rPr>
        <w:t>禹州市公共资源交易中心第二开标室（禹州市行政服务中心楼9楼）</w:t>
      </w:r>
      <w:r>
        <w:rPr>
          <w:rFonts w:hint="eastAsia" w:ascii="新宋体" w:hAnsi="新宋体" w:eastAsia="新宋体" w:cs="新宋体"/>
          <w:color w:val="000000"/>
          <w:kern w:val="0"/>
          <w:sz w:val="24"/>
          <w:szCs w:val="24"/>
        </w:rPr>
        <w:t xml:space="preserve"> </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3、本项目为全流程电子化交易项目，投标人须提交电子投标文件和纸质投标文件。</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七、代理机构及采购单位地址、联系人、联系电话</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（一）代理机构：禹州市政府采购中心</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地址：</w:t>
      </w:r>
      <w:r>
        <w:rPr>
          <w:rFonts w:hint="eastAsia" w:ascii="新宋体" w:hAnsi="新宋体" w:eastAsia="新宋体" w:cs="新宋体"/>
          <w:sz w:val="24"/>
          <w:szCs w:val="24"/>
        </w:rPr>
        <w:t>禹州市行政服务中心楼917房间</w:t>
      </w:r>
    </w:p>
    <w:p>
      <w:pPr>
        <w:widowControl/>
        <w:shd w:val="clear" w:color="auto" w:fill="FFFFFF"/>
        <w:spacing w:line="400" w:lineRule="exact"/>
        <w:ind w:firstLine="641"/>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联系人：艾先生  联系电话：0374-2077111</w:t>
      </w:r>
    </w:p>
    <w:p>
      <w:pPr>
        <w:widowControl/>
        <w:shd w:val="clear" w:color="auto" w:fill="FFFFFF"/>
        <w:spacing w:line="400" w:lineRule="exact"/>
        <w:ind w:left="481"/>
        <w:jc w:val="left"/>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（二）采购单位：</w:t>
      </w:r>
      <w:r>
        <w:rPr>
          <w:rFonts w:hint="eastAsia" w:ascii="新宋体" w:hAnsi="新宋体" w:eastAsia="新宋体" w:cs="新宋体"/>
          <w:sz w:val="24"/>
          <w:szCs w:val="24"/>
        </w:rPr>
        <w:t>禹州市</w:t>
      </w:r>
      <w:r>
        <w:rPr>
          <w:rFonts w:hint="eastAsia" w:ascii="新宋体" w:hAnsi="新宋体" w:eastAsia="新宋体" w:cs="新宋体"/>
          <w:sz w:val="24"/>
          <w:szCs w:val="24"/>
          <w:lang w:eastAsia="zh-CN"/>
        </w:rPr>
        <w:t>公安</w:t>
      </w:r>
      <w:r>
        <w:rPr>
          <w:rFonts w:hint="eastAsia" w:ascii="新宋体" w:hAnsi="新宋体" w:eastAsia="新宋体" w:cs="新宋体"/>
          <w:sz w:val="24"/>
          <w:szCs w:val="24"/>
        </w:rPr>
        <w:t>局</w:t>
      </w:r>
    </w:p>
    <w:p>
      <w:pPr>
        <w:widowControl/>
        <w:shd w:val="clear" w:color="auto" w:fill="FFFFFF"/>
        <w:spacing w:line="400" w:lineRule="exact"/>
        <w:ind w:firstLine="720" w:firstLineChars="300"/>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地址：禹州市</w:t>
      </w:r>
      <w:r>
        <w:rPr>
          <w:rFonts w:hint="eastAsia" w:ascii="新宋体" w:hAnsi="新宋体" w:eastAsia="新宋体" w:cs="新宋体"/>
          <w:color w:val="000000"/>
          <w:kern w:val="0"/>
          <w:sz w:val="24"/>
          <w:szCs w:val="24"/>
          <w:lang w:eastAsia="zh-CN"/>
        </w:rPr>
        <w:t>华夏大道</w:t>
      </w:r>
      <w:r>
        <w:rPr>
          <w:rFonts w:hint="eastAsia" w:ascii="新宋体" w:hAnsi="新宋体" w:eastAsia="新宋体" w:cs="新宋体"/>
          <w:color w:val="000000"/>
          <w:kern w:val="0"/>
          <w:sz w:val="24"/>
          <w:szCs w:val="24"/>
          <w:lang w:val="en-US" w:eastAsia="zh-CN"/>
        </w:rPr>
        <w:t xml:space="preserve"> </w:t>
      </w:r>
    </w:p>
    <w:p>
      <w:pPr>
        <w:widowControl/>
        <w:shd w:val="clear" w:color="auto" w:fill="FFFFFF"/>
        <w:spacing w:line="400" w:lineRule="exact"/>
        <w:ind w:firstLine="641"/>
        <w:jc w:val="left"/>
        <w:rPr>
          <w:rFonts w:hint="default" w:ascii="新宋体" w:hAnsi="新宋体" w:eastAsia="新宋体" w:cs="新宋体"/>
          <w:color w:val="000000"/>
          <w:kern w:val="0"/>
          <w:sz w:val="24"/>
          <w:szCs w:val="24"/>
          <w:lang w:val="en-US" w:eastAsia="zh-CN"/>
        </w:rPr>
      </w:pPr>
      <w:r>
        <w:rPr>
          <w:rFonts w:hint="eastAsia" w:ascii="新宋体" w:hAnsi="新宋体" w:eastAsia="新宋体" w:cs="新宋体"/>
          <w:color w:val="000000"/>
          <w:kern w:val="0"/>
          <w:sz w:val="24"/>
          <w:szCs w:val="24"/>
        </w:rPr>
        <w:t>联系人：</w:t>
      </w:r>
      <w:r>
        <w:rPr>
          <w:rFonts w:hint="eastAsia" w:ascii="新宋体" w:hAnsi="新宋体" w:eastAsia="新宋体" w:cs="新宋体"/>
          <w:color w:val="000000"/>
          <w:kern w:val="0"/>
          <w:sz w:val="24"/>
          <w:szCs w:val="24"/>
          <w:lang w:eastAsia="zh-CN"/>
        </w:rPr>
        <w:t>董</w:t>
      </w:r>
      <w:r>
        <w:rPr>
          <w:rFonts w:hint="eastAsia" w:ascii="新宋体" w:hAnsi="新宋体" w:eastAsia="新宋体" w:cs="新宋体"/>
          <w:color w:val="000000"/>
          <w:kern w:val="0"/>
          <w:sz w:val="24"/>
          <w:szCs w:val="24"/>
        </w:rPr>
        <w:t>先生   联系电话：</w:t>
      </w:r>
      <w:r>
        <w:rPr>
          <w:rFonts w:hint="eastAsia" w:ascii="新宋体" w:hAnsi="新宋体" w:eastAsia="新宋体" w:cs="新宋体"/>
          <w:color w:val="000000"/>
          <w:kern w:val="0"/>
          <w:sz w:val="24"/>
          <w:szCs w:val="24"/>
          <w:lang w:val="en-US" w:eastAsia="zh-CN"/>
        </w:rPr>
        <w:t>18839906082</w:t>
      </w:r>
    </w:p>
    <w:p>
      <w:pPr>
        <w:spacing w:line="400" w:lineRule="exact"/>
        <w:ind w:firstLine="4080" w:firstLineChars="1700"/>
        <w:rPr>
          <w:rFonts w:hint="eastAsia" w:ascii="新宋体" w:hAnsi="新宋体" w:eastAsia="新宋体" w:cs="新宋体"/>
          <w:sz w:val="24"/>
          <w:szCs w:val="24"/>
        </w:rPr>
      </w:pPr>
      <w:r>
        <w:rPr>
          <w:rFonts w:hint="eastAsia" w:ascii="新宋体" w:hAnsi="新宋体" w:eastAsia="新宋体" w:cs="新宋体"/>
          <w:sz w:val="24"/>
          <w:szCs w:val="24"/>
        </w:rPr>
        <w:t xml:space="preserve">   </w:t>
      </w:r>
    </w:p>
    <w:p>
      <w:pPr>
        <w:spacing w:line="400" w:lineRule="exact"/>
        <w:ind w:firstLine="4560" w:firstLineChars="1900"/>
        <w:rPr>
          <w:rFonts w:hint="eastAsia" w:ascii="新宋体" w:hAnsi="新宋体" w:eastAsia="新宋体" w:cs="新宋体"/>
          <w:sz w:val="24"/>
          <w:szCs w:val="24"/>
        </w:rPr>
      </w:pPr>
    </w:p>
    <w:p>
      <w:pPr>
        <w:spacing w:line="400" w:lineRule="exact"/>
        <w:ind w:firstLine="2640" w:firstLineChars="1100"/>
        <w:rPr>
          <w:rFonts w:hint="eastAsia" w:ascii="新宋体" w:hAnsi="新宋体" w:eastAsia="新宋体" w:cs="新宋体"/>
          <w:sz w:val="24"/>
          <w:szCs w:val="24"/>
        </w:rPr>
      </w:pPr>
      <w:r>
        <w:rPr>
          <w:rFonts w:hint="eastAsia" w:ascii="新宋体" w:hAnsi="新宋体" w:eastAsia="新宋体" w:cs="新宋体"/>
          <w:sz w:val="24"/>
          <w:szCs w:val="24"/>
        </w:rPr>
        <w:t xml:space="preserve">    </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 xml:space="preserve">  2019年 </w:t>
      </w:r>
      <w:r>
        <w:rPr>
          <w:rFonts w:hint="eastAsia" w:ascii="新宋体" w:hAnsi="新宋体" w:eastAsia="新宋体" w:cs="新宋体"/>
          <w:sz w:val="24"/>
          <w:szCs w:val="24"/>
          <w:lang w:val="en-US" w:eastAsia="zh-CN"/>
        </w:rPr>
        <w:t>7</w:t>
      </w:r>
      <w:r>
        <w:rPr>
          <w:rFonts w:hint="eastAsia" w:ascii="新宋体" w:hAnsi="新宋体" w:eastAsia="新宋体" w:cs="新宋体"/>
          <w:sz w:val="24"/>
          <w:szCs w:val="24"/>
        </w:rPr>
        <w:t>月</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日</w:t>
      </w:r>
    </w:p>
    <w:p>
      <w:pPr>
        <w:spacing w:line="360" w:lineRule="auto"/>
        <w:rPr>
          <w:rFonts w:hint="eastAsia" w:ascii="新宋体" w:hAnsi="新宋体" w:eastAsia="新宋体" w:cs="新宋体"/>
          <w:b/>
          <w:sz w:val="24"/>
          <w:szCs w:val="24"/>
        </w:rPr>
      </w:pPr>
    </w:p>
    <w:p>
      <w:pPr>
        <w:pStyle w:val="29"/>
        <w:rPr>
          <w:rFonts w:hint="eastAsia" w:ascii="仿宋" w:hAnsi="仿宋" w:eastAsia="仿宋" w:cs="仿宋"/>
          <w:b/>
          <w:bCs/>
          <w:sz w:val="36"/>
          <w:szCs w:val="36"/>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8"/>
          <w:rFonts w:hAnsi="宋体"/>
          <w:sz w:val="24"/>
          <w:szCs w:val="24"/>
        </w:rPr>
        <w:t>http://221.14.6.70:8088/ggzy/</w:t>
      </w:r>
      <w:r>
        <w:rPr>
          <w:rStyle w:val="28"/>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6"/>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30"/>
        <w:rPr>
          <w:rFonts w:hint="eastAsia"/>
        </w:rPr>
      </w:pPr>
    </w:p>
    <w:p>
      <w:pPr>
        <w:widowControl/>
        <w:numPr>
          <w:ilvl w:val="0"/>
          <w:numId w:val="7"/>
        </w:numPr>
        <w:shd w:val="clear" w:color="auto" w:fill="FFFFFF"/>
        <w:spacing w:line="360" w:lineRule="auto"/>
        <w:jc w:val="left"/>
        <w:rPr>
          <w:rFonts w:hint="default"/>
          <w:lang w:val="en-US" w:eastAsia="zh-CN"/>
        </w:rPr>
      </w:pPr>
      <w:r>
        <w:rPr>
          <w:rFonts w:hint="eastAsia" w:ascii="新宋体" w:hAnsi="新宋体" w:eastAsia="新宋体" w:cs="新宋体"/>
          <w:b/>
          <w:bCs/>
          <w:color w:val="000000"/>
          <w:kern w:val="0"/>
          <w:sz w:val="24"/>
          <w:szCs w:val="24"/>
        </w:rPr>
        <w:t>本项目需实现的功能或者目标</w:t>
      </w:r>
    </w:p>
    <w:p>
      <w:pPr>
        <w:spacing w:line="360" w:lineRule="auto"/>
        <w:ind w:firstLine="480" w:firstLineChars="200"/>
        <w:rPr>
          <w:rFonts w:hint="default"/>
          <w:lang w:val="en-US" w:eastAsia="zh-CN"/>
        </w:rPr>
      </w:pPr>
      <w:r>
        <w:rPr>
          <w:rFonts w:hint="eastAsia" w:ascii="仿宋" w:hAnsi="仿宋" w:eastAsia="仿宋" w:cs="仿宋"/>
          <w:sz w:val="24"/>
          <w:szCs w:val="24"/>
        </w:rPr>
        <w:t>本项目立足交通管理工作实际，结合禹州市主城区道路特点，以云计算、大数据、物联网、移动互联等新技术为依托，最终建成一个以计算机通信网络和智能化指挥控制管理为基础，集高新技术应用为一体的适合于禹州市道路交通特点、具有高效快捷的交通数据采集处理能力、决策能力和组织协调指挥能力的高清视频电子警察系统，为缓解日益繁忙的交通管理与警力不足之间的矛盾，进一步推进交通管理工作的规范化、网络化和智能化</w:t>
      </w:r>
      <w:r>
        <w:rPr>
          <w:rFonts w:hint="eastAsia" w:ascii="仿宋" w:hAnsi="仿宋" w:eastAsia="仿宋" w:cs="仿宋"/>
          <w:sz w:val="24"/>
          <w:szCs w:val="24"/>
          <w:lang w:eastAsia="zh-CN"/>
        </w:rPr>
        <w:t>。</w:t>
      </w:r>
    </w:p>
    <w:p>
      <w:pPr>
        <w:widowControl/>
        <w:numPr>
          <w:ilvl w:val="0"/>
          <w:numId w:val="7"/>
        </w:numPr>
        <w:shd w:val="clear" w:color="auto" w:fill="FFFFFF"/>
        <w:spacing w:line="360" w:lineRule="auto"/>
        <w:ind w:left="0" w:leftChars="0" w:firstLine="0" w:firstLineChars="0"/>
        <w:jc w:val="left"/>
        <w:rPr>
          <w:rFonts w:hint="eastAsia" w:ascii="新宋体" w:hAnsi="新宋体" w:eastAsia="新宋体" w:cs="新宋体"/>
          <w:b/>
          <w:bCs/>
          <w:color w:val="000000"/>
          <w:kern w:val="0"/>
          <w:sz w:val="24"/>
          <w:szCs w:val="24"/>
          <w:lang w:val="en-US" w:eastAsia="zh-CN"/>
        </w:rPr>
      </w:pPr>
      <w:r>
        <w:rPr>
          <w:rFonts w:hint="eastAsia" w:ascii="新宋体" w:hAnsi="新宋体" w:eastAsia="新宋体" w:cs="新宋体"/>
          <w:b/>
          <w:bCs/>
          <w:color w:val="000000"/>
          <w:kern w:val="0"/>
          <w:sz w:val="24"/>
          <w:szCs w:val="24"/>
          <w:lang w:val="en-US" w:eastAsia="zh-CN"/>
        </w:rPr>
        <w:t>采购清单：</w:t>
      </w:r>
    </w:p>
    <w:p>
      <w:pPr>
        <w:jc w:val="center"/>
        <w:rPr>
          <w:rFonts w:hint="eastAsia" w:ascii="仿宋" w:hAnsi="仿宋" w:eastAsia="仿宋" w:cs="仿宋"/>
          <w:sz w:val="24"/>
          <w:szCs w:val="24"/>
        </w:rPr>
      </w:pPr>
      <w:r>
        <w:rPr>
          <w:rFonts w:hint="eastAsia" w:ascii="仿宋" w:hAnsi="仿宋" w:eastAsia="仿宋" w:cs="仿宋"/>
          <w:b/>
          <w:bCs/>
          <w:sz w:val="24"/>
          <w:szCs w:val="24"/>
        </w:rPr>
        <w:t>第一标段项目明细及技术参数</w:t>
      </w:r>
    </w:p>
    <w:tbl>
      <w:tblPr>
        <w:tblStyle w:val="23"/>
        <w:tblW w:w="92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40"/>
        <w:gridCol w:w="1020"/>
        <w:gridCol w:w="6345"/>
        <w:gridCol w:w="345"/>
        <w:gridCol w:w="405"/>
        <w:gridCol w:w="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sz w:val="24"/>
                <w:szCs w:val="24"/>
              </w:rPr>
              <w:t>一</w:t>
            </w:r>
            <w:r>
              <w:rPr>
                <w:rFonts w:hint="eastAsia" w:ascii="仿宋" w:eastAsia="仿宋"/>
                <w:sz w:val="22"/>
                <w:szCs w:val="22"/>
              </w:rPr>
              <w:t>、（</w:t>
            </w:r>
            <w:r>
              <w:rPr>
                <w:rFonts w:hint="eastAsia" w:ascii="仿宋" w:eastAsia="仿宋"/>
                <w:b/>
                <w:bCs/>
                <w:sz w:val="24"/>
                <w:szCs w:val="24"/>
                <w:lang w:val="en-US" w:eastAsia="zh-CN"/>
              </w:rPr>
              <w:t>1</w:t>
            </w:r>
            <w:r>
              <w:rPr>
                <w:rFonts w:hint="eastAsia" w:ascii="仿宋" w:eastAsia="仿宋"/>
                <w:b/>
                <w:bCs/>
                <w:sz w:val="24"/>
                <w:szCs w:val="24"/>
              </w:rPr>
              <w:t>）</w:t>
            </w:r>
            <w:bookmarkStart w:id="0" w:name="药城路与北环路交叉口等12个路口新建及改建交通设施工程"/>
            <w:r>
              <w:rPr>
                <w:rFonts w:hint="eastAsia" w:ascii="仿宋" w:eastAsia="仿宋"/>
                <w:b/>
                <w:bCs/>
                <w:sz w:val="24"/>
                <w:szCs w:val="24"/>
              </w:rPr>
              <w:t>药城路与北环路交叉口等21个路口新建及改建交通设施工程</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1、药城路北环路交叉口加装反向抓拍系统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2、轩辕大道与103省道交叉口加装反向抓拍系统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
            <w:pPr>
              <w:pStyle w:val="2"/>
            </w:pPr>
          </w:p>
          <w:p>
            <w:pPr>
              <w:pStyle w:val="2"/>
            </w:pPr>
          </w:p>
          <w:p>
            <w:pPr>
              <w:pStyle w:val="2"/>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ind w:firstLine="1687" w:firstLineChars="700"/>
              <w:jc w:val="both"/>
              <w:textAlignment w:val="center"/>
              <w:rPr>
                <w:rFonts w:ascii="仿宋" w:eastAsia="仿宋" w:cs="仿宋"/>
                <w:b/>
                <w:color w:val="000000"/>
                <w:sz w:val="24"/>
                <w:szCs w:val="24"/>
              </w:rPr>
            </w:pPr>
            <w:r>
              <w:rPr>
                <w:rFonts w:hint="eastAsia" w:ascii="仿宋" w:eastAsia="仿宋" w:cs="仿宋"/>
                <w:b/>
                <w:color w:val="000000"/>
                <w:kern w:val="0"/>
                <w:sz w:val="24"/>
                <w:szCs w:val="24"/>
              </w:rPr>
              <w:t>3、禹王大道与103省道交叉口加装反向抓拍系统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4、祥云大道与103省道交叉口加装反向抓拍系统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5、郭连路与103省道交叉口加装反向抓拍系统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最大功率30W</w:t>
            </w:r>
            <w:r>
              <w:rPr>
                <w:rFonts w:hint="eastAsia" w:ascii="仿宋" w:eastAsia="仿宋" w:cs="仿宋"/>
                <w:color w:val="000000"/>
                <w:kern w:val="0"/>
                <w:sz w:val="24"/>
                <w:szCs w:val="24"/>
                <w:lang w:eastAsia="zh-CN"/>
              </w:rPr>
              <w:t>；</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6、阳翟大道与103省道交叉口加装反向抓拍系统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7、轩辕大道与南环路交叉口加装反向抓拍系统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
            <w:pPr>
              <w:pStyle w:val="2"/>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8、轩辕大道</w:t>
            </w:r>
            <w:r>
              <w:rPr>
                <w:rFonts w:hint="eastAsia" w:ascii="仿宋" w:eastAsia="仿宋" w:cs="仿宋"/>
                <w:b/>
                <w:color w:val="000000"/>
                <w:kern w:val="0"/>
                <w:sz w:val="24"/>
                <w:szCs w:val="24"/>
                <w:lang w:val="en-US" w:eastAsia="zh-CN"/>
              </w:rPr>
              <w:t>与</w:t>
            </w:r>
            <w:r>
              <w:rPr>
                <w:rFonts w:hint="eastAsia" w:ascii="仿宋" w:eastAsia="仿宋" w:cs="仿宋"/>
                <w:b/>
                <w:color w:val="000000"/>
                <w:kern w:val="0"/>
                <w:sz w:val="24"/>
                <w:szCs w:val="24"/>
              </w:rPr>
              <w:t>园林大道交叉口加装反向抓拍系统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2"/>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9、阳翟大</w:t>
            </w:r>
            <w:r>
              <w:rPr>
                <w:rFonts w:hint="eastAsia" w:ascii="仿宋" w:eastAsia="仿宋" w:cs="仿宋"/>
                <w:b/>
                <w:color w:val="000000"/>
                <w:kern w:val="0"/>
                <w:sz w:val="24"/>
                <w:szCs w:val="24"/>
                <w:lang w:val="en-US" w:eastAsia="zh-CN"/>
              </w:rPr>
              <w:t>与</w:t>
            </w:r>
            <w:r>
              <w:rPr>
                <w:rFonts w:hint="eastAsia" w:ascii="仿宋" w:eastAsia="仿宋" w:cs="仿宋"/>
                <w:b/>
                <w:color w:val="000000"/>
                <w:kern w:val="0"/>
                <w:sz w:val="24"/>
                <w:szCs w:val="24"/>
              </w:rPr>
              <w:t>道颍川大道交叉口加装反向抓拍系统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10、阳翟大道</w:t>
            </w:r>
            <w:r>
              <w:rPr>
                <w:rFonts w:hint="eastAsia" w:ascii="仿宋" w:eastAsia="仿宋" w:cs="仿宋"/>
                <w:b/>
                <w:color w:val="000000"/>
                <w:kern w:val="0"/>
                <w:sz w:val="24"/>
                <w:szCs w:val="24"/>
                <w:lang w:val="en-US" w:eastAsia="zh-CN"/>
              </w:rPr>
              <w:t>与</w:t>
            </w:r>
            <w:r>
              <w:rPr>
                <w:rFonts w:hint="eastAsia" w:ascii="仿宋" w:eastAsia="仿宋" w:cs="仿宋"/>
                <w:b/>
                <w:color w:val="000000"/>
                <w:kern w:val="0"/>
                <w:sz w:val="24"/>
                <w:szCs w:val="24"/>
              </w:rPr>
              <w:t>颍顺路交叉口加装反向抓拍系统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eastAsia" w:ascii="仿宋" w:eastAsia="仿宋" w:cs="仿宋"/>
                <w:b/>
                <w:color w:val="000000"/>
                <w:kern w:val="0"/>
                <w:sz w:val="24"/>
                <w:szCs w:val="24"/>
              </w:rPr>
            </w:pPr>
          </w:p>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11、阳翟大道</w:t>
            </w:r>
            <w:r>
              <w:rPr>
                <w:rFonts w:hint="eastAsia" w:ascii="仿宋" w:eastAsia="仿宋" w:cs="仿宋"/>
                <w:b/>
                <w:color w:val="000000"/>
                <w:kern w:val="0"/>
                <w:sz w:val="24"/>
                <w:szCs w:val="24"/>
                <w:lang w:val="en-US" w:eastAsia="zh-CN"/>
              </w:rPr>
              <w:t>与</w:t>
            </w:r>
            <w:r>
              <w:rPr>
                <w:rFonts w:hint="eastAsia" w:ascii="仿宋" w:eastAsia="仿宋" w:cs="仿宋"/>
                <w:b/>
                <w:color w:val="000000"/>
                <w:kern w:val="0"/>
                <w:sz w:val="24"/>
                <w:szCs w:val="24"/>
              </w:rPr>
              <w:t>禹神快速路交叉口加装反向抓拍系统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
            <w:pPr>
              <w:pStyle w:val="2"/>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12、远航路</w:t>
            </w:r>
            <w:r>
              <w:rPr>
                <w:rFonts w:hint="eastAsia" w:ascii="仿宋" w:eastAsia="仿宋" w:cs="仿宋"/>
                <w:b/>
                <w:color w:val="000000"/>
                <w:kern w:val="0"/>
                <w:sz w:val="24"/>
                <w:szCs w:val="24"/>
                <w:lang w:val="en-US" w:eastAsia="zh-CN"/>
              </w:rPr>
              <w:t>与</w:t>
            </w:r>
            <w:r>
              <w:rPr>
                <w:rFonts w:hint="eastAsia" w:ascii="仿宋" w:eastAsia="仿宋" w:cs="仿宋"/>
                <w:b/>
                <w:color w:val="000000"/>
                <w:kern w:val="0"/>
                <w:sz w:val="24"/>
                <w:szCs w:val="24"/>
              </w:rPr>
              <w:t>振兴路交叉口加装反向抓拍系统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抱杆设备箱</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13、开元大道东段新装卡口系统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抱杆机柜</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卡口跨路顶管、管道穿线、规格￠80mm，材质PE，</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14、工业大道东段新装卡口系统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抱杆机柜</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卡口跨路顶管、管道穿线、规格￠80mm，材质PE，</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15、祥云大道东段新装卡口系统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抱杆机柜</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卡口跨路顶管、管道穿线、规格￠80mm，材质PE，</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16、103省道南沈村新装卡口系统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最大功率30W</w:t>
            </w:r>
            <w:r>
              <w:rPr>
                <w:rFonts w:hint="eastAsia" w:ascii="仿宋" w:eastAsia="仿宋" w:cs="仿宋"/>
                <w:color w:val="000000"/>
                <w:kern w:val="0"/>
                <w:sz w:val="24"/>
                <w:szCs w:val="24"/>
                <w:lang w:eastAsia="zh-CN"/>
              </w:rPr>
              <w:t>；</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抱杆机柜</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卡口跨路顶管、管道穿线、规格￠80mm，材质PE，</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17、103省道祥云大道北新装卡口系统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最大功率30W</w:t>
            </w:r>
            <w:r>
              <w:rPr>
                <w:rFonts w:hint="eastAsia" w:ascii="仿宋" w:eastAsia="仿宋" w:cs="仿宋"/>
                <w:color w:val="000000"/>
                <w:kern w:val="0"/>
                <w:sz w:val="24"/>
                <w:szCs w:val="24"/>
                <w:lang w:eastAsia="zh-CN"/>
              </w:rPr>
              <w:t>；</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抱杆机柜</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卡口跨路顶管、管道穿线、规格￠80mm，材质PE，</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pPr>
            <w:r>
              <w:rPr>
                <w:rFonts w:hint="eastAsia" w:ascii="仿宋" w:hAnsi="仿宋" w:eastAsia="仿宋" w:cs="仿宋"/>
                <w:sz w:val="24"/>
                <w:szCs w:val="28"/>
              </w:rPr>
              <w:t>立杆、需吊车、拉杆子大车、人工、升降车、等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2"/>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18、高速禹州北站新装卡口系统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抱杆机柜</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
            <w:pPr>
              <w:pStyle w:val="2"/>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19、神后至磨街白峪村新装卡口系统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最大功率30W</w:t>
            </w:r>
            <w:r>
              <w:rPr>
                <w:rFonts w:hint="eastAsia" w:ascii="仿宋" w:eastAsia="仿宋" w:cs="仿宋"/>
                <w:color w:val="000000"/>
                <w:kern w:val="0"/>
                <w:sz w:val="24"/>
                <w:szCs w:val="24"/>
                <w:lang w:eastAsia="zh-CN"/>
              </w:rPr>
              <w:t>；</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eastAsia" w:ascii="仿宋" w:eastAsia="仿宋" w:cs="仿宋"/>
                <w:color w:val="000000"/>
                <w:kern w:val="0"/>
                <w:sz w:val="24"/>
                <w:szCs w:val="24"/>
              </w:rPr>
            </w:pPr>
          </w:p>
          <w:p>
            <w:pPr>
              <w:jc w:val="center"/>
              <w:textAlignment w:val="center"/>
              <w:rPr>
                <w:rFonts w:hint="eastAsia" w:ascii="仿宋" w:eastAsia="仿宋" w:cs="仿宋"/>
                <w:color w:val="000000"/>
                <w:kern w:val="0"/>
                <w:sz w:val="24"/>
                <w:szCs w:val="24"/>
              </w:rPr>
            </w:pPr>
          </w:p>
          <w:p>
            <w:pPr>
              <w:jc w:val="center"/>
              <w:textAlignment w:val="center"/>
              <w:rPr>
                <w:rFonts w:hint="eastAsia" w:ascii="仿宋" w:eastAsia="仿宋" w:cs="仿宋"/>
                <w:color w:val="000000"/>
                <w:kern w:val="0"/>
                <w:sz w:val="24"/>
                <w:szCs w:val="24"/>
              </w:rPr>
            </w:pPr>
          </w:p>
          <w:p>
            <w:pPr>
              <w:jc w:val="center"/>
              <w:textAlignment w:val="center"/>
              <w:rPr>
                <w:rFonts w:hint="eastAsia" w:ascii="仿宋" w:eastAsia="仿宋" w:cs="仿宋"/>
                <w:color w:val="000000"/>
                <w:kern w:val="0"/>
                <w:sz w:val="24"/>
                <w:szCs w:val="24"/>
              </w:rPr>
            </w:pPr>
          </w:p>
          <w:p>
            <w:pPr>
              <w:jc w:val="center"/>
              <w:textAlignment w:val="center"/>
              <w:rPr>
                <w:rFonts w:hint="eastAsia" w:ascii="仿宋" w:eastAsia="仿宋" w:cs="仿宋"/>
                <w:color w:val="000000"/>
                <w:kern w:val="0"/>
                <w:sz w:val="24"/>
                <w:szCs w:val="24"/>
              </w:rPr>
            </w:pPr>
          </w:p>
          <w:p>
            <w:pPr>
              <w:jc w:val="center"/>
              <w:textAlignment w:val="center"/>
              <w:rPr>
                <w:rFonts w:hint="eastAsia" w:ascii="仿宋" w:eastAsia="仿宋" w:cs="仿宋"/>
                <w:color w:val="000000"/>
                <w:kern w:val="0"/>
                <w:sz w:val="24"/>
                <w:szCs w:val="24"/>
              </w:rPr>
            </w:pPr>
          </w:p>
          <w:p>
            <w:pPr>
              <w:jc w:val="center"/>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是</w:t>
            </w:r>
          </w:p>
          <w:p>
            <w:pPr>
              <w:jc w:val="center"/>
              <w:textAlignment w:val="center"/>
              <w:rPr>
                <w:rFonts w:hint="eastAsia" w:ascii="仿宋" w:eastAsia="仿宋" w:cs="仿宋"/>
                <w:color w:val="000000"/>
                <w:kern w:val="0"/>
                <w:sz w:val="24"/>
                <w:szCs w:val="24"/>
              </w:rPr>
            </w:pPr>
          </w:p>
          <w:p>
            <w:pPr>
              <w:jc w:val="center"/>
              <w:textAlignment w:val="center"/>
              <w:rPr>
                <w:rFonts w:hint="eastAsia" w:ascii="仿宋" w:eastAsia="仿宋" w:cs="仿宋"/>
                <w:color w:val="000000"/>
                <w:kern w:val="0"/>
                <w:sz w:val="24"/>
                <w:szCs w:val="24"/>
              </w:rPr>
            </w:pPr>
          </w:p>
          <w:p>
            <w:pPr>
              <w:jc w:val="center"/>
              <w:textAlignment w:val="center"/>
              <w:rPr>
                <w:rFonts w:hint="eastAsia" w:ascii="仿宋" w:eastAsia="仿宋" w:cs="仿宋"/>
                <w:color w:val="000000"/>
                <w:kern w:val="0"/>
                <w:sz w:val="24"/>
                <w:szCs w:val="24"/>
              </w:rPr>
            </w:pPr>
          </w:p>
          <w:p>
            <w:pPr>
              <w:jc w:val="center"/>
              <w:textAlignment w:val="center"/>
              <w:rPr>
                <w:rFonts w:hint="eastAsia" w:ascii="仿宋" w:eastAsia="仿宋" w:cs="仿宋"/>
                <w:color w:val="000000"/>
                <w:kern w:val="0"/>
                <w:sz w:val="24"/>
                <w:szCs w:val="24"/>
              </w:rPr>
            </w:pPr>
          </w:p>
          <w:p>
            <w:pPr>
              <w:jc w:val="both"/>
              <w:textAlignment w:val="center"/>
              <w:rPr>
                <w:rFonts w:hint="eastAsia" w:ascii="仿宋" w:eastAsia="仿宋" w:cs="仿宋"/>
                <w:color w:val="000000"/>
                <w:kern w:val="0"/>
                <w:sz w:val="24"/>
                <w:szCs w:val="24"/>
              </w:rPr>
            </w:pPr>
          </w:p>
          <w:p>
            <w:pPr>
              <w:jc w:val="both"/>
              <w:textAlignment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抱杆机柜</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卡口跨路顶管、管道穿线、规格￠80mm，材质PE，</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
            <w:pPr>
              <w:pStyle w:val="2"/>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pPr>
          </w:p>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20、325省道扒村上河桥新装卡口系统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最大功率30W</w:t>
            </w:r>
            <w:r>
              <w:rPr>
                <w:rFonts w:hint="eastAsia" w:ascii="仿宋" w:eastAsia="仿宋" w:cs="仿宋"/>
                <w:color w:val="000000"/>
                <w:kern w:val="0"/>
                <w:sz w:val="24"/>
                <w:szCs w:val="24"/>
                <w:lang w:eastAsia="zh-CN"/>
              </w:rPr>
              <w:t>；</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抱杆机柜</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卡口跨路顶管、管道穿线、规格￠80mm，材质PE，</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21、鸠山快速边沟村新装卡口系统（测速）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最大功率30W</w:t>
            </w:r>
            <w:r>
              <w:rPr>
                <w:rFonts w:hint="eastAsia" w:ascii="仿宋" w:eastAsia="仿宋" w:cs="仿宋"/>
                <w:color w:val="000000"/>
                <w:kern w:val="0"/>
                <w:sz w:val="24"/>
                <w:szCs w:val="24"/>
                <w:lang w:eastAsia="zh-CN"/>
              </w:rPr>
              <w:t>，</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雷达测速</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rPr>
            </w:pPr>
            <w:r>
              <w:rPr>
                <w:rFonts w:hint="eastAsia" w:ascii="仿宋" w:eastAsia="仿宋" w:cs="仿宋"/>
                <w:color w:val="000000"/>
                <w:sz w:val="24"/>
                <w:szCs w:val="24"/>
              </w:rPr>
              <w:t>卡口测速雷达设备</w:t>
            </w:r>
          </w:p>
          <w:p>
            <w:pPr>
              <w:jc w:val="left"/>
              <w:textAlignment w:val="center"/>
              <w:rPr>
                <w:rFonts w:hint="eastAsia" w:ascii="仿宋" w:eastAsia="仿宋" w:cs="仿宋"/>
                <w:color w:val="000000"/>
                <w:sz w:val="24"/>
                <w:szCs w:val="24"/>
              </w:rPr>
            </w:pPr>
            <w:r>
              <w:rPr>
                <w:rFonts w:hint="eastAsia" w:ascii="仿宋" w:eastAsia="仿宋" w:cs="仿宋"/>
                <w:color w:val="000000"/>
                <w:sz w:val="24"/>
                <w:szCs w:val="24"/>
              </w:rPr>
              <w:t>频率24G</w:t>
            </w:r>
          </w:p>
          <w:p>
            <w:pPr>
              <w:jc w:val="left"/>
              <w:textAlignment w:val="center"/>
              <w:rPr>
                <w:rFonts w:hint="eastAsia" w:ascii="仿宋" w:eastAsia="仿宋" w:cs="仿宋"/>
                <w:color w:val="000000"/>
                <w:sz w:val="24"/>
                <w:szCs w:val="24"/>
              </w:rPr>
            </w:pPr>
            <w:r>
              <w:rPr>
                <w:rFonts w:hint="eastAsia" w:ascii="仿宋" w:eastAsia="仿宋" w:cs="仿宋"/>
                <w:color w:val="000000"/>
                <w:sz w:val="24"/>
                <w:szCs w:val="24"/>
              </w:rPr>
              <w:t>测速距离：单车道18～38m</w:t>
            </w:r>
          </w:p>
          <w:p>
            <w:pPr>
              <w:jc w:val="left"/>
              <w:textAlignment w:val="center"/>
              <w:rPr>
                <w:rFonts w:hint="eastAsia" w:ascii="仿宋" w:eastAsia="仿宋" w:cs="仿宋"/>
                <w:color w:val="000000"/>
                <w:sz w:val="24"/>
                <w:szCs w:val="24"/>
              </w:rPr>
            </w:pPr>
            <w:r>
              <w:rPr>
                <w:rFonts w:hint="eastAsia" w:ascii="仿宋" w:eastAsia="仿宋" w:cs="仿宋"/>
                <w:color w:val="000000"/>
                <w:sz w:val="24"/>
                <w:szCs w:val="24"/>
              </w:rPr>
              <w:t>测速范围应为20km/h-400km/h，且车辆远离时显示反向“-”，车辆接近时显示为正向“+”。</w:t>
            </w:r>
          </w:p>
          <w:p>
            <w:pPr>
              <w:jc w:val="left"/>
              <w:textAlignment w:val="center"/>
              <w:rPr>
                <w:rFonts w:hint="eastAsia" w:ascii="仿宋" w:eastAsia="仿宋" w:cs="仿宋"/>
                <w:color w:val="000000"/>
                <w:sz w:val="24"/>
                <w:szCs w:val="24"/>
              </w:rPr>
            </w:pPr>
            <w:r>
              <w:rPr>
                <w:rFonts w:hint="eastAsia" w:ascii="仿宋" w:eastAsia="仿宋" w:cs="仿宋"/>
                <w:color w:val="000000"/>
                <w:sz w:val="24"/>
                <w:szCs w:val="24"/>
              </w:rPr>
              <w:t>测速误差：车速20km/h-180km/h，误差-0.5km/h-0km/h；车速180km/h-400km/h，误差-1km/h-0km/h。</w:t>
            </w:r>
          </w:p>
          <w:p>
            <w:pPr>
              <w:jc w:val="left"/>
              <w:textAlignment w:val="center"/>
              <w:rPr>
                <w:rFonts w:hint="eastAsia" w:ascii="仿宋" w:eastAsia="仿宋" w:cs="仿宋"/>
                <w:color w:val="000000"/>
                <w:sz w:val="24"/>
                <w:szCs w:val="24"/>
              </w:rPr>
            </w:pPr>
            <w:r>
              <w:rPr>
                <w:rFonts w:hint="eastAsia" w:ascii="仿宋" w:eastAsia="仿宋" w:cs="仿宋"/>
                <w:color w:val="000000"/>
                <w:sz w:val="24"/>
                <w:szCs w:val="24"/>
              </w:rPr>
              <w:t>可通过WIFI连接进行升级，升级后功能正常，可进行雷达触发位置设置和雷达灵敏度进行配置。</w:t>
            </w:r>
          </w:p>
          <w:p>
            <w:pPr>
              <w:jc w:val="left"/>
              <w:textAlignment w:val="center"/>
              <w:rPr>
                <w:rFonts w:hint="eastAsia" w:ascii="仿宋" w:eastAsia="仿宋" w:cs="仿宋"/>
                <w:color w:val="000000"/>
                <w:sz w:val="24"/>
                <w:szCs w:val="24"/>
              </w:rPr>
            </w:pPr>
            <w:r>
              <w:rPr>
                <w:rFonts w:hint="eastAsia" w:ascii="仿宋" w:eastAsia="仿宋" w:cs="仿宋"/>
                <w:color w:val="000000"/>
                <w:sz w:val="24"/>
                <w:szCs w:val="24"/>
              </w:rPr>
              <w:t>工作电压：9-12V DC</w:t>
            </w:r>
          </w:p>
          <w:p>
            <w:pPr>
              <w:jc w:val="left"/>
              <w:textAlignment w:val="center"/>
              <w:rPr>
                <w:rFonts w:hint="eastAsia" w:ascii="仿宋" w:eastAsia="仿宋" w:cs="仿宋"/>
                <w:color w:val="000000"/>
                <w:sz w:val="24"/>
                <w:szCs w:val="24"/>
              </w:rPr>
            </w:pPr>
            <w:r>
              <w:rPr>
                <w:rFonts w:hint="eastAsia" w:ascii="仿宋" w:eastAsia="仿宋" w:cs="仿宋"/>
                <w:color w:val="000000"/>
                <w:sz w:val="24"/>
                <w:szCs w:val="24"/>
              </w:rPr>
              <w:t>工作功耗：≤2W</w:t>
            </w:r>
          </w:p>
          <w:p>
            <w:pPr>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须</w:t>
            </w:r>
            <w:r>
              <w:rPr>
                <w:rFonts w:hint="eastAsia" w:ascii="仿宋" w:eastAsia="仿宋" w:cs="仿宋"/>
                <w:color w:val="000000"/>
                <w:sz w:val="24"/>
                <w:szCs w:val="24"/>
              </w:rPr>
              <w:t>提供公安部权威机构出具的检验报告复印件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抱杆机柜</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卡口跨路顶管、管道穿线、规格￠80mm，材质PE，</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4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34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bl>
    <w:p>
      <w:pPr>
        <w:rPr>
          <w:lang w:eastAsia="en-US"/>
        </w:rPr>
      </w:pPr>
    </w:p>
    <w:p>
      <w:pPr>
        <w:pStyle w:val="2"/>
        <w:rPr>
          <w:lang w:eastAsia="en-US"/>
        </w:rPr>
      </w:pPr>
    </w:p>
    <w:tbl>
      <w:tblPr>
        <w:tblStyle w:val="23"/>
        <w:tblW w:w="91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5"/>
        <w:gridCol w:w="1005"/>
        <w:gridCol w:w="6150"/>
        <w:gridCol w:w="375"/>
        <w:gridCol w:w="449"/>
        <w:gridCol w:w="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1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b/>
                <w:bCs/>
                <w:sz w:val="24"/>
                <w:szCs w:val="24"/>
              </w:rPr>
            </w:pPr>
            <w:r>
              <w:rPr>
                <w:rFonts w:hint="eastAsia"/>
                <w:b/>
                <w:bCs/>
                <w:sz w:val="24"/>
                <w:szCs w:val="24"/>
                <w:lang w:val="en-US" w:eastAsia="zh-CN"/>
              </w:rPr>
              <w:t>一</w:t>
            </w:r>
            <w:r>
              <w:rPr>
                <w:b/>
                <w:bCs/>
                <w:sz w:val="24"/>
                <w:szCs w:val="24"/>
              </w:rPr>
              <w:t>、（</w:t>
            </w:r>
            <w:r>
              <w:rPr>
                <w:rFonts w:hint="eastAsia"/>
                <w:b/>
                <w:bCs/>
                <w:sz w:val="24"/>
                <w:szCs w:val="24"/>
                <w:lang w:val="en-US" w:eastAsia="zh-CN"/>
              </w:rPr>
              <w:t>2</w:t>
            </w:r>
            <w:r>
              <w:rPr>
                <w:b/>
                <w:bCs/>
                <w:sz w:val="24"/>
                <w:szCs w:val="24"/>
              </w:rPr>
              <w:t>）鸠神快速通道新建交通设施工程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1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59"/>
              <w:numPr>
                <w:ilvl w:val="0"/>
                <w:numId w:val="0"/>
              </w:numPr>
              <w:spacing w:line="240" w:lineRule="auto"/>
              <w:ind w:firstLine="964" w:firstLineChars="400"/>
              <w:jc w:val="both"/>
              <w:textAlignment w:val="center"/>
              <w:rPr>
                <w:rFonts w:ascii="仿宋" w:eastAsia="仿宋" w:cs="仿宋"/>
                <w:b/>
                <w:color w:val="000000"/>
                <w:kern w:val="0"/>
                <w:sz w:val="24"/>
                <w:szCs w:val="24"/>
              </w:rPr>
            </w:pPr>
            <w:r>
              <w:rPr>
                <w:rFonts w:hint="eastAsia" w:ascii="仿宋" w:eastAsia="仿宋" w:cs="仿宋"/>
                <w:b/>
                <w:color w:val="000000"/>
                <w:kern w:val="0"/>
                <w:sz w:val="24"/>
                <w:szCs w:val="24"/>
                <w:lang w:val="en-US" w:eastAsia="zh-CN"/>
              </w:rPr>
              <w:t>1、</w:t>
            </w:r>
            <w:r>
              <w:rPr>
                <w:rFonts w:hint="eastAsia" w:ascii="仿宋" w:eastAsia="仿宋" w:cs="仿宋"/>
                <w:b/>
                <w:color w:val="000000"/>
                <w:kern w:val="0"/>
                <w:sz w:val="24"/>
                <w:szCs w:val="24"/>
              </w:rPr>
              <w:t>鸠神快速路与236省道交叉口新建信号灯、电子警察及反向卡口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包含：控制主机、配电单元、机柜、无线遥控器、GPS。</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相位：支持16主相位+16跟随相位；</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控输出：不低于44路输出，单通道负载800W；</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灯控板：4块，每块支持11路；</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通讯协议：支持NTCIP协议；</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信号机应具有单点优化控制功能，能够根据采集的交通流量信息，调整绿灯、红灯时间。</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网络接口：1个RJ45接口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其他接口：1个RS232接口，2个RS485接口，1个USB接口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当出现绿冲突、某信号组所有红灯均熄灭或信号灯组红灯、绿灯同时点亮时，信号机应能立即自动切断信号输出通道，转入黄闪或关灯状态。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外部输入：8路行人按钮输入</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无线遥控：支持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工作电压： AC220V±44V，50Hz±2Hz</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温度：-40℃～+70℃</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功耗：35W</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绝缘强度：＞500 MΩ</w:t>
            </w:r>
          </w:p>
          <w:p>
            <w:pPr>
              <w:pStyle w:val="2"/>
              <w:rPr>
                <w:rFonts w:hint="eastAsia"/>
              </w:rPr>
            </w:pPr>
            <w:r>
              <w:rPr>
                <w:rFonts w:hint="eastAsia" w:ascii="仿宋" w:eastAsia="仿宋" w:cs="仿宋"/>
                <w:color w:val="000000"/>
                <w:kern w:val="0"/>
                <w:sz w:val="24"/>
                <w:szCs w:val="24"/>
              </w:rPr>
              <w:t>防护等级：IP54</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r>
              <w:rPr>
                <w:rFonts w:hint="eastAsia" w:ascii="仿宋" w:eastAsia="仿宋" w:cs="仿宋"/>
                <w:color w:val="000000"/>
                <w:kern w:val="0"/>
                <w:sz w:val="24"/>
                <w:szCs w:val="24"/>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仿宋" w:eastAsia="仿宋" w:cs="仿宋"/>
                <w:color w:val="000000"/>
                <w:sz w:val="24"/>
                <w:szCs w:val="24"/>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1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spacing w:line="240" w:lineRule="auto"/>
              <w:ind w:firstLine="1205" w:firstLineChars="500"/>
              <w:jc w:val="both"/>
              <w:textAlignment w:val="center"/>
              <w:rPr>
                <w:rFonts w:ascii="仿宋" w:eastAsia="仿宋" w:cs="仿宋"/>
                <w:b/>
                <w:color w:val="000000"/>
                <w:sz w:val="24"/>
                <w:szCs w:val="24"/>
              </w:rPr>
            </w:pPr>
            <w:r>
              <w:rPr>
                <w:rFonts w:hint="eastAsia" w:ascii="仿宋" w:eastAsia="仿宋" w:cs="仿宋"/>
                <w:b/>
                <w:color w:val="000000"/>
                <w:kern w:val="0"/>
                <w:sz w:val="24"/>
                <w:szCs w:val="24"/>
                <w:lang w:val="en-US" w:eastAsia="zh-CN"/>
              </w:rPr>
              <w:t>2、</w:t>
            </w:r>
            <w:r>
              <w:rPr>
                <w:rFonts w:hint="eastAsia" w:ascii="仿宋" w:eastAsia="仿宋" w:cs="仿宋"/>
                <w:b/>
                <w:color w:val="000000"/>
                <w:kern w:val="0"/>
                <w:sz w:val="24"/>
                <w:szCs w:val="24"/>
              </w:rPr>
              <w:t>鸠神快速路与神后北环交叉口新建信号灯、电子警察及反向卡口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包含：控制主机、配电单元、机柜、无线遥控器、GPS。</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相位：支持16主相位+16跟随相位；</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控输出：不低于44路输出，单通道负载800W；</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灯控板：4块，每块支持11路；</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通讯协议：支持NTCIP协议；</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信号机应具有单点优化控制功能，能够根据采集的交通流量信息，调整绿灯、红灯时间。</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网络接口：1个RJ45接口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其他接口：1个RS232接口，2个RS485接口，1个USB接口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当出现绿冲突、某信号组所有红灯均熄灭或信号灯组红灯、绿灯同时点亮时，信号机应能立即自动切断信号输出通道，转入黄闪或关灯状态。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外部输入：8路行人按钮输入</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无线遥控：支持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工作电压： AC220V±44V，50Hz±2Hz</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温度：-40℃～+70℃</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功耗：35W</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绝缘强度：＞500 MΩ</w:t>
            </w:r>
          </w:p>
          <w:p>
            <w:pPr>
              <w:pStyle w:val="2"/>
              <w:rPr>
                <w:rFonts w:hint="eastAsia"/>
              </w:rPr>
            </w:pPr>
            <w:r>
              <w:rPr>
                <w:rFonts w:hint="eastAsia" w:ascii="仿宋" w:eastAsia="仿宋" w:cs="仿宋"/>
                <w:color w:val="000000"/>
                <w:kern w:val="0"/>
                <w:sz w:val="24"/>
                <w:szCs w:val="24"/>
              </w:rPr>
              <w:t>防护等级：IP54</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p>
            <w:pPr>
              <w:spacing w:line="240" w:lineRule="auto"/>
              <w:jc w:val="left"/>
              <w:textAlignment w:val="center"/>
              <w:rPr>
                <w:rFonts w:hint="eastAsia" w:ascii="仿宋" w:eastAsia="仿宋" w:cs="仿宋"/>
                <w:color w:val="000000"/>
                <w:sz w:val="24"/>
                <w:szCs w:val="24"/>
                <w:lang w:eastAsia="zh-CN"/>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pPr>
          </w:p>
          <w:p>
            <w:pPr>
              <w:pStyle w:val="2"/>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仿宋" w:eastAsia="仿宋" w:cs="仿宋"/>
                <w:color w:val="000000"/>
                <w:sz w:val="24"/>
                <w:szCs w:val="24"/>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1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3、鸠神快速路与地质公园交叉口新建信号灯、电子警察及反向卡口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b/>
                <w:bCs/>
              </w:rPr>
            </w:pPr>
          </w:p>
          <w:p>
            <w:pPr>
              <w:spacing w:line="240" w:lineRule="auto"/>
              <w:jc w:val="center"/>
              <w:textAlignment w:val="center"/>
              <w:rPr>
                <w:rFonts w:hint="eastAsia"/>
                <w:b/>
                <w:bCs/>
              </w:rPr>
            </w:pPr>
            <w:r>
              <w:rPr>
                <w:rFonts w:hint="eastAsia"/>
                <w:b/>
                <w:bCs/>
              </w:rPr>
              <w:t>技术规格及主要参数</w:t>
            </w:r>
          </w:p>
          <w:p>
            <w:pPr>
              <w:pStyle w:val="2"/>
              <w:rPr>
                <w:rFonts w:hint="eastAsia" w:ascii="仿宋" w:eastAsia="仿宋" w:cs="仿宋"/>
                <w:b/>
                <w:bCs/>
                <w:color w:val="000000"/>
                <w:kern w:val="0"/>
                <w:sz w:val="24"/>
                <w:szCs w:val="24"/>
              </w:rPr>
            </w:pPr>
          </w:p>
          <w:p>
            <w:pPr>
              <w:pStyle w:val="2"/>
              <w:rPr>
                <w:rFonts w:hint="eastAsia" w:ascii="仿宋" w:eastAsia="仿宋" w:cs="仿宋"/>
                <w:b/>
                <w:color w:val="000000"/>
                <w:kern w:val="0"/>
                <w:sz w:val="24"/>
                <w:szCs w:val="24"/>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ascii="仿宋" w:eastAsia="仿宋" w:cs="仿宋"/>
                <w:color w:val="000000"/>
                <w:kern w:val="0"/>
                <w:sz w:val="24"/>
                <w:szCs w:val="24"/>
                <w:lang w:val="en-US" w:eastAsia="zh-CN"/>
              </w:rPr>
            </w:pPr>
            <w:r>
              <w:rPr>
                <w:rFonts w:hint="eastAsia" w:ascii="仿宋" w:eastAsia="仿宋" w:cs="仿宋"/>
                <w:color w:val="000000"/>
                <w:kern w:val="0"/>
                <w:sz w:val="24"/>
                <w:szCs w:val="24"/>
                <w:lang w:val="en-US" w:eastAsia="zh-CN"/>
              </w:rPr>
              <w:t>1</w:t>
            </w:r>
          </w:p>
          <w:p>
            <w:pPr>
              <w:spacing w:line="240" w:lineRule="auto"/>
              <w:jc w:val="center"/>
              <w:textAlignment w:val="center"/>
              <w:rPr>
                <w:rFonts w:ascii="仿宋" w:eastAsia="仿宋" w:cs="仿宋"/>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包含：控制主机、配电单元、机柜、无线遥控器、GPS。</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相位：支持16主相位+16跟随相位；</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控输出：不低于44路输出，单通道负载800W；</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灯控板：4块，每块支持11路；</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通讯协议：支持NTCIP协议；</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信号机应具有单点优化控制功能，能够根据采集的交通流量信息，调整绿灯、红灯时间。</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网络接口：1个RJ45接口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其他接口：1个RS232接口，2个RS485接口，1个USB接口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当出现绿冲突、某信号组所有红灯均熄灭或信号灯组红灯、绿灯同时点亮时，信号机应能立即自动切断信号输出通道，转入黄闪或关灯状态。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外部输入：8路行人按钮输入</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无线遥控：支持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工作电压： AC220V±44V，50Hz±2Hz</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温度：-40℃～+70℃</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功耗：35W</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绝缘强度：＞500 MΩ</w:t>
            </w:r>
          </w:p>
          <w:p>
            <w:pPr>
              <w:pStyle w:val="2"/>
              <w:rPr>
                <w:rFonts w:hint="eastAsia"/>
              </w:rPr>
            </w:pPr>
            <w:r>
              <w:rPr>
                <w:rFonts w:hint="eastAsia" w:ascii="仿宋" w:eastAsia="仿宋" w:cs="仿宋"/>
                <w:color w:val="000000"/>
                <w:kern w:val="0"/>
                <w:sz w:val="24"/>
                <w:szCs w:val="24"/>
              </w:rPr>
              <w:t>防护等级：IP54</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r>
              <w:rPr>
                <w:rFonts w:hint="eastAsia" w:ascii="仿宋" w:eastAsia="仿宋" w:cs="仿宋"/>
                <w:color w:val="000000"/>
                <w:kern w:val="0"/>
                <w:sz w:val="24"/>
                <w:szCs w:val="24"/>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pPr>
          </w:p>
          <w:p>
            <w:pPr>
              <w:pStyle w:val="2"/>
              <w:rPr>
                <w:rFonts w:ascii="仿宋" w:eastAsia="仿宋" w:cs="仿宋"/>
                <w:color w:val="000000"/>
                <w:sz w:val="24"/>
                <w:szCs w:val="24"/>
              </w:rPr>
            </w:pPr>
          </w:p>
          <w:p>
            <w:pPr>
              <w:pStyle w:val="2"/>
              <w:rPr>
                <w:rFonts w:ascii="仿宋" w:eastAsia="仿宋" w:cs="仿宋"/>
                <w:color w:val="000000"/>
                <w:sz w:val="24"/>
                <w:szCs w:val="24"/>
              </w:rPr>
            </w:pPr>
          </w:p>
          <w:p>
            <w:pPr>
              <w:pStyle w:val="2"/>
              <w:rPr>
                <w:rFonts w:ascii="仿宋" w:eastAsia="仿宋" w:cs="仿宋"/>
                <w:color w:val="000000"/>
                <w:sz w:val="24"/>
                <w:szCs w:val="24"/>
              </w:rPr>
            </w:pPr>
          </w:p>
          <w:p>
            <w:pPr>
              <w:pStyle w:val="2"/>
              <w:rPr>
                <w:rFonts w:ascii="仿宋" w:eastAsia="仿宋" w:cs="仿宋"/>
                <w:color w:val="000000"/>
                <w:sz w:val="24"/>
                <w:szCs w:val="24"/>
              </w:rPr>
            </w:pPr>
          </w:p>
          <w:p>
            <w:pPr>
              <w:pStyle w:val="2"/>
              <w:rPr>
                <w:rFonts w:ascii="仿宋" w:eastAsia="仿宋" w:cs="仿宋"/>
                <w:color w:val="000000"/>
                <w:sz w:val="24"/>
                <w:szCs w:val="24"/>
              </w:rPr>
            </w:pPr>
          </w:p>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2"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仿宋" w:eastAsia="仿宋" w:cs="仿宋"/>
                <w:color w:val="000000"/>
                <w:sz w:val="24"/>
                <w:szCs w:val="24"/>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both"/>
            </w:pPr>
          </w:p>
          <w:p>
            <w:pPr>
              <w:pStyle w:val="2"/>
              <w:rPr>
                <w:rFonts w:ascii="仿宋" w:eastAsia="仿宋" w:cs="仿宋"/>
                <w:color w:val="000000"/>
                <w:sz w:val="24"/>
                <w:szCs w:val="24"/>
              </w:rPr>
            </w:pPr>
          </w:p>
          <w:p>
            <w:pPr>
              <w:pStyle w:val="2"/>
              <w:rPr>
                <w:rFonts w:ascii="仿宋" w:eastAsia="仿宋" w:cs="仿宋"/>
                <w:color w:val="000000"/>
                <w:sz w:val="24"/>
                <w:szCs w:val="24"/>
              </w:rPr>
            </w:pPr>
          </w:p>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1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4、鸠神快速路与火磨路交叉口新建信号灯、电警及反向卡口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包含：控制主机、配电单元、机柜、无线遥控器、GPS。</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相位：支持16主相位+16跟随相位；</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控输出：不低于44路输出，单通道负载800W；</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灯控板：4块，每块支持11路；</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通讯协议：支持NTCIP协议；</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信号机应具有单点优化控制功能，能够根据采集的交通流量信息，调整绿灯、红灯时间。</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网络接口：1个RJ45接口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其他接口：1个RS232接口，2个RS485接口，1个USB接口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当出现绿冲突、某信号组所有红灯均熄灭或信号灯组红灯、绿灯同时点亮时，信号机应能立即自动切断信号输出通道，转入黄闪或关灯状态。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外部输入：8路行人按钮输入</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无线遥控：支持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工作电压： AC220V±44V，50Hz±2Hz</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温度：-40℃～+70℃</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功耗：35W</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绝缘强度：＞500 MΩ</w:t>
            </w:r>
          </w:p>
          <w:p>
            <w:pPr>
              <w:pStyle w:val="2"/>
              <w:rPr>
                <w:rFonts w:hint="eastAsia"/>
              </w:rPr>
            </w:pPr>
            <w:r>
              <w:rPr>
                <w:rFonts w:hint="eastAsia" w:ascii="仿宋" w:eastAsia="仿宋" w:cs="仿宋"/>
                <w:color w:val="000000"/>
                <w:kern w:val="0"/>
                <w:sz w:val="24"/>
                <w:szCs w:val="24"/>
              </w:rPr>
              <w:t>防护等级：IP54</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r>
              <w:rPr>
                <w:rFonts w:hint="eastAsia" w:ascii="仿宋" w:eastAsia="仿宋" w:cs="仿宋"/>
                <w:color w:val="000000"/>
                <w:kern w:val="0"/>
                <w:sz w:val="24"/>
                <w:szCs w:val="24"/>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pPr>
          </w:p>
          <w:p>
            <w:pPr>
              <w:pStyle w:val="2"/>
              <w:rPr>
                <w:rFonts w:ascii="仿宋" w:eastAsia="仿宋" w:cs="仿宋"/>
                <w:color w:val="000000"/>
                <w:sz w:val="24"/>
                <w:szCs w:val="24"/>
              </w:rPr>
            </w:pPr>
          </w:p>
          <w:p>
            <w:pPr>
              <w:pStyle w:val="2"/>
              <w:rPr>
                <w:rFonts w:ascii="仿宋" w:eastAsia="仿宋" w:cs="仿宋"/>
                <w:color w:val="000000"/>
                <w:sz w:val="24"/>
                <w:szCs w:val="24"/>
              </w:rPr>
            </w:pPr>
          </w:p>
          <w:p>
            <w:pPr>
              <w:pStyle w:val="2"/>
              <w:rPr>
                <w:rFonts w:ascii="仿宋" w:eastAsia="仿宋" w:cs="仿宋"/>
                <w:color w:val="000000"/>
                <w:sz w:val="24"/>
                <w:szCs w:val="24"/>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1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723" w:firstLineChars="300"/>
              <w:jc w:val="both"/>
              <w:textAlignment w:val="center"/>
              <w:rPr>
                <w:rFonts w:ascii="仿宋" w:eastAsia="仿宋" w:cs="仿宋"/>
                <w:b/>
                <w:color w:val="000000"/>
                <w:sz w:val="24"/>
                <w:szCs w:val="24"/>
              </w:rPr>
            </w:pPr>
            <w:r>
              <w:rPr>
                <w:rFonts w:hint="eastAsia" w:ascii="仿宋" w:eastAsia="仿宋" w:cs="仿宋"/>
                <w:b/>
                <w:color w:val="000000"/>
                <w:kern w:val="0"/>
                <w:sz w:val="24"/>
                <w:szCs w:val="24"/>
              </w:rPr>
              <w:t>5、鸠神快速路与325省道交叉口新建信号灯、电警及反向卡口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40"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both"/>
              <w:textAlignment w:val="center"/>
              <w:rPr>
                <w:rFonts w:ascii="仿宋" w:eastAsia="仿宋" w:cs="仿宋"/>
                <w:color w:val="000000"/>
                <w:sz w:val="24"/>
                <w:szCs w:val="24"/>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r>
              <w:rPr>
                <w:rFonts w:hint="eastAsia"/>
              </w:rPr>
              <w:t>是</w:t>
            </w: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包含：控制主机、配电单元、机柜、无线遥控器、GPS。</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相位：支持16主相位+16跟随相位；</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控输出：不低于44路输出，单通道负载800W；</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灯控板：4块，每块支持11路；</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通讯协议：支持NTCIP协议；</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信号机应具有单点优化控制功能，能够根据采集的交通流量信息，调整绿灯、红灯时间。</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网络接口：1个RJ45接口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其他接口：1个RS232接口，2个RS485接口，1个USB接口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当出现绿冲突、某信号组所有红灯均熄灭或信号灯组红灯、绿灯同时点亮时，信号机应能立即自动切断信号输出通道，转入黄闪或关灯状态。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外部输入：8路行人按钮输入</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无线遥控：支持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工作电压： AC220V±44V，50Hz±2Hz</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温度：-40℃～+70℃</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功耗：35W</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绝缘强度：＞500 MΩ</w:t>
            </w:r>
          </w:p>
          <w:p>
            <w:pPr>
              <w:pStyle w:val="2"/>
              <w:rPr>
                <w:rFonts w:hint="eastAsia"/>
              </w:rPr>
            </w:pPr>
            <w:r>
              <w:rPr>
                <w:rFonts w:hint="eastAsia" w:ascii="仿宋" w:eastAsia="仿宋" w:cs="仿宋"/>
                <w:color w:val="000000"/>
                <w:kern w:val="0"/>
                <w:sz w:val="24"/>
                <w:szCs w:val="24"/>
              </w:rPr>
              <w:t>防护等级：IP54</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rPr>
              <w:t>备注：</w:t>
            </w: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r>
              <w:rPr>
                <w:rFonts w:hint="eastAsia" w:ascii="仿宋" w:eastAsia="仿宋" w:cs="仿宋"/>
                <w:color w:val="000000"/>
                <w:kern w:val="0"/>
                <w:sz w:val="24"/>
                <w:szCs w:val="24"/>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仿宋" w:eastAsia="仿宋" w:cs="仿宋"/>
                <w:color w:val="000000"/>
                <w:sz w:val="24"/>
                <w:szCs w:val="24"/>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1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6、鸠山镇唐庄路口新建信号灯、电警及反向卡口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包含：控制主机、配电单元、机柜、无线遥控器、GPS。</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相位：支持16主相位+16跟随相位；</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控输出：不低于44路输出，单通道负载800W；</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灯控板：4块，每块支持11路；</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通讯协议：支持NTCIP协议；</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信号机应具有单点优化控制功能，能够根据采集的交通流量信息，调整绿灯、红灯时间。</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网络接口：1个RJ45接口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其他接口：1个RS232接口，2个RS485接口，1个USB接口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当出现绿冲突、某信号组所有红灯均熄灭或信号灯组红灯、绿灯同时点亮时，信号机应能立即自动切断信号输出通道，转入黄闪或关灯状态。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外部输入：8路行人按钮输入</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无线遥控：支持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工作电压： AC220V±44V，50Hz±2Hz</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温度：-40℃～+70℃</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功耗：35W</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绝缘强度：＞500 MΩ</w:t>
            </w:r>
          </w:p>
          <w:p>
            <w:pPr>
              <w:pStyle w:val="2"/>
              <w:rPr>
                <w:rFonts w:hint="eastAsia"/>
              </w:rPr>
            </w:pPr>
            <w:r>
              <w:rPr>
                <w:rFonts w:hint="eastAsia" w:ascii="仿宋" w:eastAsia="仿宋" w:cs="仿宋"/>
                <w:color w:val="000000"/>
                <w:kern w:val="0"/>
                <w:sz w:val="24"/>
                <w:szCs w:val="24"/>
              </w:rPr>
              <w:t>防护等级：IP54</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rPr>
              <w:t>备注：</w:t>
            </w: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r>
              <w:rPr>
                <w:rFonts w:hint="eastAsia" w:ascii="仿宋" w:eastAsia="仿宋" w:cs="仿宋"/>
                <w:color w:val="000000"/>
                <w:kern w:val="0"/>
                <w:sz w:val="24"/>
                <w:szCs w:val="24"/>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仿宋" w:eastAsia="仿宋" w:cs="仿宋"/>
                <w:color w:val="000000"/>
                <w:sz w:val="24"/>
                <w:szCs w:val="24"/>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1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0"/>
              </w:numPr>
              <w:spacing w:line="240" w:lineRule="auto"/>
              <w:jc w:val="both"/>
              <w:textAlignment w:val="center"/>
            </w:pPr>
            <w:bookmarkStart w:id="1" w:name="北环路和西环路北段新建交通设施"/>
          </w:p>
          <w:p>
            <w:pPr>
              <w:numPr>
                <w:ilvl w:val="0"/>
                <w:numId w:val="8"/>
              </w:numPr>
              <w:spacing w:line="240" w:lineRule="auto"/>
              <w:ind w:firstLine="1446" w:firstLineChars="600"/>
              <w:jc w:val="both"/>
              <w:textAlignment w:val="center"/>
              <w:rPr>
                <w:b/>
                <w:bCs/>
                <w:sz w:val="24"/>
                <w:szCs w:val="28"/>
              </w:rPr>
            </w:pPr>
            <w:r>
              <w:rPr>
                <w:rFonts w:hint="eastAsia"/>
                <w:b/>
                <w:bCs/>
                <w:sz w:val="24"/>
                <w:szCs w:val="28"/>
                <w:lang w:eastAsia="zh-CN"/>
              </w:rPr>
              <w:t>（</w:t>
            </w:r>
            <w:r>
              <w:rPr>
                <w:rFonts w:hint="eastAsia"/>
                <w:b/>
                <w:bCs/>
                <w:sz w:val="24"/>
                <w:szCs w:val="28"/>
                <w:lang w:val="en-US" w:eastAsia="zh-CN"/>
              </w:rPr>
              <w:t>3</w:t>
            </w:r>
            <w:r>
              <w:rPr>
                <w:rFonts w:hint="eastAsia"/>
                <w:b/>
                <w:bCs/>
                <w:sz w:val="24"/>
                <w:szCs w:val="28"/>
                <w:lang w:eastAsia="zh-CN"/>
              </w:rPr>
              <w:t>）</w:t>
            </w:r>
            <w:r>
              <w:rPr>
                <w:b/>
                <w:bCs/>
                <w:sz w:val="24"/>
                <w:szCs w:val="28"/>
              </w:rPr>
              <w:t>北环路和西环路北段新建交通设施</w:t>
            </w:r>
            <w:bookmarkEnd w:id="1"/>
          </w:p>
          <w:p>
            <w:pPr>
              <w:pStyle w:val="2"/>
              <w:numPr>
                <w:ilvl w:val="0"/>
                <w:numId w:val="0"/>
              </w:num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1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1、北环路与连洛湾路交叉口新建信号灯、电警及反向卡口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center"/>
              <w:textAlignment w:val="center"/>
              <w:rPr>
                <w:rFonts w:hint="eastAsia"/>
              </w:rPr>
            </w:pPr>
          </w:p>
          <w:p>
            <w:pPr>
              <w:spacing w:line="240" w:lineRule="auto"/>
              <w:jc w:val="both"/>
              <w:textAlignment w:val="center"/>
              <w:rPr>
                <w:rFonts w:hint="eastAsia"/>
              </w:rPr>
            </w:pPr>
          </w:p>
          <w:p>
            <w:pPr>
              <w:spacing w:line="240" w:lineRule="auto"/>
              <w:jc w:val="both"/>
              <w:textAlignment w:val="center"/>
              <w:rPr>
                <w:rFonts w:hint="eastAsia"/>
              </w:rPr>
            </w:pPr>
            <w:r>
              <w:rPr>
                <w:rFonts w:hint="eastAsia"/>
              </w:rPr>
              <w:t>是</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包含：控制主机、配电单元、机柜、无线遥控器、GPS。</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相位：支持16主相位+16跟随相位；</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控输出：不低于44路输出，单通道负载800W；</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灯控板：4块，每块支持11路；</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通讯协议：支持NTCIP协议；</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信号机应具有单点优化控制功能，能够根据采集的交通流量信息，调整绿灯、红灯时间。</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网络接口：1个RJ45接口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其他接口：1个RS232接口，2个RS485接口，1个USB接口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当出现绿冲突、某信号组所有红灯均熄灭或信号灯组红灯、绿灯同时点亮时，信号机应能立即自动切断信号输出通道，转入黄闪或关灯状态。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外部输入：8路行人按钮输入</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无线遥控：支持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工作电压： AC220V±44V，50Hz±2Hz</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温度：-40℃～+70℃</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功耗：35W</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绝缘强度：＞500 MΩ</w:t>
            </w:r>
          </w:p>
          <w:p>
            <w:pPr>
              <w:pStyle w:val="2"/>
              <w:rPr>
                <w:rFonts w:hint="eastAsia"/>
              </w:rPr>
            </w:pPr>
            <w:r>
              <w:rPr>
                <w:rFonts w:hint="eastAsia" w:ascii="仿宋" w:eastAsia="仿宋" w:cs="仿宋"/>
                <w:color w:val="000000"/>
                <w:kern w:val="0"/>
                <w:sz w:val="24"/>
                <w:szCs w:val="24"/>
              </w:rPr>
              <w:t>防护等级：IP54</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r>
              <w:rPr>
                <w:rFonts w:hint="eastAsia" w:ascii="仿宋" w:eastAsia="仿宋" w:cs="仿宋"/>
                <w:color w:val="000000"/>
                <w:kern w:val="0"/>
                <w:sz w:val="24"/>
                <w:szCs w:val="24"/>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杆子横臂6米</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6-7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jc w:val="center"/>
              <w:rPr>
                <w:lang w:val="en-US" w:eastAsia="zh-CN"/>
              </w:rPr>
            </w:pPr>
          </w:p>
          <w:p>
            <w:pPr>
              <w:pStyle w:val="2"/>
              <w:rPr>
                <w:lang w:val="en-US" w:eastAsia="zh-CN"/>
              </w:rPr>
            </w:pPr>
          </w:p>
          <w:p>
            <w:pPr>
              <w:pStyle w:val="2"/>
              <w:rPr>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杆子横臂14米</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260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7"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pPr>
          </w:p>
          <w:p>
            <w:pPr>
              <w:pStyle w:val="2"/>
              <w:rPr>
                <w:rFonts w:ascii="仿宋" w:eastAsia="仿宋" w:cs="仿宋"/>
                <w:color w:val="000000"/>
                <w:sz w:val="24"/>
                <w:szCs w:val="24"/>
              </w:rPr>
            </w:pPr>
          </w:p>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仿宋" w:eastAsia="仿宋" w:cs="仿宋"/>
                <w:color w:val="000000"/>
                <w:sz w:val="24"/>
                <w:szCs w:val="24"/>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1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2、北环路智慧街交叉口新建交通信号灯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包含：控制主机、配电单元、机柜、无线遥控器、GPS。</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相位：支持16主相位+16跟随相位；</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控输出：不低于44路输出，单通道负载800W；</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sz w:val="24"/>
                <w:szCs w:val="24"/>
                <w:lang w:eastAsia="zh-CN"/>
              </w:rPr>
              <w:t>灯控板：4块，每块支持11路；</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通讯协议：支持NTCIP协议；</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信号机应具有单点优化控制功能，能够根据采集的交通流量信息，调整绿灯、红灯时间。</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网络接口：1个RJ45接口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其他接口：1个RS232接口，2个RS485接口，1个USB接口</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当出现绿冲突、某信号组所有红灯均熄灭或信号灯组红灯、绿灯同时点亮时，信号机应能立即自动切断信号输出通道，转入黄闪或关灯状态。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外部输入：8路行人按钮输入</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无线遥控：支持</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工作电压： AC220V±44V，50Hz±2Hz</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温度：-40℃～+70℃</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功耗：35W</w:t>
            </w:r>
          </w:p>
          <w:p>
            <w:pPr>
              <w:spacing w:line="240" w:lineRule="auto"/>
              <w:jc w:val="left"/>
              <w:textAlignment w:val="center"/>
              <w:rPr>
                <w:rFonts w:hint="eastAsia" w:ascii="仿宋" w:eastAsia="仿宋" w:cs="仿宋"/>
                <w:color w:val="000000"/>
                <w:sz w:val="24"/>
                <w:szCs w:val="24"/>
              </w:rPr>
            </w:pPr>
            <w:r>
              <w:rPr>
                <w:rFonts w:hint="eastAsia" w:ascii="仿宋" w:eastAsia="仿宋" w:cs="仿宋"/>
                <w:color w:val="00000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140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6-7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rPr>
                <w:rFonts w:ascii="仿宋" w:eastAsia="仿宋" w:cs="仿宋"/>
                <w:color w:val="000000"/>
                <w:sz w:val="24"/>
                <w:szCs w:val="24"/>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1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3、北环路朱阁席庄路段改建区间测速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北环席庄卡口拆迁与重建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点位移迁、拆除与重建立柱两根横臂两根、吊车、拉杆子大车、人工、升降车、等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北环席庄卡口重建</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卡口预埋件</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基础预埋件、M27 八角地笼</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1"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2" w:hRule="atLeast"/>
        </w:trPr>
        <w:tc>
          <w:tcPr>
            <w:tcW w:w="4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61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hAnsi="仿宋" w:eastAsia="仿宋" w:cs="仿宋"/>
                <w:sz w:val="24"/>
                <w:szCs w:val="28"/>
              </w:rPr>
              <w:t>相机安装调试、人工及车辆、拆装设备、重新安装调试。</w:t>
            </w:r>
          </w:p>
        </w:tc>
        <w:tc>
          <w:tcPr>
            <w:tcW w:w="3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4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ascii="仿宋" w:eastAsia="仿宋" w:cs="仿宋"/>
                <w:color w:val="000000"/>
                <w:sz w:val="24"/>
                <w:szCs w:val="24"/>
              </w:rPr>
            </w:pPr>
          </w:p>
        </w:tc>
      </w:tr>
    </w:tbl>
    <w:p>
      <w:pPr>
        <w:rPr>
          <w:lang w:eastAsia="en-US"/>
        </w:rPr>
      </w:pPr>
    </w:p>
    <w:p>
      <w:pPr>
        <w:ind w:firstLine="1767" w:firstLineChars="400"/>
        <w:jc w:val="both"/>
        <w:rPr>
          <w:rFonts w:hint="eastAsia"/>
          <w:b/>
          <w:bCs/>
          <w:sz w:val="44"/>
          <w:szCs w:val="44"/>
          <w:lang w:val="en-US" w:eastAsia="zh-CN"/>
        </w:rPr>
      </w:pPr>
    </w:p>
    <w:p>
      <w:pPr>
        <w:ind w:firstLine="1325" w:firstLineChars="300"/>
        <w:jc w:val="both"/>
        <w:rPr>
          <w:rFonts w:hint="eastAsia"/>
          <w:b/>
          <w:bCs/>
          <w:sz w:val="44"/>
          <w:szCs w:val="44"/>
          <w:lang w:val="en-US" w:eastAsia="zh-CN"/>
        </w:rPr>
      </w:pPr>
    </w:p>
    <w:p>
      <w:pPr>
        <w:ind w:firstLine="1325" w:firstLineChars="300"/>
        <w:jc w:val="both"/>
        <w:rPr>
          <w:rFonts w:hint="eastAsia"/>
          <w:b/>
          <w:bCs/>
          <w:sz w:val="44"/>
          <w:szCs w:val="44"/>
          <w:lang w:val="en-US" w:eastAsia="zh-CN"/>
        </w:rPr>
      </w:pPr>
    </w:p>
    <w:p>
      <w:pPr>
        <w:ind w:firstLine="1325" w:firstLineChars="300"/>
        <w:jc w:val="both"/>
        <w:rPr>
          <w:rFonts w:hint="eastAsia"/>
          <w:b/>
          <w:bCs/>
          <w:sz w:val="44"/>
          <w:szCs w:val="44"/>
          <w:lang w:val="en-US" w:eastAsia="zh-CN"/>
        </w:rPr>
      </w:pPr>
    </w:p>
    <w:p>
      <w:pPr>
        <w:ind w:firstLine="1325" w:firstLineChars="300"/>
        <w:jc w:val="both"/>
        <w:rPr>
          <w:rFonts w:hint="default" w:eastAsia="宋体"/>
          <w:sz w:val="44"/>
          <w:szCs w:val="48"/>
          <w:lang w:val="en-US" w:eastAsia="zh-CN"/>
        </w:rPr>
      </w:pPr>
      <w:r>
        <w:rPr>
          <w:rFonts w:hint="eastAsia"/>
          <w:b/>
          <w:bCs/>
          <w:sz w:val="44"/>
          <w:szCs w:val="44"/>
          <w:lang w:val="en-US" w:eastAsia="zh-CN"/>
        </w:rPr>
        <w:t>第二标段</w:t>
      </w:r>
      <w:r>
        <w:rPr>
          <w:rFonts w:hint="eastAsia" w:ascii="仿宋" w:eastAsia="仿宋"/>
          <w:b/>
          <w:bCs/>
          <w:sz w:val="44"/>
          <w:szCs w:val="44"/>
        </w:rPr>
        <w:t>项目明细及技术参数</w:t>
      </w:r>
    </w:p>
    <w:tbl>
      <w:tblPr>
        <w:tblStyle w:val="23"/>
        <w:tblW w:w="92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55"/>
        <w:gridCol w:w="1005"/>
        <w:gridCol w:w="5955"/>
        <w:gridCol w:w="570"/>
        <w:gridCol w:w="525"/>
        <w:gridCol w:w="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宋体"/>
                <w:b/>
                <w:bCs/>
                <w:sz w:val="24"/>
                <w:szCs w:val="24"/>
              </w:rPr>
            </w:pPr>
            <w:r>
              <w:rPr>
                <w:rFonts w:hint="eastAsia" w:ascii="宋体"/>
                <w:b/>
                <w:bCs/>
                <w:sz w:val="24"/>
                <w:szCs w:val="24"/>
                <w:lang w:val="en-US" w:eastAsia="zh-CN"/>
              </w:rPr>
              <w:t>二</w:t>
            </w:r>
            <w:r>
              <w:rPr>
                <w:rFonts w:hint="eastAsia" w:ascii="宋体"/>
                <w:b/>
                <w:bCs/>
                <w:sz w:val="24"/>
                <w:szCs w:val="24"/>
              </w:rPr>
              <w:t>、（</w:t>
            </w:r>
            <w:r>
              <w:rPr>
                <w:rFonts w:hint="eastAsia" w:ascii="宋体"/>
                <w:b/>
                <w:bCs/>
                <w:sz w:val="24"/>
                <w:szCs w:val="24"/>
                <w:lang w:val="en-US" w:eastAsia="zh-CN"/>
              </w:rPr>
              <w:t>1</w:t>
            </w:r>
            <w:r>
              <w:rPr>
                <w:rFonts w:hint="eastAsia" w:ascii="宋体"/>
                <w:b/>
                <w:bCs/>
                <w:sz w:val="24"/>
                <w:szCs w:val="24"/>
              </w:rPr>
              <w:t>）</w:t>
            </w:r>
            <w:bookmarkStart w:id="2" w:name="人民医院路口等9个路口"/>
            <w:r>
              <w:rPr>
                <w:rFonts w:hint="eastAsia" w:ascii="宋体"/>
                <w:b/>
                <w:bCs/>
                <w:sz w:val="24"/>
                <w:szCs w:val="24"/>
              </w:rPr>
              <w:t>人民医院路口等9个路口</w:t>
            </w:r>
          </w:p>
          <w:p>
            <w:pPr>
              <w:jc w:val="center"/>
              <w:textAlignment w:val="center"/>
              <w:rPr>
                <w:rFonts w:ascii="宋体" w:cs="仿宋"/>
                <w:b/>
                <w:color w:val="000000"/>
                <w:sz w:val="24"/>
                <w:szCs w:val="24"/>
              </w:rPr>
            </w:pPr>
            <w:r>
              <w:rPr>
                <w:rFonts w:hint="eastAsia" w:ascii="宋体"/>
                <w:b/>
                <w:bCs/>
                <w:sz w:val="24"/>
                <w:szCs w:val="24"/>
              </w:rPr>
              <w:t>安装电子警察和反向抓拍系统安装工程</w:t>
            </w:r>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1、轩辕大道新人民医院路口新建电子警察及反向卡口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杆子横臂14米</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杆子横臂8米</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2、许禹快速路褚河桥东头新建电子警察及反向卡口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杆子横臂14米</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杆子横臂6米</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3、颍川大道行政南路交叉口新建电子警察及反向卡口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一个5位拨码开关，用于设置设备地址、数据上传模式及波特率；一个电源开关，AC220V供电。</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杆子横臂14米</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杆子横臂6米</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4、颍川大道颍北大道交叉口新建电子警察及反向卡口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杆子横臂14米</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杆子横臂6米</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5、滨河大道颍川大道交叉口新建电子警察及反向卡口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pPr>
          </w:p>
          <w:p>
            <w:pPr>
              <w:pStyle w:val="2"/>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杆子横臂14米</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6、禹神快速路方岗路口新建电子警察及反向卡口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eastAsia"/>
              </w:rPr>
            </w:pPr>
          </w:p>
          <w:p>
            <w:pPr>
              <w:jc w:val="center"/>
              <w:textAlignment w:val="center"/>
              <w:rPr>
                <w:rFonts w:hint="eastAsia"/>
              </w:rPr>
            </w:pPr>
            <w:r>
              <w:rPr>
                <w:rFonts w:hint="eastAsia"/>
              </w:rPr>
              <w:t>是</w:t>
            </w:r>
          </w:p>
          <w:p>
            <w:pPr>
              <w:pStyle w:val="2"/>
              <w:rPr>
                <w:rFonts w:hint="eastAsia" w:asci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pPr>
          </w:p>
          <w:p>
            <w:pPr>
              <w:pStyle w:val="2"/>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2"/>
            </w:pP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7、禹神快速路杜村路口新建电子警察及反向卡口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一个5位拨码开关，用于设置设备地址、数据上传模式及波特率；一个电源开关，AC220V供电。</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8、禹神快速路南环路口新建电子警察及反向卡口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9、北环路禹浅路交叉口新建电子警察及反向卡口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hint="eastAsia"/>
              </w:rPr>
            </w:pPr>
          </w:p>
          <w:p>
            <w:pPr>
              <w:jc w:val="center"/>
              <w:textAlignment w:val="center"/>
              <w:rPr>
                <w:rFonts w:hint="eastAsia"/>
              </w:rPr>
            </w:pPr>
          </w:p>
          <w:p>
            <w:pPr>
              <w:jc w:val="center"/>
              <w:textAlignment w:val="center"/>
              <w:rPr>
                <w:rFonts w:hint="eastAsia"/>
              </w:rPr>
            </w:pPr>
          </w:p>
          <w:p>
            <w:pPr>
              <w:ind w:firstLine="210" w:firstLineChars="100"/>
              <w:jc w:val="both"/>
              <w:textAlignment w:val="center"/>
              <w:rPr>
                <w:rFonts w:hint="eastAsia"/>
              </w:rPr>
            </w:pPr>
          </w:p>
          <w:p>
            <w:pPr>
              <w:ind w:firstLine="210" w:firstLineChars="100"/>
              <w:jc w:val="both"/>
              <w:textAlignment w:val="center"/>
              <w:rPr>
                <w:rFonts w:hint="eastAsia"/>
              </w:rPr>
            </w:pPr>
          </w:p>
          <w:p>
            <w:pPr>
              <w:ind w:firstLine="210" w:firstLineChars="100"/>
              <w:jc w:val="both"/>
              <w:textAlignment w:val="center"/>
              <w:rPr>
                <w:rFonts w:hint="eastAsia"/>
              </w:rPr>
            </w:pPr>
          </w:p>
          <w:p>
            <w:pPr>
              <w:ind w:firstLine="210" w:firstLineChars="100"/>
              <w:jc w:val="both"/>
              <w:textAlignment w:val="center"/>
              <w:rPr>
                <w:rFonts w:hint="eastAsia"/>
              </w:rPr>
            </w:pPr>
            <w:r>
              <w:rPr>
                <w:rFonts w:hint="eastAsia"/>
              </w:rPr>
              <w:t>是</w:t>
            </w:r>
          </w:p>
          <w:p>
            <w:pPr>
              <w:pStyle w:val="2"/>
              <w:rPr>
                <w:rFonts w:hint="eastAsia" w:eastAsia="仿宋"/>
                <w:lang w:eastAsia="zh-CN"/>
              </w:rPr>
            </w:pPr>
          </w:p>
          <w:p>
            <w:pPr>
              <w:pStyle w:val="2"/>
              <w:rPr>
                <w:rFonts w:hint="eastAsia" w:eastAsia="仿宋"/>
                <w:lang w:eastAsia="zh-CN"/>
              </w:rPr>
            </w:pPr>
          </w:p>
          <w:p>
            <w:pPr>
              <w:pStyle w:val="2"/>
              <w:rPr>
                <w:rFonts w:hint="eastAsia" w:eastAsia="仿宋"/>
                <w:lang w:eastAsia="zh-CN"/>
              </w:rPr>
            </w:pPr>
          </w:p>
          <w:p>
            <w:pPr>
              <w:pStyle w:val="2"/>
              <w:rPr>
                <w:rFonts w:hint="eastAsia" w:eastAsia="仿宋"/>
                <w:lang w:eastAsia="zh-CN"/>
              </w:rPr>
            </w:pPr>
          </w:p>
          <w:p>
            <w:pPr>
              <w:pStyle w:val="2"/>
              <w:rPr>
                <w:rFonts w:hint="eastAsia" w:eastAsia="仿宋"/>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杆子横臂6米</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rPr>
                <w:rFonts w:ascii="仿宋" w:eastAsia="仿宋" w:cs="仿宋"/>
                <w:color w:val="000000"/>
                <w:sz w:val="24"/>
                <w:szCs w:val="24"/>
              </w:rPr>
            </w:pPr>
          </w:p>
        </w:tc>
        <w:tc>
          <w:tcPr>
            <w:tcW w:w="57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25"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jc w:val="center"/>
              <w:rPr>
                <w:rFonts w:ascii="仿宋" w:eastAsia="仿宋" w:cs="仿宋"/>
                <w:color w:val="000000"/>
                <w:sz w:val="24"/>
                <w:szCs w:val="24"/>
              </w:rPr>
            </w:pPr>
          </w:p>
        </w:tc>
      </w:tr>
    </w:tbl>
    <w:p>
      <w:pPr>
        <w:pStyle w:val="2"/>
        <w:rPr>
          <w:lang w:eastAsia="en-US"/>
        </w:rPr>
      </w:pPr>
    </w:p>
    <w:tbl>
      <w:tblPr>
        <w:tblStyle w:val="23"/>
        <w:tblW w:w="92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85"/>
        <w:gridCol w:w="1035"/>
        <w:gridCol w:w="5955"/>
        <w:gridCol w:w="465"/>
        <w:gridCol w:w="555"/>
        <w:gridCol w:w="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b/>
                <w:bCs/>
                <w:sz w:val="24"/>
                <w:szCs w:val="24"/>
              </w:rPr>
            </w:pPr>
            <w:r>
              <w:rPr>
                <w:rFonts w:hint="eastAsia"/>
                <w:b/>
                <w:bCs/>
                <w:sz w:val="24"/>
                <w:szCs w:val="24"/>
                <w:lang w:val="en-US" w:eastAsia="zh-CN"/>
              </w:rPr>
              <w:t>二</w:t>
            </w:r>
            <w:r>
              <w:rPr>
                <w:b/>
                <w:bCs/>
                <w:sz w:val="24"/>
                <w:szCs w:val="24"/>
              </w:rPr>
              <w:t>、（</w:t>
            </w:r>
            <w:r>
              <w:rPr>
                <w:rFonts w:hint="eastAsia"/>
                <w:b/>
                <w:bCs/>
                <w:sz w:val="24"/>
                <w:szCs w:val="24"/>
                <w:lang w:val="en-US" w:eastAsia="zh-CN"/>
              </w:rPr>
              <w:t>2</w:t>
            </w:r>
            <w:r>
              <w:rPr>
                <w:b/>
                <w:bCs/>
                <w:sz w:val="24"/>
                <w:szCs w:val="24"/>
              </w:rPr>
              <w:t>）</w:t>
            </w:r>
            <w:bookmarkStart w:id="3" w:name="大学路与学府西路交叉口等五个路口新建及改建交通设施工程"/>
            <w:r>
              <w:rPr>
                <w:b/>
                <w:bCs/>
                <w:sz w:val="24"/>
                <w:szCs w:val="24"/>
              </w:rPr>
              <w:t>大学路与学府西路交叉口等五个路口</w:t>
            </w:r>
          </w:p>
          <w:p>
            <w:pPr>
              <w:jc w:val="center"/>
              <w:textAlignment w:val="center"/>
              <w:rPr>
                <w:rFonts w:ascii="仿宋" w:eastAsia="仿宋" w:cs="仿宋"/>
                <w:b/>
                <w:color w:val="000000"/>
                <w:sz w:val="24"/>
                <w:szCs w:val="24"/>
              </w:rPr>
            </w:pPr>
            <w:r>
              <w:rPr>
                <w:b/>
                <w:bCs/>
                <w:sz w:val="24"/>
                <w:szCs w:val="24"/>
              </w:rPr>
              <w:t>新建及改建交通设施工程</w:t>
            </w:r>
            <w:bookmarkEnd w:id="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1、大学路与学府西路交叉口新建信号灯、电警及反向卡口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both"/>
              <w:textAlignment w:val="center"/>
              <w:rPr>
                <w:rFonts w:hint="eastAsia"/>
              </w:rPr>
            </w:pPr>
            <w:r>
              <w:rPr>
                <w:rFonts w:hint="eastAsia"/>
              </w:rPr>
              <w:t>是</w:t>
            </w: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功率：功率≤15W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人行信号灯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top"/>
              <w:rPr>
                <w:rFonts w:ascii="仿宋" w:eastAsia="仿宋" w:cs="仿宋"/>
                <w:color w:val="000000"/>
                <w:sz w:val="24"/>
                <w:szCs w:val="24"/>
              </w:rPr>
            </w:pPr>
            <w:r>
              <w:rPr>
                <w:rFonts w:hint="eastAsia" w:ascii="仿宋" w:eastAsia="仿宋" w:cs="仿宋"/>
                <w:color w:val="000000"/>
                <w:kern w:val="0"/>
                <w:sz w:val="24"/>
                <w:szCs w:val="24"/>
              </w:rPr>
              <w:t>【人行灯】【竖装】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面罩规格：φ300mm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LED数量：红60，绿56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可视距离：＞300m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杆子横臂6米</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6-7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人行灯杆子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圆柱杆子、高度4MM镀锌含预埋件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2、振兴路与互助街新建信号灯、电警及反向卡口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rPr>
            </w:pPr>
          </w:p>
          <w:p>
            <w:pPr>
              <w:jc w:val="center"/>
              <w:textAlignment w:val="center"/>
              <w:rPr>
                <w:rFonts w:hint="eastAsia"/>
                <w:b/>
                <w:bCs/>
              </w:rPr>
            </w:pPr>
            <w:r>
              <w:rPr>
                <w:rFonts w:hint="eastAsia"/>
                <w:b/>
                <w:bCs/>
              </w:rPr>
              <w:t>技术规格及主要参数</w:t>
            </w:r>
          </w:p>
          <w:p>
            <w:pPr>
              <w:pStyle w:val="2"/>
              <w:rPr>
                <w:rFonts w:hint="eastAsia" w:ascii="仿宋" w:eastAsia="仿宋" w:cs="仿宋"/>
                <w:b/>
                <w:color w:val="000000"/>
                <w:kern w:val="0"/>
                <w:sz w:val="24"/>
                <w:szCs w:val="24"/>
              </w:rPr>
            </w:pPr>
          </w:p>
          <w:p>
            <w:pPr>
              <w:pStyle w:val="2"/>
              <w:rPr>
                <w:rFonts w:hint="eastAsia" w:ascii="仿宋" w:eastAsia="仿宋" w:cs="仿宋"/>
                <w:b/>
                <w:color w:val="000000"/>
                <w:kern w:val="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杆子横臂6米</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6-7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人行灯杆子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圆柱杆子、高度4MM镀锌含预埋件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3、禹王大道吕祖路交叉口改扩建信号灯、电警及反向卡口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b/>
                <w:bCs/>
              </w:rPr>
            </w:pPr>
          </w:p>
          <w:p>
            <w:pPr>
              <w:jc w:val="center"/>
              <w:textAlignment w:val="center"/>
              <w:rPr>
                <w:rFonts w:hint="eastAsia"/>
              </w:rPr>
            </w:pPr>
            <w:r>
              <w:rPr>
                <w:rFonts w:hint="eastAsia"/>
                <w:b/>
                <w:bCs/>
              </w:rPr>
              <w:t>是否为核心产品</w:t>
            </w:r>
          </w:p>
          <w:p>
            <w:pPr>
              <w:pStyle w:val="2"/>
              <w:rPr>
                <w:rFonts w:hint="eastAsia" w:ascii="仿宋" w:eastAsia="仿宋" w:cs="仿宋"/>
                <w:b/>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
            <w:pPr>
              <w:pStyle w:val="2"/>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4、禹王大道与颍顺路交叉口改扩建信号灯、电警及反向卡口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r>
              <w:rPr>
                <w:rFonts w:hint="eastAsia"/>
              </w:rPr>
              <w:t>是</w:t>
            </w: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人行信号灯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top"/>
              <w:rPr>
                <w:rFonts w:ascii="仿宋" w:eastAsia="仿宋" w:cs="仿宋"/>
                <w:color w:val="000000"/>
                <w:sz w:val="24"/>
                <w:szCs w:val="24"/>
              </w:rPr>
            </w:pPr>
            <w:r>
              <w:rPr>
                <w:rFonts w:hint="eastAsia" w:ascii="仿宋" w:eastAsia="仿宋" w:cs="仿宋"/>
                <w:color w:val="000000"/>
                <w:kern w:val="0"/>
                <w:sz w:val="24"/>
                <w:szCs w:val="24"/>
              </w:rPr>
              <w:t>【人行灯】【竖装】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面罩规格：φ300mm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LED数量：红60，绿56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可视距离：＞300m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功率：功率≤15W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pPr>
          </w:p>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杆子横臂15米</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杆子横臂14米</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人行灯杆子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圆柱杆子、高度4MM镀锌含预埋件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
            <w:pPr>
              <w:pStyle w:val="2"/>
              <w:rPr>
                <w:rFonts w:hint="eastAsia" w:eastAsia="仿宋"/>
                <w:lang w:eastAsia="zh-CN"/>
              </w:rPr>
            </w:pPr>
          </w:p>
          <w:p>
            <w:pPr>
              <w:pStyle w:val="2"/>
              <w:rPr>
                <w:rFonts w:hint="eastAsia" w:eastAsia="仿宋"/>
                <w:lang w:eastAsia="zh-CN"/>
              </w:rPr>
            </w:pPr>
          </w:p>
          <w:p>
            <w:pPr>
              <w:pStyle w:val="2"/>
              <w:rPr>
                <w:rFonts w:hint="eastAsia" w:eastAsia="仿宋"/>
                <w:lang w:eastAsia="zh-CN"/>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pPr>
          </w:p>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5、阳翟大道与颍河大街交叉口改扩建信号灯、电警及反向卡口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人行信号灯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top"/>
              <w:rPr>
                <w:rFonts w:ascii="仿宋" w:eastAsia="仿宋" w:cs="仿宋"/>
                <w:color w:val="000000"/>
                <w:sz w:val="24"/>
                <w:szCs w:val="24"/>
              </w:rPr>
            </w:pPr>
            <w:r>
              <w:rPr>
                <w:rFonts w:hint="eastAsia" w:ascii="仿宋" w:eastAsia="仿宋" w:cs="仿宋"/>
                <w:color w:val="000000"/>
                <w:kern w:val="0"/>
                <w:sz w:val="24"/>
                <w:szCs w:val="24"/>
              </w:rPr>
              <w:t>【人行灯】【竖装】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面罩规格：φ300mm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LED数量：红60，绿56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可视距离：＞300m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功率：功率≤15W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80</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4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7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bl>
    <w:p/>
    <w:p>
      <w:pPr>
        <w:pStyle w:val="2"/>
      </w:pPr>
    </w:p>
    <w:tbl>
      <w:tblPr>
        <w:tblStyle w:val="23"/>
        <w:tblW w:w="92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75"/>
        <w:gridCol w:w="2325"/>
        <w:gridCol w:w="4320"/>
        <w:gridCol w:w="690"/>
        <w:gridCol w:w="645"/>
        <w:gridCol w:w="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cs="仿宋"/>
                <w:b/>
                <w:bCs/>
                <w:color w:val="000000"/>
                <w:sz w:val="24"/>
                <w:szCs w:val="24"/>
              </w:rPr>
            </w:pPr>
            <w:r>
              <w:rPr>
                <w:rFonts w:hint="eastAsia" w:ascii="宋体"/>
                <w:b/>
                <w:bCs/>
                <w:sz w:val="24"/>
                <w:szCs w:val="24"/>
              </w:rPr>
              <w:t>二、（</w:t>
            </w:r>
            <w:r>
              <w:rPr>
                <w:rFonts w:hint="eastAsia" w:ascii="宋体"/>
                <w:b/>
                <w:bCs/>
                <w:sz w:val="24"/>
                <w:szCs w:val="24"/>
                <w:lang w:val="en-US" w:eastAsia="zh-CN"/>
              </w:rPr>
              <w:t>3</w:t>
            </w:r>
            <w:r>
              <w:rPr>
                <w:rFonts w:hint="eastAsia" w:ascii="宋体"/>
                <w:b/>
                <w:bCs/>
                <w:sz w:val="24"/>
                <w:szCs w:val="24"/>
              </w:rPr>
              <w:t>）</w:t>
            </w:r>
            <w:bookmarkStart w:id="4" w:name="滨河路与府东路交叉口等交通设施位置调整工程"/>
            <w:r>
              <w:rPr>
                <w:rFonts w:hint="eastAsia" w:ascii="宋体"/>
                <w:b/>
                <w:bCs/>
                <w:sz w:val="24"/>
                <w:szCs w:val="24"/>
              </w:rPr>
              <w:t>滨河路与府东路交叉口等交通设施位置调整工程</w:t>
            </w:r>
            <w:bookmarkEnd w:id="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232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4320"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技术参数</w:t>
            </w:r>
          </w:p>
        </w:tc>
        <w:tc>
          <w:tcPr>
            <w:tcW w:w="690"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45" w:type="dxa"/>
            <w:tcBorders>
              <w:top w:val="single" w:color="000000" w:sz="4" w:space="0"/>
              <w:left w:val="single" w:color="000000" w:sz="4" w:space="0"/>
              <w:bottom w:val="single" w:color="000000" w:sz="4" w:space="0"/>
              <w:right w:val="single" w:color="000000" w:sz="4" w:space="0"/>
            </w:tcBorders>
            <w:shd w:val="clear" w:color="auto" w:fill="D9D9D9"/>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禹王大道友谊路交叉口调整电子警察位置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北至南电警拆迁与重建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b/>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b/>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禹王大道柏山路交叉口调整电子警察位置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北至南电警拆迁与重建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b/>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b/>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3</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禹王大道颍河大街交叉口调整电子警察位置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北至南电警拆迁与重建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b/>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b/>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4</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阳翟大道颍川大道交叉口调整电子警察位置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东至西电警拆迁与重建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b/>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b/>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5</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阳翟大道颍顺路交叉口调整电子警察位置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北至南电警拆迁与重建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6</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滨河大道府东路交叉口调整电子警察位置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需移电警杆一根与重建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7</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府东路与颍北大道交叉口调整电子警察位置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需移电警杆一根与重建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8</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阳翟大道与中陶大道交叉口调整电子警察位置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需移电警杆二根与重建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9</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迎宾路与颍河大街交叉口调整电子警察位置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需移电警杆一根与重建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10</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钧州大街与颍北大道交叉口调整电子警察位置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需移电警杆一根与重建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11</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药城路与颍北大道交叉口调整电子警察位置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需移电警杆一根与重建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12</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轩辕大道与园林大道调整电子警察位置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需移电警杆二根与重建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13</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轩辕大道与祥云大道调整电子警察位置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需移电警杆一根与重建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14</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轩辕大道与华夏大道调整电子警察位置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需移电警杆一根与重建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15</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轩辕大道与阳翟大道调整电子警察位置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需移电警杆二根与重建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16</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轩辕大道与和谐大道调整电子警察位置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需移电警杆三根与重建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17</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阳翟大道与夏都路交叉口调整交通信号灯位置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需移信号灯杆一根与重建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18</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阳翟大道与药城路交叉口调整交通信号灯位置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需移信号灯杆二根与重建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19</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阳翟大道与画圣路交叉口调整交通信号灯位置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需移信号灯杆二根与重建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20</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画圣路与滨河大道交叉口调整交通信号灯位置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需移信号灯杆一根与重建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21</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远航路与钧州大街交叉口调整交通信号灯位置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需移信号灯杆一根与重建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22</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阳翟大道与颍河大街交叉口调整交通信号灯位置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需移信号灯杆一根与重建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23</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阳翟大道与中陶大道交叉口调整交通信号灯位置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需移信号灯杆一根与重建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24</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滨河大道与钧州大街交叉口调整交通信号灯位置</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需移信号灯杆二根与重建</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25</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103省道与禹襄路交叉口更换国标信号指示灯</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更换国标信号灯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更换三联体圆灯、左转灯、安装调试、线材等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26</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103省道与高速南站交叉口更换国标信号指示灯</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更换国标信号灯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更换三联体圆灯、左转灯、安装调试、线材等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27</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北环路与禹浅路交叉口更换国标信号指示灯</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更换国标信号灯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更换三联体圆灯、安装调试、线材等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28</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禹王大道与药城路交叉口更换国标信号指示灯</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更换国标信号灯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更换三联体圆灯、左转灯、安装调试、线材等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29</w:t>
            </w:r>
          </w:p>
        </w:tc>
        <w:tc>
          <w:tcPr>
            <w:tcW w:w="23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滨河大道与药城路交叉口更换国标信号指示灯</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更换国标信号灯</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23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sz w:val="24"/>
                <w:szCs w:val="24"/>
              </w:rPr>
            </w:pP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更换三联体圆灯、左转灯、安装调试、线材等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30</w:t>
            </w:r>
          </w:p>
        </w:tc>
        <w:tc>
          <w:tcPr>
            <w:tcW w:w="23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b/>
                <w:color w:val="000000"/>
                <w:sz w:val="24"/>
                <w:szCs w:val="24"/>
              </w:rPr>
            </w:pPr>
            <w:r>
              <w:rPr>
                <w:rFonts w:hint="eastAsia" w:ascii="仿宋" w:eastAsia="仿宋" w:cs="仿宋"/>
                <w:b/>
                <w:color w:val="000000"/>
                <w:kern w:val="0"/>
                <w:sz w:val="24"/>
                <w:szCs w:val="24"/>
              </w:rPr>
              <w:t>236省道与燕磨路交叉口更换国标信号指示灯</w:t>
            </w:r>
          </w:p>
        </w:tc>
        <w:tc>
          <w:tcPr>
            <w:tcW w:w="43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kern w:val="0"/>
                <w:sz w:val="24"/>
                <w:szCs w:val="24"/>
              </w:rPr>
            </w:pPr>
            <w:r>
              <w:rPr>
                <w:rFonts w:hint="eastAsia" w:ascii="仿宋" w:eastAsia="仿宋" w:cs="仿宋"/>
                <w:color w:val="000000"/>
                <w:kern w:val="0"/>
                <w:sz w:val="24"/>
                <w:szCs w:val="24"/>
              </w:rPr>
              <w:t>需移电警杆一根与重建</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挖坑、预埋件、商混、拆杆、立杆、线材、环通顶管手井等、</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r>
              <w:rPr>
                <w:rFonts w:hint="eastAsia" w:ascii="仿宋" w:eastAsia="仿宋" w:cs="仿宋"/>
                <w:color w:val="000000"/>
                <w:sz w:val="24"/>
                <w:szCs w:val="24"/>
              </w:rPr>
              <w:t>项</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仿宋" w:eastAsia="仿宋" w:cs="仿宋"/>
                <w:color w:val="000000"/>
                <w:sz w:val="24"/>
                <w:szCs w:val="24"/>
              </w:rPr>
            </w:pPr>
            <w:r>
              <w:rPr>
                <w:rFonts w:hint="eastAsia" w:ascii="仿宋" w:eastAsia="仿宋" w:cs="仿宋"/>
                <w:color w:val="000000"/>
                <w:sz w:val="24"/>
                <w:szCs w:val="24"/>
              </w:rPr>
              <w:t>1</w:t>
            </w:r>
          </w:p>
        </w:tc>
        <w:tc>
          <w:tcPr>
            <w:tcW w:w="6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bl>
    <w:p>
      <w:pPr>
        <w:pStyle w:val="2"/>
        <w:rPr>
          <w:lang w:eastAsia="en-US"/>
        </w:rPr>
      </w:pPr>
    </w:p>
    <w:p>
      <w:pPr>
        <w:pStyle w:val="2"/>
        <w:jc w:val="both"/>
        <w:rPr>
          <w:rFonts w:hint="eastAsia" w:ascii="仿宋" w:eastAsia="仿宋"/>
          <w:b/>
          <w:bCs/>
          <w:sz w:val="44"/>
          <w:szCs w:val="44"/>
          <w:lang w:val="en-US" w:eastAsia="zh-CN"/>
        </w:rPr>
      </w:pPr>
    </w:p>
    <w:p>
      <w:pPr>
        <w:pStyle w:val="2"/>
        <w:jc w:val="center"/>
        <w:rPr>
          <w:rFonts w:hint="eastAsia" w:ascii="仿宋" w:eastAsia="仿宋"/>
          <w:b/>
          <w:bCs/>
          <w:sz w:val="44"/>
          <w:szCs w:val="44"/>
          <w:lang w:val="en-US" w:eastAsia="zh-CN"/>
        </w:rPr>
      </w:pPr>
    </w:p>
    <w:p>
      <w:pPr>
        <w:pStyle w:val="2"/>
        <w:jc w:val="center"/>
        <w:rPr>
          <w:rFonts w:hint="eastAsia" w:ascii="仿宋" w:eastAsia="仿宋"/>
          <w:b/>
          <w:bCs/>
          <w:sz w:val="44"/>
          <w:szCs w:val="44"/>
          <w:lang w:val="en-US" w:eastAsia="zh-CN"/>
        </w:rPr>
      </w:pPr>
    </w:p>
    <w:p>
      <w:pPr>
        <w:pStyle w:val="2"/>
        <w:jc w:val="center"/>
        <w:rPr>
          <w:rFonts w:hint="eastAsia" w:ascii="仿宋" w:eastAsia="仿宋"/>
          <w:b/>
          <w:bCs/>
          <w:sz w:val="44"/>
          <w:szCs w:val="44"/>
          <w:lang w:val="en-US" w:eastAsia="zh-CN"/>
        </w:rPr>
      </w:pPr>
    </w:p>
    <w:p>
      <w:pPr>
        <w:pStyle w:val="2"/>
        <w:jc w:val="center"/>
      </w:pPr>
      <w:r>
        <w:rPr>
          <w:rFonts w:hint="eastAsia" w:ascii="仿宋" w:eastAsia="仿宋"/>
          <w:b/>
          <w:bCs/>
          <w:sz w:val="44"/>
          <w:szCs w:val="44"/>
          <w:lang w:val="en-US" w:eastAsia="zh-CN"/>
        </w:rPr>
        <w:t>第三标段</w:t>
      </w:r>
      <w:r>
        <w:rPr>
          <w:rFonts w:hint="eastAsia" w:ascii="仿宋" w:eastAsia="仿宋"/>
          <w:b/>
          <w:bCs/>
          <w:sz w:val="44"/>
          <w:szCs w:val="44"/>
        </w:rPr>
        <w:t>项目明细及技术参数</w:t>
      </w:r>
    </w:p>
    <w:tbl>
      <w:tblPr>
        <w:tblStyle w:val="23"/>
        <w:tblW w:w="924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75"/>
        <w:gridCol w:w="1005"/>
        <w:gridCol w:w="5805"/>
        <w:gridCol w:w="600"/>
        <w:gridCol w:w="660"/>
        <w:gridCol w:w="6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b/>
                <w:bCs/>
                <w:sz w:val="24"/>
                <w:szCs w:val="24"/>
              </w:rPr>
            </w:pPr>
            <w:bookmarkStart w:id="5" w:name="开元大道和禹王大道东延伸段等11个主要路口新建交通设施工程"/>
            <w:r>
              <w:rPr>
                <w:rFonts w:hint="eastAsia" w:ascii="宋体"/>
                <w:b/>
                <w:bCs/>
                <w:sz w:val="24"/>
                <w:szCs w:val="24"/>
              </w:rPr>
              <w:t>开元大道和禹王大道东延伸段等11个主要路口</w:t>
            </w:r>
          </w:p>
          <w:p>
            <w:pPr>
              <w:jc w:val="center"/>
              <w:textAlignment w:val="center"/>
              <w:rPr>
                <w:rFonts w:ascii="宋体" w:cs="仿宋"/>
                <w:b/>
                <w:bCs/>
                <w:color w:val="000000"/>
                <w:sz w:val="24"/>
                <w:szCs w:val="24"/>
              </w:rPr>
            </w:pPr>
            <w:r>
              <w:rPr>
                <w:rFonts w:hint="eastAsia" w:ascii="宋体"/>
                <w:b/>
                <w:bCs/>
                <w:sz w:val="24"/>
                <w:szCs w:val="24"/>
                <w:lang w:eastAsia="en-US"/>
              </w:rPr>
              <w:t>新建交通设施工程</w:t>
            </w:r>
            <w:bookmarkEnd w:id="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w:t>
            </w:r>
            <w:bookmarkStart w:id="6" w:name="开元大道"/>
            <w:r>
              <w:rPr>
                <w:rFonts w:hint="eastAsia" w:ascii="仿宋" w:eastAsia="仿宋" w:cs="仿宋"/>
                <w:b/>
                <w:color w:val="000000"/>
                <w:kern w:val="0"/>
                <w:sz w:val="24"/>
                <w:szCs w:val="24"/>
                <w:lang w:val="en-US" w:eastAsia="zh-CN"/>
              </w:rPr>
              <w:t>开元大道和吕不韦路</w:t>
            </w:r>
            <w:r>
              <w:rPr>
                <w:rFonts w:hint="eastAsia" w:ascii="仿宋" w:eastAsia="仿宋" w:cs="仿宋"/>
                <w:b/>
                <w:color w:val="000000"/>
                <w:kern w:val="0"/>
                <w:sz w:val="24"/>
                <w:szCs w:val="24"/>
              </w:rPr>
              <w:t>交叉口新建信号</w:t>
            </w:r>
            <w:bookmarkEnd w:id="6"/>
            <w:r>
              <w:rPr>
                <w:rFonts w:hint="eastAsia" w:ascii="仿宋" w:eastAsia="仿宋" w:cs="仿宋"/>
                <w:b/>
                <w:color w:val="000000"/>
                <w:kern w:val="0"/>
                <w:sz w:val="24"/>
                <w:szCs w:val="24"/>
              </w:rPr>
              <w:t>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r>
              <w:rPr>
                <w:rFonts w:hint="eastAsia"/>
              </w:rPr>
              <w:t>是</w:t>
            </w: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功率：功率≤15W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【左转箭头灯】【竖装】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中心亮度：5000 ~15000 cd/m2</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top"/>
              <w:rPr>
                <w:rFonts w:ascii="仿宋" w:eastAsia="仿宋" w:cs="仿宋"/>
                <w:color w:val="000000"/>
                <w:sz w:val="24"/>
                <w:szCs w:val="24"/>
              </w:rPr>
            </w:pPr>
            <w:r>
              <w:rPr>
                <w:rFonts w:hint="eastAsia" w:ascii="仿宋" w:eastAsia="仿宋" w:cs="仿宋"/>
                <w:color w:val="000000"/>
                <w:kern w:val="0"/>
                <w:sz w:val="24"/>
                <w:szCs w:val="24"/>
              </w:rPr>
              <w:t>【人行灯】【竖装】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面罩规格：φ300mm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LED数量：红60，绿56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可视距离：＞300m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杆子横臂14米</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圆柱杆子、高度4MM镀锌含预埋件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挖基础，人工、土方开挖、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土方清运需大车拉土人工装土、</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2、开元大道琅城路交叉口新建信号灯、电警及反向卡口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rPr>
            </w:pPr>
            <w:r>
              <w:rPr>
                <w:rFonts w:hint="eastAsia"/>
              </w:rPr>
              <w:t>是</w:t>
            </w: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功率：功率≤15W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【左转箭头灯】【竖装】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中心亮度：5000 ~15000 cd/m2</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tcPr>
          <w:p>
            <w:pPr>
              <w:jc w:val="left"/>
              <w:textAlignment w:val="top"/>
              <w:rPr>
                <w:rFonts w:ascii="仿宋" w:eastAsia="仿宋" w:cs="仿宋"/>
                <w:color w:val="000000"/>
                <w:sz w:val="24"/>
                <w:szCs w:val="24"/>
              </w:rPr>
            </w:pPr>
            <w:r>
              <w:rPr>
                <w:rFonts w:hint="eastAsia" w:ascii="仿宋" w:eastAsia="仿宋" w:cs="仿宋"/>
                <w:color w:val="000000"/>
                <w:kern w:val="0"/>
                <w:sz w:val="24"/>
                <w:szCs w:val="24"/>
              </w:rPr>
              <w:t>【人行灯】【竖装】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面罩规格：φ300mm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LED数量：红60，绿56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可视距离：＞300m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圆柱杆子、高度4MM镀锌含预埋件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pPr>
          </w:p>
          <w:p>
            <w:pPr>
              <w:pStyle w:val="2"/>
              <w:rPr>
                <w:rFonts w:ascii="仿宋" w:eastAsia="仿宋" w:cs="仿宋"/>
                <w:color w:val="000000"/>
                <w:sz w:val="24"/>
                <w:szCs w:val="24"/>
              </w:rPr>
            </w:pPr>
          </w:p>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3、开元大道水镜路交叉口新建信号灯、电警及反向卡口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功率：功率≤15W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【左转箭头灯】【竖装】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中心亮度：5000 ~15000 cd/m2</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textAlignment w:val="top"/>
              <w:rPr>
                <w:rFonts w:ascii="仿宋" w:eastAsia="仿宋" w:cs="仿宋"/>
                <w:color w:val="000000"/>
                <w:sz w:val="24"/>
                <w:szCs w:val="24"/>
              </w:rPr>
            </w:pPr>
            <w:r>
              <w:rPr>
                <w:rFonts w:hint="eastAsia" w:ascii="仿宋" w:eastAsia="仿宋" w:cs="仿宋"/>
                <w:color w:val="000000"/>
                <w:kern w:val="0"/>
                <w:sz w:val="24"/>
                <w:szCs w:val="24"/>
              </w:rPr>
              <w:t>【人行灯】【竖装】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面罩规格：φ300mm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LED数量：红60，绿56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可视距离：＞300m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圆柱杆子、高度4MM镀锌含预埋件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4、开元大道遂良大道交叉口新建信号灯、电警及反向卡口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功率：功率≤15W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【左转箭头灯】【竖装】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中心亮度：5000 ~15000 cd/m2</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textAlignment w:val="top"/>
              <w:rPr>
                <w:rFonts w:ascii="仿宋" w:eastAsia="仿宋" w:cs="仿宋"/>
                <w:color w:val="000000"/>
                <w:sz w:val="24"/>
                <w:szCs w:val="24"/>
              </w:rPr>
            </w:pPr>
            <w:r>
              <w:rPr>
                <w:rFonts w:hint="eastAsia" w:ascii="仿宋" w:eastAsia="仿宋" w:cs="仿宋"/>
                <w:color w:val="000000"/>
                <w:kern w:val="0"/>
                <w:sz w:val="24"/>
                <w:szCs w:val="24"/>
              </w:rPr>
              <w:t>【人行灯】【竖装】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面罩规格：φ300mm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LED数量：红60，绿56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可视距离：＞300m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杆子横臂14米</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圆柱杆子、高度4MM镀锌含预埋件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420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
            <w:pPr>
              <w:pStyle w:val="2"/>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5、开元大道高压走廊交叉口新建信号灯、电警及反向卡口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p>
          <w:p>
            <w:pPr>
              <w:jc w:val="both"/>
              <w:textAlignment w:val="center"/>
              <w:rPr>
                <w:rFonts w:hint="eastAsia"/>
              </w:rPr>
            </w:pPr>
            <w:r>
              <w:rPr>
                <w:rFonts w:hint="eastAsia"/>
              </w:rPr>
              <w:t>是</w:t>
            </w: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功率：功率≤15W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【左转箭头灯】【竖装】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中心亮度：5000 ~15000 cd/m2</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textAlignment w:val="top"/>
              <w:rPr>
                <w:rFonts w:ascii="仿宋" w:eastAsia="仿宋" w:cs="仿宋"/>
                <w:color w:val="000000"/>
                <w:sz w:val="24"/>
                <w:szCs w:val="24"/>
              </w:rPr>
            </w:pPr>
            <w:r>
              <w:rPr>
                <w:rFonts w:hint="eastAsia" w:ascii="仿宋" w:eastAsia="仿宋" w:cs="仿宋"/>
                <w:color w:val="000000"/>
                <w:kern w:val="0"/>
                <w:sz w:val="24"/>
                <w:szCs w:val="24"/>
              </w:rPr>
              <w:t>【人行灯】【竖装】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面罩规格：φ300mm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LED数量：红60，绿56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可视距离：＞300m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pPr>
          </w:p>
          <w:p>
            <w:pPr>
              <w:pStyle w:val="2"/>
              <w:rPr>
                <w:rFonts w:ascii="仿宋" w:eastAsia="仿宋" w:cs="仿宋"/>
                <w:color w:val="000000"/>
                <w:sz w:val="24"/>
                <w:szCs w:val="24"/>
              </w:rPr>
            </w:pPr>
          </w:p>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2"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pPr>
          </w:p>
          <w:p>
            <w:pPr>
              <w:pStyle w:val="2"/>
              <w:rPr>
                <w:rFonts w:ascii="仿宋" w:eastAsia="仿宋" w:cs="仿宋"/>
                <w:color w:val="000000"/>
                <w:sz w:val="24"/>
                <w:szCs w:val="24"/>
              </w:rPr>
            </w:pPr>
          </w:p>
          <w:p>
            <w:pPr>
              <w:pStyle w:val="2"/>
              <w:rPr>
                <w:rFonts w:ascii="仿宋" w:eastAsia="仿宋" w:cs="仿宋"/>
                <w:color w:val="000000"/>
                <w:sz w:val="24"/>
                <w:szCs w:val="24"/>
              </w:rPr>
            </w:pPr>
          </w:p>
          <w:p>
            <w:pPr>
              <w:pStyle w:val="2"/>
              <w:rPr>
                <w:rFonts w:ascii="仿宋" w:eastAsia="仿宋" w:cs="仿宋"/>
                <w:color w:val="000000"/>
                <w:sz w:val="24"/>
                <w:szCs w:val="24"/>
              </w:rPr>
            </w:pPr>
          </w:p>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圆柱杆子、高度4MM镀锌含预埋件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6、禹王大道吕不韦路交叉口新建信号灯、电警及反向卡口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p>
          <w:p>
            <w:pPr>
              <w:jc w:val="center"/>
              <w:textAlignment w:val="center"/>
              <w:rPr>
                <w:rFonts w:hint="eastAsia"/>
              </w:rPr>
            </w:pPr>
            <w:r>
              <w:rPr>
                <w:rFonts w:hint="eastAsia"/>
              </w:rPr>
              <w:t>是</w:t>
            </w: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p>
            <w:pPr>
              <w:pStyle w:val="2"/>
              <w:rPr>
                <w:rFonts w:hint="eastAsia" w:ascii="仿宋" w:eastAsia="仿宋" w:cs="仿宋"/>
                <w:color w:val="000000"/>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功率：功率≤15W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【左转箭头灯】【竖装】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中心亮度：5000 ~15000 cd/m2</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textAlignment w:val="top"/>
              <w:rPr>
                <w:rFonts w:ascii="仿宋" w:eastAsia="仿宋" w:cs="仿宋"/>
                <w:color w:val="000000"/>
                <w:sz w:val="24"/>
                <w:szCs w:val="24"/>
              </w:rPr>
            </w:pPr>
            <w:r>
              <w:rPr>
                <w:rFonts w:hint="eastAsia" w:ascii="仿宋" w:eastAsia="仿宋" w:cs="仿宋"/>
                <w:color w:val="000000"/>
                <w:kern w:val="0"/>
                <w:sz w:val="24"/>
                <w:szCs w:val="24"/>
              </w:rPr>
              <w:t>【人行灯】【竖装】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面罩规格：φ300mm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LED数量：红60，绿56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可视距离：＞300m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杆子横臂14米</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圆柱杆子、高度4MM镀锌含预埋件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7、禹王大道褚东路新建信号灯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6-7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6.5</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8、褚河大街博文路交叉口新建信号灯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pPr>
          </w:p>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6-7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信号机、机柜</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9、开元大道103省道交叉口新建信号灯、电警及反向卡口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4.5</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10、工业大道高压走廊交叉口新建信号灯、电警及反向卡口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功率：功率≤15W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【左转箭头灯】【竖装】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中心亮度：5000 ~15000 cd/m2</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textAlignment w:val="top"/>
              <w:rPr>
                <w:rFonts w:ascii="仿宋" w:eastAsia="仿宋" w:cs="仿宋"/>
                <w:color w:val="000000"/>
                <w:sz w:val="24"/>
                <w:szCs w:val="24"/>
              </w:rPr>
            </w:pPr>
            <w:r>
              <w:rPr>
                <w:rFonts w:hint="eastAsia" w:ascii="仿宋" w:eastAsia="仿宋" w:cs="仿宋"/>
                <w:color w:val="000000"/>
                <w:kern w:val="0"/>
                <w:sz w:val="24"/>
                <w:szCs w:val="24"/>
              </w:rPr>
              <w:t>【人行灯】【竖装】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面罩规格：φ300mm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LED数量：红60，绿56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可视距离：＞300m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圆柱杆子、高度4MM镀锌含预埋件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pPr>
          </w:p>
          <w:p>
            <w:pPr>
              <w:pStyle w:val="2"/>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924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11、祥云大道高压走廊交叉口新建信号灯、电警及反向卡口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货物名称</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技术规格及主要参数</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单位</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数量</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b/>
                <w:color w:val="000000"/>
                <w:sz w:val="24"/>
                <w:szCs w:val="24"/>
              </w:rPr>
            </w:pPr>
            <w:r>
              <w:rPr>
                <w:rFonts w:hint="eastAsia" w:ascii="仿宋" w:eastAsia="仿宋" w:cs="仿宋"/>
                <w:b/>
                <w:color w:val="000000"/>
                <w:kern w:val="0"/>
                <w:sz w:val="24"/>
                <w:szCs w:val="24"/>
              </w:rPr>
              <w:t>是否为核心产品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900万像素高清抓拍单元（卡口）</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900万像素高清抓拍单元（电警）</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高清抓拍单元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包含摄像机（内置偏振镜）、高清镜头、室外防护罩、风扇、内置补光灯、电源适配器、相机内置防雷模块、安装万向节等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lang w:eastAsia="zh-CN"/>
              </w:rPr>
              <w:t>像素：不低于900W；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分辨率：最大支持4096*2160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帧率：25fps</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图像传感器：采用1" 英寸全局曝光CMOS（GMOS）传感器</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镜头：根据现场实际情况配置</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照度：彩色:0.01Lux</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视频压缩标准：H.265/H.264/MJPEG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图像输出格式：JPEG</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输出：电平量信号</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通讯接口：2个RJ45 100M/1000M自适应网口，</w:t>
            </w:r>
            <w:r>
              <w:rPr>
                <w:rFonts w:hint="eastAsia" w:ascii="仿宋" w:eastAsia="仿宋" w:cs="仿宋"/>
                <w:color w:val="000000"/>
                <w:kern w:val="0"/>
                <w:sz w:val="24"/>
                <w:szCs w:val="24"/>
                <w:lang w:val="en-US" w:eastAsia="zh-CN"/>
              </w:rPr>
              <w:t>2个RS485接口</w:t>
            </w:r>
            <w:r>
              <w:rPr>
                <w:rFonts w:hint="eastAsia" w:ascii="仿宋" w:eastAsia="仿宋" w:cs="仿宋"/>
                <w:color w:val="000000"/>
                <w:kern w:val="0"/>
                <w:sz w:val="24"/>
                <w:szCs w:val="24"/>
              </w:rPr>
              <w:t>，1个RS232接口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外部接口：4路外部触发输入，6路(光耦隔离2500VAC)输出，可作为闪光灯同步输出控制，SYNC信号灯电源同步输入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存储支持：最大支持64G TF卡</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自动光圈镜头：支持</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工作电压：100VAC～240VAC；频率：48Hz～52Hz；</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功耗：＜20W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lang w:eastAsia="zh-CN"/>
              </w:rPr>
              <w:t>支持对</w:t>
            </w:r>
            <w:r>
              <w:rPr>
                <w:rFonts w:hint="eastAsia" w:ascii="仿宋" w:eastAsia="仿宋" w:cs="仿宋"/>
                <w:color w:val="000000"/>
                <w:kern w:val="0"/>
                <w:sz w:val="24"/>
                <w:szCs w:val="24"/>
              </w:rPr>
              <w:t>非机动车逆行，闯红</w:t>
            </w:r>
            <w:r>
              <w:rPr>
                <w:rFonts w:hint="eastAsia" w:ascii="仿宋" w:eastAsia="仿宋" w:cs="仿宋"/>
                <w:color w:val="000000"/>
                <w:kern w:val="0"/>
                <w:sz w:val="24"/>
                <w:szCs w:val="24"/>
                <w:lang w:eastAsia="zh-CN"/>
              </w:rPr>
              <w:t>灯等</w:t>
            </w:r>
            <w:r>
              <w:rPr>
                <w:rFonts w:hint="eastAsia" w:ascii="仿宋" w:eastAsia="仿宋" w:cs="仿宋"/>
                <w:color w:val="000000"/>
                <w:kern w:val="0"/>
                <w:sz w:val="24"/>
                <w:szCs w:val="24"/>
              </w:rPr>
              <w:t>违法抓拍上传。</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支持检测</w:t>
            </w:r>
            <w:r>
              <w:rPr>
                <w:rFonts w:hint="eastAsia" w:ascii="仿宋" w:eastAsia="仿宋" w:cs="仿宋"/>
                <w:color w:val="000000"/>
                <w:kern w:val="0"/>
                <w:sz w:val="24"/>
                <w:szCs w:val="24"/>
                <w:lang w:eastAsia="zh-CN"/>
              </w:rPr>
              <w:t>交通</w:t>
            </w:r>
            <w:r>
              <w:rPr>
                <w:rFonts w:hint="eastAsia" w:ascii="仿宋" w:eastAsia="仿宋" w:cs="仿宋"/>
                <w:color w:val="000000"/>
                <w:kern w:val="0"/>
                <w:sz w:val="24"/>
                <w:szCs w:val="24"/>
              </w:rPr>
              <w:t>事故</w:t>
            </w:r>
            <w:r>
              <w:rPr>
                <w:rFonts w:hint="eastAsia" w:ascii="仿宋" w:eastAsia="仿宋" w:cs="仿宋"/>
                <w:color w:val="000000"/>
                <w:kern w:val="0"/>
                <w:sz w:val="24"/>
                <w:szCs w:val="24"/>
                <w:lang w:eastAsia="zh-CN"/>
              </w:rPr>
              <w:t>功能</w:t>
            </w:r>
            <w:r>
              <w:rPr>
                <w:rFonts w:hint="eastAsia" w:ascii="仿宋" w:eastAsia="仿宋" w:cs="仿宋"/>
                <w:color w:val="000000"/>
                <w:kern w:val="0"/>
                <w:sz w:val="24"/>
                <w:szCs w:val="24"/>
              </w:rPr>
              <w:t>，并可上传设备位置信息及事故图片至平台。</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支持禁货、禁拖拉机、禁农用车、禁大客车、禁左、禁右、禁止掉头等违章抓拍。</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支持smart JPEG编码，能够有效减小抓拍图片大小，压缩比0-100可设置。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支持不低于2</w:t>
            </w:r>
            <w:r>
              <w:rPr>
                <w:rFonts w:hint="eastAsia" w:ascii="仿宋" w:eastAsia="仿宋" w:cs="仿宋"/>
                <w:color w:val="000000"/>
                <w:kern w:val="0"/>
                <w:sz w:val="24"/>
                <w:szCs w:val="24"/>
                <w:lang w:val="en-US" w:eastAsia="zh-CN"/>
              </w:rPr>
              <w:t>2</w:t>
            </w:r>
            <w:r>
              <w:rPr>
                <w:rFonts w:hint="eastAsia" w:ascii="仿宋" w:eastAsia="仿宋" w:cs="仿宋"/>
                <w:color w:val="000000"/>
                <w:kern w:val="0"/>
                <w:sz w:val="24"/>
                <w:szCs w:val="24"/>
              </w:rPr>
              <w:t>种车型检测，包括小型客车、中型客车、大型客车、微型轿车、小型轿车、两厢轿车、三厢轿车、SUV、MPV、面包车、皮卡车、货车、</w:t>
            </w:r>
            <w:r>
              <w:rPr>
                <w:rFonts w:hint="eastAsia" w:ascii="仿宋" w:eastAsia="仿宋" w:cs="仿宋"/>
                <w:color w:val="000000"/>
                <w:kern w:val="0"/>
                <w:sz w:val="24"/>
                <w:szCs w:val="24"/>
                <w:lang w:eastAsia="zh-CN"/>
              </w:rPr>
              <w:t>小货车、三轮车</w:t>
            </w:r>
            <w:r>
              <w:rPr>
                <w:rFonts w:hint="eastAsia" w:ascii="仿宋" w:eastAsia="仿宋" w:cs="仿宋"/>
                <w:color w:val="000000"/>
                <w:kern w:val="0"/>
                <w:sz w:val="24"/>
                <w:szCs w:val="24"/>
              </w:rPr>
              <w:t>、集装箱卡车、微卡/栏板车、渣土车、吊车/工程车、油罐车、混凝土搅拌车、</w:t>
            </w:r>
            <w:r>
              <w:rPr>
                <w:rFonts w:hint="eastAsia" w:ascii="仿宋" w:eastAsia="仿宋" w:cs="仿宋"/>
                <w:color w:val="000000"/>
                <w:kern w:val="0"/>
                <w:sz w:val="24"/>
                <w:szCs w:val="24"/>
                <w:lang w:eastAsia="zh-CN"/>
              </w:rPr>
              <w:t>平板拖车等</w:t>
            </w:r>
            <w:r>
              <w:rPr>
                <w:rFonts w:hint="eastAsia" w:ascii="仿宋" w:eastAsia="仿宋" w:cs="仿宋"/>
                <w:color w:val="000000"/>
                <w:kern w:val="0"/>
                <w:sz w:val="24"/>
                <w:szCs w:val="24"/>
              </w:rPr>
              <w:t>，准确率不低于9</w:t>
            </w:r>
            <w:r>
              <w:rPr>
                <w:rFonts w:hint="eastAsia" w:ascii="仿宋" w:eastAsia="仿宋" w:cs="仿宋"/>
                <w:color w:val="000000"/>
                <w:kern w:val="0"/>
                <w:sz w:val="24"/>
                <w:szCs w:val="24"/>
                <w:lang w:val="en-US" w:eastAsia="zh-CN"/>
              </w:rPr>
              <w:t>7</w:t>
            </w:r>
            <w:r>
              <w:rPr>
                <w:rFonts w:hint="eastAsia" w:ascii="仿宋" w:eastAsia="仿宋" w:cs="仿宋"/>
                <w:color w:val="000000"/>
                <w:kern w:val="0"/>
                <w:sz w:val="24"/>
                <w:szCs w:val="24"/>
              </w:rPr>
              <w:t>%。</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车辆捕获率不低于95%，车牌识别率不低于95%，车身颜色识别率不低于90%，车型识别率不低于90%，车辆品牌识别率不低于90%；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支持智能识别功能：内置视频识别功能，支持车牌识别、视频触发、车身颜色识别、车型识别，通行车辆信息捕获和</w:t>
            </w:r>
            <w:r>
              <w:rPr>
                <w:rFonts w:hint="eastAsia" w:ascii="仿宋" w:eastAsia="仿宋" w:cs="仿宋"/>
                <w:color w:val="000000"/>
                <w:kern w:val="0"/>
                <w:sz w:val="24"/>
                <w:szCs w:val="24"/>
                <w:lang w:eastAsia="zh-CN"/>
              </w:rPr>
              <w:t>违章检测功能；</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气体爆闪灯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色温＞4000K；</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1路RS485接口、1路爆闪输入接口、1个照度传感器；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补光灯自带光敏控制，可根据环境亮度自动调节闪光强度；</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可通过RS485设置闪光亮度，闪光亮度1~20级可调</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回电时间应≤50ms；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在-30℃~70℃温度范围内均能正常工作</w:t>
            </w:r>
          </w:p>
          <w:p>
            <w:pPr>
              <w:spacing w:line="240" w:lineRule="auto"/>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rPr>
              <w:t>【白光】【爆闪』【带光】:单车道气体爆闪灯，单次闪光能量2200，白天可看清前排司乘人员面部特征;;回电时间＜67ms，支持5V电平量触发(可选开关量);:有效补光距离16m～-25m;:具有脉冲保护功能，屏蔽23Hz持续性的脉冲信号(闪15次后进入1次/S的微闪光提示状态，复原时间为105)::闪光次数≥2000万次;;自带光栅，可有效減少</w:t>
            </w:r>
            <w:r>
              <w:rPr>
                <w:rFonts w:hint="eastAsia" w:ascii="仿宋" w:eastAsia="仿宋" w:cs="仿宋"/>
                <w:color w:val="000000"/>
                <w:kern w:val="0"/>
                <w:sz w:val="24"/>
                <w:szCs w:val="24"/>
                <w:lang w:eastAsia="zh-CN"/>
              </w:rPr>
              <w:t>周边光污染；</w:t>
            </w:r>
          </w:p>
          <w:p>
            <w:pPr>
              <w:spacing w:line="240" w:lineRule="auto"/>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LED补光灯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16颗原装进口大功率LED频闪灯，补光灯自带光敏控制，在低照度下自动开启，低照度阀值可设；</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最佳补光距离16m～25m；</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频率0-250HZ可调；支持通过调整占空比1%~39%进行亮度调节；</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支持频率及占空比保护功能；</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支持通过RS485远程控制补光灯的亮度、开启/关闭；</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支持远程显示补光灯故障、正常、开启、关闭等工作状态；</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频闪响应时间≤20微秒；</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防护等级IP66；</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电源电压在AC80V~264V范围内变化时，能正常工作；</w:t>
            </w:r>
          </w:p>
          <w:p>
            <w:pPr>
              <w:spacing w:line="240" w:lineRule="auto"/>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最大功率30W</w:t>
            </w:r>
          </w:p>
          <w:p>
            <w:pPr>
              <w:spacing w:line="240" w:lineRule="auto"/>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【非机动车信号灯】【竖装】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功率：功率≤15W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【满屏信号灯】【竖装】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LED数量：红156，黄156，绿156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中心光强：400 ~1000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【左转箭头灯】【竖装】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产品尺寸：1380×455×130mm（铝壳灯体）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面罩规格：φ400mm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LED数量：红90，黄90，绿90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LED波长：红：625nm；黄：590nm；绿：505nm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中心亮度：5000 ~15000 cd/m2</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可视距离：＞450m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功率：功率≤20W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重量：≤20kg</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人行信号灯</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textAlignment w:val="top"/>
              <w:rPr>
                <w:rFonts w:ascii="仿宋" w:eastAsia="仿宋" w:cs="仿宋"/>
                <w:color w:val="000000"/>
                <w:sz w:val="24"/>
                <w:szCs w:val="24"/>
              </w:rPr>
            </w:pPr>
            <w:r>
              <w:rPr>
                <w:rFonts w:hint="eastAsia" w:ascii="仿宋" w:eastAsia="仿宋" w:cs="仿宋"/>
                <w:color w:val="000000"/>
                <w:kern w:val="0"/>
                <w:sz w:val="24"/>
                <w:szCs w:val="24"/>
              </w:rPr>
              <w:t>【人行灯】【竖装】</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包含：灯具、帽檐、装饰边、背杆支架、U型抱箍</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（铝壳灯体）</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面罩规格：φ300mm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面罩材质：玻璃</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外壳材质：铝压铸</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表面处理：黑色喷塑哑光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LED数量：红60，绿56</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LED波长：红：625nm；绿：505nm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LED直径：φ5mm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单管电流：＜18mA</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LED寿命：≥70000小时</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绝缘电阻：≥500MΩ</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介电强度：≥1440V</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中心光强：150~400 cd</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可视距离：＞300m</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可视角度：＞30°</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工作电压：AC 220V±44V，50HZ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功率：功率≤10W</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 xml:space="preserve">工作温度：-40 ~ +80℃ </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相对湿度：≤93%</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防护等级：IP53</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组</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交通信号控制主机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包含：控制主机、配电单元、机柜、无线遥控器、GPS。</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相位：支持16主相位+16跟随相位；</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控输出：不低于44路输出，单通道负载800W；</w:t>
            </w:r>
          </w:p>
          <w:p>
            <w:pPr>
              <w:jc w:val="left"/>
              <w:textAlignment w:val="center"/>
              <w:rPr>
                <w:rFonts w:hint="eastAsia" w:ascii="仿宋" w:eastAsia="仿宋" w:cs="仿宋"/>
                <w:color w:val="000000"/>
                <w:kern w:val="0"/>
                <w:sz w:val="24"/>
                <w:szCs w:val="24"/>
                <w:lang w:eastAsia="zh-CN"/>
              </w:rPr>
            </w:pPr>
            <w:r>
              <w:rPr>
                <w:rFonts w:hint="eastAsia" w:ascii="仿宋" w:eastAsia="仿宋" w:cs="仿宋"/>
                <w:color w:val="000000"/>
                <w:kern w:val="0"/>
                <w:sz w:val="24"/>
                <w:szCs w:val="24"/>
                <w:lang w:eastAsia="zh-CN"/>
              </w:rPr>
              <w:t>灯控板：4块，每块支持11路；</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通讯协议：支持NTCIP协议；</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信号机应具有单点优化控制功能，能够根据采集的交通流量信息，调整绿灯、红灯时间。</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网络接口：1个RJ45接口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其他接口：1个RS232接口，2个RS485接口，1个USB接口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当出现绿冲突、某信号组所有红灯均熄灭或信号灯组红灯、绿灯同时点亮时，信号机应能立即自动切断信号输出通道，转入黄闪或关灯状态。</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外部输入：8路行人按钮输入</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信号机从自动控制方式转入手动控制方式时，应保持原有相位的最小安全时间；从手动控制方式转入自动控制方式时，信号状态不能突变，各相位信号应保持转换时刻的状态，并从当前信号状态开始以自动控制方式运行。</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无线遥控：支持</w:t>
            </w:r>
          </w:p>
          <w:p>
            <w:pPr>
              <w:pStyle w:val="2"/>
              <w:rPr>
                <w:rFonts w:hint="eastAsia"/>
              </w:rPr>
            </w:pPr>
            <w:r>
              <w:rPr>
                <w:rFonts w:hint="eastAsia" w:ascii="仿宋" w:eastAsia="仿宋" w:cs="仿宋"/>
                <w:color w:val="000000"/>
                <w:kern w:val="0"/>
                <w:sz w:val="24"/>
                <w:szCs w:val="24"/>
              </w:rPr>
              <w:t>无线接入：可选配4G/WIFI模块</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工作电压： AC220V±44V，50Hz±2Hz</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温度：-40℃～+70℃</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功耗：35W</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绝缘强度：＞500 MΩ</w:t>
            </w:r>
          </w:p>
          <w:p>
            <w:pPr>
              <w:pStyle w:val="2"/>
              <w:rPr>
                <w:rFonts w:hint="eastAsia" w:ascii="仿宋" w:eastAsia="仿宋" w:cs="仿宋"/>
                <w:color w:val="000000"/>
                <w:kern w:val="0"/>
                <w:sz w:val="24"/>
                <w:szCs w:val="24"/>
              </w:rPr>
            </w:pPr>
            <w:r>
              <w:rPr>
                <w:rFonts w:hint="eastAsia" w:ascii="仿宋" w:eastAsia="仿宋" w:cs="仿宋"/>
                <w:color w:val="000000"/>
                <w:kern w:val="0"/>
                <w:sz w:val="24"/>
                <w:szCs w:val="24"/>
              </w:rPr>
              <w:t>防护等级：IP54</w:t>
            </w:r>
          </w:p>
          <w:p>
            <w:pPr>
              <w:pStyle w:val="2"/>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终端服务器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终端服务器，高性能数字媒体处理器；</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内置1块3.5寸2T硬盘；</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双网卡，内置16个100M以太网接口及2个1000M网络接口、1个1000M独立SFP光纤接口；</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支持2路HD-TVI输入；支持VGA输出、HDMI输出、CVBS输出；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4个RS485、2个RS232、2个USB2.0、4路报警输入\报警输出、1个eSATA接口；电源:DC12V；</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可接入不低于16路IP摄像机</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录像和图片含有数字水印信息，可通过专用工具检测图片数据是否被篡改</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设备采用嵌入式Linux实时操作系统，内存容量不低于1GB</w:t>
            </w:r>
          </w:p>
          <w:p>
            <w:pPr>
              <w:jc w:val="left"/>
              <w:textAlignment w:val="center"/>
              <w:rPr>
                <w:rFonts w:hint="eastAsia" w:ascii="仿宋" w:eastAsia="仿宋" w:cs="仿宋"/>
                <w:color w:val="000000"/>
                <w:kern w:val="0"/>
                <w:sz w:val="24"/>
                <w:szCs w:val="24"/>
              </w:rPr>
            </w:pPr>
            <w:r>
              <w:rPr>
                <w:rFonts w:hint="eastAsia" w:ascii="仿宋" w:eastAsia="仿宋" w:cs="仿宋"/>
                <w:color w:val="000000"/>
                <w:kern w:val="0"/>
                <w:sz w:val="24"/>
                <w:szCs w:val="24"/>
              </w:rPr>
              <w:t>工作温度-45℃~75℃；</w:t>
            </w:r>
          </w:p>
          <w:p>
            <w:pPr>
              <w:jc w:val="left"/>
              <w:textAlignment w:val="center"/>
              <w:rPr>
                <w:rFonts w:ascii="仿宋" w:eastAsia="仿宋" w:cs="仿宋"/>
                <w:color w:val="000000"/>
                <w:sz w:val="24"/>
                <w:szCs w:val="24"/>
              </w:rPr>
            </w:pPr>
            <w:r>
              <w:rPr>
                <w:rFonts w:hint="eastAsia" w:ascii="仿宋" w:eastAsia="仿宋" w:cs="仿宋"/>
                <w:color w:val="000000"/>
                <w:kern w:val="0"/>
                <w:sz w:val="24"/>
                <w:szCs w:val="24"/>
                <w:lang w:eastAsia="zh-CN"/>
              </w:rPr>
              <w:t>须提供公安部权威机构出具的检验报告复印件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信号检测器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交通灯信号检测器，支持16路AC220V信号接入；</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6路RS485接口；</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一个5位拨码开关，用于设置设备地址、数据上传模式及波特率；</w:t>
            </w:r>
            <w:r>
              <w:rPr>
                <w:rFonts w:hint="eastAsia" w:ascii="仿宋" w:eastAsia="仿宋" w:cs="仿宋"/>
                <w:color w:val="000000"/>
                <w:kern w:val="0"/>
                <w:sz w:val="24"/>
                <w:szCs w:val="24"/>
              </w:rPr>
              <w:br w:type="textWrapping"/>
            </w:r>
            <w:r>
              <w:rPr>
                <w:rFonts w:hint="eastAsia" w:ascii="仿宋" w:eastAsia="仿宋" w:cs="仿宋"/>
                <w:color w:val="000000"/>
                <w:kern w:val="0"/>
                <w:sz w:val="24"/>
                <w:szCs w:val="24"/>
              </w:rPr>
              <w:t>一个电源开关，AC220V供电。</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台</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交换机</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8ロ千兆级型工业型、以太网交换机:网口8个</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爆闪灯信号线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相机电源电缆</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RVV3*1.0mm2</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485信号线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RVV电警屏蔽485信号传输线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网线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屏蔽超六类网线，符合国家标准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4芯光纤信号画面传输</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19芯红绿灯信号线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RVV红绿灯主信号控制线19*1.0，国标，纯铜，符合国家标准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9芯人行灯线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RVV人行灯信号控制线9*1.0，国标，纯铜，符合国家标准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120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4芯红绿灯信号线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RVV4*1.0mm2红绿灯灯组信号线</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150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杆子横臂10米</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红绿灯杆子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八棱杆立柱高度6.5米、壁厚8MM、材质采用Q235B，整体热镀锌处理，杆的立柱及悬臂均采用八角锥型，断面为八角形，角度误差控制在0.5度范围内。钢构件所采用的钢材应符合国家标准的要求.所有构件的焊接满足国家行业标准《建筑钢结构焊接技术规程》的技术要求。所有对接焊缝和贴角焊缝，其强度应与被焊构件相等，焊缝应打磨光滑。柱杆件结构均采用热镀锌防腐处理，其表面进行热镀锌喷塑。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人行灯杆子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圆柱杆子、高度4MM镀锌含预埋件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套</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光纤收发器</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仿宋" w:eastAsia="仿宋" w:cs="仿宋"/>
                <w:color w:val="000000"/>
                <w:sz w:val="24"/>
                <w:szCs w:val="24"/>
              </w:rPr>
            </w:pPr>
            <w:r>
              <w:rPr>
                <w:rFonts w:hint="eastAsia" w:ascii="仿宋" w:eastAsia="仿宋" w:cs="仿宋"/>
                <w:color w:val="000000"/>
                <w:kern w:val="0"/>
                <w:sz w:val="24"/>
                <w:szCs w:val="24"/>
              </w:rPr>
              <w:t>1口百兆光纤收发器工业导轨式发送机;光口：1个百兆光口，距离20公里，FC口，单模单纤;电口：1个百兆网口；安装方式：工业导轨式；</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基础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挖基础，人工、土方开挖</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土方清运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土方清运需大车拉土人工装土</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混凝土</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国标C30混凝土、基础浇筑</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hint="eastAsia" w:ascii="仿宋" w:eastAsia="仿宋" w:cs="仿宋"/>
                <w:color w:val="000000"/>
                <w:sz w:val="24"/>
                <w:szCs w:val="24"/>
                <w:lang w:eastAsia="zh-CN"/>
              </w:rPr>
            </w:pPr>
            <w:r>
              <w:rPr>
                <w:rFonts w:hint="eastAsia" w:ascii="仿宋" w:eastAsia="仿宋" w:cs="仿宋"/>
                <w:color w:val="000000"/>
                <w:kern w:val="0"/>
                <w:sz w:val="24"/>
                <w:szCs w:val="24"/>
                <w:lang w:eastAsia="zh-CN"/>
              </w:rPr>
              <w:t>信号灯机柜固定</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浇筑砼、砖砌、机柜固定</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29</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顶管</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电子警察跨路顶管、管道穿线、规格￠80mm，材质PE，</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30</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抱杆箱子</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选用优质不锈钢防腐蚀材质，厚度≥0.8mm，双坡型防雨</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31</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电警落地机柜</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选用优质防腐蚀材质，厚度≥0.8mm，双坡型防雨(含风扇、防雷模块、配电模块)，根据现场实际情况定制，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32</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插板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国标大功率双排28孔插排，符合国家标准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33</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空开</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国标，适用于保护线路的短路和过载，漏电保护C63、额定电压230V/400V，符合国家标准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34</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三维支架</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含：抓拍机、补光灯、爆闪灯支架</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个</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35</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接线井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面工作手井，复合井盖，规格内径６００*６００*６００ｍｍ；包含；人工挖填土方、浇筑砼、砖砌、盖板等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座</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14</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36</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立杆吊装</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立杆、需吊车、拉杆子大车、人工、升降车、等</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37</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220V多股电缆线</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主电源电缆线,国标，纯铜、</w:t>
            </w: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米</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200</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38</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textAlignment w:val="center"/>
              <w:rPr>
                <w:rFonts w:ascii="仿宋" w:eastAsia="仿宋" w:cs="仿宋"/>
                <w:color w:val="000000"/>
                <w:sz w:val="24"/>
                <w:szCs w:val="24"/>
              </w:rPr>
            </w:pPr>
            <w:r>
              <w:rPr>
                <w:rFonts w:hint="eastAsia" w:ascii="仿宋" w:eastAsia="仿宋" w:cs="仿宋"/>
                <w:color w:val="000000"/>
                <w:kern w:val="0"/>
                <w:sz w:val="24"/>
                <w:szCs w:val="24"/>
              </w:rPr>
              <w:t>安装调试</w:t>
            </w:r>
          </w:p>
        </w:tc>
        <w:tc>
          <w:tcPr>
            <w:tcW w:w="5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 w:eastAsia="仿宋" w:cs="仿宋"/>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项</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仿宋" w:eastAsia="仿宋" w:cs="仿宋"/>
                <w:color w:val="000000"/>
                <w:sz w:val="24"/>
                <w:szCs w:val="24"/>
              </w:rPr>
            </w:pPr>
            <w:r>
              <w:rPr>
                <w:rFonts w:hint="eastAsia" w:ascii="仿宋" w:eastAsia="仿宋" w:cs="仿宋"/>
                <w:color w:val="000000"/>
                <w:kern w:val="0"/>
                <w:sz w:val="24"/>
                <w:szCs w:val="24"/>
              </w:rPr>
              <w:t>8</w:t>
            </w:r>
          </w:p>
        </w:tc>
        <w:tc>
          <w:tcPr>
            <w:tcW w:w="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eastAsia="仿宋" w:cs="仿宋"/>
                <w:color w:val="000000"/>
                <w:sz w:val="24"/>
                <w:szCs w:val="24"/>
              </w:rPr>
            </w:pPr>
          </w:p>
        </w:tc>
      </w:tr>
    </w:tbl>
    <w:p>
      <w:pPr>
        <w:pStyle w:val="2"/>
        <w:rPr>
          <w:rFonts w:hint="eastAsia"/>
          <w:lang w:val="en-US" w:eastAsia="zh-CN"/>
        </w:rPr>
      </w:pPr>
    </w:p>
    <w:p>
      <w:pPr>
        <w:widowControl/>
        <w:numPr>
          <w:ilvl w:val="0"/>
          <w:numId w:val="0"/>
        </w:numPr>
        <w:shd w:val="clear" w:color="auto" w:fill="FFFFFF"/>
        <w:spacing w:line="360" w:lineRule="auto"/>
        <w:ind w:leftChars="0"/>
        <w:jc w:val="left"/>
        <w:rPr>
          <w:rFonts w:hint="eastAsia" w:ascii="新宋体" w:hAnsi="新宋体" w:eastAsia="新宋体" w:cs="新宋体"/>
          <w:b/>
          <w:bCs/>
          <w:color w:val="000000"/>
          <w:kern w:val="0"/>
          <w:sz w:val="24"/>
          <w:szCs w:val="24"/>
          <w:lang w:eastAsia="zh-CN"/>
        </w:rPr>
      </w:pPr>
      <w:r>
        <w:rPr>
          <w:rFonts w:hint="eastAsia" w:ascii="新宋体" w:hAnsi="新宋体" w:eastAsia="新宋体" w:cs="新宋体"/>
          <w:b/>
          <w:bCs/>
          <w:color w:val="000000"/>
          <w:kern w:val="0"/>
          <w:sz w:val="24"/>
          <w:szCs w:val="24"/>
          <w:lang w:eastAsia="zh-CN"/>
        </w:rPr>
        <w:t>（三）</w:t>
      </w:r>
      <w:r>
        <w:rPr>
          <w:rFonts w:hint="eastAsia" w:ascii="新宋体" w:hAnsi="新宋体" w:eastAsia="新宋体" w:cs="新宋体"/>
          <w:b/>
          <w:bCs/>
          <w:color w:val="000000"/>
          <w:kern w:val="0"/>
          <w:sz w:val="24"/>
          <w:szCs w:val="24"/>
        </w:rPr>
        <w:t>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并在有效期内的产品，应在投标文件中提供“所投产品符合国家强制性要求承诺函”并加盖投标人公章，否则将承担其投标被视为非实质性响应投标的风险。</w:t>
      </w:r>
    </w:p>
    <w:p>
      <w:pPr>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信息安全产品强制性</w:t>
      </w:r>
      <w:r>
        <w:rPr>
          <w:rFonts w:hint="eastAsia" w:cs="宋体" w:asciiTheme="minorEastAsia" w:hAnsiTheme="minorEastAsia"/>
          <w:kern w:val="0"/>
          <w:sz w:val="24"/>
          <w:szCs w:val="24"/>
        </w:rPr>
        <w:t>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如投标人所投产品</w:t>
      </w:r>
      <w:r>
        <w:rPr>
          <w:rFonts w:hint="eastAsia" w:cs="宋体" w:asciiTheme="minorEastAsia" w:hAnsiTheme="minorEastAsia"/>
          <w:kern w:val="0"/>
          <w:sz w:val="24"/>
          <w:szCs w:val="24"/>
        </w:rPr>
        <w:t>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并须在投标文件中提供：</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①中国信息安全认证中心官网（</w:t>
      </w:r>
      <w:r>
        <w:rPr>
          <w:rFonts w:cs="宋体" w:asciiTheme="minorEastAsia" w:hAnsiTheme="minorEastAsia"/>
          <w:kern w:val="0"/>
          <w:sz w:val="24"/>
          <w:szCs w:val="24"/>
        </w:rPr>
        <w:t>http://www.isccc.gov.cn/index.shtml</w:t>
      </w:r>
      <w:r>
        <w:rPr>
          <w:rFonts w:hint="eastAsia" w:cs="宋体" w:asciiTheme="minorEastAsia" w:hAnsiTheme="minorEastAsia"/>
          <w:kern w:val="0"/>
          <w:sz w:val="24"/>
          <w:szCs w:val="24"/>
        </w:rPr>
        <w:t>）产品查询结果截图并加盖投标人公章；</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②中国信息安全认证中心颁发的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的原件扫描件（或图片）并加盖投标人公章。</w:t>
      </w:r>
    </w:p>
    <w:p>
      <w:pPr>
        <w:wordWrap w:val="0"/>
        <w:spacing w:line="360" w:lineRule="auto"/>
        <w:ind w:firstLine="480" w:firstLineChars="200"/>
        <w:contextualSpacing/>
        <w:rPr>
          <w:rFonts w:hint="eastAsia"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2.其它标准</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设备必须符合国家质量检测标准和本招标文件规定标准的全新正品现货，供货时须提供随货物《产品合格证》及其它相关质量证明文件。供方提供的货物须是全新的且保证不是库存或积压品(包括零部件)，符合国家、部委或地方相关标准以及该产品的出厂标准。</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包括但不仅限于：</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GB5768.2-2009  道路交通标志和标线第2部分道路交通标志</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GB5768.5-2017  道路交通标志和标线第5部分限制速度</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GB14887-2011  道路交通信号灯</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GB14886-2016道路交通信号灯设置与安装规范</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GB25280-2016  道路交通信号控制机</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GB/T20999-2017 交通信号控制机与上位机间的数据通信协议</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GAT496-2009 闯红灯自动记录系统通用技术条件</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GAT497-2009 公路车辆智能监测记录系统通用技术条件</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GAT832-2009 道路交通安全违法行为图像取证技术规范</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GAT833-2009 机动车号牌图像自动识别技术规范</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GAT870-2010 闯红灯自动记录系统验收技术规范</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GAT961-2011 公路车辆智能监测记录系统验收技术规范</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GAT995-2012 道路交通安全违法行为视频取证设备技术规范</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GAT1047-2013 道路交通信息监测记录设备设置规范</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GAT1043-2013 道路交通技术监控设备运行维护规范</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GBT21255-2007 机动车测速仪</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GBT18226 公路交通工程钢构件防腐技术条件</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GA329  全国道路交通管理信息数据库规范</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GA648 交通技术监控信息数据规范</w:t>
      </w:r>
    </w:p>
    <w:p>
      <w:pPr>
        <w:pStyle w:val="21"/>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cs="宋体" w:asciiTheme="minorEastAsia" w:hAnsiTheme="minorEastAsia" w:eastAsiaTheme="minorEastAsia"/>
          <w:b/>
          <w:bCs/>
          <w:kern w:val="0"/>
          <w:sz w:val="24"/>
          <w:szCs w:val="24"/>
          <w:lang w:val="en-US" w:eastAsia="zh-CN" w:bidi="ar-SA"/>
        </w:rPr>
      </w:pPr>
      <w:r>
        <w:rPr>
          <w:rFonts w:hint="eastAsia" w:cs="宋体" w:asciiTheme="minorEastAsia" w:hAnsiTheme="minorEastAsia" w:eastAsiaTheme="minorEastAsia"/>
          <w:b/>
          <w:bCs/>
          <w:kern w:val="0"/>
          <w:sz w:val="24"/>
          <w:szCs w:val="24"/>
          <w:lang w:val="en-US" w:eastAsia="zh-CN" w:bidi="ar-SA"/>
        </w:rPr>
        <w:t>（四）服务标准、期限、效率等要求</w:t>
      </w:r>
    </w:p>
    <w:p>
      <w:pPr>
        <w:widowControl/>
        <w:shd w:val="clear" w:color="auto" w:fill="FFFFFF"/>
        <w:spacing w:line="360" w:lineRule="auto"/>
        <w:contextualSpacing/>
        <w:jc w:val="left"/>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1、服务标准：按国家相关标准执行。</w:t>
      </w:r>
    </w:p>
    <w:p>
      <w:pPr>
        <w:widowControl/>
        <w:shd w:val="clear" w:color="auto" w:fill="FFFFFF"/>
        <w:spacing w:line="360" w:lineRule="auto"/>
        <w:contextualSpacing/>
        <w:jc w:val="left"/>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2、服务期限：质保期不少于一年（核心产品质保期不少于三年，中标企业需提供质保承诺函）。</w:t>
      </w:r>
    </w:p>
    <w:p>
      <w:pPr>
        <w:widowControl/>
        <w:shd w:val="clear" w:color="auto" w:fill="FFFFFF"/>
        <w:spacing w:line="360" w:lineRule="auto"/>
        <w:contextualSpacing/>
        <w:jc w:val="left"/>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3、企业中标后要在禹州市区设置售后服务站，配备不少于有2人专业技术人员和检修设备常驻现场提供技术服务，承担系统运行保障、故障应急处置和解决、软件升级改造等相关工作。</w:t>
      </w:r>
    </w:p>
    <w:p>
      <w:pPr>
        <w:widowControl/>
        <w:shd w:val="clear" w:color="auto" w:fill="FFFFFF"/>
        <w:spacing w:line="360" w:lineRule="auto"/>
        <w:contextualSpacing/>
        <w:jc w:val="left"/>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4、质保期内设备发生故障时，中标企业要在1小时电话响应，2小时到达现场，24小时之内解决故障。非因电力、光纤原因发生的故障24小时内不能解决的，每逾期1天扣除质保金2000元。</w:t>
      </w:r>
    </w:p>
    <w:p>
      <w:pPr>
        <w:widowControl/>
        <w:shd w:val="clear" w:color="auto" w:fill="FFFFFF"/>
        <w:spacing w:line="360" w:lineRule="auto"/>
        <w:contextualSpacing/>
        <w:jc w:val="left"/>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5、改扩建项目、移建项目必须与原前端设备无缝对接，达到技术要求；新建电警、卡口、反向卡口、区间测速设备要与禹州市公安局现有警务平台实现实时无缝对接；智能联网型信号机要与禹州市公安局现有设备联网实现无缝对接。</w:t>
      </w:r>
    </w:p>
    <w:p>
      <w:pPr>
        <w:widowControl/>
        <w:shd w:val="clear" w:color="auto" w:fill="FFFFFF"/>
        <w:spacing w:line="360" w:lineRule="auto"/>
        <w:contextualSpacing/>
        <w:jc w:val="left"/>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6、中标企业必须在规定日期内完工，每逾期（自然灾害及政府明令停工的除外）一天扣除质保金10000元。</w:t>
      </w:r>
    </w:p>
    <w:p>
      <w:pPr>
        <w:widowControl/>
        <w:shd w:val="clear" w:color="auto" w:fill="FFFFFF"/>
        <w:spacing w:line="360" w:lineRule="auto"/>
        <w:contextualSpacing/>
        <w:jc w:val="left"/>
        <w:rPr>
          <w:rFonts w:hint="eastAsia" w:ascii="宋体" w:cs="宋体"/>
          <w:sz w:val="24"/>
          <w:lang w:val="zh-CN"/>
        </w:rPr>
      </w:pPr>
      <w:r>
        <w:rPr>
          <w:rFonts w:hint="eastAsia" w:cs="宋体" w:asciiTheme="minorEastAsia" w:hAnsiTheme="minorEastAsia"/>
          <w:b/>
          <w:color w:val="000000"/>
          <w:kern w:val="0"/>
          <w:sz w:val="24"/>
          <w:szCs w:val="24"/>
          <w:lang w:val="zh-CN"/>
        </w:rPr>
        <w:t>（五）采购标的的其他技术、服务等要求</w:t>
      </w:r>
    </w:p>
    <w:p>
      <w:pPr>
        <w:wordWrap w:val="0"/>
        <w:topLinePunct/>
        <w:spacing w:line="360" w:lineRule="auto"/>
        <w:ind w:firstLine="480" w:firstLineChars="200"/>
        <w:rPr>
          <w:rFonts w:hint="eastAsia"/>
          <w:lang w:val="zh-CN"/>
        </w:rPr>
      </w:pPr>
      <w:r>
        <w:rPr>
          <w:rFonts w:hint="eastAsia" w:ascii="宋体" w:cs="宋体"/>
          <w:sz w:val="24"/>
          <w:lang w:val="zh-CN"/>
        </w:rPr>
        <w:t>1、供应商须明确投标产品的厂家、产地、品牌、型号、详细参数，</w:t>
      </w:r>
      <w:r>
        <w:rPr>
          <w:rFonts w:hint="eastAsia" w:ascii="宋体" w:cs="宋体"/>
          <w:b/>
          <w:sz w:val="24"/>
          <w:lang w:val="zh-CN"/>
        </w:rPr>
        <w:t>否则为无效投标。</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2</w:t>
      </w:r>
      <w:r>
        <w:rPr>
          <w:rFonts w:hint="eastAsia" w:ascii="宋体" w:cs="宋体"/>
          <w:sz w:val="24"/>
          <w:lang w:val="zh-CN"/>
        </w:rPr>
        <w:t>、投标人应就该项目完整投标（报价含运输费、税费等综合费用），否则为无效投标。</w:t>
      </w:r>
    </w:p>
    <w:p>
      <w:pPr>
        <w:pStyle w:val="10"/>
        <w:ind w:firstLine="480" w:firstLineChars="200"/>
        <w:rPr>
          <w:rFonts w:hint="eastAsia" w:ascii="宋体" w:cs="宋体" w:hAnsiTheme="minorHAnsi" w:eastAsiaTheme="minorEastAsia"/>
          <w:kern w:val="2"/>
          <w:sz w:val="24"/>
          <w:szCs w:val="22"/>
          <w:lang w:val="zh-CN" w:eastAsia="zh-CN" w:bidi="ar-SA"/>
        </w:rPr>
      </w:pPr>
      <w:r>
        <w:rPr>
          <w:rFonts w:hint="eastAsia" w:ascii="宋体" w:cs="宋体" w:hAnsiTheme="minorHAnsi" w:eastAsiaTheme="minorEastAsia"/>
          <w:kern w:val="2"/>
          <w:sz w:val="24"/>
          <w:szCs w:val="22"/>
          <w:lang w:val="zh-CN" w:eastAsia="zh-CN" w:bidi="ar-SA"/>
        </w:rPr>
        <w:t>3、所响应产品必须符合国家质量检测标准和本</w:t>
      </w:r>
      <w:r>
        <w:rPr>
          <w:rFonts w:hint="eastAsia" w:ascii="宋体" w:cs="宋体"/>
          <w:kern w:val="2"/>
          <w:sz w:val="24"/>
          <w:szCs w:val="22"/>
          <w:lang w:val="zh-CN" w:eastAsia="zh-CN" w:bidi="ar-SA"/>
        </w:rPr>
        <w:t>招标</w:t>
      </w:r>
      <w:r>
        <w:rPr>
          <w:rFonts w:hint="eastAsia" w:ascii="宋体" w:cs="宋体" w:hAnsiTheme="minorHAnsi" w:eastAsiaTheme="minorEastAsia"/>
          <w:kern w:val="2"/>
          <w:sz w:val="24"/>
          <w:szCs w:val="22"/>
          <w:lang w:val="zh-CN" w:eastAsia="zh-CN" w:bidi="ar-SA"/>
        </w:rPr>
        <w:t>文件规定标准的全新正品现货。</w:t>
      </w:r>
    </w:p>
    <w:p>
      <w:pPr>
        <w:pStyle w:val="10"/>
        <w:ind w:firstLine="480" w:firstLineChars="200"/>
        <w:rPr>
          <w:rFonts w:hint="eastAsia" w:ascii="宋体" w:cs="宋体" w:hAnsiTheme="minorHAnsi" w:eastAsiaTheme="minorEastAsia"/>
          <w:kern w:val="2"/>
          <w:sz w:val="24"/>
          <w:szCs w:val="22"/>
          <w:lang w:val="zh-CN" w:eastAsia="zh-CN" w:bidi="ar-SA"/>
        </w:rPr>
      </w:pPr>
      <w:r>
        <w:rPr>
          <w:rFonts w:hint="eastAsia" w:ascii="宋体" w:cs="宋体" w:hAnsiTheme="minorHAnsi" w:eastAsiaTheme="minorEastAsia"/>
          <w:kern w:val="2"/>
          <w:sz w:val="24"/>
          <w:szCs w:val="22"/>
          <w:lang w:val="en-US" w:eastAsia="zh-CN" w:bidi="ar-SA"/>
        </w:rPr>
        <w:t>4.</w:t>
      </w:r>
      <w:r>
        <w:rPr>
          <w:rFonts w:hint="eastAsia" w:ascii="宋体" w:cs="宋体" w:hAnsiTheme="minorHAnsi" w:eastAsiaTheme="minorEastAsia"/>
          <w:kern w:val="2"/>
          <w:sz w:val="24"/>
          <w:szCs w:val="22"/>
          <w:lang w:val="zh-CN" w:eastAsia="zh-CN" w:bidi="ar-SA"/>
        </w:rPr>
        <w:t>投标文件中须有详细的实施（技术）方案，否则为无效投标。</w:t>
      </w:r>
    </w:p>
    <w:p>
      <w:pPr>
        <w:pStyle w:val="10"/>
        <w:ind w:firstLine="480" w:firstLineChars="200"/>
        <w:rPr>
          <w:rFonts w:hint="eastAsia" w:ascii="宋体" w:cs="宋体" w:hAnsiTheme="minorHAnsi" w:eastAsiaTheme="minorEastAsia"/>
          <w:kern w:val="2"/>
          <w:sz w:val="24"/>
          <w:szCs w:val="22"/>
          <w:lang w:val="en-US" w:eastAsia="zh-CN" w:bidi="ar-SA"/>
        </w:rPr>
      </w:pPr>
      <w:r>
        <w:rPr>
          <w:rFonts w:hint="eastAsia" w:ascii="宋体" w:cs="宋体" w:hAnsiTheme="minorHAnsi" w:eastAsiaTheme="minorEastAsia"/>
          <w:kern w:val="2"/>
          <w:sz w:val="24"/>
          <w:szCs w:val="22"/>
          <w:lang w:val="en-US" w:eastAsia="zh-CN" w:bidi="ar-SA"/>
        </w:rPr>
        <w:t>5、投标人须明确免费包修期，同时应提出故障响应时间，在免费包修期内，同一质量问题连续两次维修仍无法正常使用，投标人必须予以更换同品牌、同型号的全新产品</w:t>
      </w:r>
      <w:r>
        <w:rPr>
          <w:rFonts w:hint="eastAsia" w:ascii="宋体" w:cs="宋体"/>
          <w:kern w:val="2"/>
          <w:sz w:val="24"/>
          <w:szCs w:val="22"/>
          <w:lang w:val="en-US" w:eastAsia="zh-CN" w:bidi="ar-SA"/>
        </w:rPr>
        <w:t>并安装到采购人指定单位。</w:t>
      </w:r>
    </w:p>
    <w:p>
      <w:pPr>
        <w:pStyle w:val="10"/>
        <w:ind w:firstLine="480" w:firstLineChars="200"/>
        <w:rPr>
          <w:rFonts w:hint="default" w:ascii="宋体" w:cs="宋体" w:hAnsiTheme="minorHAnsi" w:eastAsiaTheme="minorEastAsia"/>
          <w:kern w:val="2"/>
          <w:sz w:val="24"/>
          <w:szCs w:val="22"/>
          <w:lang w:val="en-US" w:eastAsia="zh-CN" w:bidi="ar-SA"/>
        </w:rPr>
      </w:pPr>
      <w:r>
        <w:rPr>
          <w:rFonts w:hint="eastAsia" w:ascii="宋体" w:cs="宋体" w:hAnsiTheme="minorHAnsi" w:eastAsiaTheme="minorEastAsia"/>
          <w:kern w:val="2"/>
          <w:sz w:val="24"/>
          <w:szCs w:val="22"/>
          <w:lang w:val="en-US" w:eastAsia="zh-CN" w:bidi="ar-SA"/>
        </w:rPr>
        <w:t>6、</w:t>
      </w:r>
      <w:r>
        <w:rPr>
          <w:rFonts w:hint="eastAsia" w:ascii="宋体" w:cs="宋体"/>
          <w:kern w:val="2"/>
          <w:sz w:val="24"/>
          <w:szCs w:val="22"/>
          <w:lang w:val="en-US" w:eastAsia="zh-CN" w:bidi="ar-SA"/>
        </w:rPr>
        <w:t>本项目为交钥匙工程（包括备品备件、专用工具、特殊 工具、安装调试、检测验收、税金、合理利润等所有费用。招标人不另行支付其他费用）。</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7、</w:t>
      </w:r>
      <w:r>
        <w:rPr>
          <w:rFonts w:hint="eastAsia" w:ascii="宋体" w:cs="宋体"/>
          <w:sz w:val="24"/>
          <w:lang w:val="zh-CN"/>
        </w:rPr>
        <w:t>投标商必须由法定代表人或其授权代表参加开标会议，随时接受评标委员会询问，并予作出书面解答。</w:t>
      </w:r>
    </w:p>
    <w:p>
      <w:pPr>
        <w:pStyle w:val="2"/>
        <w:ind w:firstLine="480" w:firstLineChars="200"/>
        <w:rPr>
          <w:rFonts w:hint="eastAsia"/>
          <w:lang w:val="zh-CN"/>
        </w:rPr>
      </w:pPr>
      <w:r>
        <w:rPr>
          <w:rFonts w:hint="eastAsia"/>
          <w:lang w:val="en-US" w:eastAsia="zh-CN"/>
        </w:rPr>
        <w:t>8、</w:t>
      </w:r>
      <w:r>
        <w:rPr>
          <w:rFonts w:hint="eastAsia"/>
          <w:lang w:val="zh-CN"/>
        </w:rPr>
        <w:t>专利权：拟投设备及备件应保证用户在使用该货物或其任何一部分时不受第三方提出侵犯其专利权、商标权和工业设计权等的起诉。</w:t>
      </w:r>
    </w:p>
    <w:p>
      <w:pPr>
        <w:pStyle w:val="2"/>
        <w:ind w:firstLine="480" w:firstLineChars="200"/>
        <w:rPr>
          <w:rFonts w:hint="eastAsia"/>
          <w:lang w:val="zh-CN"/>
        </w:rPr>
      </w:pPr>
      <w:r>
        <w:rPr>
          <w:rFonts w:hint="eastAsia"/>
          <w:lang w:val="en-US" w:eastAsia="zh-CN"/>
        </w:rPr>
        <w:t>9</w:t>
      </w:r>
      <w:r>
        <w:rPr>
          <w:rFonts w:hint="eastAsia"/>
          <w:lang w:val="zh-CN"/>
        </w:rPr>
        <w:t>、现场勘查：潜在的供应商如需现场勘察请自行勘察。</w:t>
      </w:r>
    </w:p>
    <w:p>
      <w:pPr>
        <w:pStyle w:val="2"/>
        <w:ind w:firstLine="480" w:firstLineChars="200"/>
        <w:rPr>
          <w:rFonts w:hint="eastAsia"/>
          <w:lang w:val="zh-CN"/>
        </w:rPr>
      </w:pPr>
      <w:r>
        <w:rPr>
          <w:rFonts w:hint="eastAsia"/>
          <w:lang w:val="en-US" w:eastAsia="zh-CN"/>
        </w:rPr>
        <w:t>10</w:t>
      </w:r>
      <w:r>
        <w:rPr>
          <w:rFonts w:hint="eastAsia"/>
          <w:lang w:val="zh-CN"/>
        </w:rPr>
        <w:t>、投标人应积极优化系统功能，结合业务需求提出合理的系统运行管理改进措施，促进前端设备和后台系统的高效率应用，满足采购人业务管理需求。电子产品备品率不低于1%。</w:t>
      </w:r>
    </w:p>
    <w:p>
      <w:pPr>
        <w:pStyle w:val="2"/>
        <w:ind w:firstLine="480" w:firstLineChars="200"/>
        <w:rPr>
          <w:rFonts w:hint="eastAsia"/>
          <w:lang w:val="zh-CN"/>
        </w:rPr>
      </w:pPr>
      <w:r>
        <w:rPr>
          <w:rFonts w:hint="eastAsia"/>
          <w:lang w:val="en-US" w:eastAsia="zh-CN"/>
        </w:rPr>
        <w:t>11</w:t>
      </w:r>
      <w:r>
        <w:rPr>
          <w:rFonts w:hint="eastAsia"/>
          <w:lang w:val="zh-CN"/>
        </w:rPr>
        <w:t>、投标人应严格管理所有的维护工作人员，严格遵守采购人办公场所秩序，遵守上下班制度、安全保密制度。</w:t>
      </w:r>
    </w:p>
    <w:p>
      <w:pPr>
        <w:pStyle w:val="2"/>
        <w:ind w:firstLine="480" w:firstLineChars="200"/>
        <w:rPr>
          <w:rFonts w:hint="eastAsia"/>
          <w:lang w:val="zh-CN"/>
        </w:rPr>
      </w:pPr>
      <w:r>
        <w:rPr>
          <w:rFonts w:hint="eastAsia"/>
          <w:lang w:val="en-US" w:eastAsia="zh-CN"/>
        </w:rPr>
        <w:t>12</w:t>
      </w:r>
      <w:r>
        <w:rPr>
          <w:rFonts w:hint="eastAsia"/>
          <w:lang w:val="zh-CN"/>
        </w:rPr>
        <w:t>、中标人应每月向采购人提交《系统运行维护工作记录表》。</w:t>
      </w:r>
    </w:p>
    <w:p>
      <w:pPr>
        <w:pStyle w:val="2"/>
        <w:ind w:firstLine="480" w:firstLineChars="200"/>
        <w:rPr>
          <w:rFonts w:hint="eastAsia"/>
          <w:lang w:val="zh-CN"/>
        </w:rPr>
      </w:pPr>
      <w:r>
        <w:rPr>
          <w:rFonts w:hint="eastAsia"/>
          <w:lang w:val="en-US" w:eastAsia="zh-CN"/>
        </w:rPr>
        <w:t>13</w:t>
      </w:r>
      <w:r>
        <w:rPr>
          <w:rFonts w:hint="eastAsia"/>
          <w:lang w:val="zh-CN"/>
        </w:rPr>
        <w:t>、系统运行总体要求</w:t>
      </w:r>
    </w:p>
    <w:p>
      <w:pPr>
        <w:pStyle w:val="2"/>
        <w:ind w:firstLine="480" w:firstLineChars="200"/>
        <w:rPr>
          <w:rFonts w:hint="eastAsia"/>
          <w:lang w:val="zh-CN"/>
        </w:rPr>
      </w:pPr>
      <w:r>
        <w:rPr>
          <w:rFonts w:hint="eastAsia"/>
          <w:lang w:val="zh-CN"/>
        </w:rPr>
        <w:t>1）、视频监控月完好率要达到95%以上</w:t>
      </w:r>
    </w:p>
    <w:p>
      <w:pPr>
        <w:pStyle w:val="2"/>
        <w:ind w:firstLine="480" w:firstLineChars="200"/>
        <w:rPr>
          <w:rFonts w:hint="eastAsia"/>
          <w:lang w:val="zh-CN"/>
        </w:rPr>
      </w:pPr>
      <w:r>
        <w:rPr>
          <w:rFonts w:hint="eastAsia"/>
          <w:lang w:val="zh-CN"/>
        </w:rPr>
        <w:t>2）、违法车辆捕获率要达到90%以上</w:t>
      </w:r>
    </w:p>
    <w:p>
      <w:pPr>
        <w:pStyle w:val="2"/>
        <w:ind w:firstLine="480" w:firstLineChars="200"/>
        <w:rPr>
          <w:rFonts w:hint="eastAsia"/>
          <w:lang w:val="zh-CN"/>
        </w:rPr>
      </w:pPr>
      <w:r>
        <w:rPr>
          <w:rFonts w:hint="eastAsia"/>
          <w:lang w:val="zh-CN"/>
        </w:rPr>
        <w:t>3）、违法车辆捕获有效率达到85%以上。</w:t>
      </w:r>
    </w:p>
    <w:p>
      <w:pPr>
        <w:pStyle w:val="2"/>
        <w:ind w:firstLine="480" w:firstLineChars="200"/>
        <w:rPr>
          <w:rFonts w:hint="eastAsia"/>
          <w:lang w:val="zh-CN"/>
        </w:rPr>
      </w:pPr>
      <w:r>
        <w:rPr>
          <w:rFonts w:hint="eastAsia"/>
          <w:lang w:val="zh-CN"/>
        </w:rPr>
        <w:t>4）、车牌自动识别正确率要达到 95%以上</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（六）验收标准</w:t>
      </w:r>
    </w:p>
    <w:p>
      <w:pPr>
        <w:pStyle w:val="10"/>
        <w:ind w:firstLine="480" w:firstLineChars="200"/>
        <w:rPr>
          <w:rFonts w:hint="eastAsia" w:ascii="宋体" w:cs="宋体"/>
          <w:sz w:val="24"/>
          <w:lang w:val="zh-CN"/>
        </w:rPr>
      </w:pPr>
      <w:r>
        <w:rPr>
          <w:rFonts w:hint="eastAsia" w:ascii="宋体" w:cs="宋体"/>
          <w:sz w:val="24"/>
          <w:lang w:val="zh-CN"/>
        </w:rPr>
        <w:t>由采购人聘请省内安防专家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10"/>
        <w:ind w:firstLine="240" w:firstLineChars="100"/>
        <w:rPr>
          <w:rFonts w:hint="eastAsia" w:ascii="宋体" w:cs="宋体"/>
          <w:sz w:val="24"/>
          <w:lang w:val="zh-CN"/>
        </w:rPr>
      </w:pPr>
      <w:r>
        <w:rPr>
          <w:rFonts w:hint="eastAsia" w:ascii="宋体" w:cs="宋体"/>
          <w:sz w:val="24"/>
          <w:lang w:val="zh-CN"/>
        </w:rPr>
        <w:t>1、按照国家相关标准、行业标准、地方标准或者其他标准、规范验收；包括但不仅限于：</w:t>
      </w:r>
    </w:p>
    <w:p>
      <w:pPr>
        <w:pStyle w:val="10"/>
        <w:ind w:firstLine="240" w:firstLineChars="100"/>
        <w:rPr>
          <w:rFonts w:hint="eastAsia" w:ascii="宋体" w:cs="宋体"/>
          <w:sz w:val="24"/>
          <w:lang w:val="zh-CN"/>
        </w:rPr>
      </w:pPr>
      <w:r>
        <w:rPr>
          <w:rFonts w:hint="eastAsia" w:ascii="宋体" w:cs="宋体"/>
          <w:sz w:val="24"/>
          <w:lang w:val="zh-CN"/>
        </w:rPr>
        <w:t>GB5768.2-2009  道路交通标志和标线第2部分道路交通标志</w:t>
      </w:r>
    </w:p>
    <w:p>
      <w:pPr>
        <w:pStyle w:val="10"/>
        <w:ind w:firstLine="240" w:firstLineChars="100"/>
        <w:rPr>
          <w:rFonts w:hint="eastAsia" w:ascii="宋体" w:cs="宋体"/>
          <w:sz w:val="24"/>
          <w:lang w:val="zh-CN"/>
        </w:rPr>
      </w:pPr>
      <w:r>
        <w:rPr>
          <w:rFonts w:hint="eastAsia" w:ascii="宋体" w:cs="宋体"/>
          <w:sz w:val="24"/>
          <w:lang w:val="zh-CN"/>
        </w:rPr>
        <w:t>GB14887-2011  道路交通信号灯</w:t>
      </w:r>
    </w:p>
    <w:p>
      <w:pPr>
        <w:pStyle w:val="10"/>
        <w:ind w:firstLine="240" w:firstLineChars="100"/>
        <w:rPr>
          <w:rFonts w:hint="eastAsia" w:ascii="宋体" w:cs="宋体"/>
          <w:sz w:val="24"/>
          <w:lang w:val="zh-CN"/>
        </w:rPr>
      </w:pPr>
      <w:r>
        <w:rPr>
          <w:rFonts w:hint="eastAsia" w:ascii="宋体" w:cs="宋体"/>
          <w:sz w:val="24"/>
          <w:lang w:val="zh-CN"/>
        </w:rPr>
        <w:t>GB25280-2016  道路交通信号控制机</w:t>
      </w:r>
    </w:p>
    <w:p>
      <w:pPr>
        <w:pStyle w:val="10"/>
        <w:ind w:firstLine="240" w:firstLineChars="100"/>
        <w:rPr>
          <w:rFonts w:hint="eastAsia" w:ascii="宋体" w:cs="宋体"/>
          <w:sz w:val="24"/>
          <w:lang w:val="zh-CN"/>
        </w:rPr>
      </w:pPr>
      <w:r>
        <w:rPr>
          <w:rFonts w:hint="eastAsia" w:ascii="宋体" w:cs="宋体"/>
          <w:sz w:val="24"/>
          <w:lang w:val="zh-CN"/>
        </w:rPr>
        <w:t>GB/T20999-2017 交通信号控制机与上位机间的数据通信协议</w:t>
      </w:r>
    </w:p>
    <w:p>
      <w:pPr>
        <w:pStyle w:val="10"/>
        <w:ind w:firstLine="240" w:firstLineChars="100"/>
        <w:rPr>
          <w:rFonts w:hint="eastAsia" w:ascii="宋体" w:cs="宋体"/>
          <w:sz w:val="24"/>
          <w:lang w:val="zh-CN"/>
        </w:rPr>
      </w:pPr>
      <w:r>
        <w:rPr>
          <w:rFonts w:hint="eastAsia" w:ascii="宋体" w:cs="宋体"/>
          <w:sz w:val="24"/>
          <w:lang w:val="zh-CN"/>
        </w:rPr>
        <w:t>GB14886-2016道路交通信号灯设置与安装规范</w:t>
      </w:r>
    </w:p>
    <w:p>
      <w:pPr>
        <w:pStyle w:val="10"/>
        <w:ind w:firstLine="240" w:firstLineChars="100"/>
        <w:rPr>
          <w:rFonts w:hint="eastAsia" w:ascii="宋体" w:cs="宋体"/>
          <w:sz w:val="24"/>
          <w:lang w:val="zh-CN"/>
        </w:rPr>
      </w:pPr>
      <w:r>
        <w:rPr>
          <w:rFonts w:hint="eastAsia" w:ascii="宋体" w:cs="宋体"/>
          <w:sz w:val="24"/>
          <w:lang w:val="zh-CN"/>
        </w:rPr>
        <w:t>GAT496-2009 闯红灯自动记录系统通用技术条件</w:t>
      </w:r>
    </w:p>
    <w:p>
      <w:pPr>
        <w:pStyle w:val="10"/>
        <w:ind w:firstLine="240" w:firstLineChars="100"/>
        <w:rPr>
          <w:rFonts w:hint="eastAsia" w:ascii="宋体" w:cs="宋体"/>
          <w:sz w:val="24"/>
          <w:lang w:val="zh-CN"/>
        </w:rPr>
      </w:pPr>
      <w:r>
        <w:rPr>
          <w:rFonts w:hint="eastAsia" w:ascii="宋体" w:cs="宋体"/>
          <w:sz w:val="24"/>
          <w:lang w:val="zh-CN"/>
        </w:rPr>
        <w:t>GAT870-2010 闯红灯自动记录系统验收技术规范</w:t>
      </w:r>
    </w:p>
    <w:p>
      <w:pPr>
        <w:pStyle w:val="10"/>
        <w:ind w:firstLine="240" w:firstLineChars="100"/>
        <w:rPr>
          <w:rFonts w:hint="eastAsia" w:ascii="宋体" w:cs="宋体"/>
          <w:sz w:val="24"/>
          <w:lang w:val="zh-CN"/>
        </w:rPr>
      </w:pPr>
      <w:r>
        <w:rPr>
          <w:rFonts w:hint="eastAsia" w:ascii="宋体" w:cs="宋体"/>
          <w:sz w:val="24"/>
          <w:lang w:val="zh-CN"/>
        </w:rPr>
        <w:t>GAT497-2009 公路车辆智能监测记录系统通用技术条件</w:t>
      </w:r>
    </w:p>
    <w:p>
      <w:pPr>
        <w:pStyle w:val="10"/>
        <w:ind w:firstLine="240" w:firstLineChars="100"/>
        <w:rPr>
          <w:rFonts w:hint="eastAsia" w:ascii="宋体" w:cs="宋体"/>
          <w:sz w:val="24"/>
          <w:lang w:val="zh-CN"/>
        </w:rPr>
      </w:pPr>
      <w:r>
        <w:rPr>
          <w:rFonts w:hint="eastAsia" w:ascii="宋体" w:cs="宋体"/>
          <w:sz w:val="24"/>
          <w:lang w:val="zh-CN"/>
        </w:rPr>
        <w:t>GAT961-2011 公路车辆智能监测记录系统验收技术规范</w:t>
      </w:r>
    </w:p>
    <w:p>
      <w:pPr>
        <w:pStyle w:val="10"/>
        <w:ind w:firstLine="240" w:firstLineChars="100"/>
        <w:rPr>
          <w:rFonts w:hint="eastAsia" w:ascii="宋体" w:cs="宋体"/>
          <w:sz w:val="24"/>
          <w:lang w:val="zh-CN"/>
        </w:rPr>
      </w:pPr>
      <w:r>
        <w:rPr>
          <w:rFonts w:hint="eastAsia" w:ascii="宋体" w:cs="宋体"/>
          <w:sz w:val="24"/>
          <w:lang w:val="zh-CN"/>
        </w:rPr>
        <w:t>GAT1047-2013 道路交通信息监测记录设备设置规范</w:t>
      </w:r>
    </w:p>
    <w:p>
      <w:pPr>
        <w:pStyle w:val="10"/>
        <w:ind w:firstLine="240" w:firstLineChars="100"/>
        <w:rPr>
          <w:rFonts w:hint="eastAsia" w:ascii="宋体" w:cs="宋体"/>
          <w:sz w:val="24"/>
          <w:lang w:val="zh-CN"/>
        </w:rPr>
      </w:pPr>
      <w:r>
        <w:rPr>
          <w:rFonts w:hint="eastAsia" w:ascii="宋体" w:cs="宋体"/>
          <w:sz w:val="24"/>
          <w:lang w:val="zh-CN"/>
        </w:rPr>
        <w:t>GAT1043-2013 道路交通技术监控设备运行维护规范</w:t>
      </w:r>
    </w:p>
    <w:p>
      <w:pPr>
        <w:pStyle w:val="10"/>
        <w:ind w:firstLine="240" w:firstLineChars="100"/>
        <w:rPr>
          <w:rFonts w:hint="eastAsia" w:ascii="宋体" w:cs="宋体"/>
          <w:sz w:val="24"/>
          <w:lang w:val="zh-CN"/>
        </w:rPr>
      </w:pPr>
      <w:r>
        <w:rPr>
          <w:rFonts w:hint="eastAsia" w:ascii="宋体" w:cs="宋体"/>
          <w:sz w:val="24"/>
          <w:lang w:val="zh-CN"/>
        </w:rPr>
        <w:t>各设备之间连接线缆不得有断点。除灯光外各设备不得裸露在外。</w:t>
      </w:r>
    </w:p>
    <w:p>
      <w:pPr>
        <w:pStyle w:val="10"/>
        <w:ind w:firstLine="240" w:firstLineChars="100"/>
        <w:rPr>
          <w:rFonts w:hint="eastAsia" w:ascii="宋体" w:cs="宋体"/>
          <w:sz w:val="24"/>
          <w:lang w:val="zh-CN"/>
        </w:rPr>
      </w:pPr>
      <w:r>
        <w:rPr>
          <w:rFonts w:hint="eastAsia" w:ascii="宋体" w:cs="宋体"/>
          <w:sz w:val="24"/>
          <w:lang w:val="zh-CN"/>
        </w:rPr>
        <w:t>钢质灯杆、法兰盘、地脚螺栓、螺母、垫片、加强筋等金属构件及悬臂、支撑臂、拉杆、抱箍座、夹板等附件的防腐性能应符合GB/T18226的规定。</w:t>
      </w:r>
    </w:p>
    <w:p>
      <w:pPr>
        <w:pStyle w:val="10"/>
        <w:ind w:firstLine="240" w:firstLineChars="100"/>
        <w:rPr>
          <w:rFonts w:hint="eastAsia" w:ascii="宋体" w:cs="宋体"/>
          <w:sz w:val="24"/>
          <w:lang w:val="zh-CN"/>
        </w:rPr>
      </w:pPr>
      <w:r>
        <w:rPr>
          <w:rFonts w:hint="eastAsia" w:ascii="宋体" w:cs="宋体"/>
          <w:sz w:val="24"/>
          <w:lang w:val="zh-CN"/>
        </w:rPr>
        <w:t>杆件安装时应保证杆体垂直,倾斜度不得超过±0.5%。</w:t>
      </w:r>
    </w:p>
    <w:p>
      <w:pPr>
        <w:pStyle w:val="10"/>
        <w:ind w:firstLine="240" w:firstLineChars="100"/>
        <w:rPr>
          <w:rFonts w:hint="eastAsia" w:ascii="宋体" w:cs="宋体"/>
          <w:sz w:val="24"/>
          <w:lang w:val="zh-CN"/>
        </w:rPr>
      </w:pPr>
      <w:r>
        <w:rPr>
          <w:rFonts w:hint="eastAsia" w:ascii="宋体" w:cs="宋体"/>
          <w:sz w:val="24"/>
          <w:lang w:val="zh-CN"/>
        </w:rPr>
        <w:t>杆件保护接地电阻应小于10Ω。</w:t>
      </w:r>
    </w:p>
    <w:p>
      <w:pPr>
        <w:pStyle w:val="10"/>
        <w:ind w:firstLine="240" w:firstLineChars="100"/>
        <w:rPr>
          <w:rFonts w:hint="eastAsia" w:ascii="宋体" w:cs="宋体"/>
          <w:sz w:val="24"/>
          <w:lang w:val="zh-CN"/>
        </w:rPr>
      </w:pPr>
      <w:r>
        <w:rPr>
          <w:rFonts w:hint="eastAsia" w:ascii="宋体" w:cs="宋体"/>
          <w:sz w:val="24"/>
          <w:lang w:val="zh-CN"/>
        </w:rPr>
        <w:t>杆件、基础、法兰盘、地脚螺栓、螺母、垫片和加强筋等部件的尺寸、强度等性能指标应根据信号灯安装方式及悬臂长度确定,应由有相关资质单位进行设计。</w:t>
      </w:r>
    </w:p>
    <w:p>
      <w:pPr>
        <w:pStyle w:val="10"/>
        <w:ind w:firstLine="240" w:firstLineChars="100"/>
        <w:rPr>
          <w:rFonts w:hint="eastAsia" w:ascii="宋体" w:cs="宋体"/>
          <w:sz w:val="24"/>
          <w:lang w:val="zh-CN"/>
        </w:rPr>
      </w:pPr>
      <w:r>
        <w:rPr>
          <w:rFonts w:hint="eastAsia" w:ascii="宋体" w:cs="宋体"/>
          <w:sz w:val="24"/>
          <w:lang w:val="zh-CN"/>
        </w:rPr>
        <w:t>信号灯安装的施工单位和人员应具有建筑施工、电力施工等相关资质证书。</w:t>
      </w:r>
    </w:p>
    <w:p>
      <w:pPr>
        <w:pStyle w:val="10"/>
        <w:ind w:firstLine="240" w:firstLineChars="100"/>
        <w:rPr>
          <w:rFonts w:hint="eastAsia" w:ascii="宋体" w:cs="宋体"/>
          <w:sz w:val="24"/>
          <w:lang w:val="zh-CN"/>
        </w:rPr>
      </w:pPr>
      <w:r>
        <w:rPr>
          <w:rFonts w:hint="eastAsia" w:ascii="宋体" w:cs="宋体"/>
          <w:sz w:val="24"/>
          <w:lang w:val="zh-CN"/>
        </w:rPr>
        <w:t>系统设备（室内设备和室外设备）必须采取防雷措施。</w:t>
      </w:r>
    </w:p>
    <w:p>
      <w:pPr>
        <w:pStyle w:val="10"/>
        <w:ind w:firstLine="240" w:firstLineChars="100"/>
        <w:rPr>
          <w:rFonts w:hint="eastAsia" w:ascii="宋体" w:cs="宋体"/>
          <w:sz w:val="24"/>
          <w:lang w:val="zh-CN"/>
        </w:rPr>
      </w:pPr>
      <w:r>
        <w:rPr>
          <w:rFonts w:hint="eastAsia" w:ascii="宋体" w:cs="宋体"/>
          <w:sz w:val="24"/>
          <w:lang w:val="zh-CN"/>
        </w:rPr>
        <w:t>2、按照招标文件要求、投标文件响应和承诺验收；</w:t>
      </w:r>
    </w:p>
    <w:p>
      <w:pPr>
        <w:pStyle w:val="10"/>
        <w:ind w:firstLine="241" w:firstLineChars="100"/>
        <w:rPr>
          <w:rFonts w:hint="eastAsia" w:cs="宋体" w:asciiTheme="majorEastAsia" w:hAnsiTheme="majorEastAsia" w:eastAsiaTheme="majorEastAsia"/>
          <w:b/>
          <w:kern w:val="0"/>
          <w:sz w:val="36"/>
          <w:szCs w:val="36"/>
        </w:rPr>
      </w:pPr>
      <w:r>
        <w:rPr>
          <w:rFonts w:hint="eastAsia" w:cs="宋体" w:asciiTheme="minorEastAsia" w:hAnsiTheme="minorEastAsia"/>
          <w:b/>
          <w:color w:val="000000"/>
          <w:kern w:val="0"/>
          <w:sz w:val="24"/>
          <w:szCs w:val="24"/>
          <w:lang w:val="zh-CN" w:eastAsia="zh-CN" w:bidi="ar-SA"/>
        </w:rPr>
        <w:t>（</w:t>
      </w:r>
      <w:r>
        <w:rPr>
          <w:rFonts w:hint="eastAsia" w:cs="宋体" w:asciiTheme="minorEastAsia" w:hAnsiTheme="minorEastAsia" w:eastAsiaTheme="minorEastAsia"/>
          <w:b/>
          <w:color w:val="000000"/>
          <w:kern w:val="0"/>
          <w:sz w:val="24"/>
          <w:szCs w:val="24"/>
          <w:lang w:val="zh-CN" w:eastAsia="zh-CN" w:bidi="ar-SA"/>
        </w:rPr>
        <w:t>七</w:t>
      </w:r>
      <w:r>
        <w:rPr>
          <w:rFonts w:hint="eastAsia" w:cs="宋体" w:asciiTheme="minorEastAsia" w:hAnsiTheme="minorEastAsia"/>
          <w:b/>
          <w:color w:val="000000"/>
          <w:kern w:val="0"/>
          <w:sz w:val="24"/>
          <w:szCs w:val="24"/>
          <w:lang w:val="zh-CN" w:eastAsia="zh-CN" w:bidi="ar-SA"/>
        </w:rPr>
        <w:t>）</w:t>
      </w:r>
      <w:r>
        <w:rPr>
          <w:rFonts w:hint="eastAsia" w:cs="宋体" w:asciiTheme="minorEastAsia" w:hAnsiTheme="minorEastAsia" w:eastAsiaTheme="minorEastAsia"/>
          <w:b/>
          <w:color w:val="000000"/>
          <w:kern w:val="0"/>
          <w:sz w:val="24"/>
          <w:szCs w:val="24"/>
          <w:lang w:val="zh-CN" w:eastAsia="zh-CN" w:bidi="ar-SA"/>
        </w:rPr>
        <w:t>付款方式：</w:t>
      </w:r>
      <w:r>
        <w:rPr>
          <w:rFonts w:hint="eastAsia" w:cs="宋体" w:asciiTheme="minorEastAsia" w:hAnsiTheme="minorEastAsia"/>
          <w:b/>
          <w:color w:val="000000"/>
          <w:kern w:val="0"/>
          <w:sz w:val="24"/>
          <w:szCs w:val="24"/>
          <w:lang w:val="zh-CN" w:eastAsia="zh-CN" w:bidi="ar-SA"/>
        </w:rPr>
        <w:t>以签订合同为准</w:t>
      </w:r>
      <w:r>
        <w:rPr>
          <w:rFonts w:hint="eastAsia" w:cs="宋体" w:asciiTheme="minorEastAsia" w:hAnsiTheme="minorEastAsia" w:eastAsiaTheme="minorEastAsia"/>
          <w:b/>
          <w:color w:val="000000"/>
          <w:kern w:val="0"/>
          <w:sz w:val="24"/>
          <w:szCs w:val="24"/>
          <w:lang w:val="zh-CN" w:eastAsia="zh-CN" w:bidi="ar-SA"/>
        </w:rPr>
        <w:t>。</w:t>
      </w: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3"/>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jc w:val="both"/>
              <w:rPr>
                <w:rFonts w:hint="eastAsia" w:cs="仿宋_GB2312" w:asciiTheme="minorEastAsia" w:hAnsiTheme="minorEastAsia"/>
                <w:szCs w:val="21"/>
              </w:rPr>
            </w:pPr>
            <w:r>
              <w:rPr>
                <w:rFonts w:hint="eastAsia" w:cs="仿宋_GB2312" w:asciiTheme="minorEastAsia" w:hAnsiTheme="minorEastAsia"/>
                <w:szCs w:val="21"/>
              </w:rPr>
              <w:t>项目名称：禹州市公安局新建改建交通设施及安装电子警察和反向抓拍系统</w:t>
            </w:r>
            <w:r>
              <w:rPr>
                <w:rFonts w:hint="eastAsia" w:cs="仿宋_GB2312" w:asciiTheme="minorEastAsia" w:hAnsiTheme="minorEastAsia"/>
                <w:szCs w:val="21"/>
                <w:lang w:eastAsia="zh-CN"/>
              </w:rPr>
              <w:t>采购</w:t>
            </w:r>
            <w:r>
              <w:rPr>
                <w:rFonts w:hint="eastAsia" w:cs="仿宋_GB2312" w:asciiTheme="minorEastAsia" w:hAnsiTheme="minorEastAsia"/>
                <w:szCs w:val="21"/>
              </w:rPr>
              <w:t>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YZCG-G2019168</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lang w:eastAsia="zh-CN"/>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w:t>
            </w:r>
            <w:r>
              <w:rPr>
                <w:rFonts w:hint="eastAsia" w:cs="仿宋_GB2312" w:asciiTheme="minorEastAsia" w:hAnsiTheme="minorEastAsia"/>
                <w:szCs w:val="21"/>
              </w:rPr>
              <w:t>禹州市</w:t>
            </w:r>
            <w:r>
              <w:rPr>
                <w:rFonts w:hint="eastAsia" w:cs="仿宋_GB2312" w:asciiTheme="minorEastAsia" w:hAnsiTheme="minorEastAsia"/>
                <w:szCs w:val="21"/>
                <w:lang w:eastAsia="zh-CN"/>
              </w:rPr>
              <w:t>公安局</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Cs w:val="21"/>
                <w:lang w:eastAsia="zh-CN"/>
              </w:rPr>
              <w:t>禹州市华夏大道</w:t>
            </w:r>
          </w:p>
          <w:p>
            <w:pPr>
              <w:widowControl/>
              <w:shd w:val="clear" w:color="auto" w:fill="FFFFFF"/>
              <w:spacing w:line="400" w:lineRule="exact"/>
              <w:jc w:val="left"/>
              <w:rPr>
                <w:rFonts w:hint="default" w:cs="仿宋_GB2312" w:asciiTheme="minorEastAsia" w:hAnsiTheme="minorEastAsia"/>
                <w:sz w:val="24"/>
                <w:szCs w:val="24"/>
                <w:lang w:val="en-US"/>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董</w:t>
            </w:r>
            <w:r>
              <w:rPr>
                <w:rFonts w:hint="eastAsia" w:cs="仿宋_GB2312" w:asciiTheme="minorEastAsia" w:hAnsiTheme="minorEastAsia"/>
                <w:sz w:val="24"/>
                <w:szCs w:val="24"/>
              </w:rPr>
              <w:t>先生                    电话：</w:t>
            </w:r>
            <w:r>
              <w:rPr>
                <w:rFonts w:hint="eastAsia" w:cs="仿宋_GB2312" w:asciiTheme="minorEastAsia" w:hAnsiTheme="minorEastAsia"/>
                <w:sz w:val="24"/>
                <w:szCs w:val="24"/>
                <w:lang w:val="en-US" w:eastAsia="zh-CN"/>
              </w:rPr>
              <w:t>18839906082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w:t>
            </w:r>
            <w:r>
              <w:t>政府采购严重违法失信名单</w:t>
            </w:r>
            <w:r>
              <w:rPr>
                <w:rFonts w:hint="eastAsia"/>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rPr>
                <w:rFonts w:hint="eastAsia"/>
              </w:rPr>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p>
            <w:pPr>
              <w:pStyle w:val="2"/>
              <w:rPr>
                <w:rFonts w:hint="eastAsia" w:eastAsiaTheme="minorEastAsia"/>
                <w:lang w:val="en-US" w:eastAsia="zh-CN"/>
              </w:rPr>
            </w:pPr>
            <w:r>
              <w:rPr>
                <w:rFonts w:hint="eastAsia" w:asciiTheme="minorHAnsi" w:hAnsiTheme="minorHAnsi" w:eastAsiaTheme="minorEastAsia" w:cstheme="minorBidi"/>
                <w:kern w:val="2"/>
                <w:sz w:val="21"/>
                <w:szCs w:val="22"/>
                <w:lang w:val="en-US" w:eastAsia="zh-CN" w:bidi="ar-SA"/>
              </w:rPr>
              <w:t>八、投标人须具备电子与智能化工程专业承包贰级及以上资质且具有有效期内的安全生产许可证</w:t>
            </w:r>
            <w:r>
              <w:rPr>
                <w:rFonts w:hint="eastAsia" w:cstheme="minorBidi"/>
                <w:kern w:val="2"/>
                <w:sz w:val="21"/>
                <w:szCs w:val="2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both"/>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第一标段：253.33万元</w:t>
            </w:r>
          </w:p>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第二标段：61.48万元</w:t>
            </w:r>
          </w:p>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第三标段：252.38万元</w:t>
            </w:r>
          </w:p>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 xml:space="preserve">年 </w:t>
            </w:r>
            <w:r>
              <w:rPr>
                <w:rFonts w:hint="eastAsia" w:cs="宋体" w:asciiTheme="minorEastAsia" w:hAnsiTheme="minorEastAsia"/>
                <w:bCs/>
                <w:sz w:val="24"/>
                <w:szCs w:val="24"/>
                <w:lang w:val="en-US" w:eastAsia="zh-CN"/>
              </w:rPr>
              <w:t xml:space="preserve"> </w:t>
            </w:r>
            <w:r>
              <w:rPr>
                <w:rFonts w:hint="eastAsia" w:cs="宋体" w:asciiTheme="minorEastAsia" w:hAnsiTheme="minorEastAsia"/>
                <w:bCs/>
                <w:sz w:val="24"/>
                <w:szCs w:val="24"/>
                <w:lang w:val="zh-CN"/>
              </w:rPr>
              <w:t>月</w:t>
            </w:r>
            <w:r>
              <w:rPr>
                <w:rFonts w:hint="eastAsia" w:cs="宋体" w:asciiTheme="minorEastAsia" w:hAnsiTheme="minorEastAsia"/>
                <w:bCs/>
                <w:sz w:val="24"/>
                <w:szCs w:val="24"/>
                <w:lang w:val="en-US" w:eastAsia="zh-CN"/>
              </w:rPr>
              <w:t xml:space="preserve">  </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9</w:t>
            </w:r>
            <w:r>
              <w:rPr>
                <w:rFonts w:hint="eastAsia" w:cs="宋体" w:asciiTheme="minorEastAsia" w:hAnsiTheme="minorEastAsia"/>
                <w:bCs/>
                <w:sz w:val="24"/>
                <w:szCs w:val="24"/>
                <w:lang w:val="zh-CN"/>
              </w:rPr>
              <w:t>：</w:t>
            </w:r>
            <w:r>
              <w:rPr>
                <w:rFonts w:hint="eastAsia" w:cs="宋体" w:asciiTheme="minorEastAsia" w:hAnsiTheme="minorEastAsia"/>
                <w:bCs/>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金额：每个标段伍万元整</w:t>
            </w:r>
            <w:r>
              <w:rPr>
                <w:rFonts w:hint="eastAsia" w:cs="仿宋_GB2312" w:asciiTheme="minorEastAsia" w:hAnsiTheme="minorEastAsia"/>
                <w:sz w:val="24"/>
                <w:szCs w:val="24"/>
                <w:lang w:val="en-US" w:eastAsia="zh-CN"/>
              </w:rPr>
              <w:t xml:space="preserve"> </w:t>
            </w:r>
            <w:r>
              <w:rPr>
                <w:rFonts w:hint="eastAsia" w:cs="仿宋_GB2312" w:asciiTheme="minorEastAsia" w:hAnsiTheme="minorEastAsia"/>
                <w:sz w:val="24"/>
                <w:szCs w:val="24"/>
                <w:lang w:val="zh-CN"/>
              </w:rPr>
              <w:t>（¥ ：</w:t>
            </w:r>
            <w:r>
              <w:rPr>
                <w:rFonts w:hint="eastAsia" w:cs="仿宋_GB2312" w:asciiTheme="minorEastAsia" w:hAnsiTheme="minorEastAsia"/>
                <w:sz w:val="24"/>
                <w:szCs w:val="24"/>
                <w:lang w:val="en-US" w:eastAsia="zh-CN"/>
              </w:rPr>
              <w:t>5</w:t>
            </w:r>
            <w:r>
              <w:rPr>
                <w:rFonts w:hint="eastAsia" w:cs="仿宋_GB2312" w:asciiTheme="minorEastAsia" w:hAnsiTheme="minorEastAsia"/>
                <w:sz w:val="24"/>
                <w:szCs w:val="24"/>
              </w:rPr>
              <w:t>0000.00</w:t>
            </w:r>
            <w:r>
              <w:rPr>
                <w:rFonts w:hint="eastAsia" w:cs="仿宋_GB2312" w:asciiTheme="minorEastAsia" w:hAnsiTheme="minorEastAsia"/>
                <w:sz w:val="24"/>
                <w:szCs w:val="24"/>
                <w:lang w:val="zh-CN"/>
              </w:rPr>
              <w:t xml:space="preserve"> 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要求提交。履约保证金的数额为合同金额的5%。中标人以支票、汇票、本票或者金融机构、担保机构出具的保函等非现金形式向采购人提交。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9"/>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9"/>
        <w:numPr>
          <w:ilvl w:val="0"/>
          <w:numId w:val="10"/>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9"/>
        <w:numPr>
          <w:ilvl w:val="0"/>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9"/>
        <w:autoSpaceDE w:val="0"/>
        <w:autoSpaceDN w:val="0"/>
        <w:spacing w:line="360" w:lineRule="auto"/>
        <w:ind w:left="780" w:firstLine="0" w:firstLineChars="0"/>
        <w:contextualSpacing/>
        <w:rPr>
          <w:rFonts w:cs="宋体" w:asciiTheme="minorEastAsia" w:hAnsiTheme="minorEastAsia"/>
          <w:kern w:val="0"/>
          <w:sz w:val="24"/>
          <w:szCs w:val="24"/>
        </w:rPr>
      </w:pPr>
    </w:p>
    <w:p>
      <w:pPr>
        <w:pStyle w:val="59"/>
        <w:numPr>
          <w:ilvl w:val="0"/>
          <w:numId w:val="10"/>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9"/>
        <w:numPr>
          <w:ilvl w:val="0"/>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9"/>
        <w:numPr>
          <w:ilvl w:val="1"/>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9"/>
        <w:numPr>
          <w:ilvl w:val="1"/>
          <w:numId w:val="10"/>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9"/>
        <w:numPr>
          <w:ilvl w:val="1"/>
          <w:numId w:val="10"/>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7"/>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9"/>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9"/>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9"/>
        <w:rPr>
          <w:rFonts w:hint="eastAsia"/>
          <w:sz w:val="24"/>
          <w:szCs w:val="24"/>
        </w:rPr>
      </w:pPr>
      <w:r>
        <w:rPr>
          <w:rFonts w:hint="eastAsia"/>
          <w:sz w:val="24"/>
          <w:szCs w:val="24"/>
        </w:rPr>
        <w:t>（2）截止时间：同投标截止时间；</w:t>
      </w:r>
    </w:p>
    <w:p>
      <w:pPr>
        <w:pStyle w:val="29"/>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9"/>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9"/>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9"/>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9"/>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9"/>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9"/>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9"/>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9"/>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0"/>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自采购合同签订并备案后5个工作日内退还中标人的投标保证金（0374-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4"/>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4"/>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4"/>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4"/>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4"/>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4"/>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4"/>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4"/>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7" w:name="OLE_LINK6"/>
      <w:r>
        <w:rPr>
          <w:rFonts w:hint="eastAsia" w:cs="仿宋_GB2312" w:asciiTheme="minorEastAsia" w:hAnsiTheme="minorEastAsia"/>
          <w:sz w:val="24"/>
          <w:szCs w:val="24"/>
          <w:lang w:val="zh-CN"/>
        </w:rPr>
        <w:t>财库[2014]68号</w:t>
      </w:r>
      <w:bookmarkEnd w:id="7"/>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4"/>
        <w:spacing w:line="360" w:lineRule="auto"/>
        <w:contextualSpacing/>
        <w:rPr>
          <w:rFonts w:cs="仿宋_GB2312" w:asciiTheme="minorEastAsia" w:hAnsiTheme="minorEastAsia"/>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4"/>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8"/>
                <w:rFonts w:hint="eastAsia" w:asciiTheme="minorEastAsia" w:hAnsiTheme="minorEastAsia"/>
                <w:bCs/>
                <w:szCs w:val="21"/>
              </w:rPr>
              <w:t>www.creditchina.gov.cn</w:t>
            </w:r>
            <w:r>
              <w:rPr>
                <w:rStyle w:val="28"/>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8"/>
                <w:rFonts w:asciiTheme="minorEastAsia" w:hAnsiTheme="minorEastAsia"/>
                <w:bCs/>
                <w:szCs w:val="21"/>
              </w:rPr>
              <w:t>www.gsxt.gov.cn</w:t>
            </w:r>
            <w:r>
              <w:rPr>
                <w:rStyle w:val="28"/>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bookmarkStart w:id="18" w:name="_GoBack"/>
            <w:r>
              <w:rPr>
                <w:rFonts w:hint="eastAsia" w:asciiTheme="minorEastAsia" w:hAnsiTheme="minorEastAsia"/>
                <w:bCs/>
                <w:szCs w:val="21"/>
              </w:rPr>
              <w:t>投标人须具备电子与智能化工程专业承包贰级及以上资质且具有有效期内的安全生产许可证</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投标保证金</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8" w:name="baidusnap2"/>
            <w:bookmarkEnd w:id="8"/>
            <w:r>
              <w:rPr>
                <w:rFonts w:hint="eastAsia" w:cs="仿宋_GB2312" w:asciiTheme="minorEastAsia" w:hAnsiTheme="minorEastAsia"/>
                <w:szCs w:val="21"/>
                <w:lang w:val="zh-CN"/>
              </w:rPr>
              <w:t>提供未为本项目提供整体设计、</w:t>
            </w:r>
            <w:bookmarkStart w:id="9" w:name="baidusnap9"/>
            <w:bookmarkEnd w:id="9"/>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contextualSpacing/>
        <w:jc w:val="both"/>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hint="eastAsia" w:cs="仿宋_GB2312" w:asciiTheme="minorEastAsia" w:hAnsiTheme="minorEastAsia" w:eastAsiaTheme="minorEastAsia"/>
          <w:b/>
          <w:sz w:val="32"/>
          <w:szCs w:val="32"/>
          <w:lang w:val="zh-CN"/>
        </w:rPr>
      </w:pPr>
    </w:p>
    <w:p>
      <w:pPr>
        <w:pStyle w:val="14"/>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4"/>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zh-CN"/>
        </w:rPr>
        <w:t>本项目采用综合评分法。</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4"/>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4"/>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4"/>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4"/>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2"/>
        <w:rPr>
          <w:rFonts w:hint="eastAsia" w:cs="仿宋_GB2312" w:asciiTheme="minorEastAsia" w:hAnsiTheme="minorEastAsia"/>
          <w:szCs w:val="21"/>
          <w:lang w:val="en-US" w:eastAsia="zh-CN"/>
        </w:rPr>
      </w:pPr>
      <w:r>
        <w:rPr>
          <w:rFonts w:hint="eastAsia" w:cs="仿宋_GB2312" w:asciiTheme="minorEastAsia" w:hAnsiTheme="minorEastAsia"/>
          <w:szCs w:val="21"/>
          <w:lang w:val="en-US" w:eastAsia="zh-CN"/>
        </w:rPr>
        <w:t xml:space="preserve">   （5）评分标准</w:t>
      </w:r>
    </w:p>
    <w:tbl>
      <w:tblPr>
        <w:tblStyle w:val="23"/>
        <w:tblW w:w="8903"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6026"/>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875"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分值构成</w:t>
            </w:r>
          </w:p>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eastAsia="zh-CN"/>
              </w:rPr>
              <w:t>（</w:t>
            </w:r>
            <w:r>
              <w:rPr>
                <w:rFonts w:hint="eastAsia" w:ascii="新宋体" w:hAnsi="新宋体" w:eastAsia="新宋体" w:cs="新宋体"/>
                <w:color w:val="000000"/>
                <w:kern w:val="0"/>
                <w:sz w:val="24"/>
                <w:szCs w:val="24"/>
              </w:rPr>
              <w:t>总分100</w:t>
            </w:r>
            <w:r>
              <w:rPr>
                <w:rFonts w:hint="eastAsia" w:ascii="新宋体" w:hAnsi="新宋体" w:eastAsia="新宋体" w:cs="新宋体"/>
                <w:color w:val="000000"/>
                <w:kern w:val="0"/>
                <w:sz w:val="24"/>
                <w:szCs w:val="24"/>
                <w:lang w:eastAsia="zh-CN"/>
              </w:rPr>
              <w:t>）</w:t>
            </w:r>
          </w:p>
        </w:tc>
        <w:tc>
          <w:tcPr>
            <w:tcW w:w="702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leftChars="200"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价格分值：   </w:t>
            </w:r>
            <w:r>
              <w:rPr>
                <w:rFonts w:hint="eastAsia" w:ascii="新宋体" w:hAnsi="新宋体" w:eastAsia="新宋体" w:cs="新宋体"/>
                <w:color w:val="000000"/>
                <w:kern w:val="0"/>
                <w:sz w:val="24"/>
                <w:szCs w:val="24"/>
                <w:lang w:val="en-US" w:eastAsia="zh-CN"/>
              </w:rPr>
              <w:t>5</w:t>
            </w:r>
            <w:r>
              <w:rPr>
                <w:rFonts w:hint="eastAsia" w:ascii="新宋体" w:hAnsi="新宋体" w:eastAsia="新宋体" w:cs="新宋体"/>
                <w:color w:val="000000"/>
                <w:kern w:val="0"/>
                <w:sz w:val="24"/>
                <w:szCs w:val="24"/>
              </w:rPr>
              <w:t>0     分</w:t>
            </w:r>
          </w:p>
          <w:p>
            <w:pPr>
              <w:spacing w:line="360" w:lineRule="auto"/>
              <w:ind w:leftChars="200"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商务部分：   </w:t>
            </w:r>
            <w:r>
              <w:rPr>
                <w:rFonts w:hint="eastAsia" w:ascii="新宋体" w:hAnsi="新宋体" w:eastAsia="新宋体" w:cs="新宋体"/>
                <w:color w:val="000000"/>
                <w:kern w:val="0"/>
                <w:sz w:val="24"/>
                <w:szCs w:val="24"/>
                <w:lang w:val="en-US" w:eastAsia="zh-CN"/>
              </w:rPr>
              <w:t>13</w:t>
            </w:r>
            <w:r>
              <w:rPr>
                <w:rFonts w:hint="eastAsia" w:ascii="新宋体" w:hAnsi="新宋体" w:eastAsia="新宋体" w:cs="新宋体"/>
                <w:color w:val="000000"/>
                <w:kern w:val="0"/>
                <w:sz w:val="24"/>
                <w:szCs w:val="24"/>
              </w:rPr>
              <w:t>    分</w:t>
            </w:r>
          </w:p>
          <w:p>
            <w:pPr>
              <w:spacing w:line="360" w:lineRule="auto"/>
              <w:ind w:leftChars="200" w:firstLine="480"/>
              <w:jc w:val="center"/>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技术部分：   </w:t>
            </w:r>
            <w:r>
              <w:rPr>
                <w:rFonts w:hint="eastAsia" w:ascii="新宋体" w:hAnsi="新宋体" w:eastAsia="新宋体" w:cs="新宋体"/>
                <w:color w:val="000000"/>
                <w:kern w:val="0"/>
                <w:sz w:val="24"/>
                <w:szCs w:val="24"/>
                <w:lang w:val="en-US" w:eastAsia="zh-CN"/>
              </w:rPr>
              <w:t>37</w:t>
            </w:r>
            <w:r>
              <w:rPr>
                <w:rFonts w:hint="eastAsia" w:ascii="新宋体" w:hAnsi="新宋体" w:eastAsia="新宋体" w:cs="新宋体"/>
                <w:color w:val="000000"/>
                <w:kern w:val="0"/>
                <w:sz w:val="24"/>
                <w:szCs w:val="24"/>
              </w:rPr>
              <w:t>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0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ind w:leftChars="200"/>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一、价格部分（满分 </w:t>
            </w:r>
            <w:r>
              <w:rPr>
                <w:rFonts w:hint="eastAsia" w:ascii="新宋体" w:hAnsi="新宋体" w:eastAsia="新宋体" w:cs="新宋体"/>
                <w:bCs/>
                <w:color w:val="000000"/>
                <w:kern w:val="0"/>
                <w:sz w:val="24"/>
                <w:szCs w:val="24"/>
                <w:lang w:val="en-US" w:eastAsia="zh-CN"/>
              </w:rPr>
              <w:t>5</w:t>
            </w:r>
            <w:r>
              <w:rPr>
                <w:rFonts w:hint="eastAsia" w:ascii="新宋体" w:hAnsi="新宋体" w:eastAsia="新宋体" w:cs="新宋体"/>
                <w:bCs/>
                <w:color w:val="000000"/>
                <w:kern w:val="0"/>
                <w:sz w:val="24"/>
                <w:szCs w:val="24"/>
              </w:rPr>
              <w:t>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026" w:type="dxa"/>
            <w:tcBorders>
              <w:top w:val="single" w:color="auto" w:sz="4" w:space="0"/>
              <w:left w:val="single" w:color="auto" w:sz="4" w:space="0"/>
              <w:bottom w:val="single" w:color="auto" w:sz="4" w:space="0"/>
              <w:right w:val="single" w:color="auto" w:sz="4" w:space="0"/>
            </w:tcBorders>
            <w:vAlign w:val="center"/>
          </w:tcPr>
          <w:p>
            <w:pPr>
              <w:spacing w:line="360" w:lineRule="auto"/>
              <w:ind w:leftChars="200"/>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投标报价评分标准</w:t>
            </w:r>
          </w:p>
        </w:tc>
        <w:tc>
          <w:tcPr>
            <w:tcW w:w="602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评标基准价：满足招标文件要求的有效投标报价中，最低的投标报价为评标基准价。</w:t>
            </w:r>
          </w:p>
          <w:p>
            <w:pPr>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投标报价得分=（评标基准价/投标报价）×</w:t>
            </w:r>
            <w:r>
              <w:rPr>
                <w:rFonts w:hint="eastAsia" w:ascii="新宋体" w:hAnsi="新宋体" w:eastAsia="新宋体" w:cs="新宋体"/>
                <w:color w:val="000000"/>
                <w:kern w:val="0"/>
                <w:sz w:val="24"/>
                <w:szCs w:val="24"/>
                <w:lang w:val="en-US" w:eastAsia="zh-CN"/>
              </w:rPr>
              <w:t>5</w:t>
            </w:r>
            <w:r>
              <w:rPr>
                <w:rFonts w:hint="eastAsia" w:ascii="新宋体" w:hAnsi="新宋体" w:eastAsia="新宋体" w:cs="新宋体"/>
                <w:color w:val="000000"/>
                <w:kern w:val="0"/>
                <w:sz w:val="24"/>
                <w:szCs w:val="24"/>
              </w:rPr>
              <w:t>0</w:t>
            </w:r>
          </w:p>
          <w:p>
            <w:pPr>
              <w:spacing w:line="360" w:lineRule="auto"/>
              <w:ind w:firstLine="480" w:firstLineChars="200"/>
              <w:jc w:val="left"/>
              <w:rPr>
                <w:rFonts w:hint="eastAsia" w:ascii="新宋体" w:hAnsi="新宋体" w:eastAsia="新宋体" w:cs="新宋体"/>
                <w:sz w:val="24"/>
                <w:szCs w:val="24"/>
                <w:lang w:eastAsia="zh-CN"/>
              </w:rPr>
            </w:pPr>
            <w:r>
              <w:rPr>
                <w:rFonts w:hint="eastAsia" w:ascii="新宋体" w:hAnsi="新宋体" w:eastAsia="新宋体" w:cs="新宋体"/>
                <w:color w:val="000000"/>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val="en-US" w:eastAsia="zh-CN"/>
              </w:rPr>
              <w:t>5</w:t>
            </w:r>
            <w:r>
              <w:rPr>
                <w:rFonts w:hint="eastAsia" w:ascii="新宋体" w:hAnsi="新宋体" w:eastAsia="新宋体" w:cs="新宋体"/>
                <w:color w:val="000000"/>
                <w:kern w:val="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903" w:type="dxa"/>
            <w:gridSpan w:val="3"/>
            <w:tcBorders>
              <w:top w:val="single" w:color="auto" w:sz="4" w:space="0"/>
              <w:left w:val="single" w:color="auto" w:sz="4" w:space="0"/>
              <w:bottom w:val="single" w:color="auto" w:sz="4" w:space="0"/>
              <w:right w:val="single" w:color="auto" w:sz="4" w:space="0"/>
            </w:tcBorders>
            <w:vAlign w:val="center"/>
          </w:tcPr>
          <w:p>
            <w:pPr>
              <w:numPr>
                <w:ilvl w:val="0"/>
                <w:numId w:val="12"/>
              </w:numPr>
              <w:spacing w:line="360" w:lineRule="auto"/>
              <w:ind w:leftChars="200"/>
              <w:jc w:val="center"/>
              <w:rPr>
                <w:rFonts w:hint="eastAsia" w:ascii="新宋体" w:hAnsi="新宋体" w:eastAsia="新宋体" w:cs="新宋体"/>
                <w:sz w:val="24"/>
                <w:szCs w:val="24"/>
              </w:rPr>
            </w:pPr>
            <w:r>
              <w:rPr>
                <w:rFonts w:hint="eastAsia" w:ascii="新宋体" w:hAnsi="新宋体" w:eastAsia="新宋体" w:cs="新宋体"/>
                <w:sz w:val="24"/>
                <w:szCs w:val="24"/>
              </w:rPr>
              <w:t>商务部分（满分  </w:t>
            </w:r>
            <w:r>
              <w:rPr>
                <w:rFonts w:hint="eastAsia" w:ascii="新宋体" w:hAnsi="新宋体" w:eastAsia="新宋体" w:cs="新宋体"/>
                <w:sz w:val="24"/>
                <w:szCs w:val="24"/>
                <w:lang w:val="en-US" w:eastAsia="zh-CN"/>
              </w:rPr>
              <w:t>13</w:t>
            </w:r>
            <w:r>
              <w:rPr>
                <w:rFonts w:hint="eastAsia" w:ascii="新宋体" w:hAnsi="新宋体" w:eastAsia="新宋体" w:cs="新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026" w:type="dxa"/>
            <w:tcBorders>
              <w:top w:val="single" w:color="auto" w:sz="4" w:space="0"/>
              <w:left w:val="single" w:color="auto" w:sz="4" w:space="0"/>
              <w:bottom w:val="single" w:color="auto" w:sz="4" w:space="0"/>
              <w:right w:val="single" w:color="auto" w:sz="4" w:space="0"/>
            </w:tcBorders>
            <w:vAlign w:val="center"/>
          </w:tcPr>
          <w:p>
            <w:pPr>
              <w:spacing w:line="360" w:lineRule="auto"/>
              <w:ind w:leftChars="200"/>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pStyle w:val="2"/>
              <w:rPr>
                <w:rFonts w:hint="eastAsia" w:ascii="新宋体" w:hAnsi="新宋体" w:eastAsia="新宋体" w:cs="新宋体"/>
                <w:bCs/>
                <w:color w:val="000000"/>
                <w:kern w:val="0"/>
                <w:sz w:val="24"/>
                <w:szCs w:val="24"/>
                <w:lang w:val="en-US" w:eastAsia="zh-CN"/>
              </w:rPr>
            </w:pPr>
            <w:r>
              <w:rPr>
                <w:rFonts w:hint="eastAsia" w:ascii="新宋体" w:hAnsi="新宋体" w:eastAsia="新宋体" w:cs="新宋体"/>
                <w:bCs/>
                <w:color w:val="000000"/>
                <w:kern w:val="0"/>
                <w:sz w:val="24"/>
                <w:szCs w:val="24"/>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rPr>
              <w:t>企业实力</w:t>
            </w:r>
          </w:p>
        </w:tc>
        <w:tc>
          <w:tcPr>
            <w:tcW w:w="6026"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color w:val="000000"/>
                <w:kern w:val="0"/>
                <w:sz w:val="24"/>
                <w:szCs w:val="24"/>
              </w:rPr>
              <w:t>投标人的信用等级为AAA级的得</w:t>
            </w:r>
            <w:r>
              <w:rPr>
                <w:rFonts w:hint="eastAsia" w:ascii="新宋体" w:hAnsi="新宋体" w:eastAsia="新宋体" w:cs="新宋体"/>
                <w:color w:val="000000"/>
                <w:kern w:val="0"/>
                <w:sz w:val="24"/>
                <w:szCs w:val="24"/>
                <w:lang w:val="en-US" w:eastAsia="zh-CN"/>
              </w:rPr>
              <w:t>5</w:t>
            </w:r>
            <w:r>
              <w:rPr>
                <w:rFonts w:hint="eastAsia" w:ascii="新宋体" w:hAnsi="新宋体" w:eastAsia="新宋体" w:cs="新宋体"/>
                <w:color w:val="000000"/>
                <w:kern w:val="0"/>
                <w:sz w:val="24"/>
                <w:szCs w:val="24"/>
              </w:rPr>
              <w:t>分，AA级的</w:t>
            </w:r>
            <w:r>
              <w:rPr>
                <w:rFonts w:hint="eastAsia" w:ascii="新宋体" w:hAnsi="新宋体" w:eastAsia="新宋体" w:cs="新宋体"/>
                <w:color w:val="000000"/>
                <w:kern w:val="0"/>
                <w:sz w:val="24"/>
                <w:szCs w:val="24"/>
                <w:lang w:val="en-US" w:eastAsia="zh-CN"/>
              </w:rPr>
              <w:t>得3分，</w:t>
            </w:r>
            <w:r>
              <w:rPr>
                <w:rFonts w:hint="eastAsia" w:ascii="新宋体" w:hAnsi="新宋体" w:eastAsia="新宋体" w:cs="新宋体"/>
                <w:color w:val="000000"/>
                <w:kern w:val="0"/>
                <w:sz w:val="24"/>
                <w:szCs w:val="24"/>
              </w:rPr>
              <w:t>其他</w:t>
            </w:r>
            <w:r>
              <w:rPr>
                <w:rFonts w:hint="eastAsia" w:ascii="新宋体" w:hAnsi="新宋体" w:eastAsia="新宋体" w:cs="新宋体"/>
                <w:color w:val="000000"/>
                <w:kern w:val="0"/>
                <w:sz w:val="24"/>
                <w:szCs w:val="24"/>
                <w:lang w:val="en-US" w:eastAsia="zh-CN"/>
              </w:rPr>
              <w:t>等级</w:t>
            </w:r>
            <w:r>
              <w:rPr>
                <w:rFonts w:hint="eastAsia" w:ascii="新宋体" w:hAnsi="新宋体" w:eastAsia="新宋体" w:cs="新宋体"/>
                <w:color w:val="000000"/>
                <w:kern w:val="0"/>
                <w:sz w:val="24"/>
                <w:szCs w:val="24"/>
              </w:rPr>
              <w:t>不得分。同时提供相关信用评级机构出具的有效的企业信用报告。</w:t>
            </w:r>
            <w:r>
              <w:rPr>
                <w:rFonts w:hint="eastAsia" w:ascii="新宋体" w:hAnsi="新宋体" w:eastAsia="新宋体" w:cs="新宋体"/>
                <w:sz w:val="24"/>
                <w:szCs w:val="24"/>
              </w:rPr>
              <w:t>(标书中提供复印件并加盖公章，原件备查）</w:t>
            </w:r>
          </w:p>
          <w:p>
            <w:pPr>
              <w:spacing w:line="360" w:lineRule="auto"/>
              <w:ind w:firstLine="480" w:firstLineChars="200"/>
              <w:jc w:val="both"/>
              <w:rPr>
                <w:rFonts w:hint="eastAsia" w:ascii="新宋体" w:hAnsi="新宋体" w:eastAsia="新宋体" w:cs="新宋体"/>
                <w:bCs/>
                <w:color w:val="000000"/>
                <w:kern w:val="0"/>
                <w:sz w:val="24"/>
                <w:szCs w:val="24"/>
              </w:rPr>
            </w:pPr>
            <w:r>
              <w:rPr>
                <w:rFonts w:hint="eastAsia" w:ascii="新宋体" w:hAnsi="新宋体" w:eastAsia="新宋体" w:cs="新宋体"/>
                <w:sz w:val="24"/>
                <w:szCs w:val="24"/>
              </w:rPr>
              <w:t>投标人同时具有ISO27001信息安全管理体系认证证书、ISO20000服务管理体系认证证书、信息技术服务运行维护标准符合性证书（ITSS）的得</w:t>
            </w: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分，缺项不得分。(标书中提供证书复印件并加盖公章，原件备查）</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bCs/>
                <w:color w:val="000000"/>
                <w:kern w:val="0"/>
                <w:sz w:val="24"/>
                <w:szCs w:val="24"/>
              </w:rPr>
            </w:pPr>
            <w:r>
              <w:rPr>
                <w:rFonts w:hint="eastAsia" w:ascii="新宋体" w:hAnsi="新宋体" w:eastAsia="新宋体" w:cs="新宋体"/>
                <w:color w:val="000000"/>
                <w:kern w:val="0"/>
                <w:sz w:val="24"/>
                <w:szCs w:val="24"/>
                <w:lang w:val="en-US" w:eastAsia="zh-CN"/>
              </w:rPr>
              <w:t>7</w:t>
            </w:r>
            <w:r>
              <w:rPr>
                <w:rFonts w:hint="eastAsia" w:ascii="新宋体" w:hAnsi="新宋体" w:eastAsia="新宋体" w:cs="新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业绩</w:t>
            </w:r>
          </w:p>
        </w:tc>
        <w:tc>
          <w:tcPr>
            <w:tcW w:w="602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投标人须提供2015年1月1日以来已完成类似项目案例单份合同不低于</w:t>
            </w:r>
            <w:r>
              <w:rPr>
                <w:rFonts w:hint="eastAsia" w:ascii="新宋体" w:hAnsi="新宋体" w:eastAsia="新宋体" w:cs="新宋体"/>
                <w:sz w:val="24"/>
                <w:szCs w:val="24"/>
                <w:lang w:val="en-US" w:eastAsia="zh-CN"/>
              </w:rPr>
              <w:t>25</w:t>
            </w:r>
            <w:r>
              <w:rPr>
                <w:rFonts w:hint="eastAsia" w:ascii="新宋体" w:hAnsi="新宋体" w:eastAsia="新宋体" w:cs="新宋体"/>
                <w:sz w:val="24"/>
                <w:szCs w:val="24"/>
              </w:rPr>
              <w:t>0万</w:t>
            </w: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含250万</w:t>
            </w:r>
            <w:r>
              <w:rPr>
                <w:rFonts w:hint="eastAsia" w:ascii="新宋体" w:hAnsi="新宋体" w:eastAsia="新宋体" w:cs="新宋体"/>
                <w:sz w:val="24"/>
                <w:szCs w:val="24"/>
                <w:lang w:eastAsia="zh-CN"/>
              </w:rPr>
              <w:t>）</w:t>
            </w:r>
            <w:r>
              <w:rPr>
                <w:rFonts w:hint="eastAsia" w:ascii="新宋体" w:hAnsi="新宋体" w:eastAsia="新宋体" w:cs="新宋体"/>
                <w:sz w:val="24"/>
                <w:szCs w:val="24"/>
              </w:rPr>
              <w:t>，每提供一份得2分，满分6分。（提供中标通知书、合同、验收报告。未按要求提供者不得分，原件备查）</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sz w:val="24"/>
                <w:szCs w:val="24"/>
              </w:rPr>
            </w:pPr>
          </w:p>
          <w:p>
            <w:pPr>
              <w:spacing w:line="360" w:lineRule="auto"/>
              <w:jc w:val="both"/>
              <w:rPr>
                <w:rFonts w:hint="eastAsia" w:ascii="新宋体" w:hAnsi="新宋体" w:eastAsia="新宋体" w:cs="新宋体"/>
                <w:sz w:val="24"/>
                <w:szCs w:val="24"/>
              </w:rPr>
            </w:pPr>
          </w:p>
          <w:p>
            <w:pPr>
              <w:spacing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6分</w:t>
            </w:r>
          </w:p>
          <w:p>
            <w:pPr>
              <w:pStyle w:val="2"/>
              <w:rPr>
                <w:rFonts w:hint="eastAsia" w:ascii="新宋体" w:hAnsi="新宋体" w:eastAsia="新宋体" w:cs="新宋体"/>
                <w:color w:val="000000"/>
                <w:kern w:val="0"/>
                <w:sz w:val="24"/>
                <w:szCs w:val="24"/>
              </w:rPr>
            </w:pPr>
          </w:p>
          <w:p>
            <w:pPr>
              <w:pStyle w:val="2"/>
              <w:rPr>
                <w:rFonts w:hint="eastAsia" w:ascii="新宋体" w:hAnsi="新宋体" w:eastAsia="新宋体" w:cs="新宋体"/>
                <w:color w:val="000000"/>
                <w:kern w:val="0"/>
                <w:sz w:val="24"/>
                <w:szCs w:val="24"/>
              </w:rPr>
            </w:pPr>
          </w:p>
          <w:p>
            <w:pPr>
              <w:pStyle w:val="2"/>
              <w:rPr>
                <w:rFonts w:hint="eastAsia" w:ascii="新宋体" w:hAnsi="新宋体" w:eastAsia="新宋体" w:cs="新宋体"/>
                <w:color w:val="000000"/>
                <w:kern w:val="0"/>
                <w:sz w:val="24"/>
                <w:szCs w:val="24"/>
              </w:rPr>
            </w:pPr>
          </w:p>
          <w:p>
            <w:pPr>
              <w:pStyle w:val="2"/>
              <w:rPr>
                <w:rFonts w:hint="eastAsia" w:ascii="新宋体" w:hAnsi="新宋体" w:eastAsia="新宋体" w:cs="新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8903" w:type="dxa"/>
            <w:gridSpan w:val="3"/>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firstLine="2160" w:firstLineChars="900"/>
              <w:jc w:val="both"/>
              <w:rPr>
                <w:rFonts w:hint="eastAsia" w:ascii="新宋体" w:hAnsi="新宋体" w:eastAsia="新宋体" w:cs="新宋体"/>
                <w:sz w:val="24"/>
                <w:szCs w:val="24"/>
                <w:lang w:eastAsia="zh-CN"/>
              </w:rPr>
            </w:pPr>
            <w:r>
              <w:rPr>
                <w:rFonts w:hint="eastAsia" w:ascii="新宋体" w:hAnsi="新宋体" w:eastAsia="新宋体" w:cs="新宋体"/>
                <w:sz w:val="24"/>
                <w:szCs w:val="24"/>
                <w:lang w:val="en-US" w:eastAsia="zh-CN"/>
              </w:rPr>
              <w:t>三、</w:t>
            </w:r>
            <w:r>
              <w:rPr>
                <w:rFonts w:hint="eastAsia" w:ascii="新宋体" w:hAnsi="新宋体" w:eastAsia="新宋体" w:cs="新宋体"/>
                <w:sz w:val="24"/>
                <w:szCs w:val="24"/>
              </w:rPr>
              <w:t>技术部分（满分 </w:t>
            </w:r>
            <w:r>
              <w:rPr>
                <w:rFonts w:hint="eastAsia" w:ascii="新宋体" w:hAnsi="新宋体" w:eastAsia="新宋体" w:cs="新宋体"/>
                <w:sz w:val="24"/>
                <w:szCs w:val="24"/>
                <w:lang w:val="en-US" w:eastAsia="zh-CN"/>
              </w:rPr>
              <w:t>37</w:t>
            </w:r>
            <w:r>
              <w:rPr>
                <w:rFonts w:hint="eastAsia" w:ascii="新宋体" w:hAnsi="新宋体" w:eastAsia="新宋体" w:cs="新宋体"/>
                <w:sz w:val="24"/>
                <w:szCs w:val="24"/>
              </w:rPr>
              <w:t> 分</w:t>
            </w:r>
            <w:r>
              <w:rPr>
                <w:rFonts w:hint="eastAsia" w:ascii="新宋体" w:hAnsi="新宋体" w:eastAsia="新宋体" w:cs="新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评分因素</w:t>
            </w:r>
          </w:p>
        </w:tc>
        <w:tc>
          <w:tcPr>
            <w:tcW w:w="6026" w:type="dxa"/>
            <w:tcBorders>
              <w:top w:val="single" w:color="auto" w:sz="4" w:space="0"/>
              <w:left w:val="single" w:color="auto" w:sz="4" w:space="0"/>
              <w:bottom w:val="single" w:color="auto" w:sz="4" w:space="0"/>
              <w:right w:val="single" w:color="auto" w:sz="4" w:space="0"/>
            </w:tcBorders>
            <w:vAlign w:val="center"/>
          </w:tcPr>
          <w:p>
            <w:pPr>
              <w:spacing w:line="360" w:lineRule="auto"/>
              <w:ind w:leftChars="200"/>
              <w:jc w:val="center"/>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对招标文件响应程度</w:t>
            </w:r>
          </w:p>
        </w:tc>
        <w:tc>
          <w:tcPr>
            <w:tcW w:w="602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新宋体" w:hAnsi="新宋体" w:eastAsia="新宋体" w:cs="新宋体"/>
                <w:color w:val="000000"/>
                <w:kern w:val="0"/>
                <w:sz w:val="24"/>
                <w:szCs w:val="24"/>
                <w:lang w:val="en-US" w:eastAsia="zh-CN"/>
              </w:rPr>
            </w:pPr>
            <w:r>
              <w:rPr>
                <w:rFonts w:hint="eastAsia" w:ascii="新宋体" w:hAnsi="新宋体" w:eastAsia="新宋体" w:cs="新宋体"/>
                <w:sz w:val="24"/>
                <w:szCs w:val="24"/>
              </w:rPr>
              <w:t>投标人所投产品技术参数完全满足招标文件要求的得</w:t>
            </w:r>
            <w:r>
              <w:rPr>
                <w:rFonts w:hint="eastAsia" w:ascii="新宋体" w:hAnsi="新宋体" w:eastAsia="新宋体" w:cs="新宋体"/>
                <w:sz w:val="24"/>
                <w:szCs w:val="24"/>
                <w:lang w:val="en-US" w:eastAsia="zh-CN"/>
              </w:rPr>
              <w:t>25</w:t>
            </w:r>
            <w:r>
              <w:rPr>
                <w:rFonts w:hint="eastAsia" w:ascii="新宋体" w:hAnsi="新宋体" w:eastAsia="新宋体" w:cs="新宋体"/>
                <w:sz w:val="24"/>
                <w:szCs w:val="24"/>
              </w:rPr>
              <w:t>分；</w:t>
            </w:r>
            <w:r>
              <w:rPr>
                <w:rFonts w:hint="eastAsia" w:ascii="新宋体" w:hAnsi="新宋体" w:eastAsia="新宋体" w:cs="新宋体"/>
                <w:sz w:val="24"/>
                <w:szCs w:val="24"/>
                <w:lang w:val="en-US" w:eastAsia="zh-CN"/>
              </w:rPr>
              <w:t>负偏离的每项扣1分，直到扣完为止。</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val="en-US" w:eastAsia="zh-CN"/>
              </w:rPr>
              <w:t>25</w:t>
            </w:r>
            <w:r>
              <w:rPr>
                <w:rFonts w:hint="eastAsia" w:ascii="新宋体" w:hAnsi="新宋体" w:eastAsia="新宋体" w:cs="新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售后服务承诺</w:t>
            </w:r>
          </w:p>
        </w:tc>
        <w:tc>
          <w:tcPr>
            <w:tcW w:w="602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根据投标文件售后服务方案（服务内容承诺、服务体系、响应方式、相应时间、人力资源分配方案等）、培训方案、保障措施、技术支持承诺，在1-</w:t>
            </w: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分内酌情打分。</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val="en-US" w:eastAsia="zh-CN"/>
              </w:rPr>
              <w:t>6</w:t>
            </w:r>
            <w:r>
              <w:rPr>
                <w:rFonts w:hint="eastAsia" w:ascii="新宋体" w:hAnsi="新宋体" w:eastAsia="新宋体" w:cs="新宋体"/>
                <w:color w:val="000000"/>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75"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项目实施方案</w:t>
            </w:r>
          </w:p>
        </w:tc>
        <w:tc>
          <w:tcPr>
            <w:tcW w:w="6026"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根据投标文件项目实施技术方案，综合系统兼容性、稳定性、方案设计科学性等整体综合性能，在1-</w:t>
            </w:r>
            <w:r>
              <w:rPr>
                <w:rFonts w:hint="eastAsia" w:ascii="新宋体" w:hAnsi="新宋体" w:eastAsia="新宋体" w:cs="新宋体"/>
                <w:sz w:val="24"/>
                <w:szCs w:val="24"/>
                <w:lang w:val="en-US" w:eastAsia="zh-CN"/>
              </w:rPr>
              <w:t>6</w:t>
            </w:r>
            <w:r>
              <w:rPr>
                <w:rFonts w:hint="eastAsia" w:ascii="新宋体" w:hAnsi="新宋体" w:eastAsia="新宋体" w:cs="新宋体"/>
                <w:sz w:val="24"/>
                <w:szCs w:val="24"/>
              </w:rPr>
              <w:t>分内酌情打分。</w:t>
            </w:r>
            <w:r>
              <w:rPr>
                <w:rFonts w:hint="eastAsia" w:ascii="新宋体" w:hAnsi="新宋体" w:eastAsia="新宋体" w:cs="新宋体"/>
                <w:color w:val="000000"/>
                <w:kern w:val="0"/>
                <w:sz w:val="24"/>
                <w:szCs w:val="24"/>
              </w:rPr>
              <w:t> </w:t>
            </w:r>
          </w:p>
        </w:tc>
        <w:tc>
          <w:tcPr>
            <w:tcW w:w="1002"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lang w:val="en-US" w:eastAsia="zh-CN"/>
              </w:rPr>
              <w:t>6</w:t>
            </w:r>
            <w:r>
              <w:rPr>
                <w:rFonts w:hint="eastAsia" w:ascii="新宋体" w:hAnsi="新宋体" w:eastAsia="新宋体" w:cs="新宋体"/>
                <w:color w:val="000000"/>
                <w:kern w:val="0"/>
                <w:sz w:val="24"/>
                <w:szCs w:val="24"/>
              </w:rPr>
              <w:t>分</w:t>
            </w:r>
          </w:p>
        </w:tc>
      </w:tr>
    </w:tbl>
    <w:p>
      <w:pPr>
        <w:pStyle w:val="2"/>
        <w:rPr>
          <w:rFonts w:hint="default" w:cs="仿宋_GB2312" w:asciiTheme="minorEastAsia" w:hAnsiTheme="minorEastAsia"/>
          <w:szCs w:val="21"/>
          <w:lang w:val="en-US" w:eastAsia="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4"/>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4"/>
        <w:spacing w:line="360" w:lineRule="auto"/>
        <w:contextualSpacing/>
        <w:jc w:val="both"/>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hint="eastAsia"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4"/>
        <w:spacing w:line="360" w:lineRule="auto"/>
        <w:contextualSpacing/>
        <w:jc w:val="both"/>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29"/>
        <w:rPr>
          <w:rFonts w:cs="黑体" w:asciiTheme="minorEastAsia" w:hAnsiTheme="minorEastAsia"/>
          <w:b/>
          <w:bCs/>
          <w:sz w:val="44"/>
          <w:szCs w:val="44"/>
          <w:lang w:val="zh-CN"/>
        </w:rPr>
      </w:pPr>
    </w:p>
    <w:p>
      <w:pPr>
        <w:pStyle w:val="29"/>
        <w:rPr>
          <w:rFonts w:cs="黑体" w:asciiTheme="minorEastAsia" w:hAnsiTheme="minorEastAsia"/>
          <w:b/>
          <w:bCs/>
          <w:sz w:val="44"/>
          <w:szCs w:val="44"/>
          <w:lang w:val="zh-CN"/>
        </w:rPr>
      </w:pPr>
    </w:p>
    <w:p>
      <w:pPr>
        <w:pStyle w:val="29"/>
        <w:rPr>
          <w:rFonts w:cs="黑体" w:asciiTheme="minorEastAsia" w:hAnsiTheme="minorEastAsia"/>
          <w:b/>
          <w:bCs/>
          <w:sz w:val="44"/>
          <w:szCs w:val="44"/>
          <w:lang w:val="zh-CN"/>
        </w:rPr>
      </w:pPr>
    </w:p>
    <w:p>
      <w:pPr>
        <w:pStyle w:val="52"/>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10" w:name="_Toc186274126"/>
      <w:bookmarkStart w:id="11" w:name="_Toc174185203"/>
      <w:bookmarkStart w:id="12" w:name="_Toc184023138"/>
      <w:r>
        <w:rPr>
          <w:rFonts w:hint="eastAsia" w:cs="黑体" w:asciiTheme="minorEastAsia" w:hAnsiTheme="minorEastAsia" w:eastAsiaTheme="minorEastAsia"/>
          <w:color w:val="auto"/>
          <w:kern w:val="2"/>
          <w:sz w:val="28"/>
          <w:szCs w:val="28"/>
          <w:lang w:val="zh-CN"/>
        </w:rPr>
        <w:t>一、投标人应答索引表</w:t>
      </w:r>
      <w:bookmarkEnd w:id="10"/>
      <w:bookmarkEnd w:id="11"/>
      <w:bookmarkEnd w:id="12"/>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投标保证金缴纳回执</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4"/>
        <w:spacing w:line="360" w:lineRule="auto"/>
        <w:rPr>
          <w:rFonts w:asciiTheme="majorEastAsia" w:hAnsiTheme="majorEastAsia" w:eastAsiaTheme="majorEastAsia"/>
          <w:b/>
          <w:snapToGrid w:val="0"/>
          <w:kern w:val="0"/>
          <w:szCs w:val="24"/>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3"/>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3"/>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firstLine="472" w:firstLineChars="225"/>
        <w:jc w:val="left"/>
        <w:rPr>
          <w:rFonts w:asciiTheme="minorEastAsia" w:hAnsiTheme="minorEastAsia"/>
          <w:color w:val="000000"/>
          <w:sz w:val="21"/>
          <w:szCs w:val="21"/>
        </w:rPr>
      </w:pPr>
    </w:p>
    <w:p>
      <w:pPr>
        <w:pStyle w:val="43"/>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3"/>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6"/>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5"/>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13" w:name="_资格证明文件"/>
            <w:bookmarkEnd w:id="13"/>
            <w:bookmarkStart w:id="14"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14"/>
          </w:p>
        </w:tc>
        <w:tc>
          <w:tcPr>
            <w:tcW w:w="4492" w:type="dxa"/>
            <w:gridSpan w:val="2"/>
            <w:vAlign w:val="center"/>
          </w:tcPr>
          <w:p>
            <w:pPr>
              <w:jc w:val="center"/>
              <w:rPr>
                <w:rFonts w:asciiTheme="minorEastAsia" w:hAnsiTheme="minorEastAsia"/>
                <w:szCs w:val="21"/>
              </w:rPr>
            </w:pPr>
            <w:bookmarkStart w:id="15"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15"/>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eastAsia="zh-CN"/>
        </w:rPr>
        <w:t>禹州市</w:t>
      </w:r>
      <w:r>
        <w:rPr>
          <w:rFonts w:hint="eastAsia" w:cs="宋体" w:asciiTheme="minorEastAsia" w:hAnsiTheme="minorEastAsia"/>
          <w:szCs w:val="21"/>
          <w:lang w:val="zh-CN"/>
        </w:rPr>
        <w:t>公共资源交易中心保证金缴纳回执</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jc w:val="center"/>
        <w:rPr>
          <w:rFonts w:ascii="宋体" w:cs="宋体"/>
          <w:szCs w:val="21"/>
          <w:lang w:val="zh-CN"/>
        </w:rPr>
      </w:pPr>
      <w:r>
        <w:rPr>
          <w:rFonts w:hint="eastAsia" w:ascii="宋体" w:cs="宋体"/>
          <w:szCs w:val="21"/>
          <w:lang w:val="zh-CN"/>
        </w:rPr>
        <w:t>（注：开标现场单独提供一份“禹州市公共资源交易中心保证金缴纳回执”以备查询）</w:t>
      </w:r>
    </w:p>
    <w:p>
      <w:pPr>
        <w:autoSpaceDE w:val="0"/>
        <w:autoSpaceDN w:val="0"/>
        <w:adjustRightInd w:val="0"/>
        <w:spacing w:line="360" w:lineRule="auto"/>
        <w:ind w:right="-11"/>
        <w:rPr>
          <w:rFonts w:ascii="宋体" w:cs="宋体"/>
          <w:szCs w:val="21"/>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8"/>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8"/>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8"/>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8"/>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16" w:name="OLE_LINK14"/>
      <w:bookmarkStart w:id="17" w:name="OLE_LINK13"/>
      <w:r>
        <w:rPr>
          <w:rFonts w:hint="eastAsia" w:ascii="宋体" w:hAnsi="宋体"/>
          <w:b/>
          <w:bCs/>
          <w:color w:val="000000"/>
          <w:sz w:val="24"/>
          <w:szCs w:val="24"/>
        </w:rPr>
        <w:t>4.7 残疾人福利性单位声明函</w:t>
      </w:r>
    </w:p>
    <w:bookmarkEnd w:id="16"/>
    <w:bookmarkEnd w:id="17"/>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29"/>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CF2D73"/>
    <w:multiLevelType w:val="singleLevel"/>
    <w:tmpl w:val="84CF2D73"/>
    <w:lvl w:ilvl="0" w:tentative="0">
      <w:start w:val="2"/>
      <w:numFmt w:val="chineseCounting"/>
      <w:suff w:val="nothing"/>
      <w:lvlText w:val="%1、"/>
      <w:lvlJc w:val="left"/>
      <w:rPr>
        <w:rFonts w:hint="eastAsia"/>
      </w:rPr>
    </w:lvl>
  </w:abstractNum>
  <w:abstractNum w:abstractNumId="1">
    <w:nsid w:val="9F86FB8A"/>
    <w:multiLevelType w:val="singleLevel"/>
    <w:tmpl w:val="9F86FB8A"/>
    <w:lvl w:ilvl="0" w:tentative="0">
      <w:start w:val="1"/>
      <w:numFmt w:val="chineseCounting"/>
      <w:suff w:val="nothing"/>
      <w:lvlText w:val="%1、"/>
      <w:lvlJc w:val="left"/>
      <w:rPr>
        <w:rFonts w:hint="eastAsia"/>
      </w:rPr>
    </w:lvl>
  </w:abstractNum>
  <w:abstractNum w:abstractNumId="2">
    <w:nsid w:val="E7B403A2"/>
    <w:multiLevelType w:val="singleLevel"/>
    <w:tmpl w:val="E7B403A2"/>
    <w:lvl w:ilvl="0" w:tentative="0">
      <w:start w:val="1"/>
      <w:numFmt w:val="chineseCounting"/>
      <w:suff w:val="nothing"/>
      <w:lvlText w:val="%1、"/>
      <w:lvlJc w:val="left"/>
      <w:rPr>
        <w:rFonts w:hint="eastAsia"/>
      </w:rPr>
    </w:lvl>
  </w:abstractNum>
  <w:abstractNum w:abstractNumId="3">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14"/>
    <w:multiLevelType w:val="multilevel"/>
    <w:tmpl w:val="00000014"/>
    <w:lvl w:ilvl="0" w:tentative="0">
      <w:start w:val="1"/>
      <w:numFmt w:val="decimal"/>
      <w:pStyle w:val="47"/>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31D40CE9"/>
    <w:multiLevelType w:val="singleLevel"/>
    <w:tmpl w:val="31D40CE9"/>
    <w:lvl w:ilvl="0" w:tentative="0">
      <w:start w:val="1"/>
      <w:numFmt w:val="chineseCounting"/>
      <w:suff w:val="space"/>
      <w:lvlText w:val="第%1章"/>
      <w:lvlJc w:val="left"/>
      <w:rPr>
        <w:rFonts w:hint="eastAsia"/>
      </w:rPr>
    </w:lvl>
  </w:abstractNum>
  <w:abstractNum w:abstractNumId="9">
    <w:nsid w:val="59F817C2"/>
    <w:multiLevelType w:val="singleLevel"/>
    <w:tmpl w:val="59F817C2"/>
    <w:lvl w:ilvl="0" w:tentative="0">
      <w:start w:val="2"/>
      <w:numFmt w:val="chineseCounting"/>
      <w:suff w:val="space"/>
      <w:lvlText w:val="第%1章"/>
      <w:lvlJc w:val="left"/>
    </w:lvl>
  </w:abstractNum>
  <w:abstractNum w:abstractNumId="10">
    <w:nsid w:val="59F817E8"/>
    <w:multiLevelType w:val="singleLevel"/>
    <w:tmpl w:val="59F817E8"/>
    <w:lvl w:ilvl="0" w:tentative="0">
      <w:start w:val="1"/>
      <w:numFmt w:val="chineseCounting"/>
      <w:pStyle w:val="52"/>
      <w:suff w:val="nothing"/>
      <w:lvlText w:val="%1、"/>
      <w:lvlJc w:val="left"/>
    </w:lvl>
  </w:abstractNum>
  <w:abstractNum w:abstractNumId="11">
    <w:nsid w:val="5D1F0770"/>
    <w:multiLevelType w:val="singleLevel"/>
    <w:tmpl w:val="5D1F0770"/>
    <w:lvl w:ilvl="0" w:tentative="0">
      <w:start w:val="1"/>
      <w:numFmt w:val="chineseCounting"/>
      <w:suff w:val="nothing"/>
      <w:lvlText w:val="（%1）"/>
      <w:lvlJc w:val="left"/>
      <w:rPr>
        <w:rFonts w:hint="eastAsia"/>
      </w:rPr>
    </w:lvl>
  </w:abstractNum>
  <w:abstractNum w:abstractNumId="12">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4"/>
  </w:num>
  <w:num w:numId="3">
    <w:abstractNumId w:val="10"/>
  </w:num>
  <w:num w:numId="4">
    <w:abstractNumId w:val="8"/>
  </w:num>
  <w:num w:numId="5">
    <w:abstractNumId w:val="5"/>
  </w:num>
  <w:num w:numId="6">
    <w:abstractNumId w:val="9"/>
  </w:num>
  <w:num w:numId="7">
    <w:abstractNumId w:val="11"/>
  </w:num>
  <w:num w:numId="8">
    <w:abstractNumId w:val="1"/>
  </w:num>
  <w:num w:numId="9">
    <w:abstractNumId w:val="2"/>
  </w:num>
  <w:num w:numId="10">
    <w:abstractNumId w:val="7"/>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27C7D92"/>
    <w:rsid w:val="032449BC"/>
    <w:rsid w:val="037217D3"/>
    <w:rsid w:val="03A87C38"/>
    <w:rsid w:val="03C54AE6"/>
    <w:rsid w:val="07732CDA"/>
    <w:rsid w:val="080C2BBA"/>
    <w:rsid w:val="08C0181D"/>
    <w:rsid w:val="08FD5745"/>
    <w:rsid w:val="0A5E16AE"/>
    <w:rsid w:val="0A7C3AAF"/>
    <w:rsid w:val="0A997A60"/>
    <w:rsid w:val="0AB50907"/>
    <w:rsid w:val="0B01317F"/>
    <w:rsid w:val="0BBD5765"/>
    <w:rsid w:val="0C1D2223"/>
    <w:rsid w:val="0C3D4298"/>
    <w:rsid w:val="0C9523A6"/>
    <w:rsid w:val="0CA67F00"/>
    <w:rsid w:val="0CAB7FE2"/>
    <w:rsid w:val="0F485C64"/>
    <w:rsid w:val="0FD30C14"/>
    <w:rsid w:val="101B403B"/>
    <w:rsid w:val="110E6851"/>
    <w:rsid w:val="116D26CD"/>
    <w:rsid w:val="11C23651"/>
    <w:rsid w:val="11E13F76"/>
    <w:rsid w:val="129267D1"/>
    <w:rsid w:val="12C422CE"/>
    <w:rsid w:val="13EB69AF"/>
    <w:rsid w:val="13EF7D11"/>
    <w:rsid w:val="140778EB"/>
    <w:rsid w:val="158908A7"/>
    <w:rsid w:val="160E3E81"/>
    <w:rsid w:val="16EE4E99"/>
    <w:rsid w:val="171E620C"/>
    <w:rsid w:val="17A87F25"/>
    <w:rsid w:val="17F27C17"/>
    <w:rsid w:val="183965F3"/>
    <w:rsid w:val="189035FD"/>
    <w:rsid w:val="18C769E5"/>
    <w:rsid w:val="18D55096"/>
    <w:rsid w:val="198348D6"/>
    <w:rsid w:val="1A08396D"/>
    <w:rsid w:val="1AFBFFDD"/>
    <w:rsid w:val="1B1653FD"/>
    <w:rsid w:val="1C2D1536"/>
    <w:rsid w:val="1CCF2F1D"/>
    <w:rsid w:val="1CF87F0B"/>
    <w:rsid w:val="1CFB73D3"/>
    <w:rsid w:val="1D767D0D"/>
    <w:rsid w:val="1E8E722F"/>
    <w:rsid w:val="1F8E45BB"/>
    <w:rsid w:val="1FE15514"/>
    <w:rsid w:val="1FF158F3"/>
    <w:rsid w:val="208614E5"/>
    <w:rsid w:val="2157706F"/>
    <w:rsid w:val="21DD4A96"/>
    <w:rsid w:val="24D35795"/>
    <w:rsid w:val="271F4B16"/>
    <w:rsid w:val="275038F3"/>
    <w:rsid w:val="27CD14F5"/>
    <w:rsid w:val="293C5FB1"/>
    <w:rsid w:val="29A55E19"/>
    <w:rsid w:val="29F94CB1"/>
    <w:rsid w:val="2A553543"/>
    <w:rsid w:val="2A745111"/>
    <w:rsid w:val="2AF87034"/>
    <w:rsid w:val="2B022C78"/>
    <w:rsid w:val="2C014C3B"/>
    <w:rsid w:val="2D4A693F"/>
    <w:rsid w:val="2E252DC4"/>
    <w:rsid w:val="2F566BBD"/>
    <w:rsid w:val="2F650AED"/>
    <w:rsid w:val="2FFD3F6B"/>
    <w:rsid w:val="30EA79C7"/>
    <w:rsid w:val="30FD56B7"/>
    <w:rsid w:val="329E1B24"/>
    <w:rsid w:val="32BF12F4"/>
    <w:rsid w:val="33563CED"/>
    <w:rsid w:val="338A4286"/>
    <w:rsid w:val="347F0816"/>
    <w:rsid w:val="34B644B7"/>
    <w:rsid w:val="36B46A4A"/>
    <w:rsid w:val="36E65B38"/>
    <w:rsid w:val="375656B9"/>
    <w:rsid w:val="375B6549"/>
    <w:rsid w:val="37627558"/>
    <w:rsid w:val="37B91083"/>
    <w:rsid w:val="39FD28B4"/>
    <w:rsid w:val="3AC47AB6"/>
    <w:rsid w:val="3ADD0A2E"/>
    <w:rsid w:val="3B4C7808"/>
    <w:rsid w:val="3B7A3E82"/>
    <w:rsid w:val="3B8D0CE8"/>
    <w:rsid w:val="3BA71EF1"/>
    <w:rsid w:val="3C1651F0"/>
    <w:rsid w:val="3CBF1608"/>
    <w:rsid w:val="3CC749D9"/>
    <w:rsid w:val="3CFB31CE"/>
    <w:rsid w:val="3DCA2531"/>
    <w:rsid w:val="3E3A26DB"/>
    <w:rsid w:val="3F263B0E"/>
    <w:rsid w:val="414D7438"/>
    <w:rsid w:val="41572B91"/>
    <w:rsid w:val="41A16B13"/>
    <w:rsid w:val="41EF3AE9"/>
    <w:rsid w:val="423A7A11"/>
    <w:rsid w:val="428968C5"/>
    <w:rsid w:val="430D37F8"/>
    <w:rsid w:val="43420F67"/>
    <w:rsid w:val="43AF27C5"/>
    <w:rsid w:val="443E3AC2"/>
    <w:rsid w:val="444772BC"/>
    <w:rsid w:val="444D773E"/>
    <w:rsid w:val="44972791"/>
    <w:rsid w:val="458D2A4C"/>
    <w:rsid w:val="459D509E"/>
    <w:rsid w:val="45A926DC"/>
    <w:rsid w:val="45FC4042"/>
    <w:rsid w:val="477C4489"/>
    <w:rsid w:val="477E79DB"/>
    <w:rsid w:val="48BB1E61"/>
    <w:rsid w:val="48E44347"/>
    <w:rsid w:val="4AB4093D"/>
    <w:rsid w:val="4AE22F4C"/>
    <w:rsid w:val="4B536EA5"/>
    <w:rsid w:val="4CA91082"/>
    <w:rsid w:val="4D1C4C00"/>
    <w:rsid w:val="4E8F0D2C"/>
    <w:rsid w:val="4EAC4ADD"/>
    <w:rsid w:val="4EB72836"/>
    <w:rsid w:val="4ED23FD5"/>
    <w:rsid w:val="4EE945C2"/>
    <w:rsid w:val="4EFB1FC3"/>
    <w:rsid w:val="4F3C1178"/>
    <w:rsid w:val="4F661CEB"/>
    <w:rsid w:val="4FEB5C49"/>
    <w:rsid w:val="527B1821"/>
    <w:rsid w:val="5310611D"/>
    <w:rsid w:val="53276344"/>
    <w:rsid w:val="53293BFC"/>
    <w:rsid w:val="533D55CA"/>
    <w:rsid w:val="535D3032"/>
    <w:rsid w:val="53C97953"/>
    <w:rsid w:val="53F5577A"/>
    <w:rsid w:val="5590515E"/>
    <w:rsid w:val="562D2F69"/>
    <w:rsid w:val="5703196B"/>
    <w:rsid w:val="57140DA8"/>
    <w:rsid w:val="574A43AC"/>
    <w:rsid w:val="58077CBD"/>
    <w:rsid w:val="5812110B"/>
    <w:rsid w:val="582E1358"/>
    <w:rsid w:val="58323449"/>
    <w:rsid w:val="58FD658D"/>
    <w:rsid w:val="5B0C6CA4"/>
    <w:rsid w:val="5CFD3C28"/>
    <w:rsid w:val="5E2C7B65"/>
    <w:rsid w:val="5EB8046C"/>
    <w:rsid w:val="5EC23D91"/>
    <w:rsid w:val="5EEA6FD8"/>
    <w:rsid w:val="5F5D3B89"/>
    <w:rsid w:val="5F91300B"/>
    <w:rsid w:val="5FBD74DE"/>
    <w:rsid w:val="601812B8"/>
    <w:rsid w:val="60BD0412"/>
    <w:rsid w:val="616C5D6E"/>
    <w:rsid w:val="61775FA5"/>
    <w:rsid w:val="619B680C"/>
    <w:rsid w:val="62E53998"/>
    <w:rsid w:val="648D2FFF"/>
    <w:rsid w:val="656839C3"/>
    <w:rsid w:val="65725730"/>
    <w:rsid w:val="65B92974"/>
    <w:rsid w:val="65C80747"/>
    <w:rsid w:val="672B7704"/>
    <w:rsid w:val="68594ADA"/>
    <w:rsid w:val="68741D48"/>
    <w:rsid w:val="6AB31C19"/>
    <w:rsid w:val="6B357A50"/>
    <w:rsid w:val="6B5B7DCB"/>
    <w:rsid w:val="6BB95672"/>
    <w:rsid w:val="6C1E4AF0"/>
    <w:rsid w:val="6C4712E8"/>
    <w:rsid w:val="6C9C46AE"/>
    <w:rsid w:val="6CE55F45"/>
    <w:rsid w:val="6D15465F"/>
    <w:rsid w:val="6D8D5D8A"/>
    <w:rsid w:val="6DE87E82"/>
    <w:rsid w:val="6DFC3DF2"/>
    <w:rsid w:val="6E673C05"/>
    <w:rsid w:val="6E6F4DC3"/>
    <w:rsid w:val="6E7511ED"/>
    <w:rsid w:val="6E76180E"/>
    <w:rsid w:val="6ED546F7"/>
    <w:rsid w:val="6F272507"/>
    <w:rsid w:val="6FF11A89"/>
    <w:rsid w:val="70117814"/>
    <w:rsid w:val="70602224"/>
    <w:rsid w:val="70C1699F"/>
    <w:rsid w:val="71617265"/>
    <w:rsid w:val="71C32A07"/>
    <w:rsid w:val="71E53350"/>
    <w:rsid w:val="720E5D3A"/>
    <w:rsid w:val="72254E2A"/>
    <w:rsid w:val="72ED3426"/>
    <w:rsid w:val="73184127"/>
    <w:rsid w:val="73733509"/>
    <w:rsid w:val="73D40348"/>
    <w:rsid w:val="74AB41BE"/>
    <w:rsid w:val="75EA3934"/>
    <w:rsid w:val="774700AD"/>
    <w:rsid w:val="777E0158"/>
    <w:rsid w:val="788A0F31"/>
    <w:rsid w:val="78F56DD8"/>
    <w:rsid w:val="79373D17"/>
    <w:rsid w:val="7A77760E"/>
    <w:rsid w:val="7AC70899"/>
    <w:rsid w:val="7B3F7553"/>
    <w:rsid w:val="7B7986D1"/>
    <w:rsid w:val="7B877587"/>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2"/>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3"/>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4"/>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无间隔1"/>
    <w:basedOn w:val="1"/>
    <w:qFormat/>
    <w:uiPriority w:val="0"/>
    <w:pPr>
      <w:spacing w:line="400" w:lineRule="exact"/>
    </w:pPr>
    <w:rPr>
      <w:sz w:val="24"/>
    </w:r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9"/>
    <w:qFormat/>
    <w:uiPriority w:val="0"/>
    <w:rPr>
      <w:rFonts w:ascii="Times New Roman" w:hAnsi="Times New Roman" w:eastAsia="宋体" w:cs="Times New Roman"/>
      <w:color w:val="FF0000"/>
      <w:sz w:val="24"/>
      <w:szCs w:val="24"/>
    </w:rPr>
  </w:style>
  <w:style w:type="paragraph" w:styleId="10">
    <w:name w:val="Body Text"/>
    <w:basedOn w:val="1"/>
    <w:link w:val="53"/>
    <w:unhideWhenUsed/>
    <w:qFormat/>
    <w:uiPriority w:val="99"/>
    <w:pPr>
      <w:spacing w:after="120"/>
    </w:pPr>
  </w:style>
  <w:style w:type="paragraph" w:styleId="11">
    <w:name w:val="Body Text Indent"/>
    <w:basedOn w:val="1"/>
    <w:qFormat/>
    <w:uiPriority w:val="0"/>
    <w:pPr>
      <w:spacing w:line="400" w:lineRule="exact"/>
      <w:ind w:left="630"/>
    </w:pPr>
    <w:rPr>
      <w:rFonts w:ascii="楷体_GB2312" w:eastAsia="宋体"/>
      <w:sz w:val="21"/>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5"/>
    <w:qFormat/>
    <w:uiPriority w:val="0"/>
    <w:rPr>
      <w:rFonts w:eastAsia="宋体"/>
      <w:sz w:val="24"/>
    </w:rPr>
  </w:style>
  <w:style w:type="paragraph" w:styleId="15">
    <w:name w:val="Date"/>
    <w:basedOn w:val="1"/>
    <w:next w:val="1"/>
    <w:link w:val="36"/>
    <w:unhideWhenUsed/>
    <w:qFormat/>
    <w:uiPriority w:val="99"/>
    <w:pPr>
      <w:ind w:left="100" w:leftChars="2500"/>
    </w:p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10"/>
    <w:link w:val="54"/>
    <w:qFormat/>
    <w:uiPriority w:val="0"/>
    <w:pPr>
      <w:ind w:firstLine="420" w:firstLineChars="100"/>
    </w:pPr>
    <w:rPr>
      <w:rFonts w:ascii="宋体" w:hAnsi="Times New Roman" w:eastAsia="宋体" w:cs="Times New Roman"/>
      <w:kern w:val="0"/>
      <w:sz w:val="34"/>
      <w:szCs w:val="20"/>
    </w:rPr>
  </w:style>
  <w:style w:type="paragraph" w:styleId="22">
    <w:name w:val="Body Text First Indent 2"/>
    <w:basedOn w:val="11"/>
    <w:semiHidden/>
    <w:qFormat/>
    <w:uiPriority w:val="99"/>
    <w:pPr>
      <w:snapToGrid/>
      <w:spacing w:after="120" w:line="240" w:lineRule="auto"/>
      <w:ind w:left="420" w:leftChars="200" w:firstLine="420" w:firstLineChars="200"/>
    </w:pPr>
    <w:rPr>
      <w:sz w:val="21"/>
      <w:szCs w:val="24"/>
    </w:rPr>
  </w:style>
  <w:style w:type="character" w:styleId="25">
    <w:name w:val="Strong"/>
    <w:basedOn w:val="24"/>
    <w:qFormat/>
    <w:uiPriority w:val="22"/>
    <w:rPr>
      <w:b/>
      <w:bCs/>
    </w:rPr>
  </w:style>
  <w:style w:type="character" w:styleId="26">
    <w:name w:val="FollowedHyperlink"/>
    <w:basedOn w:val="24"/>
    <w:unhideWhenUsed/>
    <w:qFormat/>
    <w:uiPriority w:val="99"/>
    <w:rPr>
      <w:color w:val="800080" w:themeColor="followedHyperlink"/>
      <w:u w:val="single"/>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paragraph" w:customStyle="1" w:styleId="29">
    <w:name w:val="*正文"/>
    <w:basedOn w:val="1"/>
    <w:qFormat/>
    <w:uiPriority w:val="0"/>
    <w:pPr>
      <w:keepNext/>
      <w:keepLines/>
      <w:spacing w:line="360" w:lineRule="auto"/>
      <w:ind w:firstLine="200" w:firstLineChars="200"/>
    </w:pPr>
    <w:rPr>
      <w:rFonts w:ascii="宋体" w:hAnsi="宋体"/>
    </w:rPr>
  </w:style>
  <w:style w:type="paragraph" w:customStyle="1" w:styleId="30">
    <w:name w:val="列出段落1"/>
    <w:basedOn w:val="1"/>
    <w:unhideWhenUsed/>
    <w:qFormat/>
    <w:uiPriority w:val="99"/>
    <w:pPr>
      <w:ind w:firstLine="420" w:firstLineChars="200"/>
    </w:pPr>
  </w:style>
  <w:style w:type="character" w:customStyle="1" w:styleId="31">
    <w:name w:val="标题 1 Char"/>
    <w:basedOn w:val="24"/>
    <w:link w:val="3"/>
    <w:qFormat/>
    <w:uiPriority w:val="0"/>
    <w:rPr>
      <w:rFonts w:ascii="Calibri" w:hAnsi="Calibri" w:eastAsia="宋体" w:cs="Times New Roman"/>
      <w:b/>
      <w:bCs/>
      <w:kern w:val="44"/>
      <w:sz w:val="44"/>
      <w:szCs w:val="44"/>
    </w:rPr>
  </w:style>
  <w:style w:type="character" w:customStyle="1" w:styleId="32">
    <w:name w:val="标题 2 Char"/>
    <w:basedOn w:val="24"/>
    <w:link w:val="4"/>
    <w:qFormat/>
    <w:uiPriority w:val="0"/>
    <w:rPr>
      <w:rFonts w:ascii="Arial" w:hAnsi="Arial" w:eastAsia="黑体" w:cs="Times New Roman"/>
      <w:b/>
      <w:bCs/>
      <w:kern w:val="0"/>
      <w:sz w:val="32"/>
      <w:szCs w:val="32"/>
    </w:rPr>
  </w:style>
  <w:style w:type="character" w:customStyle="1" w:styleId="33">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4">
    <w:name w:val="标题 4 Char"/>
    <w:basedOn w:val="24"/>
    <w:link w:val="6"/>
    <w:qFormat/>
    <w:uiPriority w:val="0"/>
    <w:rPr>
      <w:rFonts w:ascii="Arial" w:hAnsi="Arial" w:eastAsia="黑体" w:cs="Times New Roman"/>
      <w:b/>
      <w:bCs/>
      <w:kern w:val="0"/>
      <w:sz w:val="28"/>
      <w:szCs w:val="28"/>
    </w:rPr>
  </w:style>
  <w:style w:type="character" w:customStyle="1" w:styleId="35">
    <w:name w:val="纯文本 Char"/>
    <w:basedOn w:val="24"/>
    <w:link w:val="14"/>
    <w:qFormat/>
    <w:uiPriority w:val="0"/>
    <w:rPr>
      <w:rFonts w:eastAsia="宋体"/>
      <w:sz w:val="24"/>
    </w:rPr>
  </w:style>
  <w:style w:type="character" w:customStyle="1" w:styleId="36">
    <w:name w:val="日期 Char"/>
    <w:basedOn w:val="24"/>
    <w:link w:val="15"/>
    <w:qFormat/>
    <w:uiPriority w:val="99"/>
  </w:style>
  <w:style w:type="character" w:customStyle="1" w:styleId="37">
    <w:name w:val="页脚 Char"/>
    <w:basedOn w:val="24"/>
    <w:link w:val="16"/>
    <w:qFormat/>
    <w:uiPriority w:val="99"/>
    <w:rPr>
      <w:sz w:val="18"/>
      <w:szCs w:val="18"/>
    </w:rPr>
  </w:style>
  <w:style w:type="character" w:customStyle="1" w:styleId="38">
    <w:name w:val="页眉 Char"/>
    <w:basedOn w:val="24"/>
    <w:link w:val="17"/>
    <w:qFormat/>
    <w:uiPriority w:val="99"/>
    <w:rPr>
      <w:sz w:val="18"/>
      <w:szCs w:val="18"/>
    </w:rPr>
  </w:style>
  <w:style w:type="character" w:customStyle="1" w:styleId="39">
    <w:name w:val="纯文本 Char1"/>
    <w:qFormat/>
    <w:uiPriority w:val="0"/>
    <w:rPr>
      <w:rFonts w:eastAsia="宋体"/>
      <w:sz w:val="24"/>
    </w:rPr>
  </w:style>
  <w:style w:type="paragraph" w:customStyle="1" w:styleId="4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1">
    <w:name w:val="列出段落11"/>
    <w:basedOn w:val="1"/>
    <w:qFormat/>
    <w:uiPriority w:val="34"/>
    <w:pPr>
      <w:ind w:firstLine="420" w:firstLineChars="200"/>
    </w:pPr>
  </w:style>
  <w:style w:type="character" w:customStyle="1" w:styleId="42">
    <w:name w:val="正文文本缩进 Char Char"/>
    <w:link w:val="43"/>
    <w:qFormat/>
    <w:uiPriority w:val="0"/>
    <w:rPr>
      <w:rFonts w:ascii="宋体"/>
      <w:sz w:val="24"/>
    </w:rPr>
  </w:style>
  <w:style w:type="paragraph" w:customStyle="1" w:styleId="43">
    <w:name w:val="正文文本缩进1"/>
    <w:basedOn w:val="1"/>
    <w:link w:val="42"/>
    <w:qFormat/>
    <w:uiPriority w:val="0"/>
    <w:pPr>
      <w:spacing w:line="360" w:lineRule="auto"/>
      <w:ind w:firstLine="480" w:firstLineChars="200"/>
    </w:pPr>
    <w:rPr>
      <w:rFonts w:ascii="宋体"/>
      <w:sz w:val="24"/>
    </w:rPr>
  </w:style>
  <w:style w:type="character" w:customStyle="1" w:styleId="44">
    <w:name w:val="日期 Char Char"/>
    <w:link w:val="45"/>
    <w:qFormat/>
    <w:uiPriority w:val="0"/>
    <w:rPr>
      <w:sz w:val="24"/>
    </w:rPr>
  </w:style>
  <w:style w:type="paragraph" w:customStyle="1" w:styleId="45">
    <w:name w:val="日期1"/>
    <w:basedOn w:val="1"/>
    <w:next w:val="1"/>
    <w:link w:val="44"/>
    <w:qFormat/>
    <w:uiPriority w:val="0"/>
    <w:rPr>
      <w:sz w:val="24"/>
    </w:rPr>
  </w:style>
  <w:style w:type="paragraph" w:customStyle="1" w:styleId="46">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7">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8">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9">
    <w:name w:val="正文文本 3 Char"/>
    <w:basedOn w:val="24"/>
    <w:link w:val="9"/>
    <w:qFormat/>
    <w:uiPriority w:val="0"/>
    <w:rPr>
      <w:rFonts w:ascii="Times New Roman" w:hAnsi="Times New Roman" w:eastAsia="宋体" w:cs="Times New Roman"/>
      <w:color w:val="FF0000"/>
      <w:sz w:val="24"/>
      <w:szCs w:val="24"/>
    </w:rPr>
  </w:style>
  <w:style w:type="character" w:customStyle="1" w:styleId="50">
    <w:name w:val="edittexttarea"/>
    <w:basedOn w:val="24"/>
    <w:qFormat/>
    <w:uiPriority w:val="0"/>
  </w:style>
  <w:style w:type="paragraph" w:customStyle="1" w:styleId="51">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2">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3">
    <w:name w:val="正文文本 Char"/>
    <w:basedOn w:val="24"/>
    <w:link w:val="10"/>
    <w:semiHidden/>
    <w:qFormat/>
    <w:uiPriority w:val="99"/>
  </w:style>
  <w:style w:type="character" w:customStyle="1" w:styleId="54">
    <w:name w:val="正文首行缩进 Char"/>
    <w:basedOn w:val="53"/>
    <w:link w:val="21"/>
    <w:qFormat/>
    <w:uiPriority w:val="0"/>
    <w:rPr>
      <w:rFonts w:ascii="宋体" w:hAnsi="Times New Roman" w:eastAsia="宋体" w:cs="Times New Roman"/>
      <w:kern w:val="0"/>
      <w:sz w:val="34"/>
      <w:szCs w:val="20"/>
    </w:rPr>
  </w:style>
  <w:style w:type="character" w:customStyle="1" w:styleId="55">
    <w:name w:val="HTML 预设格式 Char"/>
    <w:basedOn w:val="24"/>
    <w:link w:val="19"/>
    <w:semiHidden/>
    <w:qFormat/>
    <w:uiPriority w:val="99"/>
    <w:rPr>
      <w:rFonts w:ascii="宋体" w:hAnsi="宋体" w:eastAsia="宋体" w:cs="宋体"/>
      <w:kern w:val="0"/>
      <w:sz w:val="24"/>
      <w:szCs w:val="24"/>
    </w:rPr>
  </w:style>
  <w:style w:type="paragraph" w:customStyle="1" w:styleId="56">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List Paragraph1"/>
    <w:basedOn w:val="1"/>
    <w:qFormat/>
    <w:uiPriority w:val="99"/>
    <w:pPr>
      <w:ind w:firstLine="420" w:firstLineChars="200"/>
    </w:pPr>
    <w:rPr>
      <w:rFonts w:ascii="Times New Roman" w:hAnsi="Times New Roman" w:eastAsia="宋体" w:cs="Times New Roman"/>
      <w:szCs w:val="24"/>
    </w:rPr>
  </w:style>
  <w:style w:type="paragraph" w:styleId="59">
    <w:name w:val="List Paragraph"/>
    <w:basedOn w:val="1"/>
    <w:unhideWhenUsed/>
    <w:qFormat/>
    <w:uiPriority w:val="99"/>
    <w:pPr>
      <w:ind w:firstLine="420" w:firstLineChars="200"/>
    </w:pPr>
  </w:style>
  <w:style w:type="character" w:customStyle="1" w:styleId="60">
    <w:name w:val="font01"/>
    <w:basedOn w:val="2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3</TotalTime>
  <ScaleCrop>false</ScaleCrop>
  <LinksUpToDate>false</LinksUpToDate>
  <CharactersWithSpaces>43544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2019-07-29T06:13:50Z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