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b/>
          <w:sz w:val="36"/>
          <w:szCs w:val="36"/>
        </w:rPr>
      </w:pPr>
    </w:p>
    <w:p>
      <w:pPr>
        <w:jc w:val="center"/>
        <w:rPr>
          <w:rFonts w:asciiTheme="minorEastAsia" w:hAnsiTheme="minorEastAsia" w:eastAsiaTheme="minorEastAsia"/>
          <w:sz w:val="72"/>
          <w:szCs w:val="72"/>
        </w:rPr>
      </w:pPr>
      <w:r>
        <w:rPr>
          <w:rFonts w:hint="eastAsia" w:asciiTheme="minorEastAsia" w:hAnsiTheme="minorEastAsia" w:eastAsiaTheme="minorEastAsia"/>
          <w:sz w:val="72"/>
          <w:szCs w:val="72"/>
        </w:rPr>
        <w:t>建安区</w:t>
      </w:r>
      <w:r>
        <w:rPr>
          <w:rFonts w:asciiTheme="minorEastAsia" w:hAnsiTheme="minorEastAsia" w:eastAsiaTheme="minorEastAsia"/>
          <w:sz w:val="72"/>
          <w:szCs w:val="72"/>
        </w:rPr>
        <w:t>建设工程</w:t>
      </w:r>
    </w:p>
    <w:p>
      <w:pPr>
        <w:jc w:val="center"/>
        <w:rPr>
          <w:rFonts w:asciiTheme="minorEastAsia" w:hAnsiTheme="minorEastAsia" w:eastAsiaTheme="minorEastAsia"/>
          <w:sz w:val="84"/>
          <w:szCs w:val="84"/>
        </w:rPr>
      </w:pPr>
    </w:p>
    <w:p>
      <w:pPr>
        <w:jc w:val="center"/>
        <w:rPr>
          <w:rFonts w:asciiTheme="minorEastAsia" w:hAnsiTheme="minorEastAsia" w:eastAsiaTheme="minorEastAsia"/>
          <w:sz w:val="84"/>
          <w:szCs w:val="84"/>
        </w:rPr>
      </w:pPr>
    </w:p>
    <w:p>
      <w:pPr>
        <w:jc w:val="center"/>
        <w:rPr>
          <w:rFonts w:asciiTheme="minorEastAsia" w:hAnsiTheme="minorEastAsia" w:eastAsiaTheme="minorEastAsia"/>
          <w:sz w:val="72"/>
          <w:szCs w:val="72"/>
        </w:rPr>
      </w:pPr>
      <w:r>
        <w:rPr>
          <w:rFonts w:asciiTheme="minorEastAsia" w:hAnsiTheme="minorEastAsia" w:eastAsiaTheme="minorEastAsia"/>
          <w:sz w:val="72"/>
          <w:szCs w:val="72"/>
        </w:rPr>
        <w:t>招</w:t>
      </w:r>
    </w:p>
    <w:p>
      <w:pPr>
        <w:jc w:val="center"/>
        <w:rPr>
          <w:rFonts w:asciiTheme="minorEastAsia" w:hAnsiTheme="minorEastAsia" w:eastAsiaTheme="minorEastAsia"/>
          <w:sz w:val="72"/>
          <w:szCs w:val="72"/>
        </w:rPr>
      </w:pPr>
      <w:r>
        <w:rPr>
          <w:rFonts w:asciiTheme="minorEastAsia" w:hAnsiTheme="minorEastAsia" w:eastAsiaTheme="minorEastAsia"/>
          <w:sz w:val="72"/>
          <w:szCs w:val="72"/>
        </w:rPr>
        <w:t>标</w:t>
      </w:r>
    </w:p>
    <w:p>
      <w:pPr>
        <w:jc w:val="center"/>
        <w:rPr>
          <w:rFonts w:asciiTheme="minorEastAsia" w:hAnsiTheme="minorEastAsia" w:eastAsiaTheme="minorEastAsia"/>
          <w:sz w:val="72"/>
          <w:szCs w:val="72"/>
        </w:rPr>
      </w:pPr>
      <w:r>
        <w:rPr>
          <w:rFonts w:asciiTheme="minorEastAsia" w:hAnsiTheme="minorEastAsia" w:eastAsiaTheme="minorEastAsia"/>
          <w:sz w:val="72"/>
          <w:szCs w:val="72"/>
        </w:rPr>
        <w:t>文</w:t>
      </w:r>
    </w:p>
    <w:p>
      <w:pPr>
        <w:jc w:val="center"/>
        <w:rPr>
          <w:rFonts w:asciiTheme="minorEastAsia" w:hAnsiTheme="minorEastAsia" w:eastAsiaTheme="minorEastAsia"/>
          <w:sz w:val="72"/>
          <w:szCs w:val="72"/>
        </w:rPr>
      </w:pPr>
      <w:r>
        <w:rPr>
          <w:rFonts w:asciiTheme="minorEastAsia" w:hAnsiTheme="minorEastAsia" w:eastAsiaTheme="minorEastAsia"/>
          <w:sz w:val="72"/>
          <w:szCs w:val="72"/>
        </w:rPr>
        <w:t>件</w:t>
      </w:r>
    </w:p>
    <w:p>
      <w:pPr>
        <w:rPr>
          <w:rFonts w:asciiTheme="minorEastAsia" w:hAnsiTheme="minorEastAsia" w:eastAsiaTheme="minorEastAsia"/>
          <w:sz w:val="44"/>
          <w:szCs w:val="44"/>
        </w:rPr>
      </w:pPr>
    </w:p>
    <w:p>
      <w:pPr>
        <w:rPr>
          <w:rFonts w:asciiTheme="minorEastAsia" w:hAnsiTheme="minorEastAsia" w:eastAsiaTheme="minorEastAsia"/>
          <w:sz w:val="44"/>
          <w:szCs w:val="44"/>
        </w:rPr>
      </w:pPr>
    </w:p>
    <w:p>
      <w:pPr>
        <w:rPr>
          <w:rFonts w:asciiTheme="minorEastAsia" w:hAnsiTheme="minorEastAsia" w:eastAsiaTheme="minorEastAsia"/>
          <w:sz w:val="44"/>
          <w:szCs w:val="44"/>
        </w:rPr>
      </w:pPr>
    </w:p>
    <w:p>
      <w:pPr>
        <w:rPr>
          <w:rFonts w:asciiTheme="minorEastAsia" w:hAnsiTheme="minorEastAsia" w:eastAsiaTheme="minorEastAsia"/>
          <w:sz w:val="32"/>
          <w:szCs w:val="32"/>
        </w:rPr>
      </w:pPr>
    </w:p>
    <w:p>
      <w:pPr>
        <w:spacing w:line="360" w:lineRule="auto"/>
        <w:ind w:firstLine="1120" w:firstLineChars="350"/>
        <w:rPr>
          <w:rFonts w:asciiTheme="minorEastAsia" w:hAnsiTheme="minorEastAsia" w:eastAsiaTheme="minorEastAsia"/>
          <w:sz w:val="32"/>
          <w:szCs w:val="32"/>
          <w:lang w:val="zh-CN"/>
        </w:rPr>
      </w:pPr>
      <w:r>
        <w:rPr>
          <w:rFonts w:asciiTheme="minorEastAsia" w:hAnsiTheme="minorEastAsia" w:eastAsiaTheme="minorEastAsia"/>
          <w:sz w:val="32"/>
          <w:szCs w:val="32"/>
        </w:rPr>
        <w:t>项目编</w:t>
      </w:r>
      <w:r>
        <w:rPr>
          <w:rFonts w:hint="eastAsia" w:asciiTheme="minorEastAsia" w:hAnsiTheme="minorEastAsia" w:eastAsiaTheme="minorEastAsia"/>
          <w:sz w:val="32"/>
          <w:szCs w:val="32"/>
          <w:lang w:val="zh-CN"/>
        </w:rPr>
        <w:t>号：建安建工公字〔2019〕</w:t>
      </w:r>
      <w:r>
        <w:rPr>
          <w:rFonts w:hint="eastAsia" w:asciiTheme="minorEastAsia" w:hAnsiTheme="minorEastAsia" w:eastAsiaTheme="minorEastAsia"/>
          <w:sz w:val="32"/>
          <w:szCs w:val="32"/>
          <w:lang w:val="en-US" w:eastAsia="zh-CN"/>
        </w:rPr>
        <w:t>102</w:t>
      </w:r>
      <w:r>
        <w:rPr>
          <w:rFonts w:hint="eastAsia" w:asciiTheme="minorEastAsia" w:hAnsiTheme="minorEastAsia" w:eastAsiaTheme="minorEastAsia"/>
          <w:sz w:val="32"/>
          <w:szCs w:val="32"/>
          <w:lang w:val="zh-CN"/>
        </w:rPr>
        <w:t>号</w:t>
      </w:r>
    </w:p>
    <w:p>
      <w:pPr>
        <w:spacing w:line="360" w:lineRule="auto"/>
        <w:ind w:firstLine="1120" w:firstLineChars="350"/>
        <w:rPr>
          <w:rFonts w:asciiTheme="minorEastAsia" w:hAnsiTheme="minorEastAsia" w:eastAsiaTheme="minorEastAsia"/>
          <w:sz w:val="32"/>
          <w:szCs w:val="32"/>
          <w:lang w:val="zh-CN"/>
        </w:rPr>
      </w:pPr>
      <w:r>
        <w:rPr>
          <w:rFonts w:hint="eastAsia" w:asciiTheme="minorEastAsia" w:hAnsiTheme="minorEastAsia" w:eastAsiaTheme="minorEastAsia"/>
          <w:sz w:val="32"/>
          <w:szCs w:val="32"/>
          <w:lang w:val="zh-CN"/>
        </w:rPr>
        <w:t>项目名称：</w:t>
      </w:r>
      <w:r>
        <w:rPr>
          <w:rFonts w:hint="eastAsia" w:asciiTheme="minorEastAsia" w:hAnsiTheme="minorEastAsia" w:eastAsiaTheme="minorEastAsia"/>
          <w:sz w:val="32"/>
          <w:szCs w:val="32"/>
          <w:lang w:eastAsia="zh-CN"/>
        </w:rPr>
        <w:t>许昌市建安区小召乡、苏桥镇危桥改造项目二次</w:t>
      </w:r>
    </w:p>
    <w:p>
      <w:pPr>
        <w:spacing w:line="360" w:lineRule="auto"/>
        <w:ind w:firstLine="1120" w:firstLineChars="350"/>
        <w:rPr>
          <w:rFonts w:asciiTheme="minorEastAsia" w:hAnsiTheme="minorEastAsia" w:eastAsiaTheme="minorEastAsia"/>
          <w:sz w:val="32"/>
          <w:szCs w:val="32"/>
          <w:lang w:val="zh-CN"/>
        </w:rPr>
      </w:pPr>
      <w:r>
        <w:rPr>
          <w:rFonts w:hint="eastAsia" w:asciiTheme="minorEastAsia" w:hAnsiTheme="minorEastAsia" w:eastAsiaTheme="minorEastAsia"/>
          <w:sz w:val="32"/>
          <w:szCs w:val="32"/>
          <w:lang w:val="zh-CN"/>
        </w:rPr>
        <w:t>招 标 人：许昌市建安区交通运输局</w:t>
      </w:r>
    </w:p>
    <w:p>
      <w:pPr>
        <w:spacing w:line="360" w:lineRule="auto"/>
        <w:ind w:firstLine="1120" w:firstLineChars="350"/>
        <w:rPr>
          <w:rFonts w:asciiTheme="minorEastAsia" w:hAnsiTheme="minorEastAsia" w:eastAsiaTheme="minorEastAsia"/>
          <w:sz w:val="32"/>
          <w:szCs w:val="32"/>
          <w:lang w:val="zh-CN"/>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lang w:val="zh-CN"/>
        </w:rPr>
        <w:t>方大国际工程咨询股份有限公司</w:t>
      </w:r>
    </w:p>
    <w:p>
      <w:pPr>
        <w:spacing w:line="360" w:lineRule="auto"/>
        <w:ind w:firstLine="3200" w:firstLineChars="1000"/>
        <w:rPr>
          <w:rFonts w:asciiTheme="minorEastAsia" w:hAnsiTheme="minorEastAsia" w:eastAsiaTheme="minorEastAsia"/>
          <w:sz w:val="32"/>
          <w:szCs w:val="32"/>
        </w:rPr>
      </w:pPr>
      <w:r>
        <w:rPr>
          <w:rFonts w:hint="eastAsia" w:asciiTheme="minorEastAsia" w:hAnsiTheme="minorEastAsia" w:eastAsiaTheme="minorEastAsia"/>
          <w:sz w:val="32"/>
          <w:szCs w:val="32"/>
        </w:rPr>
        <w:t>二</w:t>
      </w:r>
      <w:r>
        <w:rPr>
          <w:rFonts w:hint="eastAsia" w:asciiTheme="minorEastAsia" w:hAnsiTheme="minorEastAsia" w:eastAsiaTheme="minorEastAsia"/>
          <w:color w:val="auto"/>
          <w:sz w:val="32"/>
          <w:szCs w:val="32"/>
        </w:rPr>
        <w:t>〇</w:t>
      </w:r>
      <w:r>
        <w:rPr>
          <w:rFonts w:hint="eastAsia" w:asciiTheme="minorEastAsia" w:hAnsiTheme="minorEastAsia" w:eastAsiaTheme="minorEastAsia"/>
          <w:color w:val="auto"/>
          <w:sz w:val="32"/>
          <w:szCs w:val="32"/>
          <w:highlight w:val="none"/>
        </w:rPr>
        <w:t>一九年</w:t>
      </w:r>
      <w:r>
        <w:rPr>
          <w:rFonts w:hint="eastAsia" w:asciiTheme="minorEastAsia" w:hAnsiTheme="minorEastAsia" w:eastAsiaTheme="minorEastAsia"/>
          <w:color w:val="auto"/>
          <w:sz w:val="32"/>
          <w:szCs w:val="32"/>
          <w:highlight w:val="none"/>
          <w:lang w:eastAsia="zh-CN"/>
        </w:rPr>
        <w:t>七</w:t>
      </w:r>
      <w:r>
        <w:rPr>
          <w:rFonts w:hint="eastAsia" w:asciiTheme="minorEastAsia" w:hAnsiTheme="minorEastAsia" w:eastAsiaTheme="minorEastAsia"/>
          <w:color w:val="auto"/>
          <w:sz w:val="32"/>
          <w:szCs w:val="32"/>
          <w:highlight w:val="none"/>
        </w:rPr>
        <w:t>月</w:t>
      </w:r>
    </w:p>
    <w:p>
      <w:pPr>
        <w:pStyle w:val="2"/>
        <w:ind w:firstLine="210"/>
      </w:pPr>
    </w:p>
    <w:p>
      <w:pPr>
        <w:spacing w:line="360" w:lineRule="auto"/>
        <w:jc w:val="center"/>
        <w:rPr>
          <w:rFonts w:ascii="宋体" w:hAnsi="宋体"/>
          <w:b/>
          <w:bCs/>
          <w:sz w:val="48"/>
          <w:szCs w:val="48"/>
        </w:rPr>
      </w:pPr>
    </w:p>
    <w:p>
      <w:pPr>
        <w:spacing w:line="360" w:lineRule="auto"/>
        <w:jc w:val="center"/>
        <w:rPr>
          <w:rFonts w:ascii="宋体" w:hAnsi="宋体"/>
          <w:b/>
          <w:bCs/>
          <w:sz w:val="48"/>
          <w:szCs w:val="48"/>
        </w:rPr>
      </w:pPr>
      <w:r>
        <w:rPr>
          <w:rFonts w:hint="eastAsia" w:ascii="宋体" w:hAnsi="宋体"/>
          <w:b/>
          <w:bCs/>
          <w:sz w:val="48"/>
          <w:szCs w:val="48"/>
        </w:rPr>
        <w:t>目  录</w:t>
      </w:r>
    </w:p>
    <w:p>
      <w:pPr>
        <w:spacing w:line="312" w:lineRule="auto"/>
        <w:jc w:val="left"/>
        <w:outlineLvl w:val="0"/>
        <w:rPr>
          <w:rFonts w:asciiTheme="minorEastAsia" w:hAnsiTheme="minorEastAsia" w:eastAsiaTheme="minorEastAsia"/>
          <w:bCs/>
          <w:sz w:val="30"/>
          <w:szCs w:val="30"/>
        </w:rPr>
      </w:pP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第一章   招标公告··································1</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第二章   投标人须知································4</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第三章   评标办法·································35</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第四章   合同条款及格式···························42</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第五章   工程量清单·······························90</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第六章   图纸·····································93</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第七章   技术规范(另册) ··························93</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第八章   投标文件格式·····························94</w:t>
      </w:r>
    </w:p>
    <w:p>
      <w:pPr>
        <w:spacing w:line="312" w:lineRule="auto"/>
        <w:jc w:val="left"/>
        <w:outlineLvl w:val="0"/>
        <w:rPr>
          <w:rFonts w:asciiTheme="minorEastAsia" w:hAnsiTheme="minorEastAsia" w:eastAsiaTheme="minorEastAsia"/>
          <w:bCs/>
          <w:sz w:val="30"/>
          <w:szCs w:val="30"/>
        </w:rPr>
      </w:pPr>
    </w:p>
    <w:p>
      <w:pPr>
        <w:pStyle w:val="2"/>
        <w:ind w:firstLine="210"/>
      </w:pPr>
    </w:p>
    <w:p>
      <w:pPr>
        <w:spacing w:line="312" w:lineRule="auto"/>
        <w:jc w:val="center"/>
        <w:outlineLvl w:val="0"/>
        <w:rPr>
          <w:rFonts w:ascii="黑体" w:eastAsia="黑体"/>
          <w:bCs/>
          <w:sz w:val="44"/>
          <w:szCs w:val="44"/>
        </w:rPr>
        <w:sectPr>
          <w:headerReference r:id="rId5" w:type="first"/>
          <w:headerReference r:id="rId4" w:type="default"/>
          <w:pgSz w:w="11906" w:h="16838"/>
          <w:pgMar w:top="1304" w:right="1134" w:bottom="1304" w:left="1247" w:header="851" w:footer="992" w:gutter="0"/>
          <w:cols w:space="425" w:num="1"/>
          <w:titlePg/>
          <w:docGrid w:type="lines" w:linePitch="312" w:charSpace="0"/>
        </w:sectPr>
      </w:pPr>
    </w:p>
    <w:p>
      <w:pPr>
        <w:spacing w:line="312" w:lineRule="auto"/>
        <w:jc w:val="center"/>
        <w:outlineLvl w:val="0"/>
        <w:rPr>
          <w:rFonts w:ascii="黑体" w:hAnsi="宋体" w:eastAsia="黑体"/>
          <w:bCs/>
          <w:sz w:val="44"/>
          <w:szCs w:val="44"/>
        </w:rPr>
      </w:pPr>
      <w:r>
        <w:rPr>
          <w:rFonts w:hint="eastAsia" w:ascii="黑体" w:eastAsia="黑体"/>
          <w:bCs/>
          <w:sz w:val="44"/>
          <w:szCs w:val="44"/>
        </w:rPr>
        <w:t>第一章  招标公告</w:t>
      </w:r>
    </w:p>
    <w:p>
      <w:pPr>
        <w:spacing w:line="312" w:lineRule="auto"/>
        <w:jc w:val="center"/>
        <w:rPr>
          <w:rFonts w:hint="eastAsia" w:asciiTheme="minorEastAsia" w:hAnsiTheme="minorEastAsia" w:eastAsiaTheme="minorEastAsia"/>
          <w:b/>
          <w:sz w:val="32"/>
          <w:szCs w:val="32"/>
          <w:lang w:eastAsia="zh-CN"/>
        </w:rPr>
      </w:pPr>
      <w:r>
        <w:rPr>
          <w:rFonts w:hint="eastAsia" w:asciiTheme="minorEastAsia" w:hAnsiTheme="minorEastAsia" w:eastAsiaTheme="minorEastAsia"/>
          <w:b/>
          <w:sz w:val="32"/>
          <w:szCs w:val="32"/>
          <w:lang w:eastAsia="zh-CN"/>
        </w:rPr>
        <w:t>建安建工公字〔2019〕</w:t>
      </w:r>
      <w:r>
        <w:rPr>
          <w:rFonts w:hint="eastAsia" w:asciiTheme="minorEastAsia" w:hAnsiTheme="minorEastAsia" w:eastAsiaTheme="minorEastAsia"/>
          <w:b/>
          <w:sz w:val="32"/>
          <w:szCs w:val="32"/>
          <w:lang w:val="en-US" w:eastAsia="zh-CN"/>
        </w:rPr>
        <w:t>102</w:t>
      </w:r>
      <w:r>
        <w:rPr>
          <w:rFonts w:hint="eastAsia" w:asciiTheme="minorEastAsia" w:hAnsiTheme="minorEastAsia" w:eastAsiaTheme="minorEastAsia"/>
          <w:b/>
          <w:sz w:val="32"/>
          <w:szCs w:val="32"/>
          <w:lang w:eastAsia="zh-CN"/>
        </w:rPr>
        <w:t>号</w:t>
      </w:r>
    </w:p>
    <w:p>
      <w:pPr>
        <w:spacing w:line="312" w:lineRule="auto"/>
        <w:jc w:val="center"/>
        <w:rPr>
          <w:rFonts w:asciiTheme="minorEastAsia" w:hAnsiTheme="minorEastAsia" w:eastAsiaTheme="minorEastAsia"/>
          <w:b/>
          <w:sz w:val="32"/>
          <w:szCs w:val="32"/>
          <w:lang w:val="zh-CN"/>
        </w:rPr>
      </w:pPr>
      <w:r>
        <w:rPr>
          <w:rFonts w:hint="eastAsia" w:asciiTheme="minorEastAsia" w:hAnsiTheme="minorEastAsia" w:eastAsiaTheme="minorEastAsia"/>
          <w:b/>
          <w:sz w:val="32"/>
          <w:szCs w:val="32"/>
          <w:lang w:val="zh-CN"/>
        </w:rPr>
        <w:t>许昌市建安区交通运输局</w:t>
      </w:r>
    </w:p>
    <w:p>
      <w:pPr>
        <w:spacing w:line="312" w:lineRule="auto"/>
        <w:jc w:val="center"/>
        <w:rPr>
          <w:rFonts w:hint="eastAsia" w:asciiTheme="minorEastAsia" w:hAnsiTheme="minorEastAsia" w:eastAsiaTheme="minorEastAsia"/>
          <w:b/>
          <w:sz w:val="32"/>
          <w:szCs w:val="32"/>
          <w:lang w:eastAsia="zh-CN"/>
        </w:rPr>
      </w:pPr>
      <w:r>
        <w:rPr>
          <w:rFonts w:hint="eastAsia" w:asciiTheme="minorEastAsia" w:hAnsiTheme="minorEastAsia" w:eastAsiaTheme="minorEastAsia"/>
          <w:b/>
          <w:sz w:val="32"/>
          <w:szCs w:val="32"/>
          <w:lang w:eastAsia="zh-CN"/>
        </w:rPr>
        <w:t>许昌市建安区小召乡、苏桥镇危桥改造项目二次</w:t>
      </w:r>
    </w:p>
    <w:p>
      <w:pPr>
        <w:spacing w:line="312"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公开招标公告</w:t>
      </w:r>
    </w:p>
    <w:p>
      <w:pPr>
        <w:spacing w:line="336" w:lineRule="auto"/>
        <w:rPr>
          <w:rFonts w:asciiTheme="minorEastAsia" w:hAnsiTheme="minorEastAsia" w:eastAsiaTheme="minorEastAsia"/>
          <w:b/>
          <w:sz w:val="24"/>
        </w:rPr>
      </w:pPr>
      <w:r>
        <w:rPr>
          <w:rFonts w:hint="eastAsia" w:asciiTheme="minorEastAsia" w:hAnsiTheme="minorEastAsia" w:eastAsiaTheme="minorEastAsia"/>
          <w:b/>
          <w:sz w:val="24"/>
        </w:rPr>
        <w:t>一、项目概况</w:t>
      </w:r>
    </w:p>
    <w:p>
      <w:pPr>
        <w:spacing w:line="33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1、项目编号：</w:t>
      </w:r>
      <w:r>
        <w:rPr>
          <w:rFonts w:hint="eastAsia" w:asciiTheme="minorEastAsia" w:hAnsiTheme="minorEastAsia" w:eastAsiaTheme="minorEastAsia"/>
          <w:sz w:val="24"/>
          <w:lang w:eastAsia="zh-CN"/>
        </w:rPr>
        <w:t>建安建工公字〔2019〕</w:t>
      </w:r>
      <w:r>
        <w:rPr>
          <w:rFonts w:hint="eastAsia" w:asciiTheme="minorEastAsia" w:hAnsiTheme="minorEastAsia" w:eastAsiaTheme="minorEastAsia"/>
          <w:sz w:val="24"/>
          <w:lang w:val="en-US" w:eastAsia="zh-CN"/>
        </w:rPr>
        <w:t>102</w:t>
      </w:r>
      <w:r>
        <w:rPr>
          <w:rFonts w:hint="eastAsia" w:asciiTheme="minorEastAsia" w:hAnsiTheme="minorEastAsia" w:eastAsiaTheme="minorEastAsia"/>
          <w:sz w:val="24"/>
          <w:lang w:eastAsia="zh-CN"/>
        </w:rPr>
        <w:t>号</w:t>
      </w:r>
    </w:p>
    <w:p>
      <w:pPr>
        <w:spacing w:line="336" w:lineRule="auto"/>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lang w:val="zh-CN"/>
        </w:rPr>
        <w:t>2、项目名称：</w:t>
      </w:r>
      <w:r>
        <w:rPr>
          <w:rFonts w:hint="eastAsia" w:asciiTheme="minorEastAsia" w:hAnsiTheme="minorEastAsia" w:eastAsiaTheme="minorEastAsia"/>
          <w:sz w:val="24"/>
          <w:lang w:eastAsia="zh-CN"/>
        </w:rPr>
        <w:t>许昌市建安区小召乡、苏桥镇危桥改造项目二次</w:t>
      </w:r>
    </w:p>
    <w:p>
      <w:pPr>
        <w:spacing w:line="33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3、招标单位：</w:t>
      </w:r>
      <w:r>
        <w:rPr>
          <w:rFonts w:hint="eastAsia" w:asciiTheme="minorEastAsia" w:hAnsiTheme="minorEastAsia" w:eastAsiaTheme="minorEastAsia"/>
          <w:sz w:val="24"/>
          <w:lang w:val="zh-CN"/>
        </w:rPr>
        <w:t>许昌市建安区交通运输局</w:t>
      </w:r>
    </w:p>
    <w:p>
      <w:pPr>
        <w:spacing w:line="33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4、项目规模</w:t>
      </w:r>
      <w:r>
        <w:rPr>
          <w:rFonts w:hint="eastAsia" w:asciiTheme="minorEastAsia" w:hAnsiTheme="minorEastAsia" w:eastAsiaTheme="minorEastAsia"/>
          <w:sz w:val="24"/>
          <w:lang w:val="zh-CN"/>
        </w:rPr>
        <w:t>：</w:t>
      </w:r>
      <w:r>
        <w:rPr>
          <w:rFonts w:hint="eastAsia" w:asciiTheme="minorEastAsia" w:hAnsiTheme="minorEastAsia" w:eastAsiaTheme="minorEastAsia"/>
          <w:sz w:val="24"/>
          <w:lang w:val="zh-CN" w:eastAsia="zh-CN"/>
        </w:rPr>
        <w:t>小召乡南寨桥、小召乡南寨北桥、苏桥镇吴村谢桥、苏桥镇济宁寨北桥</w:t>
      </w:r>
      <w:r>
        <w:rPr>
          <w:rFonts w:hint="eastAsia" w:asciiTheme="minorEastAsia" w:hAnsiTheme="minorEastAsia" w:eastAsiaTheme="minorEastAsia"/>
          <w:sz w:val="24"/>
        </w:rPr>
        <w:t>。</w:t>
      </w:r>
    </w:p>
    <w:p>
      <w:pPr>
        <w:spacing w:line="336" w:lineRule="auto"/>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小召乡</w:t>
      </w:r>
      <w:r>
        <w:rPr>
          <w:rFonts w:hint="eastAsia" w:asciiTheme="minorEastAsia" w:hAnsiTheme="minorEastAsia" w:eastAsiaTheme="minorEastAsia"/>
          <w:sz w:val="24"/>
          <w:lang w:val="en-US" w:eastAsia="zh-CN"/>
        </w:rPr>
        <w:t>南寨桥位于建安区小召乡南寨村，新桥与河道夹角为90度，采用1-16米预应力混凝土空心板，下部采用钻孔灌注桩，桥梁全长21.62米。公路等级为Ⅱ级，桥面宽度7米，跨径16米，梁片数为7，板宽1米。</w:t>
      </w:r>
    </w:p>
    <w:p>
      <w:pPr>
        <w:spacing w:line="336" w:lineRule="auto"/>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eastAsia="zh-CN"/>
        </w:rPr>
        <w:t>小召乡南寨北桥</w:t>
      </w:r>
      <w:r>
        <w:rPr>
          <w:rFonts w:hint="eastAsia" w:asciiTheme="minorEastAsia" w:hAnsiTheme="minorEastAsia" w:eastAsiaTheme="minorEastAsia"/>
          <w:sz w:val="24"/>
          <w:lang w:val="en-US" w:eastAsia="zh-CN"/>
        </w:rPr>
        <w:t>位于建安区小召乡南寨村，新桥与河道夹角为90度，采用1-10米预应力混凝土空心板，下部采用钻孔灌注桩，桥梁全长13.98米。公路等级为Ⅱ级，桥面宽度7米，跨径10米，梁片数为7，板宽1米。</w:t>
      </w:r>
    </w:p>
    <w:p>
      <w:pPr>
        <w:spacing w:line="336" w:lineRule="auto"/>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eastAsia="zh-CN"/>
        </w:rPr>
        <w:t>苏桥镇吴村谢桥</w:t>
      </w:r>
      <w:r>
        <w:rPr>
          <w:rFonts w:hint="eastAsia" w:asciiTheme="minorEastAsia" w:hAnsiTheme="minorEastAsia" w:eastAsiaTheme="minorEastAsia"/>
          <w:sz w:val="24"/>
          <w:lang w:val="en-US" w:eastAsia="zh-CN"/>
        </w:rPr>
        <w:t>位于建安区苏桥镇王彦庄，新桥与河道夹角为90度，采用1-6米预应力混凝土空心板，下部采用扩大基础，桥梁全长10.08米。公路等级为Ⅱ级，桥面宽度6.5米，跨径8米，梁片数为6，板宽1米。</w:t>
      </w:r>
    </w:p>
    <w:p>
      <w:pPr>
        <w:spacing w:line="336" w:lineRule="auto"/>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eastAsia="zh-CN"/>
        </w:rPr>
        <w:t>苏桥镇济宁寨北桥</w:t>
      </w:r>
      <w:r>
        <w:rPr>
          <w:rFonts w:hint="eastAsia" w:asciiTheme="minorEastAsia" w:hAnsiTheme="minorEastAsia" w:eastAsiaTheme="minorEastAsia"/>
          <w:sz w:val="24"/>
          <w:lang w:val="en-US" w:eastAsia="zh-CN"/>
        </w:rPr>
        <w:t>位于建安区苏桥镇济宁寨村，新桥与河道夹角为90度，采用1-13米预应力混凝土空心板，下部采用钻孔灌注桩，桥梁全长18.62米。公路等级为Ⅱ级，桥面宽度7米，跨径13米，梁片数为7，板宽1米。</w:t>
      </w:r>
    </w:p>
    <w:p>
      <w:pPr>
        <w:spacing w:line="33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5、招标范围：招标文件、工程量清单、施工图纸、答疑纪要和补充文件（如有）范围内的所有建设内容。</w:t>
      </w:r>
    </w:p>
    <w:p>
      <w:pPr>
        <w:spacing w:line="33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6、资金预算：</w:t>
      </w:r>
      <w:r>
        <w:rPr>
          <w:rFonts w:hint="eastAsia" w:asciiTheme="minorEastAsia" w:hAnsiTheme="minorEastAsia" w:eastAsiaTheme="minorEastAsia"/>
          <w:sz w:val="24"/>
          <w:lang w:val="en-US" w:eastAsia="zh-CN"/>
        </w:rPr>
        <w:t xml:space="preserve">1985173.00 </w:t>
      </w:r>
      <w:r>
        <w:rPr>
          <w:rFonts w:hint="eastAsia" w:asciiTheme="minorEastAsia" w:hAnsiTheme="minorEastAsia" w:eastAsiaTheme="minorEastAsia"/>
          <w:sz w:val="24"/>
        </w:rPr>
        <w:t xml:space="preserve">元 </w:t>
      </w:r>
    </w:p>
    <w:tbl>
      <w:tblPr>
        <w:tblStyle w:val="17"/>
        <w:tblW w:w="8289" w:type="dxa"/>
        <w:jc w:val="center"/>
        <w:tblInd w:w="-66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68"/>
        <w:gridCol w:w="2386"/>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8" w:hRule="atLeast"/>
          <w:jc w:val="center"/>
        </w:trPr>
        <w:tc>
          <w:tcPr>
            <w:tcW w:w="3068" w:type="dxa"/>
            <w:vMerge w:val="restart"/>
            <w:vAlign w:val="center"/>
          </w:tcPr>
          <w:p>
            <w:pPr>
              <w:pStyle w:val="2"/>
              <w:ind w:firstLine="0" w:firstLineChars="0"/>
              <w:jc w:val="center"/>
            </w:pPr>
            <w:r>
              <w:rPr>
                <w:rFonts w:hint="eastAsia"/>
              </w:rPr>
              <w:t>主要招标内容</w:t>
            </w:r>
          </w:p>
        </w:tc>
        <w:tc>
          <w:tcPr>
            <w:tcW w:w="5221" w:type="dxa"/>
            <w:gridSpan w:val="2"/>
            <w:vAlign w:val="center"/>
          </w:tcPr>
          <w:p>
            <w:pPr>
              <w:pStyle w:val="2"/>
              <w:ind w:firstLine="0" w:firstLineChars="0"/>
              <w:jc w:val="center"/>
            </w:pPr>
            <w:r>
              <w:rPr>
                <w:rFonts w:hint="eastAsia" w:asciiTheme="minorEastAsia" w:hAnsiTheme="minorEastAsia" w:eastAsiaTheme="minorEastAsia"/>
                <w:sz w:val="24"/>
              </w:rPr>
              <w:t>资金预算（元）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7" w:hRule="atLeast"/>
          <w:jc w:val="center"/>
        </w:trPr>
        <w:tc>
          <w:tcPr>
            <w:tcW w:w="3068" w:type="dxa"/>
            <w:vMerge w:val="continue"/>
            <w:vAlign w:val="center"/>
          </w:tcPr>
          <w:p>
            <w:pPr>
              <w:pStyle w:val="2"/>
              <w:ind w:firstLine="0" w:firstLineChars="0"/>
              <w:jc w:val="center"/>
            </w:pPr>
          </w:p>
        </w:tc>
        <w:tc>
          <w:tcPr>
            <w:tcW w:w="2386" w:type="dxa"/>
            <w:vAlign w:val="center"/>
          </w:tcPr>
          <w:p>
            <w:pPr>
              <w:pStyle w:val="2"/>
              <w:ind w:firstLine="0" w:firstLineChars="0"/>
              <w:jc w:val="center"/>
            </w:pPr>
            <w:r>
              <w:rPr>
                <w:rFonts w:hint="eastAsia" w:asciiTheme="minorEastAsia" w:hAnsiTheme="minorEastAsia" w:eastAsiaTheme="minorEastAsia"/>
                <w:sz w:val="24"/>
              </w:rPr>
              <w:t>分项资金预算</w:t>
            </w:r>
          </w:p>
        </w:tc>
        <w:tc>
          <w:tcPr>
            <w:tcW w:w="2835" w:type="dxa"/>
            <w:vAlign w:val="center"/>
          </w:tcPr>
          <w:p>
            <w:pPr>
              <w:pStyle w:val="2"/>
              <w:ind w:firstLine="0" w:firstLineChars="0"/>
              <w:jc w:val="center"/>
            </w:pPr>
            <w:r>
              <w:rPr>
                <w:rFonts w:hint="eastAsia" w:asciiTheme="minorEastAsia" w:hAnsiTheme="minorEastAsia" w:eastAsiaTheme="minorEastAsia"/>
                <w:sz w:val="24"/>
              </w:rPr>
              <w:t>资金预算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068" w:type="dxa"/>
            <w:vAlign w:val="center"/>
          </w:tcPr>
          <w:p>
            <w:pPr>
              <w:pStyle w:val="2"/>
              <w:ind w:firstLine="0" w:firstLineChars="0"/>
              <w:jc w:val="center"/>
            </w:pPr>
            <w:r>
              <w:rPr>
                <w:rFonts w:hint="eastAsia" w:asciiTheme="minorEastAsia" w:hAnsiTheme="minorEastAsia" w:eastAsiaTheme="minorEastAsia"/>
                <w:sz w:val="24"/>
                <w:lang w:eastAsia="zh-CN"/>
              </w:rPr>
              <w:t>小召乡南寨桥</w:t>
            </w:r>
          </w:p>
        </w:tc>
        <w:tc>
          <w:tcPr>
            <w:tcW w:w="2386" w:type="dxa"/>
            <w:vAlign w:val="center"/>
          </w:tcPr>
          <w:p>
            <w:pPr>
              <w:pStyle w:val="2"/>
              <w:ind w:firstLine="0" w:firstLineChars="0"/>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706911.00</w:t>
            </w:r>
          </w:p>
        </w:tc>
        <w:tc>
          <w:tcPr>
            <w:tcW w:w="2835" w:type="dxa"/>
            <w:vMerge w:val="restart"/>
            <w:vAlign w:val="center"/>
          </w:tcPr>
          <w:p>
            <w:pPr>
              <w:pStyle w:val="2"/>
              <w:ind w:firstLine="0" w:firstLineChars="0"/>
              <w:jc w:val="center"/>
              <w:rPr>
                <w:rFonts w:hint="default" w:eastAsia="宋体"/>
                <w:lang w:val="en-US" w:eastAsia="zh-CN"/>
              </w:rPr>
            </w:pPr>
            <w:r>
              <w:rPr>
                <w:rFonts w:hint="eastAsia" w:asciiTheme="minorEastAsia" w:hAnsiTheme="minorEastAsia" w:eastAsiaTheme="minorEastAsia"/>
                <w:sz w:val="24"/>
                <w:lang w:val="en-US" w:eastAsia="zh-CN"/>
              </w:rPr>
              <w:t>1985173.00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068" w:type="dxa"/>
            <w:vAlign w:val="center"/>
          </w:tcPr>
          <w:p>
            <w:pPr>
              <w:pStyle w:val="2"/>
              <w:ind w:firstLine="0" w:firstLineChars="0"/>
              <w:jc w:val="center"/>
            </w:pPr>
            <w:r>
              <w:rPr>
                <w:rFonts w:hint="eastAsia" w:asciiTheme="minorEastAsia" w:hAnsiTheme="minorEastAsia" w:eastAsiaTheme="minorEastAsia"/>
                <w:sz w:val="24"/>
                <w:lang w:eastAsia="zh-CN"/>
              </w:rPr>
              <w:t>小召乡南寨北桥</w:t>
            </w:r>
          </w:p>
        </w:tc>
        <w:tc>
          <w:tcPr>
            <w:tcW w:w="2386" w:type="dxa"/>
            <w:vAlign w:val="center"/>
          </w:tcPr>
          <w:p>
            <w:pPr>
              <w:pStyle w:val="2"/>
              <w:ind w:firstLine="0" w:firstLineChars="0"/>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467790.00</w:t>
            </w:r>
          </w:p>
        </w:tc>
        <w:tc>
          <w:tcPr>
            <w:tcW w:w="2835" w:type="dxa"/>
            <w:vMerge w:val="continue"/>
            <w:vAlign w:val="center"/>
          </w:tcPr>
          <w:p>
            <w:pPr>
              <w:pStyle w:val="2"/>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068" w:type="dxa"/>
            <w:vAlign w:val="center"/>
          </w:tcPr>
          <w:p>
            <w:pPr>
              <w:pStyle w:val="2"/>
              <w:ind w:firstLine="0" w:firstLineChars="0"/>
              <w:jc w:val="center"/>
            </w:pPr>
            <w:r>
              <w:rPr>
                <w:rFonts w:hint="eastAsia" w:asciiTheme="minorEastAsia" w:hAnsiTheme="minorEastAsia" w:eastAsiaTheme="minorEastAsia"/>
                <w:sz w:val="24"/>
                <w:lang w:eastAsia="zh-CN"/>
              </w:rPr>
              <w:t>苏桥镇吴村谢桥</w:t>
            </w:r>
          </w:p>
        </w:tc>
        <w:tc>
          <w:tcPr>
            <w:tcW w:w="2386" w:type="dxa"/>
            <w:vAlign w:val="center"/>
          </w:tcPr>
          <w:p>
            <w:pPr>
              <w:pStyle w:val="2"/>
              <w:ind w:firstLine="0" w:firstLineChars="0"/>
              <w:jc w:val="center"/>
              <w:rPr>
                <w:rFonts w:hint="default" w:eastAsia="宋体"/>
                <w:lang w:val="en-US" w:eastAsia="zh-CN"/>
              </w:rPr>
            </w:pPr>
            <w:r>
              <w:rPr>
                <w:rFonts w:hint="eastAsia" w:asciiTheme="minorEastAsia" w:hAnsiTheme="minorEastAsia" w:eastAsiaTheme="minorEastAsia"/>
                <w:sz w:val="24"/>
                <w:lang w:val="en-US" w:eastAsia="zh-CN"/>
              </w:rPr>
              <w:t>190809.00</w:t>
            </w:r>
          </w:p>
        </w:tc>
        <w:tc>
          <w:tcPr>
            <w:tcW w:w="2835" w:type="dxa"/>
            <w:vMerge w:val="continue"/>
            <w:vAlign w:val="center"/>
          </w:tcPr>
          <w:p>
            <w:pPr>
              <w:pStyle w:val="2"/>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068" w:type="dxa"/>
            <w:vAlign w:val="center"/>
          </w:tcPr>
          <w:p>
            <w:pPr>
              <w:pStyle w:val="2"/>
              <w:ind w:firstLine="0" w:firstLineChars="0"/>
              <w:jc w:val="center"/>
              <w:rPr>
                <w:rFonts w:hint="eastAsia" w:asciiTheme="minorEastAsia" w:hAnsiTheme="minorEastAsia" w:eastAsiaTheme="minorEastAsia"/>
                <w:sz w:val="24"/>
              </w:rPr>
            </w:pPr>
            <w:r>
              <w:rPr>
                <w:rFonts w:hint="eastAsia" w:asciiTheme="minorEastAsia" w:hAnsiTheme="minorEastAsia" w:eastAsiaTheme="minorEastAsia"/>
                <w:sz w:val="24"/>
                <w:lang w:eastAsia="zh-CN"/>
              </w:rPr>
              <w:t>苏桥镇济宁寨北桥</w:t>
            </w:r>
          </w:p>
        </w:tc>
        <w:tc>
          <w:tcPr>
            <w:tcW w:w="2386" w:type="dxa"/>
            <w:vAlign w:val="center"/>
          </w:tcPr>
          <w:p>
            <w:pPr>
              <w:pStyle w:val="2"/>
              <w:ind w:firstLine="0" w:firstLineChars="0"/>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619663.00</w:t>
            </w:r>
          </w:p>
        </w:tc>
        <w:tc>
          <w:tcPr>
            <w:tcW w:w="2835" w:type="dxa"/>
            <w:vMerge w:val="continue"/>
            <w:vAlign w:val="center"/>
          </w:tcPr>
          <w:p>
            <w:pPr>
              <w:pStyle w:val="2"/>
              <w:ind w:firstLine="0" w:firstLineChars="0"/>
              <w:jc w:val="center"/>
            </w:pPr>
          </w:p>
        </w:tc>
      </w:tr>
    </w:tbl>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7、计划工期：</w:t>
      </w:r>
      <w:r>
        <w:rPr>
          <w:rFonts w:hint="eastAsia" w:asciiTheme="minorEastAsia" w:hAnsiTheme="minorEastAsia" w:eastAsiaTheme="minorEastAsia"/>
          <w:sz w:val="24"/>
          <w:lang w:val="en-US" w:eastAsia="zh-CN"/>
        </w:rPr>
        <w:t>90</w:t>
      </w:r>
      <w:r>
        <w:rPr>
          <w:rFonts w:hint="eastAsia" w:asciiTheme="minorEastAsia" w:hAnsiTheme="minorEastAsia" w:eastAsiaTheme="minorEastAsia"/>
          <w:sz w:val="24"/>
        </w:rPr>
        <w:t>日历天</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8、质量要求：合格</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9、不组织勘察施工现场。</w:t>
      </w:r>
    </w:p>
    <w:p>
      <w:pPr>
        <w:spacing w:line="312" w:lineRule="auto"/>
        <w:rPr>
          <w:rFonts w:asciiTheme="minorEastAsia" w:hAnsiTheme="minorEastAsia" w:eastAsiaTheme="minorEastAsia"/>
          <w:b/>
          <w:sz w:val="24"/>
        </w:rPr>
      </w:pPr>
      <w:r>
        <w:rPr>
          <w:rFonts w:hint="eastAsia" w:asciiTheme="minorEastAsia" w:hAnsiTheme="minorEastAsia" w:eastAsiaTheme="minorEastAsia"/>
          <w:b/>
          <w:sz w:val="24"/>
        </w:rPr>
        <w:t>二、投标人资格要求</w:t>
      </w:r>
    </w:p>
    <w:p>
      <w:pPr>
        <w:spacing w:line="312" w:lineRule="auto"/>
        <w:ind w:firstLine="480" w:firstLineChars="200"/>
        <w:rPr>
          <w:rFonts w:asciiTheme="minorEastAsia" w:hAnsiTheme="minorEastAsia" w:eastAsiaTheme="minorEastAsia"/>
          <w:sz w:val="24"/>
          <w:highlight w:val="yellow"/>
        </w:rPr>
      </w:pPr>
      <w:r>
        <w:rPr>
          <w:rFonts w:hint="eastAsia" w:asciiTheme="minorEastAsia" w:hAnsiTheme="minorEastAsia" w:eastAsiaTheme="minorEastAsia"/>
          <w:sz w:val="24"/>
        </w:rPr>
        <w:t>1、须具备独立法人资格；</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2、须具备建设行政主管部门颁发的公路工程施工总承包三级及以上资质，并具备有效的企业安全生产许可证，在人员、设备、资金等方面具有相应的施工能力；</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3、拟派建造师须具备贰级及以上公路工程专业注册建造师执业资格，具备有效的安全生产考核合格证书，且未担任其他在施建设项目的项目经理。拟派项目总工须具备中级及以上相关专业技术职称；</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4、根据《河南省公路建设市场从业单位及人员信用管理办法》第二十一条“对信用考核定级为D级即黑名单的从业单位，”不得参与本项目投标。</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5、不接受失信被执行人的投标。</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6、不接受投标人被“信用中国”和“信用河南”网站信用信息栏列入黑名单，以及被“国家企业信用信息公示系统”列入经营异常名录或严重失信黑名单的投标。</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7、不接受联合体投标。</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8、本次招标实行资格后审。</w:t>
      </w:r>
    </w:p>
    <w:p>
      <w:pPr>
        <w:spacing w:line="312"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三、投标报名时间及方式</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持CA数字认证证书，登录【全国公共资源交易平台（河南省·许昌市）】“系统用户注册”入口（http://221.14.6.70:8088/ggzy/eps/public/RegistAllJcxx.html）进行免费注册登记（详见“常见问题解答-诚信库网上注册相关资料下载”）；</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2、在投标截止时间前均可登录【全国公共资源交易平台（河南省·许昌市）】“投标人/供应商登录”入口（http://221.14.6.70:8088/ggzy/）自行下载招标文件等（详见“常见问题解答-交易系统操作手册”）。</w:t>
      </w:r>
    </w:p>
    <w:p>
      <w:pPr>
        <w:spacing w:line="312"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四、招标文件和施工图纸的获取</w:t>
      </w:r>
    </w:p>
    <w:p>
      <w:pPr>
        <w:autoSpaceDE w:val="0"/>
        <w:autoSpaceDN w:val="0"/>
        <w:adjustRightInd w:val="0"/>
        <w:spacing w:line="312" w:lineRule="auto"/>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cs="宋体" w:asciiTheme="minorEastAsia" w:hAnsiTheme="minorEastAsia" w:eastAsiaTheme="minorEastAsia"/>
          <w:sz w:val="24"/>
        </w:rPr>
        <w:t>http://ggzy.xuchang.gov.cn/</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sz w:val="24"/>
        </w:rPr>
        <w:t>），通过“投标人/供应商登录” 入口自行下载。</w:t>
      </w:r>
    </w:p>
    <w:p>
      <w:pPr>
        <w:spacing w:line="312"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2、招标文件每套售价300元，于递交投标文件时缴纳给招标代理机构，售后不退。</w:t>
      </w:r>
    </w:p>
    <w:p>
      <w:pPr>
        <w:spacing w:line="312"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五、投标文件的递交</w:t>
      </w:r>
    </w:p>
    <w:p>
      <w:pPr>
        <w:spacing w:line="312"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1、本项目为全流程电子化交易项目，须提交电子投标文件和纸质投标文件（正本1份、副本1份）。</w:t>
      </w:r>
    </w:p>
    <w:p>
      <w:pPr>
        <w:spacing w:line="312"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2、投标文件提交的截止时间及开标时间：2019年</w:t>
      </w:r>
      <w:r>
        <w:rPr>
          <w:rFonts w:hint="eastAsia" w:cs="宋体" w:asciiTheme="minorEastAsia" w:hAnsiTheme="minorEastAsia" w:eastAsiaTheme="minorEastAsia"/>
          <w:sz w:val="24"/>
          <w:lang w:val="en-US" w:eastAsia="zh-CN"/>
        </w:rPr>
        <w:t>8</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8</w:t>
      </w:r>
      <w:r>
        <w:rPr>
          <w:rFonts w:hint="eastAsia" w:cs="宋体" w:asciiTheme="minorEastAsia" w:hAnsiTheme="minorEastAsia" w:eastAsiaTheme="minorEastAsia"/>
          <w:sz w:val="24"/>
        </w:rPr>
        <w:t>日</w:t>
      </w:r>
      <w:r>
        <w:rPr>
          <w:rFonts w:hint="eastAsia" w:cs="宋体" w:asciiTheme="minorEastAsia" w:hAnsiTheme="minorEastAsia" w:eastAsiaTheme="minorEastAsia"/>
          <w:sz w:val="24"/>
          <w:lang w:val="en-US" w:eastAsia="zh-CN"/>
        </w:rPr>
        <w:t>09</w:t>
      </w:r>
      <w:r>
        <w:rPr>
          <w:rFonts w:hint="eastAsia" w:cs="宋体" w:asciiTheme="minorEastAsia" w:hAnsiTheme="minorEastAsia" w:eastAsiaTheme="minorEastAsia"/>
          <w:sz w:val="24"/>
        </w:rPr>
        <w:t>时</w:t>
      </w:r>
      <w:r>
        <w:rPr>
          <w:rFonts w:hint="eastAsia" w:cs="宋体" w:asciiTheme="minorEastAsia" w:hAnsiTheme="minorEastAsia" w:eastAsiaTheme="minorEastAsia"/>
          <w:sz w:val="24"/>
          <w:lang w:val="en-US" w:eastAsia="zh-CN"/>
        </w:rPr>
        <w:t>30</w:t>
      </w:r>
      <w:r>
        <w:rPr>
          <w:rFonts w:hint="eastAsia" w:cs="宋体" w:asciiTheme="minorEastAsia" w:hAnsiTheme="minorEastAsia" w:eastAsiaTheme="minorEastAsia"/>
          <w:sz w:val="24"/>
        </w:rPr>
        <w:t>分。</w:t>
      </w:r>
    </w:p>
    <w:p>
      <w:pPr>
        <w:spacing w:line="312"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3、电子投标文件的提交：电子投标文件应在投标文件提交截止时间（开标时间）之前成功提交至《全国公共资源交易平台(河南省▪许昌市)》公共资源交易系统，并随纸质投标文件同时提交2份使用电子介质存储的备份文件。</w:t>
      </w:r>
    </w:p>
    <w:p>
      <w:pPr>
        <w:spacing w:line="312"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4、纸质投标文件提交地点：许昌市建安区新元大道兴业大厦4楼</w:t>
      </w:r>
      <w:r>
        <w:rPr>
          <w:rFonts w:hint="eastAsia" w:cs="宋体" w:asciiTheme="minorEastAsia" w:hAnsiTheme="minorEastAsia" w:eastAsiaTheme="minorEastAsia"/>
          <w:sz w:val="24"/>
          <w:lang w:eastAsia="zh-CN"/>
        </w:rPr>
        <w:t>开标</w:t>
      </w:r>
      <w:r>
        <w:rPr>
          <w:rFonts w:hint="eastAsia" w:cs="宋体" w:asciiTheme="minorEastAsia" w:hAnsiTheme="minorEastAsia" w:eastAsiaTheme="minorEastAsia"/>
          <w:sz w:val="24"/>
          <w:lang w:val="en-US" w:eastAsia="zh-CN"/>
        </w:rPr>
        <w:t>二</w:t>
      </w:r>
      <w:r>
        <w:rPr>
          <w:rFonts w:hint="eastAsia" w:cs="宋体" w:asciiTheme="minorEastAsia" w:hAnsiTheme="minorEastAsia" w:eastAsiaTheme="minorEastAsia"/>
          <w:sz w:val="24"/>
        </w:rPr>
        <w:t>室</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4165室</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w:t>
      </w:r>
    </w:p>
    <w:p>
      <w:pPr>
        <w:spacing w:line="312"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5、逾期送达的或者未送达指定地点的纸质投标文件、及仅提供纸质投标文件的，招标人不予受理。</w:t>
      </w:r>
    </w:p>
    <w:p>
      <w:pPr>
        <w:spacing w:line="312"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六、发布公告的媒介</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本公告同时在《全国公共资源交易平台(河南省▪许昌市)》、《河南省电子招标投标公共服务平台》上发布。</w:t>
      </w:r>
    </w:p>
    <w:p>
      <w:pPr>
        <w:spacing w:line="312" w:lineRule="auto"/>
        <w:rPr>
          <w:rFonts w:asciiTheme="minorEastAsia" w:hAnsiTheme="minorEastAsia" w:eastAsiaTheme="minorEastAsia"/>
          <w:b/>
          <w:sz w:val="24"/>
        </w:rPr>
      </w:pPr>
      <w:r>
        <w:rPr>
          <w:rFonts w:hint="eastAsia" w:asciiTheme="minorEastAsia" w:hAnsiTheme="minorEastAsia" w:eastAsiaTheme="minorEastAsia"/>
          <w:b/>
          <w:sz w:val="24"/>
        </w:rPr>
        <w:t>七、联系方式</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招  标  人：</w:t>
      </w:r>
      <w:r>
        <w:rPr>
          <w:rFonts w:hint="eastAsia" w:asciiTheme="minorEastAsia" w:hAnsiTheme="minorEastAsia" w:eastAsiaTheme="minorEastAsia"/>
          <w:color w:val="000000"/>
          <w:sz w:val="24"/>
          <w:lang w:val="zh-CN"/>
        </w:rPr>
        <w:t>许昌市建安区交通运输局</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项目负责人：</w:t>
      </w:r>
      <w:r>
        <w:rPr>
          <w:rFonts w:hint="eastAsia" w:asciiTheme="minorEastAsia" w:hAnsiTheme="minorEastAsia" w:eastAsiaTheme="minorEastAsia"/>
          <w:color w:val="000000"/>
          <w:sz w:val="24"/>
          <w:lang w:eastAsia="zh-CN"/>
        </w:rPr>
        <w:t>黄向远</w:t>
      </w:r>
      <w:r>
        <w:rPr>
          <w:rFonts w:hint="eastAsia" w:asciiTheme="minorEastAsia" w:hAnsiTheme="minorEastAsia" w:eastAsiaTheme="minorEastAsia"/>
          <w:color w:val="000000"/>
          <w:sz w:val="24"/>
          <w:lang w:val="en-US" w:eastAsia="zh-CN"/>
        </w:rPr>
        <w:t xml:space="preserve">   </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电      话：</w:t>
      </w:r>
      <w:r>
        <w:rPr>
          <w:rFonts w:hint="eastAsia" w:asciiTheme="minorEastAsia" w:hAnsiTheme="minorEastAsia" w:eastAsiaTheme="minorEastAsia"/>
          <w:color w:val="000000"/>
          <w:sz w:val="24"/>
          <w:lang w:val="en-US" w:eastAsia="zh-CN"/>
        </w:rPr>
        <w:t xml:space="preserve">18803743200  </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代理  机构：</w:t>
      </w:r>
      <w:r>
        <w:rPr>
          <w:rFonts w:hint="eastAsia" w:asciiTheme="minorEastAsia" w:hAnsiTheme="minorEastAsia" w:eastAsiaTheme="minorEastAsia"/>
          <w:color w:val="000000"/>
          <w:sz w:val="24"/>
          <w:lang w:eastAsia="zh-CN"/>
        </w:rPr>
        <w:t>方大国际工程咨询股份有限公司</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项目负责人：</w:t>
      </w:r>
      <w:r>
        <w:rPr>
          <w:rFonts w:hint="eastAsia" w:asciiTheme="minorEastAsia" w:hAnsiTheme="minorEastAsia" w:eastAsiaTheme="minorEastAsia"/>
          <w:color w:val="000000"/>
          <w:sz w:val="24"/>
          <w:lang w:val="en-US" w:eastAsia="zh-CN"/>
        </w:rPr>
        <w:t>王孟龙</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电    话：</w:t>
      </w:r>
      <w:r>
        <w:rPr>
          <w:rFonts w:hint="eastAsia" w:asciiTheme="minorEastAsia" w:hAnsiTheme="minorEastAsia" w:eastAsiaTheme="minorEastAsia"/>
          <w:color w:val="000000"/>
          <w:sz w:val="24"/>
          <w:lang w:val="en-US" w:eastAsia="zh-CN"/>
        </w:rPr>
        <w:t>15837443882</w:t>
      </w:r>
    </w:p>
    <w:p>
      <w:pPr>
        <w:spacing w:line="312" w:lineRule="auto"/>
        <w:ind w:firstLine="480" w:firstLineChars="200"/>
        <w:rPr>
          <w:rFonts w:asciiTheme="minorEastAsia" w:hAnsiTheme="minorEastAsia" w:eastAsiaTheme="minorEastAsia"/>
          <w:sz w:val="24"/>
        </w:rPr>
      </w:pPr>
    </w:p>
    <w:p>
      <w:pPr>
        <w:spacing w:line="312" w:lineRule="auto"/>
        <w:ind w:firstLine="480" w:firstLineChars="200"/>
        <w:jc w:val="right"/>
        <w:rPr>
          <w:rFonts w:asciiTheme="minorEastAsia" w:hAnsiTheme="minorEastAsia" w:eastAsiaTheme="minorEastAsia"/>
          <w:color w:val="000000"/>
          <w:sz w:val="24"/>
          <w:lang w:val="zh-CN"/>
        </w:rPr>
      </w:pPr>
      <w:r>
        <w:rPr>
          <w:rFonts w:hint="eastAsia" w:asciiTheme="minorEastAsia" w:hAnsiTheme="minorEastAsia" w:eastAsiaTheme="minorEastAsia"/>
          <w:color w:val="000000"/>
          <w:sz w:val="24"/>
          <w:lang w:val="zh-CN"/>
        </w:rPr>
        <w:t>许昌市建安区交通运输局</w:t>
      </w:r>
    </w:p>
    <w:p>
      <w:pPr>
        <w:spacing w:line="312" w:lineRule="auto"/>
        <w:ind w:right="240" w:firstLine="480" w:firstLineChars="200"/>
        <w:jc w:val="right"/>
        <w:rPr>
          <w:rFonts w:asciiTheme="minorEastAsia" w:hAnsiTheme="minorEastAsia" w:eastAsiaTheme="minorEastAsia"/>
          <w:color w:val="000000"/>
          <w:sz w:val="24"/>
        </w:rPr>
      </w:pPr>
      <w:r>
        <w:rPr>
          <w:rFonts w:hint="eastAsia" w:asciiTheme="minorEastAsia" w:hAnsiTheme="minorEastAsia" w:eastAsiaTheme="minorEastAsia"/>
          <w:color w:val="000000"/>
          <w:sz w:val="24"/>
        </w:rPr>
        <w:t>201</w:t>
      </w:r>
      <w:r>
        <w:rPr>
          <w:rFonts w:hint="eastAsia" w:asciiTheme="minorEastAsia" w:hAnsiTheme="minorEastAsia" w:eastAsiaTheme="minorEastAsia"/>
          <w:color w:val="000000"/>
          <w:sz w:val="24"/>
          <w:highlight w:val="none"/>
        </w:rPr>
        <w:t>9年</w:t>
      </w:r>
      <w:r>
        <w:rPr>
          <w:rFonts w:hint="eastAsia" w:asciiTheme="minorEastAsia" w:hAnsiTheme="minorEastAsia" w:eastAsiaTheme="minorEastAsia"/>
          <w:color w:val="000000"/>
          <w:sz w:val="24"/>
          <w:highlight w:val="none"/>
          <w:lang w:val="en-US" w:eastAsia="zh-CN"/>
        </w:rPr>
        <w:t>7</w:t>
      </w:r>
      <w:r>
        <w:rPr>
          <w:rFonts w:hint="eastAsia" w:asciiTheme="minorEastAsia" w:hAnsiTheme="minorEastAsia" w:eastAsiaTheme="minorEastAsia"/>
          <w:color w:val="000000"/>
          <w:sz w:val="24"/>
          <w:highlight w:val="none"/>
        </w:rPr>
        <w:t>月</w:t>
      </w:r>
      <w:r>
        <w:rPr>
          <w:rFonts w:hint="eastAsia" w:asciiTheme="minorEastAsia" w:hAnsiTheme="minorEastAsia" w:eastAsiaTheme="minorEastAsia"/>
          <w:color w:val="000000"/>
          <w:sz w:val="24"/>
          <w:highlight w:val="none"/>
          <w:lang w:val="en-US" w:eastAsia="zh-CN"/>
        </w:rPr>
        <w:t>17</w:t>
      </w:r>
      <w:r>
        <w:rPr>
          <w:rFonts w:hint="eastAsia" w:asciiTheme="minorEastAsia" w:hAnsiTheme="minorEastAsia" w:eastAsiaTheme="minorEastAsia"/>
          <w:color w:val="000000"/>
          <w:sz w:val="24"/>
          <w:highlight w:val="none"/>
        </w:rPr>
        <w:t>日</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8"/>
          <w:szCs w:val="21"/>
        </w:rPr>
      </w:pPr>
      <w:r>
        <w:rPr>
          <w:rFonts w:hint="eastAsia" w:hAnsi="宋体"/>
          <w:b/>
          <w:sz w:val="28"/>
          <w:szCs w:val="21"/>
        </w:rPr>
        <w:t>本项目为全流程电子化交易项目，请认真阅读招标文件，并注意以下事项。</w:t>
      </w:r>
    </w:p>
    <w:p>
      <w:pPr>
        <w:widowControl/>
        <w:spacing w:line="312" w:lineRule="auto"/>
        <w:rPr>
          <w:rFonts w:hAnsi="宋体"/>
          <w:b/>
          <w:sz w:val="24"/>
        </w:rPr>
      </w:pP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widowControl/>
        <w:spacing w:line="360" w:lineRule="auto"/>
        <w:ind w:right="714"/>
        <w:jc w:val="center"/>
      </w:pPr>
      <w:r>
        <w:br w:type="page"/>
      </w:r>
    </w:p>
    <w:p>
      <w:pPr>
        <w:spacing w:line="312" w:lineRule="auto"/>
        <w:jc w:val="center"/>
        <w:outlineLvl w:val="0"/>
        <w:rPr>
          <w:rFonts w:ascii="黑体" w:eastAsia="黑体"/>
          <w:bCs/>
          <w:sz w:val="44"/>
          <w:szCs w:val="44"/>
        </w:rPr>
      </w:pPr>
      <w:r>
        <w:rPr>
          <w:rFonts w:hint="eastAsia" w:ascii="黑体" w:eastAsia="黑体"/>
          <w:bCs/>
          <w:sz w:val="44"/>
          <w:szCs w:val="44"/>
        </w:rPr>
        <w:t>第二章  投标人须知</w:t>
      </w:r>
    </w:p>
    <w:p>
      <w:pPr>
        <w:spacing w:line="360" w:lineRule="auto"/>
        <w:jc w:val="center"/>
        <w:rPr>
          <w:rFonts w:ascii="宋体" w:hAnsi="宋体"/>
          <w:b/>
          <w:sz w:val="24"/>
        </w:rPr>
      </w:pPr>
      <w:bookmarkStart w:id="0" w:name="_Toc234382587"/>
      <w:r>
        <w:rPr>
          <w:rFonts w:hint="eastAsia" w:ascii="黑体" w:eastAsia="黑体"/>
          <w:b/>
          <w:sz w:val="30"/>
          <w:szCs w:val="30"/>
        </w:rPr>
        <w:t>投标人须知前附表</w:t>
      </w:r>
      <w:bookmarkEnd w:id="0"/>
      <w:bookmarkStart w:id="1" w:name="_Hlt111980600"/>
      <w:bookmarkEnd w:id="1"/>
    </w:p>
    <w:tbl>
      <w:tblPr>
        <w:tblStyle w:val="16"/>
        <w:tblW w:w="98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8"/>
        <w:gridCol w:w="2317"/>
        <w:gridCol w:w="6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53" w:type="dxa"/>
            <w:gridSpan w:val="2"/>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条款号</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条 款 名 称</w:t>
            </w:r>
          </w:p>
        </w:tc>
        <w:tc>
          <w:tcPr>
            <w:tcW w:w="6482"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1.1.2</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招标人</w:t>
            </w:r>
          </w:p>
        </w:tc>
        <w:tc>
          <w:tcPr>
            <w:tcW w:w="6482" w:type="dxa"/>
            <w:tcBorders>
              <w:bottom w:val="single" w:color="auto" w:sz="4" w:space="0"/>
            </w:tcBorders>
            <w:vAlign w:val="center"/>
          </w:tcPr>
          <w:p>
            <w:pPr>
              <w:spacing w:line="312" w:lineRule="auto"/>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招  标  人：</w:t>
            </w:r>
            <w:r>
              <w:rPr>
                <w:rFonts w:hint="eastAsia" w:asciiTheme="minorEastAsia" w:hAnsiTheme="minorEastAsia" w:eastAsiaTheme="minorEastAsia"/>
                <w:color w:val="000000"/>
                <w:sz w:val="24"/>
                <w:lang w:val="zh-CN"/>
              </w:rPr>
              <w:t>许昌市建安区交通运输局</w:t>
            </w:r>
          </w:p>
          <w:p>
            <w:pPr>
              <w:spacing w:line="312" w:lineRule="auto"/>
              <w:jc w:val="left"/>
              <w:rPr>
                <w:rFonts w:asciiTheme="minorEastAsia" w:hAnsiTheme="minorEastAsia" w:eastAsiaTheme="minorEastAsia"/>
                <w:sz w:val="24"/>
              </w:rPr>
            </w:pPr>
            <w:r>
              <w:rPr>
                <w:rFonts w:hint="eastAsia" w:asciiTheme="minorEastAsia" w:hAnsiTheme="minorEastAsia" w:eastAsiaTheme="minorEastAsia"/>
                <w:sz w:val="24"/>
              </w:rPr>
              <w:t>项目负责人：</w:t>
            </w:r>
            <w:r>
              <w:rPr>
                <w:rFonts w:hint="eastAsia" w:asciiTheme="minorEastAsia" w:hAnsiTheme="minorEastAsia" w:eastAsiaTheme="minorEastAsia"/>
                <w:color w:val="000000"/>
                <w:sz w:val="24"/>
                <w:lang w:eastAsia="zh-CN"/>
              </w:rPr>
              <w:t>黄向远</w:t>
            </w:r>
            <w:r>
              <w:rPr>
                <w:rFonts w:hint="eastAsia" w:asciiTheme="minorEastAsia" w:hAnsiTheme="minorEastAsia" w:eastAsiaTheme="minorEastAsia"/>
                <w:sz w:val="24"/>
                <w:lang w:val="en-US" w:eastAsia="zh-CN"/>
              </w:rPr>
              <w:t xml:space="preserve">   </w:t>
            </w:r>
          </w:p>
          <w:p>
            <w:pPr>
              <w:spacing w:line="312" w:lineRule="auto"/>
              <w:jc w:val="left"/>
              <w:rPr>
                <w:rFonts w:asciiTheme="minorEastAsia" w:hAnsiTheme="minorEastAsia" w:eastAsiaTheme="minorEastAsia"/>
                <w:sz w:val="24"/>
                <w:u w:val="single"/>
              </w:rPr>
            </w:pPr>
            <w:r>
              <w:rPr>
                <w:rFonts w:hint="eastAsia" w:asciiTheme="minorEastAsia" w:hAnsiTheme="minorEastAsia" w:eastAsiaTheme="minorEastAsia"/>
                <w:sz w:val="24"/>
              </w:rPr>
              <w:t>电      话：</w:t>
            </w:r>
            <w:r>
              <w:rPr>
                <w:rFonts w:hint="eastAsia" w:asciiTheme="minorEastAsia" w:hAnsiTheme="minorEastAsia" w:eastAsiaTheme="minorEastAsia"/>
                <w:color w:val="000000"/>
                <w:sz w:val="24"/>
                <w:lang w:val="en-US" w:eastAsia="zh-CN"/>
              </w:rPr>
              <w:t xml:space="preserve">18803743200  </w:t>
            </w:r>
            <w:r>
              <w:rPr>
                <w:rFonts w:hint="eastAsia" w:asciiTheme="minorEastAsia" w:hAnsiTheme="minorEastAsia" w:eastAsiaTheme="minorEastAsia"/>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1.1.3</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代理机构</w:t>
            </w:r>
          </w:p>
        </w:tc>
        <w:tc>
          <w:tcPr>
            <w:tcW w:w="6482" w:type="dxa"/>
            <w:tcBorders>
              <w:bottom w:val="single" w:color="auto" w:sz="4" w:space="0"/>
            </w:tcBorders>
            <w:vAlign w:val="center"/>
          </w:tcPr>
          <w:p>
            <w:pPr>
              <w:autoSpaceDE w:val="0"/>
              <w:autoSpaceDN w:val="0"/>
              <w:adjustRightInd w:val="0"/>
              <w:spacing w:line="360" w:lineRule="exact"/>
              <w:jc w:val="left"/>
              <w:rPr>
                <w:rFonts w:cs="宋体" w:asciiTheme="minorEastAsia" w:hAnsiTheme="minorEastAsia" w:eastAsiaTheme="minorEastAsia"/>
                <w:sz w:val="24"/>
              </w:rPr>
            </w:pPr>
            <w:r>
              <w:rPr>
                <w:rFonts w:hint="eastAsia" w:asciiTheme="minorEastAsia" w:hAnsiTheme="minorEastAsia" w:eastAsiaTheme="minorEastAsia"/>
                <w:sz w:val="24"/>
              </w:rPr>
              <w:t>代 理 机构：</w:t>
            </w:r>
            <w:r>
              <w:rPr>
                <w:rFonts w:hint="eastAsia" w:cs="宋体" w:asciiTheme="minorEastAsia" w:hAnsiTheme="minorEastAsia" w:eastAsiaTheme="minorEastAsia"/>
                <w:sz w:val="24"/>
                <w:lang w:eastAsia="zh-CN"/>
              </w:rPr>
              <w:t>方大国际工程咨询股份有限公司</w:t>
            </w:r>
          </w:p>
          <w:p>
            <w:pPr>
              <w:autoSpaceDE w:val="0"/>
              <w:autoSpaceDN w:val="0"/>
              <w:adjustRightInd w:val="0"/>
              <w:spacing w:line="360" w:lineRule="exact"/>
              <w:jc w:val="left"/>
              <w:rPr>
                <w:rFonts w:asciiTheme="minorEastAsia" w:hAnsiTheme="minorEastAsia" w:eastAsiaTheme="minorEastAsia"/>
                <w:sz w:val="24"/>
              </w:rPr>
            </w:pPr>
            <w:r>
              <w:rPr>
                <w:rFonts w:hint="eastAsia" w:asciiTheme="minorEastAsia" w:hAnsiTheme="minorEastAsia" w:eastAsiaTheme="minorEastAsia"/>
                <w:sz w:val="24"/>
              </w:rPr>
              <w:t>项目负责人：</w:t>
            </w:r>
            <w:r>
              <w:rPr>
                <w:rFonts w:hint="eastAsia" w:asciiTheme="minorEastAsia" w:hAnsiTheme="minorEastAsia" w:eastAsiaTheme="minorEastAsia"/>
                <w:sz w:val="24"/>
                <w:lang w:val="en-US" w:eastAsia="zh-CN"/>
              </w:rPr>
              <w:t>王孟龙</w:t>
            </w:r>
          </w:p>
          <w:p>
            <w:pPr>
              <w:tabs>
                <w:tab w:val="left" w:pos="4536"/>
              </w:tabs>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电      话</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15837443882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1.1.4</w:t>
            </w:r>
          </w:p>
        </w:tc>
        <w:tc>
          <w:tcPr>
            <w:tcW w:w="2317" w:type="dxa"/>
            <w:tcBorders>
              <w:right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6482" w:type="dxa"/>
            <w:tcBorders>
              <w:left w:val="single" w:color="auto" w:sz="4" w:space="0"/>
              <w:right w:val="single" w:color="auto" w:sz="4" w:space="0"/>
            </w:tcBorders>
            <w:vAlign w:val="center"/>
          </w:tcPr>
          <w:p>
            <w:pPr>
              <w:spacing w:line="500" w:lineRule="exact"/>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许昌市建安区小召乡、苏桥镇危桥改造项目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1.1.5</w:t>
            </w:r>
          </w:p>
        </w:tc>
        <w:tc>
          <w:tcPr>
            <w:tcW w:w="2317" w:type="dxa"/>
            <w:tcBorders>
              <w:right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建设地点</w:t>
            </w:r>
          </w:p>
        </w:tc>
        <w:tc>
          <w:tcPr>
            <w:tcW w:w="6482" w:type="dxa"/>
            <w:tcBorders>
              <w:left w:val="single" w:color="auto" w:sz="4" w:space="0"/>
              <w:right w:val="single" w:color="auto" w:sz="4" w:space="0"/>
            </w:tcBorders>
            <w:vAlign w:val="center"/>
          </w:tcPr>
          <w:p>
            <w:pPr>
              <w:spacing w:line="360" w:lineRule="auto"/>
              <w:jc w:val="left"/>
              <w:rPr>
                <w:rFonts w:asciiTheme="minorEastAsia" w:hAnsiTheme="minorEastAsia" w:eastAsiaTheme="minorEastAsia"/>
                <w:sz w:val="24"/>
              </w:rPr>
            </w:pPr>
            <w:r>
              <w:rPr>
                <w:rFonts w:hint="eastAsia" w:cs="宋体" w:asciiTheme="minorEastAsia" w:hAnsiTheme="minorEastAsia" w:eastAsiaTheme="minorEastAsia"/>
                <w:sz w:val="24"/>
                <w:lang w:val="zh-CN"/>
              </w:rPr>
              <w:t>位于</w:t>
            </w:r>
            <w:r>
              <w:rPr>
                <w:rFonts w:hint="eastAsia" w:cs="宋体" w:asciiTheme="minorEastAsia" w:hAnsiTheme="minorEastAsia" w:eastAsiaTheme="minorEastAsia"/>
                <w:sz w:val="24"/>
              </w:rPr>
              <w:t>许昌市建安区小召乡北寨村、</w:t>
            </w:r>
            <w:r>
              <w:rPr>
                <w:rFonts w:hint="eastAsia" w:asciiTheme="minorEastAsia" w:hAnsiTheme="minorEastAsia" w:eastAsiaTheme="minorEastAsia"/>
                <w:sz w:val="24"/>
                <w:lang w:val="en-US" w:eastAsia="zh-CN"/>
              </w:rPr>
              <w:t>苏桥镇王彦庄、济宁寨村</w:t>
            </w:r>
            <w:r>
              <w:rPr>
                <w:rFonts w:hint="eastAsia" w:cs="宋体" w:asciiTheme="minorEastAsia" w:hAnsiTheme="minorEastAsia" w:eastAsiaTheme="minorEastAsia"/>
                <w:sz w:val="24"/>
              </w:rPr>
              <w:t>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1.2.1</w:t>
            </w:r>
          </w:p>
        </w:tc>
        <w:tc>
          <w:tcPr>
            <w:tcW w:w="2317" w:type="dxa"/>
            <w:tcBorders>
              <w:right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资金来源</w:t>
            </w:r>
          </w:p>
        </w:tc>
        <w:tc>
          <w:tcPr>
            <w:tcW w:w="6482" w:type="dxa"/>
            <w:tcBorders>
              <w:left w:val="single" w:color="auto" w:sz="4" w:space="0"/>
              <w:bottom w:val="single" w:color="auto" w:sz="4" w:space="0"/>
              <w:right w:val="single" w:color="auto" w:sz="4" w:space="0"/>
            </w:tcBorders>
            <w:vAlign w:val="center"/>
          </w:tcPr>
          <w:p>
            <w:pPr>
              <w:pStyle w:val="25"/>
              <w:snapToGrid w:val="0"/>
              <w:spacing w:line="0" w:lineRule="atLeast"/>
              <w:jc w:val="left"/>
              <w:rPr>
                <w:rFonts w:asciiTheme="minorEastAsia" w:hAnsiTheme="minorEastAsia" w:eastAsiaTheme="minorEastAsia"/>
                <w:sz w:val="24"/>
              </w:rPr>
            </w:pPr>
            <w:r>
              <w:rPr>
                <w:rFonts w:hint="eastAsia" w:cs="宋体" w:asciiTheme="minorEastAsia" w:hAnsiTheme="minorEastAsia" w:eastAsiaTheme="minorEastAsia"/>
                <w:bCs/>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1.2.2</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出资比例</w:t>
            </w:r>
          </w:p>
        </w:tc>
        <w:tc>
          <w:tcPr>
            <w:tcW w:w="6482" w:type="dxa"/>
            <w:tcBorders>
              <w:top w:val="single" w:color="auto" w:sz="4" w:space="0"/>
            </w:tcBorders>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bCs/>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1.2.3</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资金落实情况</w:t>
            </w:r>
          </w:p>
        </w:tc>
        <w:tc>
          <w:tcPr>
            <w:tcW w:w="6482" w:type="dxa"/>
            <w:tcBorders>
              <w:top w:val="single" w:color="auto" w:sz="4" w:space="0"/>
            </w:tcBorders>
            <w:vAlign w:val="center"/>
          </w:tcPr>
          <w:p>
            <w:pPr>
              <w:spacing w:line="500" w:lineRule="exact"/>
              <w:jc w:val="left"/>
              <w:rPr>
                <w:rFonts w:asciiTheme="minorEastAsia" w:hAnsiTheme="minorEastAsia" w:eastAsiaTheme="minorEastAsia"/>
                <w:bCs/>
                <w:sz w:val="24"/>
              </w:rPr>
            </w:pPr>
            <w:r>
              <w:rPr>
                <w:rFonts w:hint="eastAsia" w:asciiTheme="minorEastAsia" w:hAnsiTheme="minorEastAsia" w:eastAsiaTheme="minorEastAsia"/>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1.3.1</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招标范围</w:t>
            </w:r>
          </w:p>
        </w:tc>
        <w:tc>
          <w:tcPr>
            <w:tcW w:w="6482"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053"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1.3.2</w:t>
            </w:r>
          </w:p>
        </w:tc>
        <w:tc>
          <w:tcPr>
            <w:tcW w:w="2317" w:type="dxa"/>
            <w:vAlign w:val="center"/>
          </w:tcPr>
          <w:p>
            <w:pPr>
              <w:jc w:val="center"/>
              <w:rPr>
                <w:rFonts w:cs="宋体" w:asciiTheme="minorEastAsia" w:hAnsiTheme="minorEastAsia" w:eastAsiaTheme="minorEastAsia"/>
                <w:kern w:val="0"/>
                <w:sz w:val="24"/>
                <w:shd w:val="clear" w:color="auto" w:fill="FFFFFF"/>
              </w:rPr>
            </w:pPr>
            <w:r>
              <w:rPr>
                <w:rFonts w:hint="eastAsia" w:asciiTheme="minorEastAsia" w:hAnsiTheme="minorEastAsia" w:eastAsiaTheme="minorEastAsia"/>
                <w:sz w:val="24"/>
              </w:rPr>
              <w:t>计划工期</w:t>
            </w:r>
          </w:p>
        </w:tc>
        <w:tc>
          <w:tcPr>
            <w:tcW w:w="6482" w:type="dxa"/>
            <w:vAlign w:val="center"/>
          </w:tcPr>
          <w:p>
            <w:pPr>
              <w:jc w:val="left"/>
              <w:rPr>
                <w:rFonts w:cs="宋体" w:asciiTheme="minorEastAsia" w:hAnsiTheme="minorEastAsia" w:eastAsiaTheme="minorEastAsia"/>
                <w:kern w:val="0"/>
                <w:sz w:val="24"/>
                <w:shd w:val="clear" w:color="auto" w:fill="FFFFFF"/>
              </w:rPr>
            </w:pPr>
            <w:r>
              <w:rPr>
                <w:rFonts w:hint="eastAsia" w:asciiTheme="minorEastAsia" w:hAnsiTheme="minorEastAsia" w:eastAsiaTheme="minorEastAsia"/>
                <w:sz w:val="24"/>
                <w:lang w:val="en-US" w:eastAsia="zh-CN"/>
              </w:rPr>
              <w:t>90</w:t>
            </w:r>
            <w:r>
              <w:rPr>
                <w:rFonts w:hint="eastAsia" w:asciiTheme="minorEastAsia" w:hAnsiTheme="minorEastAsia" w:eastAsiaTheme="minorEastAsia"/>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1.3.3</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质量要求</w:t>
            </w:r>
          </w:p>
        </w:tc>
        <w:tc>
          <w:tcPr>
            <w:tcW w:w="6482" w:type="dxa"/>
            <w:vAlign w:val="center"/>
          </w:tcPr>
          <w:p>
            <w:pPr>
              <w:tabs>
                <w:tab w:val="right" w:leader="dot" w:pos="8295"/>
              </w:tabs>
              <w:spacing w:line="500" w:lineRule="exact"/>
              <w:jc w:val="left"/>
              <w:rPr>
                <w:rFonts w:asciiTheme="minorEastAsia" w:hAnsiTheme="minorEastAsia" w:eastAsiaTheme="minorEastAsia"/>
                <w:sz w:val="24"/>
                <w:u w:val="single"/>
              </w:rPr>
            </w:pPr>
            <w:r>
              <w:rPr>
                <w:rFonts w:hint="eastAsia" w:asciiTheme="minorEastAsia" w:hAnsiTheme="minorEastAsia" w:eastAsiaTheme="minorEastAsia"/>
                <w:sz w:val="24"/>
              </w:rPr>
              <w:t>合格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174" w:hRule="atLeast"/>
          <w:jc w:val="center"/>
        </w:trPr>
        <w:tc>
          <w:tcPr>
            <w:tcW w:w="1053" w:type="dxa"/>
            <w:gridSpan w:val="2"/>
            <w:tcBorders>
              <w:top w:val="single" w:color="auto" w:sz="4" w:space="0"/>
              <w:left w:val="single" w:color="auto" w:sz="4" w:space="0"/>
            </w:tcBorders>
            <w:vAlign w:val="center"/>
          </w:tcPr>
          <w:p>
            <w:pPr>
              <w:spacing w:line="500" w:lineRule="exact"/>
              <w:jc w:val="center"/>
              <w:rPr>
                <w:rFonts w:asciiTheme="minorEastAsia" w:hAnsiTheme="minorEastAsia" w:eastAsiaTheme="minorEastAsia"/>
                <w:sz w:val="24"/>
                <w:vertAlign w:val="superscript"/>
              </w:rPr>
            </w:pPr>
            <w:r>
              <w:rPr>
                <w:rFonts w:asciiTheme="minorEastAsia" w:hAnsiTheme="minorEastAsia" w:eastAsiaTheme="minorEastAsia"/>
                <w:sz w:val="24"/>
              </w:rPr>
              <w:t>1.4.</w:t>
            </w:r>
            <w:r>
              <w:rPr>
                <w:rFonts w:hint="eastAsia" w:asciiTheme="minorEastAsia" w:hAnsiTheme="minorEastAsia" w:eastAsiaTheme="minorEastAsia"/>
                <w:sz w:val="24"/>
              </w:rPr>
              <w:t>1</w:t>
            </w:r>
          </w:p>
        </w:tc>
        <w:tc>
          <w:tcPr>
            <w:tcW w:w="2317" w:type="dxa"/>
            <w:tcBorders>
              <w:top w:val="single" w:color="auto" w:sz="4" w:space="0"/>
            </w:tcBorders>
            <w:vAlign w:val="center"/>
          </w:tcPr>
          <w:p>
            <w:pPr>
              <w:spacing w:line="500" w:lineRule="exact"/>
              <w:jc w:val="center"/>
              <w:rPr>
                <w:rFonts w:asciiTheme="minorEastAsia" w:hAnsiTheme="minorEastAsia" w:eastAsiaTheme="minorEastAsia"/>
                <w:sz w:val="24"/>
              </w:rPr>
            </w:pPr>
            <w:r>
              <w:rPr>
                <w:rFonts w:asciiTheme="minorEastAsia" w:hAnsiTheme="minorEastAsia" w:eastAsiaTheme="minorEastAsia"/>
                <w:sz w:val="24"/>
              </w:rPr>
              <w:t>投标人资质条件、能力和信誉</w:t>
            </w:r>
          </w:p>
        </w:tc>
        <w:tc>
          <w:tcPr>
            <w:tcW w:w="6482" w:type="dxa"/>
            <w:tcBorders>
              <w:right w:val="single" w:color="auto" w:sz="4" w:space="0"/>
            </w:tcBorders>
            <w:vAlign w:val="center"/>
          </w:tcPr>
          <w:p>
            <w:pPr>
              <w:spacing w:line="360" w:lineRule="auto"/>
              <w:ind w:firstLine="120" w:firstLineChars="50"/>
              <w:jc w:val="left"/>
              <w:rPr>
                <w:rFonts w:asciiTheme="minorEastAsia" w:hAnsiTheme="minorEastAsia" w:eastAsiaTheme="minorEastAsia"/>
                <w:sz w:val="24"/>
              </w:rPr>
            </w:pPr>
            <w:r>
              <w:rPr>
                <w:rFonts w:asciiTheme="minorEastAsia" w:hAnsiTheme="minorEastAsia" w:eastAsiaTheme="minorEastAsia"/>
                <w:sz w:val="24"/>
              </w:rPr>
              <w:t>资质条件：</w:t>
            </w:r>
            <w:r>
              <w:rPr>
                <w:rFonts w:hint="eastAsia" w:asciiTheme="minorEastAsia" w:hAnsiTheme="minorEastAsia" w:eastAsiaTheme="minorEastAsia"/>
                <w:sz w:val="24"/>
              </w:rPr>
              <w:t>见附录1</w:t>
            </w:r>
          </w:p>
          <w:p>
            <w:pPr>
              <w:spacing w:line="360" w:lineRule="auto"/>
              <w:ind w:firstLine="120" w:firstLineChars="50"/>
              <w:jc w:val="left"/>
              <w:rPr>
                <w:rFonts w:asciiTheme="minorEastAsia" w:hAnsiTheme="minorEastAsia" w:eastAsiaTheme="minorEastAsia"/>
                <w:sz w:val="24"/>
              </w:rPr>
            </w:pPr>
            <w:r>
              <w:rPr>
                <w:rFonts w:asciiTheme="minorEastAsia" w:hAnsiTheme="minorEastAsia" w:eastAsiaTheme="minorEastAsia"/>
                <w:sz w:val="24"/>
              </w:rPr>
              <w:t>财务要求：</w:t>
            </w:r>
            <w:r>
              <w:rPr>
                <w:rFonts w:hint="eastAsia" w:asciiTheme="minorEastAsia" w:hAnsiTheme="minorEastAsia" w:eastAsiaTheme="minorEastAsia"/>
                <w:sz w:val="24"/>
              </w:rPr>
              <w:t>见附录2</w:t>
            </w:r>
          </w:p>
          <w:p>
            <w:pPr>
              <w:spacing w:line="360" w:lineRule="auto"/>
              <w:ind w:firstLine="120" w:firstLineChars="50"/>
              <w:jc w:val="left"/>
              <w:rPr>
                <w:rFonts w:asciiTheme="minorEastAsia" w:hAnsiTheme="minorEastAsia" w:eastAsiaTheme="minorEastAsia"/>
                <w:sz w:val="24"/>
              </w:rPr>
            </w:pPr>
            <w:r>
              <w:rPr>
                <w:rFonts w:asciiTheme="minorEastAsia" w:hAnsiTheme="minorEastAsia" w:eastAsiaTheme="minorEastAsia"/>
                <w:sz w:val="24"/>
              </w:rPr>
              <w:t>业绩要求：</w:t>
            </w:r>
            <w:r>
              <w:rPr>
                <w:rFonts w:hint="eastAsia" w:asciiTheme="minorEastAsia" w:hAnsiTheme="minorEastAsia" w:eastAsiaTheme="minorEastAsia"/>
                <w:sz w:val="24"/>
              </w:rPr>
              <w:t>见附录3</w:t>
            </w:r>
          </w:p>
          <w:p>
            <w:pPr>
              <w:spacing w:line="360" w:lineRule="auto"/>
              <w:ind w:firstLine="120" w:firstLineChars="50"/>
              <w:jc w:val="left"/>
              <w:rPr>
                <w:rFonts w:asciiTheme="minorEastAsia" w:hAnsiTheme="minorEastAsia" w:eastAsiaTheme="minorEastAsia"/>
                <w:sz w:val="24"/>
              </w:rPr>
            </w:pPr>
            <w:r>
              <w:rPr>
                <w:rFonts w:hint="eastAsia" w:asciiTheme="minorEastAsia" w:hAnsiTheme="minorEastAsia" w:eastAsiaTheme="minorEastAsia"/>
                <w:sz w:val="24"/>
              </w:rPr>
              <w:t>信誉要求：见附录4</w:t>
            </w:r>
          </w:p>
          <w:p>
            <w:pPr>
              <w:spacing w:line="360" w:lineRule="auto"/>
              <w:ind w:firstLine="120" w:firstLineChars="50"/>
              <w:jc w:val="left"/>
              <w:rPr>
                <w:rFonts w:asciiTheme="minorEastAsia" w:hAnsiTheme="minorEastAsia" w:eastAsiaTheme="minorEastAsia"/>
                <w:sz w:val="24"/>
              </w:rPr>
            </w:pPr>
            <w:r>
              <w:rPr>
                <w:rFonts w:hint="eastAsia" w:asciiTheme="minorEastAsia" w:hAnsiTheme="minorEastAsia" w:eastAsiaTheme="minorEastAsia"/>
                <w:sz w:val="24"/>
              </w:rPr>
              <w:t>项目经理和项目总工资格：见附录5</w:t>
            </w:r>
          </w:p>
          <w:p>
            <w:pPr>
              <w:spacing w:line="360" w:lineRule="auto"/>
              <w:ind w:firstLine="120" w:firstLineChars="50"/>
              <w:jc w:val="left"/>
              <w:rPr>
                <w:rFonts w:asciiTheme="minorEastAsia" w:hAnsiTheme="minorEastAsia" w:eastAsiaTheme="minorEastAsia"/>
                <w:sz w:val="24"/>
              </w:rPr>
            </w:pPr>
            <w:r>
              <w:rPr>
                <w:rFonts w:hint="eastAsia" w:asciiTheme="minorEastAsia" w:hAnsiTheme="minorEastAsia" w:eastAsiaTheme="minorEastAsia"/>
                <w:sz w:val="24"/>
              </w:rPr>
              <w:t>其他要求：见附录6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6" w:hRule="atLeast"/>
          <w:jc w:val="center"/>
        </w:trPr>
        <w:tc>
          <w:tcPr>
            <w:tcW w:w="1053" w:type="dxa"/>
            <w:gridSpan w:val="2"/>
            <w:tcBorders>
              <w:top w:val="single" w:color="auto" w:sz="4" w:space="0"/>
              <w:left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1.4.2</w:t>
            </w:r>
          </w:p>
        </w:tc>
        <w:tc>
          <w:tcPr>
            <w:tcW w:w="2317" w:type="dxa"/>
            <w:tcBorders>
              <w:top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是否接受联合体投标</w:t>
            </w:r>
          </w:p>
        </w:tc>
        <w:tc>
          <w:tcPr>
            <w:tcW w:w="6482" w:type="dxa"/>
            <w:tcBorders>
              <w:right w:val="single" w:color="auto" w:sz="4" w:space="0"/>
            </w:tcBorders>
            <w:vAlign w:val="center"/>
          </w:tcPr>
          <w:p>
            <w:pPr>
              <w:autoSpaceDE w:val="0"/>
              <w:autoSpaceDN w:val="0"/>
              <w:adjustRightInd w:val="0"/>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053" w:type="dxa"/>
            <w:gridSpan w:val="2"/>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1.9.1</w:t>
            </w:r>
          </w:p>
        </w:tc>
        <w:tc>
          <w:tcPr>
            <w:tcW w:w="2317" w:type="dxa"/>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踏勘现场</w:t>
            </w:r>
          </w:p>
        </w:tc>
        <w:tc>
          <w:tcPr>
            <w:tcW w:w="6482" w:type="dxa"/>
            <w:vAlign w:val="center"/>
          </w:tcPr>
          <w:p>
            <w:pPr>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053" w:type="dxa"/>
            <w:gridSpan w:val="2"/>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1.10.1</w:t>
            </w:r>
          </w:p>
        </w:tc>
        <w:tc>
          <w:tcPr>
            <w:tcW w:w="2317" w:type="dxa"/>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投标预备会</w:t>
            </w:r>
          </w:p>
        </w:tc>
        <w:tc>
          <w:tcPr>
            <w:tcW w:w="6482" w:type="dxa"/>
            <w:vAlign w:val="center"/>
          </w:tcPr>
          <w:p>
            <w:pPr>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1.10.2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投标人提出问题的截止时间</w:t>
            </w:r>
          </w:p>
        </w:tc>
        <w:tc>
          <w:tcPr>
            <w:tcW w:w="6482" w:type="dxa"/>
            <w:textDirection w:val="lrTb"/>
            <w:vAlign w:val="center"/>
          </w:tcPr>
          <w:p>
            <w:pPr>
              <w:spacing w:line="240" w:lineRule="auto"/>
              <w:rPr>
                <w:rFonts w:asciiTheme="minorEastAsia" w:hAnsiTheme="minorEastAsia" w:eastAsiaTheme="minorEastAsia"/>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1.10.3</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招标人书面澄清的时间</w:t>
            </w:r>
          </w:p>
        </w:tc>
        <w:tc>
          <w:tcPr>
            <w:tcW w:w="6482" w:type="dxa"/>
            <w:textDirection w:val="lrTb"/>
            <w:vAlign w:val="center"/>
          </w:tcPr>
          <w:p>
            <w:pPr>
              <w:spacing w:line="240" w:lineRule="auto"/>
              <w:rPr>
                <w:rFonts w:asciiTheme="minorEastAsia" w:hAnsiTheme="minorEastAsia" w:eastAsiaTheme="minorEastAsia"/>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1.11</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分包</w:t>
            </w:r>
          </w:p>
        </w:tc>
        <w:tc>
          <w:tcPr>
            <w:tcW w:w="6482" w:type="dxa"/>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1.12</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偏离</w:t>
            </w:r>
          </w:p>
        </w:tc>
        <w:tc>
          <w:tcPr>
            <w:tcW w:w="6482" w:type="dxa"/>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053" w:type="dxa"/>
            <w:gridSpan w:val="2"/>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2.1</w:t>
            </w:r>
          </w:p>
        </w:tc>
        <w:tc>
          <w:tcPr>
            <w:tcW w:w="2317" w:type="dxa"/>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招标文件及工程量清单的获取</w:t>
            </w:r>
          </w:p>
        </w:tc>
        <w:tc>
          <w:tcPr>
            <w:tcW w:w="6482" w:type="dxa"/>
            <w:vAlign w:val="center"/>
          </w:tcPr>
          <w:p>
            <w:pPr>
              <w:pStyle w:val="2"/>
              <w:spacing w:after="0"/>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招标文件、工程量清单的获取：投标人于投标文件递交截止时间前均可登录《全国公共资源交易平台（河南省·许昌市）》（http://ggzy.xuchang.gov.cn/），通过“投标人/供应商登录”后自行下载。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053" w:type="dxa"/>
            <w:gridSpan w:val="2"/>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2.1.1</w:t>
            </w:r>
          </w:p>
        </w:tc>
        <w:tc>
          <w:tcPr>
            <w:tcW w:w="2317" w:type="dxa"/>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构成招标文件的其他材料</w:t>
            </w:r>
          </w:p>
        </w:tc>
        <w:tc>
          <w:tcPr>
            <w:tcW w:w="6482" w:type="dxa"/>
            <w:vAlign w:val="center"/>
          </w:tcPr>
          <w:p>
            <w:pPr>
              <w:autoSpaceDE w:val="0"/>
              <w:autoSpaceDN w:val="0"/>
              <w:adjustRightInd w:val="0"/>
              <w:jc w:val="left"/>
              <w:rPr>
                <w:rFonts w:cs="宋体" w:asciiTheme="minorEastAsia" w:hAnsiTheme="minorEastAsia" w:eastAsiaTheme="minorEastAsia"/>
                <w:sz w:val="24"/>
              </w:rPr>
            </w:pPr>
            <w:r>
              <w:rPr>
                <w:rFonts w:hint="eastAsia" w:cs="宋体" w:asciiTheme="minorEastAsia" w:hAnsiTheme="minorEastAsia" w:eastAsiaTheme="minorEastAsia"/>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2.2.1</w:t>
            </w:r>
          </w:p>
        </w:tc>
        <w:tc>
          <w:tcPr>
            <w:tcW w:w="2317" w:type="dxa"/>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投标人要求澄清招标文件的截止时间</w:t>
            </w:r>
          </w:p>
        </w:tc>
        <w:tc>
          <w:tcPr>
            <w:tcW w:w="6482" w:type="dxa"/>
            <w:vAlign w:val="center"/>
          </w:tcPr>
          <w:p>
            <w:pPr>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2.2.2</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投标截止时间</w:t>
            </w:r>
          </w:p>
        </w:tc>
        <w:tc>
          <w:tcPr>
            <w:tcW w:w="6482" w:type="dxa"/>
            <w:vAlign w:val="center"/>
          </w:tcPr>
          <w:p>
            <w:pPr>
              <w:spacing w:line="500" w:lineRule="exact"/>
              <w:jc w:val="left"/>
              <w:rPr>
                <w:rFonts w:asciiTheme="minorEastAsia" w:hAnsiTheme="minorEastAsia" w:eastAsiaTheme="minorEastAsia"/>
                <w:sz w:val="24"/>
              </w:rPr>
            </w:pPr>
            <w:r>
              <w:rPr>
                <w:rFonts w:hint="eastAsia" w:ascii="宋体" w:hAnsi="宋体"/>
                <w:sz w:val="24"/>
              </w:rPr>
              <w:t>2</w:t>
            </w:r>
            <w:r>
              <w:rPr>
                <w:rFonts w:hint="eastAsia" w:ascii="宋体" w:hAnsi="宋体"/>
                <w:sz w:val="24"/>
                <w:highlight w:val="none"/>
              </w:rPr>
              <w:t>019年</w:t>
            </w:r>
            <w:r>
              <w:rPr>
                <w:rFonts w:hint="eastAsia" w:ascii="宋体" w:hAnsi="宋体"/>
                <w:sz w:val="24"/>
                <w:highlight w:val="none"/>
                <w:u w:val="single"/>
                <w:lang w:val="en-US" w:eastAsia="zh-CN"/>
              </w:rPr>
              <w:t>8</w:t>
            </w:r>
            <w:r>
              <w:rPr>
                <w:rFonts w:hint="eastAsia" w:ascii="宋体" w:hAnsi="宋体"/>
                <w:sz w:val="24"/>
                <w:highlight w:val="none"/>
              </w:rPr>
              <w:t>月</w:t>
            </w:r>
            <w:r>
              <w:rPr>
                <w:rFonts w:hint="eastAsia" w:ascii="宋体" w:hAnsi="宋体"/>
                <w:sz w:val="24"/>
                <w:highlight w:val="none"/>
                <w:u w:val="single"/>
                <w:lang w:val="en-US" w:eastAsia="zh-CN"/>
              </w:rPr>
              <w:t xml:space="preserve"> 8</w:t>
            </w:r>
            <w:r>
              <w:rPr>
                <w:rFonts w:hint="eastAsia" w:ascii="宋体" w:hAnsi="宋体"/>
                <w:sz w:val="24"/>
                <w:highlight w:val="none"/>
              </w:rPr>
              <w:t>日</w:t>
            </w:r>
            <w:r>
              <w:rPr>
                <w:rFonts w:hint="eastAsia" w:ascii="宋体" w:hAnsi="宋体"/>
                <w:sz w:val="24"/>
                <w:highlight w:val="none"/>
                <w:u w:val="single"/>
              </w:rPr>
              <w:t xml:space="preserve"> 9 </w:t>
            </w:r>
            <w:r>
              <w:rPr>
                <w:rFonts w:hint="eastAsia" w:ascii="宋体" w:hAnsi="宋体"/>
                <w:sz w:val="24"/>
                <w:highlight w:val="none"/>
              </w:rPr>
              <w:t>时</w:t>
            </w:r>
            <w:r>
              <w:rPr>
                <w:rFonts w:hint="eastAsia" w:ascii="宋体" w:hAnsi="宋体"/>
                <w:sz w:val="24"/>
                <w:highlight w:val="none"/>
                <w:u w:val="single"/>
              </w:rPr>
              <w:t xml:space="preserve"> 30 </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2.2.3</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投标人确认收到招标文件澄清的时间</w:t>
            </w:r>
          </w:p>
        </w:tc>
        <w:tc>
          <w:tcPr>
            <w:tcW w:w="6482" w:type="dxa"/>
            <w:textDirection w:val="lrTb"/>
            <w:vAlign w:val="center"/>
          </w:tcPr>
          <w:p>
            <w:pPr>
              <w:autoSpaceDE w:val="0"/>
              <w:autoSpaceDN w:val="0"/>
              <w:adjustRightInd w:val="0"/>
              <w:spacing w:line="240" w:lineRule="auto"/>
              <w:rPr>
                <w:rFonts w:asciiTheme="minorEastAsia" w:hAnsiTheme="minorEastAsia" w:eastAsiaTheme="minorEastAsia"/>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2.3.2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投标人确认收到招标文件修改的时间</w:t>
            </w:r>
          </w:p>
        </w:tc>
        <w:tc>
          <w:tcPr>
            <w:tcW w:w="6482" w:type="dxa"/>
            <w:textDirection w:val="lrTb"/>
            <w:vAlign w:val="center"/>
          </w:tcPr>
          <w:p>
            <w:pPr>
              <w:autoSpaceDE w:val="0"/>
              <w:autoSpaceDN w:val="0"/>
              <w:adjustRightInd w:val="0"/>
              <w:spacing w:line="240" w:lineRule="auto"/>
              <w:rPr>
                <w:rFonts w:asciiTheme="minorEastAsia" w:hAnsiTheme="minorEastAsia" w:eastAsiaTheme="minorEastAsia"/>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3.1.1</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构成投标文件的其他材料</w:t>
            </w:r>
          </w:p>
        </w:tc>
        <w:tc>
          <w:tcPr>
            <w:tcW w:w="6482"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（1）投标人认为其它需要补充的内容</w:t>
            </w:r>
          </w:p>
          <w:p>
            <w:pPr>
              <w:jc w:val="left"/>
              <w:rPr>
                <w:rFonts w:asciiTheme="minorEastAsia" w:hAnsiTheme="minorEastAsia" w:eastAsiaTheme="minorEastAsia"/>
                <w:b/>
                <w:sz w:val="24"/>
              </w:rPr>
            </w:pPr>
            <w:r>
              <w:rPr>
                <w:rFonts w:hint="eastAsia" w:asciiTheme="minorEastAsia" w:hAnsiTheme="minorEastAsia" w:eastAsiaTheme="minorEastAsia"/>
                <w:sz w:val="24"/>
              </w:rPr>
              <w:t>（2）本项目所发出的补遗书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053" w:type="dxa"/>
            <w:gridSpan w:val="2"/>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3.2.1</w:t>
            </w:r>
          </w:p>
        </w:tc>
        <w:tc>
          <w:tcPr>
            <w:tcW w:w="2317" w:type="dxa"/>
            <w:vAlign w:val="center"/>
          </w:tcPr>
          <w:p>
            <w:pPr>
              <w:adjustRightInd w:val="0"/>
              <w:snapToGrid w:val="0"/>
              <w:jc w:val="center"/>
              <w:rPr>
                <w:rFonts w:cs="仿宋" w:asciiTheme="minorEastAsia" w:hAnsiTheme="minorEastAsia" w:eastAsiaTheme="minorEastAsia"/>
                <w:sz w:val="24"/>
              </w:rPr>
            </w:pPr>
            <w:r>
              <w:rPr>
                <w:rFonts w:hint="eastAsia" w:cs="仿宋" w:asciiTheme="minorEastAsia" w:hAnsiTheme="minorEastAsia" w:eastAsiaTheme="minorEastAsia"/>
                <w:sz w:val="24"/>
              </w:rPr>
              <w:t>增值税税金的计算方法</w:t>
            </w:r>
          </w:p>
        </w:tc>
        <w:tc>
          <w:tcPr>
            <w:tcW w:w="6482" w:type="dxa"/>
            <w:vAlign w:val="center"/>
          </w:tcPr>
          <w:p>
            <w:pPr>
              <w:adjustRightInd w:val="0"/>
              <w:snapToGrid w:val="0"/>
              <w:ind w:firstLine="240" w:firstLineChars="100"/>
              <w:jc w:val="left"/>
              <w:rPr>
                <w:rFonts w:cs="仿宋" w:asciiTheme="minorEastAsia" w:hAnsiTheme="minorEastAsia" w:eastAsiaTheme="minorEastAsia"/>
                <w:sz w:val="24"/>
              </w:rPr>
            </w:pPr>
            <w:r>
              <w:rPr>
                <w:rFonts w:hint="eastAsia" w:cs="仿宋" w:asciiTheme="minorEastAsia" w:hAnsiTheme="minorEastAsia" w:eastAsiaTheme="minorEastAsia"/>
                <w:sz w:val="24"/>
              </w:rPr>
              <w:t>一般计税方法计算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3.2.9</w:t>
            </w:r>
          </w:p>
        </w:tc>
        <w:tc>
          <w:tcPr>
            <w:tcW w:w="2317" w:type="dxa"/>
            <w:tcBorders>
              <w:bottom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是否接受调价函</w:t>
            </w:r>
          </w:p>
        </w:tc>
        <w:tc>
          <w:tcPr>
            <w:tcW w:w="6482" w:type="dxa"/>
            <w:tcBorders>
              <w:bottom w:val="single" w:color="auto" w:sz="4" w:space="0"/>
            </w:tcBorders>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3.3.1</w:t>
            </w:r>
          </w:p>
        </w:tc>
        <w:tc>
          <w:tcPr>
            <w:tcW w:w="2317" w:type="dxa"/>
            <w:tcBorders>
              <w:bottom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投标有效期</w:t>
            </w:r>
          </w:p>
        </w:tc>
        <w:tc>
          <w:tcPr>
            <w:tcW w:w="6482" w:type="dxa"/>
            <w:tcBorders>
              <w:bottom w:val="single" w:color="auto" w:sz="4" w:space="0"/>
            </w:tcBorders>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投标截止时间起60日历天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autoSpaceDE w:val="0"/>
              <w:autoSpaceDN w:val="0"/>
              <w:adjustRightInd w:val="0"/>
              <w:spacing w:line="420" w:lineRule="exact"/>
              <w:jc w:val="center"/>
              <w:rPr>
                <w:rFonts w:cs="黑体" w:asciiTheme="minorEastAsia" w:hAnsiTheme="minorEastAsia" w:eastAsiaTheme="minorEastAsia"/>
                <w:sz w:val="24"/>
              </w:rPr>
            </w:pPr>
            <w:r>
              <w:rPr>
                <w:rFonts w:cs="TimesNewRomanPSMT" w:asciiTheme="minorEastAsia" w:hAnsiTheme="minorEastAsia" w:eastAsiaTheme="minorEastAsia"/>
                <w:sz w:val="24"/>
              </w:rPr>
              <w:t>3.4.1</w:t>
            </w:r>
          </w:p>
        </w:tc>
        <w:tc>
          <w:tcPr>
            <w:tcW w:w="2317" w:type="dxa"/>
            <w:tcBorders>
              <w:bottom w:val="single" w:color="auto" w:sz="4" w:space="0"/>
            </w:tcBorders>
            <w:vAlign w:val="center"/>
          </w:tcPr>
          <w:p>
            <w:pPr>
              <w:autoSpaceDE w:val="0"/>
              <w:autoSpaceDN w:val="0"/>
              <w:adjustRightInd w:val="0"/>
              <w:spacing w:line="340" w:lineRule="exact"/>
              <w:jc w:val="center"/>
              <w:rPr>
                <w:rFonts w:cs="黑体" w:asciiTheme="minorEastAsia" w:hAnsiTheme="minorEastAsia" w:eastAsiaTheme="minorEastAsia"/>
                <w:sz w:val="24"/>
              </w:rPr>
            </w:pPr>
            <w:r>
              <w:rPr>
                <w:rFonts w:hint="eastAsia" w:cs="仿宋_GB2312" w:asciiTheme="minorEastAsia" w:hAnsiTheme="minorEastAsia" w:eastAsiaTheme="minorEastAsia"/>
                <w:sz w:val="24"/>
              </w:rPr>
              <w:t>投标保证金</w:t>
            </w:r>
          </w:p>
        </w:tc>
        <w:tc>
          <w:tcPr>
            <w:tcW w:w="6482" w:type="dxa"/>
            <w:tcBorders>
              <w:bottom w:val="single" w:color="auto" w:sz="4" w:space="0"/>
            </w:tcBorders>
            <w:vAlign w:val="center"/>
          </w:tcPr>
          <w:p>
            <w:pPr>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3.5.2</w:t>
            </w:r>
          </w:p>
        </w:tc>
        <w:tc>
          <w:tcPr>
            <w:tcW w:w="2317" w:type="dxa"/>
            <w:tcBorders>
              <w:bottom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近年财务状况的年份要求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近年，指201</w:t>
            </w:r>
            <w:r>
              <w:rPr>
                <w:rFonts w:hint="eastAsia" w:cs="宋体" w:asciiTheme="minorEastAsia" w:hAnsiTheme="minorEastAsia" w:eastAsiaTheme="minorEastAsia"/>
                <w:sz w:val="24"/>
                <w:lang w:val="en-US" w:eastAsia="zh-CN"/>
              </w:rPr>
              <w:t>6</w:t>
            </w:r>
            <w:r>
              <w:rPr>
                <w:rFonts w:hint="eastAsia" w:cs="宋体" w:asciiTheme="minorEastAsia" w:hAnsiTheme="minorEastAsia" w:eastAsiaTheme="minorEastAsia"/>
                <w:sz w:val="24"/>
                <w:lang w:val="zh-CN"/>
              </w:rPr>
              <w:t>、201</w:t>
            </w: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sz w:val="24"/>
                <w:lang w:val="zh-CN"/>
              </w:rPr>
              <w:t>、201</w:t>
            </w:r>
            <w:r>
              <w:rPr>
                <w:rFonts w:hint="eastAsia" w:cs="宋体" w:asciiTheme="minorEastAsia" w:hAnsiTheme="minorEastAsia" w:eastAsiaTheme="minorEastAsia"/>
                <w:sz w:val="24"/>
                <w:lang w:val="en-US" w:eastAsia="zh-CN"/>
              </w:rPr>
              <w:t>8</w:t>
            </w:r>
            <w:r>
              <w:rPr>
                <w:rFonts w:hint="eastAsia" w:cs="宋体" w:asciiTheme="minorEastAsia" w:hAnsiTheme="minorEastAsia" w:eastAsiaTheme="minorEastAsia"/>
                <w:sz w:val="24"/>
                <w:lang w:val="zh-CN"/>
              </w:rPr>
              <w:t>年（若公司成立未满三年，须提供成立当年至今的财务报告）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3.5.3</w:t>
            </w:r>
          </w:p>
        </w:tc>
        <w:tc>
          <w:tcPr>
            <w:tcW w:w="2317" w:type="dxa"/>
            <w:tcBorders>
              <w:bottom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近年完成的类似项目的年份要求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rPr>
            </w:pPr>
            <w:r>
              <w:rPr>
                <w:rFonts w:hint="eastAsia" w:cs="宋体" w:asciiTheme="minorEastAsia" w:hAnsiTheme="minorEastAsia" w:eastAsiaTheme="minorEastAsia"/>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3.5.5</w:t>
            </w:r>
          </w:p>
        </w:tc>
        <w:tc>
          <w:tcPr>
            <w:tcW w:w="2317" w:type="dxa"/>
            <w:tcBorders>
              <w:bottom w:val="single" w:color="auto" w:sz="4" w:space="0"/>
            </w:tcBorders>
            <w:vAlign w:val="center"/>
          </w:tcPr>
          <w:p>
            <w:pPr>
              <w:autoSpaceDE w:val="0"/>
              <w:autoSpaceDN w:val="0"/>
              <w:adjustRightInd w:val="0"/>
              <w:jc w:val="center"/>
              <w:rPr>
                <w:rFonts w:cs="宋体" w:asciiTheme="minorEastAsia" w:hAnsiTheme="minorEastAsia" w:eastAsiaTheme="minorEastAsia"/>
                <w:spacing w:val="-4"/>
                <w:sz w:val="24"/>
              </w:rPr>
            </w:pPr>
            <w:r>
              <w:rPr>
                <w:rFonts w:hint="eastAsia" w:cs="宋体" w:asciiTheme="minorEastAsia" w:hAnsiTheme="minorEastAsia" w:eastAsiaTheme="minorEastAsia"/>
                <w:spacing w:val="-4"/>
                <w:sz w:val="24"/>
              </w:rPr>
              <w:t>近年发生的诉讼及仲裁情况的年份要求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rPr>
            </w:pPr>
            <w:r>
              <w:rPr>
                <w:rFonts w:hint="eastAsia" w:cs="宋体" w:asciiTheme="minorEastAsia" w:hAnsiTheme="minorEastAsia" w:eastAsiaTheme="minorEastAsia"/>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053" w:type="dxa"/>
            <w:gridSpan w:val="2"/>
            <w:tcBorders>
              <w:top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3.6.1</w:t>
            </w:r>
          </w:p>
        </w:tc>
        <w:tc>
          <w:tcPr>
            <w:tcW w:w="2317" w:type="dxa"/>
            <w:tcBorders>
              <w:top w:val="single" w:color="auto" w:sz="4" w:space="0"/>
            </w:tcBorders>
            <w:vAlign w:val="center"/>
          </w:tcPr>
          <w:p>
            <w:pPr>
              <w:ind w:left="5" w:leftChars="-67" w:right="-107" w:rightChars="-51" w:hanging="146" w:hangingChars="61"/>
              <w:jc w:val="center"/>
              <w:rPr>
                <w:rFonts w:asciiTheme="minorEastAsia" w:hAnsiTheme="minorEastAsia" w:eastAsiaTheme="minorEastAsia"/>
                <w:sz w:val="24"/>
              </w:rPr>
            </w:pPr>
            <w:r>
              <w:rPr>
                <w:rFonts w:hint="eastAsia" w:asciiTheme="minorEastAsia" w:hAnsiTheme="minorEastAsia" w:eastAsiaTheme="minorEastAsia"/>
                <w:sz w:val="24"/>
              </w:rPr>
              <w:t>是否允许递交备选投标方案</w:t>
            </w:r>
          </w:p>
        </w:tc>
        <w:tc>
          <w:tcPr>
            <w:tcW w:w="6482" w:type="dxa"/>
            <w:tcBorders>
              <w:top w:val="single" w:color="auto" w:sz="4" w:space="0"/>
            </w:tcBorders>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3.7.3</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签字或盖章要求</w:t>
            </w:r>
          </w:p>
        </w:tc>
        <w:tc>
          <w:tcPr>
            <w:tcW w:w="6482" w:type="dxa"/>
            <w:vAlign w:val="center"/>
          </w:tcPr>
          <w:p>
            <w:pPr>
              <w:jc w:val="left"/>
              <w:rPr>
                <w:rFonts w:hint="eastAsia" w:asciiTheme="minorEastAsia" w:hAnsiTheme="minorEastAsia" w:eastAsiaTheme="minorEastAsia"/>
                <w:sz w:val="24"/>
                <w:szCs w:val="28"/>
              </w:rPr>
            </w:pPr>
            <w:r>
              <w:rPr>
                <w:rFonts w:hint="eastAsia" w:asciiTheme="minorEastAsia" w:hAnsiTheme="minorEastAsia" w:eastAsiaTheme="minorEastAsia"/>
                <w:sz w:val="24"/>
                <w:szCs w:val="28"/>
              </w:rPr>
              <w:t>纸质投标文件：正本按招标文件要求签字盖章（无需逐页签字盖章），副本应与正本保持一致（可为正本的复印件）。正本与副本不一致的，以正本为准。</w:t>
            </w:r>
          </w:p>
          <w:p>
            <w:pPr>
              <w:jc w:val="left"/>
              <w:rPr>
                <w:rFonts w:asciiTheme="minorEastAsia" w:hAnsiTheme="minorEastAsia" w:eastAsiaTheme="minorEastAsia"/>
                <w:sz w:val="24"/>
              </w:rPr>
            </w:pPr>
            <w:r>
              <w:rPr>
                <w:rFonts w:hint="eastAsia" w:asciiTheme="minorEastAsia" w:hAnsiTheme="minorEastAsia" w:eastAsiaTheme="minorEastAsia"/>
                <w:sz w:val="24"/>
                <w:szCs w:val="28"/>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3.7.4</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投标文件份数</w:t>
            </w:r>
          </w:p>
        </w:tc>
        <w:tc>
          <w:tcPr>
            <w:tcW w:w="6482" w:type="dxa"/>
            <w:vAlign w:val="center"/>
          </w:tcPr>
          <w:p>
            <w:pPr>
              <w:jc w:val="left"/>
              <w:rPr>
                <w:rFonts w:hint="eastAsia" w:asciiTheme="minorEastAsia" w:hAnsiTheme="minorEastAsia" w:eastAsiaTheme="minorEastAsia"/>
                <w:sz w:val="24"/>
                <w:szCs w:val="28"/>
              </w:rPr>
            </w:pPr>
            <w:r>
              <w:rPr>
                <w:rFonts w:hint="eastAsia" w:asciiTheme="minorEastAsia" w:hAnsiTheme="minorEastAsia" w:eastAsiaTheme="minorEastAsia"/>
                <w:sz w:val="24"/>
                <w:szCs w:val="28"/>
              </w:rPr>
              <w:t>1、电子投标文件</w:t>
            </w:r>
          </w:p>
          <w:p>
            <w:pPr>
              <w:jc w:val="left"/>
              <w:rPr>
                <w:rFonts w:hint="eastAsia" w:asciiTheme="minorEastAsia" w:hAnsiTheme="minorEastAsia" w:eastAsiaTheme="minorEastAsia"/>
                <w:sz w:val="24"/>
                <w:szCs w:val="28"/>
              </w:rPr>
            </w:pPr>
            <w:r>
              <w:rPr>
                <w:rFonts w:hint="eastAsia" w:asciiTheme="minorEastAsia" w:hAnsiTheme="minorEastAsia" w:eastAsiaTheme="minorEastAsia"/>
                <w:sz w:val="24"/>
                <w:szCs w:val="28"/>
              </w:rPr>
              <w:t>（1）成功上传至【全国公共资源交易平台（河南省·许昌市）】公共资源交易系统电子投标文件1份（文件格式为：XX公司XXX项目编号.file）。</w:t>
            </w:r>
          </w:p>
          <w:p>
            <w:pPr>
              <w:jc w:val="left"/>
              <w:rPr>
                <w:rFonts w:hint="eastAsia" w:asciiTheme="minorEastAsia" w:hAnsiTheme="minorEastAsia" w:eastAsiaTheme="minorEastAsia"/>
                <w:sz w:val="24"/>
                <w:szCs w:val="28"/>
              </w:rPr>
            </w:pPr>
            <w:r>
              <w:rPr>
                <w:rFonts w:hint="eastAsia" w:asciiTheme="minorEastAsia" w:hAnsiTheme="minorEastAsia" w:eastAsiaTheme="minorEastAsia"/>
                <w:sz w:val="24"/>
                <w:szCs w:val="28"/>
              </w:rPr>
              <w:t>（2）使用电子介质存储的投标文件1份文件格式为：xxx公司XXX（项目编号）.bin）。</w:t>
            </w:r>
          </w:p>
          <w:p>
            <w:pPr>
              <w:jc w:val="left"/>
              <w:rPr>
                <w:rFonts w:hint="eastAsia" w:asciiTheme="minorEastAsia" w:hAnsiTheme="minorEastAsia" w:eastAsiaTheme="minorEastAsia"/>
                <w:b/>
                <w:bCs/>
                <w:sz w:val="24"/>
                <w:szCs w:val="28"/>
              </w:rPr>
            </w:pPr>
            <w:r>
              <w:rPr>
                <w:rFonts w:hint="eastAsia" w:asciiTheme="minorEastAsia" w:hAnsiTheme="minorEastAsia" w:eastAsiaTheme="minorEastAsia"/>
                <w:b/>
                <w:bCs/>
                <w:sz w:val="24"/>
                <w:szCs w:val="28"/>
              </w:rPr>
              <w:t>（3）本项目已标价工程量清单的完整内容以Excle形式储存的电子版（U盘）一份，U盘保证能正常使用。</w:t>
            </w:r>
          </w:p>
          <w:p>
            <w:pPr>
              <w:jc w:val="left"/>
              <w:rPr>
                <w:rFonts w:hint="eastAsia" w:asciiTheme="minorEastAsia" w:hAnsiTheme="minorEastAsia" w:eastAsiaTheme="minorEastAsia"/>
                <w:sz w:val="24"/>
                <w:szCs w:val="28"/>
              </w:rPr>
            </w:pPr>
            <w:r>
              <w:rPr>
                <w:rFonts w:hint="eastAsia" w:asciiTheme="minorEastAsia" w:hAnsiTheme="minorEastAsia" w:eastAsiaTheme="minorEastAsia"/>
                <w:sz w:val="24"/>
                <w:szCs w:val="28"/>
              </w:rPr>
              <w:t>2、纸质投标文件</w:t>
            </w:r>
          </w:p>
          <w:p>
            <w:pPr>
              <w:jc w:val="left"/>
              <w:rPr>
                <w:rFonts w:hint="eastAsia" w:asciiTheme="minorEastAsia" w:hAnsiTheme="minorEastAsia" w:eastAsiaTheme="minorEastAsia"/>
                <w:sz w:val="24"/>
                <w:szCs w:val="28"/>
              </w:rPr>
            </w:pPr>
            <w:r>
              <w:rPr>
                <w:rFonts w:hint="eastAsia" w:asciiTheme="minorEastAsia" w:hAnsiTheme="minorEastAsia" w:eastAsiaTheme="minorEastAsia"/>
                <w:sz w:val="24"/>
                <w:szCs w:val="28"/>
              </w:rPr>
              <w:t>第一个信封（商务及技术文件）：正本1份，副本1份；</w:t>
            </w:r>
          </w:p>
          <w:p>
            <w:pPr>
              <w:jc w:val="left"/>
              <w:rPr>
                <w:rFonts w:hint="eastAsia" w:asciiTheme="minorEastAsia" w:hAnsiTheme="minorEastAsia" w:eastAsiaTheme="minorEastAsia"/>
                <w:sz w:val="24"/>
                <w:szCs w:val="28"/>
              </w:rPr>
            </w:pPr>
            <w:r>
              <w:rPr>
                <w:rFonts w:hint="eastAsia" w:asciiTheme="minorEastAsia" w:hAnsiTheme="minorEastAsia" w:eastAsiaTheme="minorEastAsia"/>
                <w:sz w:val="24"/>
                <w:szCs w:val="28"/>
              </w:rPr>
              <w:t>第二个信封（投标报价和工程量清单）：正本1份，副本1份</w:t>
            </w:r>
          </w:p>
          <w:p>
            <w:pPr>
              <w:jc w:val="left"/>
              <w:rPr>
                <w:rFonts w:hint="eastAsia" w:asciiTheme="minorEastAsia" w:hAnsiTheme="minorEastAsia" w:eastAsiaTheme="minorEastAsia"/>
                <w:sz w:val="24"/>
                <w:szCs w:val="28"/>
              </w:rPr>
            </w:pPr>
            <w:r>
              <w:rPr>
                <w:rFonts w:hint="eastAsia" w:asciiTheme="minorEastAsia" w:hAnsiTheme="minorEastAsia" w:eastAsiaTheme="minorEastAsia"/>
                <w:sz w:val="24"/>
                <w:szCs w:val="28"/>
              </w:rPr>
              <w:t>3、电子投标文件和纸质投标文件的内容、格式、水印码、电子签章应一致。</w:t>
            </w:r>
          </w:p>
          <w:p>
            <w:pPr>
              <w:jc w:val="left"/>
              <w:rPr>
                <w:rFonts w:hint="eastAsia" w:asciiTheme="minorEastAsia" w:hAnsiTheme="minorEastAsia" w:eastAsiaTheme="minorEastAsia"/>
                <w:sz w:val="24"/>
                <w:szCs w:val="28"/>
              </w:rPr>
            </w:pPr>
            <w:r>
              <w:rPr>
                <w:rFonts w:hint="eastAsia" w:asciiTheme="minorEastAsia" w:hAnsiTheme="minorEastAsia" w:eastAsiaTheme="minorEastAsia"/>
                <w:b/>
                <w:bCs/>
                <w:sz w:val="24"/>
                <w:szCs w:val="28"/>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3.7.5</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装订要求</w:t>
            </w:r>
          </w:p>
        </w:tc>
        <w:tc>
          <w:tcPr>
            <w:tcW w:w="6482" w:type="dxa"/>
            <w:vAlign w:val="center"/>
          </w:tcPr>
          <w:p>
            <w:pPr>
              <w:jc w:val="left"/>
              <w:rPr>
                <w:rFonts w:hint="eastAsia" w:asciiTheme="minorEastAsia" w:hAnsiTheme="minorEastAsia" w:eastAsiaTheme="minorEastAsia"/>
                <w:sz w:val="24"/>
                <w:szCs w:val="28"/>
              </w:rPr>
            </w:pPr>
            <w:r>
              <w:rPr>
                <w:rFonts w:hint="eastAsia" w:asciiTheme="minorEastAsia" w:hAnsiTheme="minorEastAsia" w:eastAsiaTheme="minorEastAsia"/>
                <w:sz w:val="24"/>
                <w:szCs w:val="28"/>
                <w:lang w:val="en-US" w:eastAsia="zh-CN"/>
              </w:rPr>
              <w:t>1、</w:t>
            </w:r>
            <w:r>
              <w:rPr>
                <w:rFonts w:hint="eastAsia" w:asciiTheme="minorEastAsia" w:hAnsiTheme="minorEastAsia" w:eastAsiaTheme="minorEastAsia"/>
                <w:sz w:val="24"/>
                <w:szCs w:val="28"/>
              </w:rPr>
              <w:t>采用胶装方式装订，装订应牢固、不易拆散和换页，不得采用活页装订；</w:t>
            </w:r>
          </w:p>
          <w:p>
            <w:pPr>
              <w:jc w:val="left"/>
              <w:rPr>
                <w:rFonts w:asciiTheme="minorEastAsia" w:hAnsiTheme="minorEastAsia" w:eastAsiaTheme="minorEastAsia"/>
                <w:sz w:val="24"/>
                <w:highlight w:val="yellow"/>
              </w:rPr>
            </w:pPr>
            <w:r>
              <w:rPr>
                <w:rFonts w:hint="eastAsia" w:asciiTheme="minorEastAsia" w:hAnsiTheme="minorEastAsia" w:eastAsiaTheme="minorEastAsia"/>
                <w:sz w:val="24"/>
                <w:szCs w:val="28"/>
              </w:rPr>
              <w:t>2、使用电子介质存储的投标文件单独密封、盖章，并随纸质投标文件一并提交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144" w:hRule="atLeast"/>
          <w:jc w:val="center"/>
        </w:trPr>
        <w:tc>
          <w:tcPr>
            <w:tcW w:w="1053" w:type="dxa"/>
            <w:gridSpan w:val="2"/>
            <w:tcBorders>
              <w:lef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4.1.2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封套上</w:t>
            </w:r>
            <w:r>
              <w:rPr>
                <w:rFonts w:hint="eastAsia" w:ascii="宋体" w:hAnsi="宋体"/>
                <w:sz w:val="24"/>
              </w:rPr>
              <w:t>应载明的信息</w:t>
            </w:r>
          </w:p>
        </w:tc>
        <w:tc>
          <w:tcPr>
            <w:tcW w:w="6482" w:type="dxa"/>
            <w:tcBorders>
              <w:right w:val="single" w:color="auto" w:sz="4" w:space="0"/>
            </w:tcBorders>
            <w:vAlign w:val="center"/>
          </w:tcPr>
          <w:p>
            <w:pPr>
              <w:spacing w:line="276" w:lineRule="auto"/>
              <w:ind w:left="113" w:right="113"/>
              <w:rPr>
                <w:rFonts w:ascii="宋体" w:hAnsi="宋体"/>
                <w:b/>
                <w:sz w:val="24"/>
              </w:rPr>
            </w:pPr>
            <w:r>
              <w:rPr>
                <w:rFonts w:hint="eastAsia" w:ascii="宋体" w:hAnsi="宋体"/>
                <w:b/>
                <w:sz w:val="24"/>
              </w:rPr>
              <w:t>投标文件第一个信封（商务及技术文件）内层封套：</w:t>
            </w:r>
          </w:p>
          <w:p>
            <w:pPr>
              <w:spacing w:line="276" w:lineRule="auto"/>
              <w:ind w:left="113" w:right="113"/>
              <w:rPr>
                <w:rFonts w:ascii="宋体" w:hAnsi="宋体"/>
                <w:sz w:val="24"/>
                <w:u w:val="single"/>
              </w:rPr>
            </w:pPr>
            <w:r>
              <w:rPr>
                <w:rFonts w:hint="eastAsia" w:ascii="宋体" w:hAnsi="宋体"/>
                <w:sz w:val="24"/>
              </w:rPr>
              <w:t>投标人地址：</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投标人名称：</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投标人联系人：</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投标人联系电话：</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招标人地址及名称：</w:t>
            </w:r>
            <w:r>
              <w:rPr>
                <w:rFonts w:ascii="宋体" w:hAnsi="宋体"/>
                <w:sz w:val="24"/>
              </w:rPr>
              <w:t xml:space="preserve"> </w:t>
            </w:r>
            <w:r>
              <w:rPr>
                <w:rFonts w:hint="eastAsia" w:ascii="宋体" w:hAnsi="宋体"/>
                <w:sz w:val="24"/>
                <w:u w:val="single"/>
              </w:rPr>
              <w:t xml:space="preserve">            </w:t>
            </w:r>
          </w:p>
          <w:p>
            <w:pPr>
              <w:spacing w:line="276" w:lineRule="auto"/>
              <w:ind w:left="113" w:right="113"/>
              <w:rPr>
                <w:rFonts w:ascii="宋体" w:hAnsi="宋体"/>
                <w:b/>
                <w:sz w:val="24"/>
              </w:rPr>
            </w:pPr>
            <w:r>
              <w:rPr>
                <w:rFonts w:hint="eastAsia" w:ascii="宋体" w:hAnsi="宋体"/>
                <w:b/>
                <w:sz w:val="24"/>
              </w:rPr>
              <w:t>投标文件第一个信封（商务及技术文件）外层封套：</w:t>
            </w:r>
          </w:p>
          <w:p>
            <w:pPr>
              <w:spacing w:line="276" w:lineRule="auto"/>
              <w:ind w:left="113" w:right="113"/>
              <w:rPr>
                <w:rFonts w:ascii="宋体" w:hAnsi="宋体"/>
                <w:sz w:val="24"/>
              </w:rPr>
            </w:pPr>
            <w:r>
              <w:rPr>
                <w:rFonts w:hint="eastAsia" w:ascii="宋体" w:hAnsi="宋体"/>
                <w:sz w:val="24"/>
              </w:rPr>
              <w:t>招标人地址：</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招标人名称：</w:t>
            </w:r>
            <w:r>
              <w:rPr>
                <w:rFonts w:hint="eastAsia" w:ascii="宋体" w:hAnsi="宋体"/>
                <w:sz w:val="24"/>
                <w:u w:val="single"/>
              </w:rPr>
              <w:t xml:space="preserve">            </w:t>
            </w:r>
          </w:p>
          <w:p>
            <w:pPr>
              <w:spacing w:line="276" w:lineRule="auto"/>
              <w:ind w:left="113" w:leftChars="54" w:right="113" w:firstLine="120" w:firstLineChars="50"/>
              <w:rPr>
                <w:rFonts w:ascii="宋体" w:hAnsi="宋体"/>
                <w:sz w:val="24"/>
              </w:rPr>
            </w:pPr>
            <w:r>
              <w:rPr>
                <w:rFonts w:hint="eastAsia" w:ascii="宋体" w:hAnsi="宋体"/>
                <w:sz w:val="24"/>
                <w:u w:val="single"/>
              </w:rPr>
              <w:t xml:space="preserve">            </w:t>
            </w:r>
            <w:r>
              <w:rPr>
                <w:rFonts w:hint="eastAsia" w:ascii="宋体" w:hAnsi="宋体"/>
                <w:sz w:val="24"/>
              </w:rPr>
              <w:t>（项目编号）（项目名称）施工招标第一个信封（商务及技术文件）投标文件</w:t>
            </w:r>
          </w:p>
          <w:p>
            <w:pPr>
              <w:spacing w:line="276" w:lineRule="auto"/>
              <w:ind w:left="113" w:right="113"/>
              <w:rPr>
                <w:rFonts w:ascii="宋体" w:hAnsi="宋体"/>
                <w:sz w:val="24"/>
              </w:rPr>
            </w:pPr>
            <w:r>
              <w:rPr>
                <w:rFonts w:hint="eastAsia" w:ascii="宋体" w:hAnsi="宋体"/>
                <w:sz w:val="24"/>
              </w:rPr>
              <w:t>在</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rPr>
              <w:t>时</w:t>
            </w:r>
            <w:r>
              <w:rPr>
                <w:rFonts w:hint="eastAsia" w:ascii="宋体" w:hAnsi="宋体"/>
                <w:sz w:val="24"/>
                <w:u w:val="single"/>
              </w:rPr>
              <w:t xml:space="preserve">    </w:t>
            </w:r>
            <w:r>
              <w:rPr>
                <w:rFonts w:hint="eastAsia" w:ascii="宋体" w:hAnsi="宋体"/>
                <w:sz w:val="24"/>
              </w:rPr>
              <w:t>分前不得开启</w:t>
            </w:r>
          </w:p>
          <w:p>
            <w:pPr>
              <w:spacing w:line="276" w:lineRule="auto"/>
              <w:ind w:left="113" w:right="113"/>
              <w:rPr>
                <w:rFonts w:ascii="宋体" w:hAnsi="宋体"/>
                <w:sz w:val="24"/>
              </w:rPr>
            </w:pPr>
            <w:r>
              <w:rPr>
                <w:rFonts w:hint="eastAsia" w:ascii="宋体" w:hAnsi="宋体"/>
                <w:b/>
                <w:sz w:val="24"/>
              </w:rPr>
              <w:t>投标文件第二个信封（投标报价和工程量清单）内层封套：</w:t>
            </w:r>
          </w:p>
          <w:p>
            <w:pPr>
              <w:spacing w:line="276" w:lineRule="auto"/>
              <w:ind w:left="113" w:right="113"/>
              <w:rPr>
                <w:rFonts w:ascii="宋体" w:hAnsi="宋体"/>
                <w:sz w:val="24"/>
              </w:rPr>
            </w:pPr>
            <w:r>
              <w:rPr>
                <w:rFonts w:hint="eastAsia" w:ascii="宋体" w:hAnsi="宋体"/>
                <w:sz w:val="24"/>
              </w:rPr>
              <w:t>投标人地址：</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投标人名称：</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投标人联系人：</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投标人联系电话：</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招标人地址及名称：</w:t>
            </w:r>
            <w:r>
              <w:rPr>
                <w:rFonts w:hint="eastAsia" w:ascii="宋体" w:hAnsi="宋体"/>
                <w:sz w:val="24"/>
                <w:u w:val="single"/>
              </w:rPr>
              <w:t xml:space="preserve">            </w:t>
            </w:r>
          </w:p>
          <w:p>
            <w:pPr>
              <w:spacing w:line="276" w:lineRule="auto"/>
              <w:ind w:left="113" w:right="113"/>
              <w:rPr>
                <w:rFonts w:ascii="宋体" w:hAnsi="宋体"/>
                <w:b/>
                <w:sz w:val="24"/>
              </w:rPr>
            </w:pPr>
            <w:r>
              <w:rPr>
                <w:rFonts w:hint="eastAsia" w:ascii="宋体" w:hAnsi="宋体"/>
                <w:b/>
                <w:sz w:val="24"/>
              </w:rPr>
              <w:t>投标文件第二个信封（投标报价和工程量清单）外层封套：</w:t>
            </w:r>
          </w:p>
          <w:p>
            <w:pPr>
              <w:spacing w:line="276" w:lineRule="auto"/>
              <w:ind w:left="113" w:right="113"/>
              <w:rPr>
                <w:rFonts w:ascii="宋体" w:hAnsi="宋体"/>
                <w:sz w:val="24"/>
              </w:rPr>
            </w:pPr>
            <w:r>
              <w:rPr>
                <w:rFonts w:hint="eastAsia" w:ascii="宋体" w:hAnsi="宋体"/>
                <w:sz w:val="24"/>
              </w:rPr>
              <w:t>招标人地址：</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招标人名称：</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u w:val="single"/>
              </w:rPr>
              <w:t xml:space="preserve">            </w:t>
            </w:r>
            <w:r>
              <w:rPr>
                <w:rFonts w:hint="eastAsia" w:ascii="宋体" w:hAnsi="宋体"/>
                <w:sz w:val="24"/>
              </w:rPr>
              <w:t>（项目编号）（项目名称）施工招标第二个信封（投标报价和工程量清单）投标文件</w:t>
            </w:r>
          </w:p>
          <w:p>
            <w:pPr>
              <w:spacing w:line="276" w:lineRule="auto"/>
              <w:ind w:left="113" w:right="113"/>
              <w:jc w:val="left"/>
              <w:rPr>
                <w:rFonts w:asciiTheme="minorEastAsia" w:hAnsiTheme="minorEastAsia" w:eastAsiaTheme="minorEastAsia"/>
                <w:color w:val="FF0000"/>
                <w:sz w:val="24"/>
              </w:rPr>
            </w:pPr>
            <w:r>
              <w:rPr>
                <w:rFonts w:hint="eastAsia" w:ascii="宋体" w:hAnsi="宋体"/>
                <w:sz w:val="24"/>
              </w:rPr>
              <w:t>在</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rPr>
              <w:t>时</w:t>
            </w:r>
            <w:r>
              <w:rPr>
                <w:rFonts w:hint="eastAsia" w:ascii="宋体" w:hAnsi="宋体"/>
                <w:sz w:val="24"/>
                <w:u w:val="single"/>
              </w:rPr>
              <w:t xml:space="preserve">    </w:t>
            </w:r>
            <w:r>
              <w:rPr>
                <w:rFonts w:hint="eastAsia" w:ascii="宋体" w:hAnsi="宋体"/>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4.2.2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递交投标文件</w:t>
            </w:r>
          </w:p>
          <w:p>
            <w:pPr>
              <w:jc w:val="center"/>
              <w:rPr>
                <w:rFonts w:asciiTheme="minorEastAsia" w:hAnsiTheme="minorEastAsia" w:eastAsiaTheme="minorEastAsia"/>
                <w:sz w:val="24"/>
              </w:rPr>
            </w:pPr>
            <w:r>
              <w:rPr>
                <w:rFonts w:hint="eastAsia" w:asciiTheme="minorEastAsia" w:hAnsiTheme="minorEastAsia" w:eastAsiaTheme="minorEastAsia"/>
                <w:sz w:val="24"/>
              </w:rPr>
              <w:t>地点</w:t>
            </w:r>
          </w:p>
        </w:tc>
        <w:tc>
          <w:tcPr>
            <w:tcW w:w="6482" w:type="dxa"/>
            <w:vAlign w:val="center"/>
          </w:tcPr>
          <w:p>
            <w:pPr>
              <w:spacing w:line="360" w:lineRule="auto"/>
              <w:jc w:val="left"/>
              <w:rPr>
                <w:rFonts w:asciiTheme="minorEastAsia" w:hAnsiTheme="minorEastAsia" w:eastAsiaTheme="minorEastAsia"/>
                <w:b/>
                <w:sz w:val="24"/>
              </w:rPr>
            </w:pPr>
            <w:r>
              <w:rPr>
                <w:rFonts w:hint="eastAsia" w:asciiTheme="minorEastAsia" w:hAnsiTheme="minorEastAsia" w:eastAsiaTheme="minorEastAsia"/>
                <w:sz w:val="24"/>
              </w:rPr>
              <w:t>许昌市建安区兴业大厦</w:t>
            </w:r>
            <w:r>
              <w:rPr>
                <w:rFonts w:hint="eastAsia" w:ascii="宋体" w:hAnsi="宋体"/>
                <w:sz w:val="24"/>
              </w:rPr>
              <w:t>四楼</w:t>
            </w:r>
            <w:r>
              <w:rPr>
                <w:rFonts w:hint="eastAsia" w:ascii="宋体" w:hAnsi="宋体"/>
                <w:sz w:val="24"/>
                <w:lang w:val="en-US" w:eastAsia="zh-CN"/>
              </w:rPr>
              <w:t>4165</w:t>
            </w:r>
            <w:r>
              <w:rPr>
                <w:rFonts w:hint="eastAsia" w:asciiTheme="minorEastAsia" w:hAnsiTheme="minorEastAsia" w:eastAsiaTheme="minorEastAsia"/>
                <w:sz w:val="24"/>
              </w:rPr>
              <w:t>室(开标</w:t>
            </w:r>
            <w:r>
              <w:rPr>
                <w:rFonts w:hint="eastAsia" w:asciiTheme="minorEastAsia" w:hAnsiTheme="minorEastAsia" w:eastAsiaTheme="minorEastAsia"/>
                <w:sz w:val="24"/>
                <w:lang w:val="en-US" w:eastAsia="zh-CN"/>
              </w:rPr>
              <w:t>二</w:t>
            </w:r>
            <w:r>
              <w:rPr>
                <w:rFonts w:hint="eastAsia" w:asciiTheme="minorEastAsia" w:hAnsiTheme="minorEastAsia" w:eastAsiaTheme="minorEastAsia"/>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4.2.3</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是否退还投标文件</w:t>
            </w:r>
          </w:p>
        </w:tc>
        <w:tc>
          <w:tcPr>
            <w:tcW w:w="6482" w:type="dxa"/>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5.1</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开标时间和地点</w:t>
            </w:r>
          </w:p>
        </w:tc>
        <w:tc>
          <w:tcPr>
            <w:tcW w:w="6482" w:type="dxa"/>
            <w:vAlign w:val="center"/>
          </w:tcPr>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投标文件第一个信封（商务及技术文件）</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开标时间： 同投标截止时间</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投标文件第一个信封（商务及技术文件）</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开标地点： 同递交投标文件地点</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投标文件第二个信封（</w:t>
            </w:r>
            <w:r>
              <w:rPr>
                <w:rFonts w:hint="eastAsia" w:asciiTheme="minorEastAsia" w:hAnsiTheme="minorEastAsia" w:eastAsiaTheme="minorEastAsia"/>
                <w:sz w:val="24"/>
              </w:rPr>
              <w:t>投标报价和工程量清单</w:t>
            </w:r>
            <w:r>
              <w:rPr>
                <w:rFonts w:hint="eastAsia" w:asciiTheme="minorEastAsia" w:hAnsiTheme="minorEastAsia" w:eastAsiaTheme="minorEastAsia"/>
                <w:sz w:val="24"/>
                <w:lang w:bidi="zh-CN"/>
              </w:rPr>
              <w:t>）</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开标时间：商务及技术文件评审结束后</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投标文件第二个信封（</w:t>
            </w:r>
            <w:r>
              <w:rPr>
                <w:rFonts w:hint="eastAsia" w:asciiTheme="minorEastAsia" w:hAnsiTheme="minorEastAsia" w:eastAsiaTheme="minorEastAsia"/>
                <w:sz w:val="24"/>
              </w:rPr>
              <w:t>投标报价和工程量清单</w:t>
            </w:r>
            <w:r>
              <w:rPr>
                <w:rFonts w:hint="eastAsia" w:asciiTheme="minorEastAsia" w:hAnsiTheme="minorEastAsia" w:eastAsiaTheme="minorEastAsia"/>
                <w:sz w:val="24"/>
                <w:lang w:bidi="zh-CN"/>
              </w:rPr>
              <w:t>）</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5.2.1</w:t>
            </w:r>
          </w:p>
        </w:tc>
        <w:tc>
          <w:tcPr>
            <w:tcW w:w="2317" w:type="dxa"/>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lang w:bidi="zh-CN"/>
              </w:rPr>
              <w:t>开标程序</w:t>
            </w:r>
          </w:p>
        </w:tc>
        <w:tc>
          <w:tcPr>
            <w:tcW w:w="6482" w:type="dxa"/>
            <w:vAlign w:val="center"/>
          </w:tcPr>
          <w:p>
            <w:pPr>
              <w:spacing w:line="276" w:lineRule="auto"/>
              <w:ind w:right="113"/>
              <w:jc w:val="left"/>
              <w:rPr>
                <w:rFonts w:asciiTheme="minorEastAsia" w:hAnsiTheme="minorEastAsia" w:eastAsiaTheme="minorEastAsia"/>
                <w:b/>
                <w:sz w:val="24"/>
              </w:rPr>
            </w:pPr>
            <w:r>
              <w:rPr>
                <w:rFonts w:hint="eastAsia" w:asciiTheme="minorEastAsia" w:hAnsiTheme="minorEastAsia" w:eastAsiaTheme="minorEastAsia"/>
                <w:b/>
                <w:sz w:val="24"/>
              </w:rPr>
              <w:t>密封情况检查：由投标人代表检查其投标文件是否密封完好。</w:t>
            </w:r>
          </w:p>
          <w:p>
            <w:pPr>
              <w:spacing w:line="276" w:lineRule="auto"/>
              <w:ind w:right="113"/>
              <w:jc w:val="left"/>
              <w:rPr>
                <w:rFonts w:asciiTheme="minorEastAsia" w:hAnsiTheme="minorEastAsia" w:eastAsiaTheme="minorEastAsia"/>
                <w:b/>
                <w:sz w:val="24"/>
              </w:rPr>
            </w:pPr>
            <w:r>
              <w:rPr>
                <w:rFonts w:hint="eastAsia" w:asciiTheme="minorEastAsia" w:hAnsiTheme="minorEastAsia" w:eastAsiaTheme="minorEastAsia"/>
                <w:b/>
                <w:sz w:val="24"/>
              </w:rPr>
              <w:t>开标顺序：按送达投标文件顺序的逆顺序开标。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6.1.1</w:t>
            </w:r>
          </w:p>
        </w:tc>
        <w:tc>
          <w:tcPr>
            <w:tcW w:w="2317" w:type="dxa"/>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sz w:val="24"/>
              </w:rPr>
              <w:t>评标委员会</w:t>
            </w:r>
          </w:p>
          <w:p>
            <w:pPr>
              <w:ind w:left="113" w:right="113"/>
              <w:jc w:val="center"/>
              <w:rPr>
                <w:rFonts w:asciiTheme="minorEastAsia" w:hAnsiTheme="minorEastAsia" w:eastAsiaTheme="minorEastAsia"/>
                <w:sz w:val="24"/>
              </w:rPr>
            </w:pPr>
            <w:r>
              <w:rPr>
                <w:rFonts w:hint="eastAsia" w:asciiTheme="minorEastAsia" w:hAnsiTheme="minorEastAsia" w:eastAsiaTheme="minorEastAsia"/>
                <w:sz w:val="24"/>
              </w:rPr>
              <w:t>的组建</w:t>
            </w:r>
          </w:p>
        </w:tc>
        <w:tc>
          <w:tcPr>
            <w:tcW w:w="6482" w:type="dxa"/>
            <w:vAlign w:val="center"/>
          </w:tcPr>
          <w:p>
            <w:pPr>
              <w:spacing w:line="276" w:lineRule="auto"/>
              <w:ind w:right="113"/>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评标委员会构成：</w:t>
            </w:r>
            <w:r>
              <w:rPr>
                <w:rFonts w:hint="eastAsia" w:asciiTheme="minorEastAsia" w:hAnsiTheme="minorEastAsia" w:eastAsiaTheme="minorEastAsia"/>
                <w:sz w:val="24"/>
                <w:u w:val="single"/>
              </w:rPr>
              <w:t>5</w:t>
            </w:r>
            <w:r>
              <w:rPr>
                <w:rFonts w:hint="eastAsia" w:asciiTheme="minorEastAsia" w:hAnsiTheme="minorEastAsia" w:eastAsiaTheme="minorEastAsia"/>
                <w:sz w:val="24"/>
                <w:lang w:bidi="zh-CN"/>
              </w:rPr>
              <w:t>人，其中招标人代表</w:t>
            </w:r>
            <w:r>
              <w:rPr>
                <w:rFonts w:hint="eastAsia" w:asciiTheme="minorEastAsia" w:hAnsiTheme="minorEastAsia" w:eastAsiaTheme="minorEastAsia"/>
                <w:sz w:val="24"/>
                <w:u w:val="single"/>
              </w:rPr>
              <w:t>1</w:t>
            </w:r>
            <w:r>
              <w:rPr>
                <w:rFonts w:hint="eastAsia" w:asciiTheme="minorEastAsia" w:hAnsiTheme="minorEastAsia" w:eastAsiaTheme="minorEastAsia"/>
                <w:sz w:val="24"/>
                <w:lang w:bidi="zh-CN"/>
              </w:rPr>
              <w:t>人，专家</w:t>
            </w:r>
            <w:r>
              <w:rPr>
                <w:rFonts w:hint="eastAsia" w:asciiTheme="minorEastAsia" w:hAnsiTheme="minorEastAsia" w:eastAsiaTheme="minorEastAsia"/>
                <w:sz w:val="24"/>
                <w:u w:val="single"/>
              </w:rPr>
              <w:t>4</w:t>
            </w:r>
            <w:r>
              <w:rPr>
                <w:rFonts w:hint="eastAsia" w:asciiTheme="minorEastAsia" w:hAnsiTheme="minorEastAsia" w:eastAsiaTheme="minorEastAsia"/>
                <w:sz w:val="24"/>
                <w:lang w:bidi="zh-CN"/>
              </w:rPr>
              <w:t>人；</w:t>
            </w:r>
          </w:p>
          <w:p>
            <w:pPr>
              <w:spacing w:line="276" w:lineRule="auto"/>
              <w:ind w:right="113"/>
              <w:jc w:val="left"/>
              <w:rPr>
                <w:rFonts w:asciiTheme="minorEastAsia" w:hAnsiTheme="minorEastAsia" w:eastAsiaTheme="minorEastAsia"/>
                <w:sz w:val="24"/>
              </w:rPr>
            </w:pPr>
            <w:r>
              <w:rPr>
                <w:rFonts w:hint="eastAsia" w:asciiTheme="minorEastAsia" w:hAnsiTheme="minorEastAsia" w:eastAsiaTheme="minorEastAsia"/>
                <w:sz w:val="24"/>
                <w:lang w:bidi="zh-CN"/>
              </w:rPr>
              <w:t>评标专家确定方式：专家将从河南省综合评标专家库随机抽取产生。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6.3.1</w:t>
            </w:r>
          </w:p>
        </w:tc>
        <w:tc>
          <w:tcPr>
            <w:tcW w:w="2317" w:type="dxa"/>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sz w:val="24"/>
              </w:rPr>
              <w:t>评标办法</w:t>
            </w:r>
          </w:p>
        </w:tc>
        <w:tc>
          <w:tcPr>
            <w:tcW w:w="6482" w:type="dxa"/>
            <w:vAlign w:val="center"/>
          </w:tcPr>
          <w:p>
            <w:pPr>
              <w:ind w:right="113"/>
              <w:jc w:val="left"/>
              <w:rPr>
                <w:rFonts w:asciiTheme="minorEastAsia" w:hAnsiTheme="minorEastAsia" w:eastAsiaTheme="minorEastAsia"/>
                <w:sz w:val="24"/>
              </w:rPr>
            </w:pPr>
            <w:r>
              <w:rPr>
                <w:rFonts w:hint="eastAsia" w:asciiTheme="minorEastAsia" w:hAnsiTheme="minorEastAsia" w:eastAsiaTheme="minorEastAsia"/>
                <w:sz w:val="24"/>
              </w:rPr>
              <w:t>技术评分最低标价法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exact"/>
          <w:jc w:val="center"/>
        </w:trPr>
        <w:tc>
          <w:tcPr>
            <w:tcW w:w="1053" w:type="dxa"/>
            <w:gridSpan w:val="2"/>
            <w:vAlign w:val="center"/>
          </w:tcPr>
          <w:p>
            <w:pPr>
              <w:adjustRightInd w:val="0"/>
              <w:snapToGrid w:val="0"/>
              <w:spacing w:line="360" w:lineRule="auto"/>
              <w:ind w:left="105" w:leftChars="50" w:right="105" w:rightChars="50"/>
              <w:jc w:val="center"/>
              <w:outlineLvl w:val="2"/>
              <w:rPr>
                <w:rFonts w:asciiTheme="minorEastAsia" w:hAnsiTheme="minorEastAsia" w:eastAsiaTheme="minorEastAsia"/>
                <w:sz w:val="24"/>
              </w:rPr>
            </w:pPr>
            <w:r>
              <w:rPr>
                <w:rFonts w:hint="eastAsia" w:asciiTheme="minorEastAsia" w:hAnsiTheme="minorEastAsia" w:eastAsiaTheme="minorEastAsia"/>
                <w:sz w:val="24"/>
              </w:rPr>
              <w:t>6.3.2</w:t>
            </w:r>
          </w:p>
        </w:tc>
        <w:tc>
          <w:tcPr>
            <w:tcW w:w="2317" w:type="dxa"/>
            <w:vAlign w:val="center"/>
          </w:tcPr>
          <w:p>
            <w:pPr>
              <w:adjustRightInd w:val="0"/>
              <w:snapToGrid w:val="0"/>
              <w:ind w:right="105" w:rightChars="50"/>
              <w:jc w:val="center"/>
              <w:outlineLvl w:val="2"/>
              <w:rPr>
                <w:rFonts w:asciiTheme="minorEastAsia" w:hAnsiTheme="minorEastAsia" w:eastAsiaTheme="minorEastAsia"/>
                <w:sz w:val="24"/>
              </w:rPr>
            </w:pPr>
            <w:r>
              <w:rPr>
                <w:rFonts w:hint="eastAsia" w:asciiTheme="minorEastAsia" w:hAnsiTheme="minorEastAsia" w:eastAsiaTheme="minorEastAsia"/>
                <w:sz w:val="24"/>
              </w:rPr>
              <w:t>评标委员会推荐中标候选人的人数</w:t>
            </w:r>
          </w:p>
        </w:tc>
        <w:tc>
          <w:tcPr>
            <w:tcW w:w="6482" w:type="dxa"/>
            <w:vAlign w:val="center"/>
          </w:tcPr>
          <w:p>
            <w:pPr>
              <w:adjustRightInd w:val="0"/>
              <w:snapToGrid w:val="0"/>
              <w:spacing w:line="360" w:lineRule="auto"/>
              <w:ind w:left="105" w:leftChars="50" w:right="105" w:rightChars="50"/>
              <w:jc w:val="left"/>
              <w:outlineLvl w:val="2"/>
              <w:rPr>
                <w:rFonts w:asciiTheme="minorEastAsia" w:hAnsiTheme="minorEastAsia" w:eastAsiaTheme="minorEastAsia"/>
                <w:sz w:val="24"/>
              </w:rPr>
            </w:pPr>
            <w:r>
              <w:rPr>
                <w:rFonts w:hint="eastAsia" w:asciiTheme="minorEastAsia" w:hAnsiTheme="minorEastAsia" w:eastAsiaTheme="minorEastAsia"/>
                <w:sz w:val="24"/>
                <w:u w:val="single"/>
              </w:rPr>
              <w:t xml:space="preserve">1-3 </w:t>
            </w:r>
            <w:r>
              <w:rPr>
                <w:rFonts w:hint="eastAsia" w:asciiTheme="minorEastAsia" w:hAnsiTheme="minorEastAsia" w:eastAsiaTheme="minorEastAsia"/>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2"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6.4</w:t>
            </w:r>
          </w:p>
        </w:tc>
        <w:tc>
          <w:tcPr>
            <w:tcW w:w="2317" w:type="dxa"/>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sz w:val="24"/>
              </w:rPr>
              <w:t>招标控制价</w:t>
            </w:r>
          </w:p>
        </w:tc>
        <w:tc>
          <w:tcPr>
            <w:tcW w:w="6482" w:type="dxa"/>
            <w:vAlign w:val="center"/>
          </w:tcPr>
          <w:p>
            <w:pPr>
              <w:ind w:right="113"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招标控制价：</w:t>
            </w:r>
          </w:p>
          <w:p>
            <w:pPr>
              <w:ind w:right="113" w:firstLine="1080" w:firstLineChars="450"/>
              <w:jc w:val="left"/>
              <w:rPr>
                <w:rFonts w:asciiTheme="minorEastAsia" w:hAnsiTheme="minorEastAsia" w:eastAsiaTheme="minorEastAsia"/>
                <w:sz w:val="24"/>
              </w:rPr>
            </w:pPr>
            <w:r>
              <w:rPr>
                <w:rFonts w:hint="eastAsia" w:asciiTheme="minorEastAsia" w:hAnsiTheme="minorEastAsia" w:eastAsiaTheme="minorEastAsia"/>
                <w:sz w:val="24"/>
              </w:rPr>
              <w:t>大写：</w:t>
            </w:r>
            <w:r>
              <w:rPr>
                <w:rFonts w:hint="eastAsia" w:asciiTheme="minorEastAsia" w:hAnsiTheme="minorEastAsia" w:eastAsiaTheme="minorEastAsia"/>
                <w:sz w:val="24"/>
                <w:lang w:eastAsia="zh-CN"/>
              </w:rPr>
              <w:t>壹佰玖拾捌万伍仟壹佰柒拾叁元整</w:t>
            </w:r>
            <w:r>
              <w:rPr>
                <w:rFonts w:hint="eastAsia" w:asciiTheme="minorEastAsia" w:hAnsiTheme="minorEastAsia" w:eastAsiaTheme="minorEastAsia"/>
                <w:sz w:val="24"/>
                <w:lang w:val="en-US" w:eastAsia="zh-CN"/>
              </w:rPr>
              <w:t xml:space="preserve"> </w:t>
            </w:r>
          </w:p>
          <w:p>
            <w:pPr>
              <w:ind w:right="113" w:firstLine="840" w:firstLineChars="350"/>
              <w:jc w:val="left"/>
              <w:rPr>
                <w:rFonts w:asciiTheme="minorEastAsia" w:hAnsiTheme="minorEastAsia" w:eastAsiaTheme="minorEastAsia"/>
                <w:sz w:val="24"/>
              </w:rPr>
            </w:pPr>
            <w:r>
              <w:rPr>
                <w:rFonts w:hint="eastAsia" w:asciiTheme="minorEastAsia" w:hAnsiTheme="minorEastAsia" w:eastAsiaTheme="minorEastAsia"/>
                <w:sz w:val="24"/>
              </w:rPr>
              <w:t>（小写：</w:t>
            </w:r>
            <w:r>
              <w:rPr>
                <w:rFonts w:hint="eastAsia" w:asciiTheme="minorEastAsia" w:hAnsiTheme="minorEastAsia" w:eastAsiaTheme="minorEastAsia"/>
                <w:sz w:val="24"/>
                <w:lang w:val="en-US" w:eastAsia="zh-CN"/>
              </w:rPr>
              <w:t>1985173.00</w:t>
            </w:r>
            <w:r>
              <w:rPr>
                <w:rFonts w:hint="eastAsia" w:asciiTheme="minorEastAsia" w:hAnsiTheme="minorEastAsia" w:eastAsiaTheme="minorEastAsia"/>
                <w:sz w:val="24"/>
              </w:rPr>
              <w:t>元）</w:t>
            </w:r>
          </w:p>
          <w:p>
            <w:pPr>
              <w:spacing w:before="240"/>
              <w:ind w:right="113" w:firstLine="354" w:firstLineChars="147"/>
              <w:jc w:val="left"/>
              <w:rPr>
                <w:rFonts w:asciiTheme="minorEastAsia" w:hAnsiTheme="minorEastAsia" w:eastAsiaTheme="minorEastAsia"/>
                <w:sz w:val="24"/>
              </w:rPr>
            </w:pPr>
            <w:r>
              <w:rPr>
                <w:rFonts w:hint="eastAsia" w:cs="仿宋" w:asciiTheme="minorEastAsia" w:hAnsiTheme="minorEastAsia" w:eastAsiaTheme="minorEastAsia"/>
                <w:b/>
                <w:sz w:val="24"/>
              </w:rPr>
              <w:t>投标人总报价不可超过招标控制价，投标人各分项报价也不可超过各分项的招标控制价，否则其投标无效。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0"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6.5</w:t>
            </w:r>
          </w:p>
        </w:tc>
        <w:tc>
          <w:tcPr>
            <w:tcW w:w="2317" w:type="dxa"/>
            <w:vAlign w:val="center"/>
          </w:tcPr>
          <w:p>
            <w:pPr>
              <w:ind w:left="237"/>
              <w:jc w:val="center"/>
              <w:rPr>
                <w:rFonts w:asciiTheme="minorEastAsia" w:hAnsiTheme="minorEastAsia" w:eastAsiaTheme="minorEastAsia"/>
                <w:sz w:val="24"/>
              </w:rPr>
            </w:pPr>
            <w:r>
              <w:rPr>
                <w:rFonts w:hint="eastAsia" w:cs="仿宋_GB2312" w:asciiTheme="minorEastAsia" w:hAnsiTheme="minorEastAsia" w:eastAsiaTheme="minorEastAsia"/>
                <w:kern w:val="0"/>
                <w:sz w:val="24"/>
              </w:rPr>
              <w:t>投标文件的拒收</w:t>
            </w:r>
          </w:p>
        </w:tc>
        <w:tc>
          <w:tcPr>
            <w:tcW w:w="6482" w:type="dxa"/>
            <w:vAlign w:val="center"/>
          </w:tcPr>
          <w:p>
            <w:pPr>
              <w:spacing w:line="340" w:lineRule="exact"/>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1、逾期送达的或者未送达指定地点的纸质投标文件；</w:t>
            </w:r>
          </w:p>
          <w:p>
            <w:pPr>
              <w:spacing w:line="340" w:lineRule="exact"/>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2、纸质投标文件、电子介质存储的投标文件未按招标文件要求密封的；</w:t>
            </w:r>
          </w:p>
          <w:p>
            <w:pPr>
              <w:spacing w:line="340" w:lineRule="exact"/>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3、未按招标文件要求缴纳投标保证金的；</w:t>
            </w:r>
          </w:p>
          <w:p>
            <w:pPr>
              <w:spacing w:line="340" w:lineRule="exact"/>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4、开标时法人或授权委托人（持有效的授权委托书）未携带本人身份证原件到开标现场并签到的；</w:t>
            </w:r>
          </w:p>
          <w:p>
            <w:pPr>
              <w:spacing w:line="340" w:lineRule="exact"/>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7.1</w:t>
            </w:r>
          </w:p>
        </w:tc>
        <w:tc>
          <w:tcPr>
            <w:tcW w:w="2317" w:type="dxa"/>
            <w:vAlign w:val="center"/>
          </w:tcPr>
          <w:p>
            <w:pPr>
              <w:spacing w:line="276" w:lineRule="auto"/>
              <w:ind w:left="-107" w:leftChars="-51" w:right="-107" w:rightChars="-51"/>
              <w:jc w:val="center"/>
              <w:rPr>
                <w:rFonts w:asciiTheme="minorEastAsia" w:hAnsiTheme="minorEastAsia" w:eastAsiaTheme="minorEastAsia"/>
                <w:sz w:val="24"/>
              </w:rPr>
            </w:pPr>
            <w:r>
              <w:rPr>
                <w:rFonts w:hint="eastAsia" w:asciiTheme="minorEastAsia" w:hAnsiTheme="minorEastAsia" w:eastAsiaTheme="minorEastAsia"/>
                <w:sz w:val="24"/>
              </w:rPr>
              <w:t>是否授权评标委员会确定中标人</w:t>
            </w:r>
          </w:p>
        </w:tc>
        <w:tc>
          <w:tcPr>
            <w:tcW w:w="6482" w:type="dxa"/>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否，推荐的中标候选人数为1-3名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7.4.2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履约保证金</w:t>
            </w:r>
          </w:p>
        </w:tc>
        <w:tc>
          <w:tcPr>
            <w:tcW w:w="6482" w:type="dxa"/>
            <w:vAlign w:val="center"/>
          </w:tcPr>
          <w:p>
            <w:pPr>
              <w:spacing w:line="360" w:lineRule="auto"/>
              <w:jc w:val="left"/>
              <w:rPr>
                <w:rFonts w:cs="宋体" w:asciiTheme="minorEastAsia" w:hAnsiTheme="minorEastAsia" w:eastAsiaTheme="minorEastAsia"/>
                <w:b/>
                <w:sz w:val="24"/>
              </w:rPr>
            </w:pPr>
            <w:r>
              <w:rPr>
                <w:rFonts w:hint="eastAsia" w:cs="宋体" w:asciiTheme="minorEastAsia" w:hAnsiTheme="minorEastAsia" w:eastAsiaTheme="minorEastAsia"/>
                <w:b/>
                <w:sz w:val="24"/>
              </w:rPr>
              <w:t>履约保证金数额不得超过中标合同金额的10%。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9852" w:type="dxa"/>
            <w:gridSpan w:val="4"/>
            <w:tcBorders>
              <w:left w:val="single" w:color="auto" w:sz="4" w:space="0"/>
              <w:right w:val="single" w:color="auto" w:sz="4" w:space="0"/>
            </w:tcBorders>
            <w:vAlign w:val="center"/>
          </w:tcPr>
          <w:p>
            <w:pPr>
              <w:ind w:left="113" w:right="113"/>
              <w:jc w:val="left"/>
              <w:rPr>
                <w:rFonts w:asciiTheme="minorEastAsia" w:hAnsiTheme="minorEastAsia" w:eastAsiaTheme="minorEastAsia"/>
                <w:sz w:val="24"/>
              </w:rPr>
            </w:pPr>
            <w:r>
              <w:rPr>
                <w:rFonts w:hint="eastAsia" w:asciiTheme="minorEastAsia" w:hAnsiTheme="minorEastAsia" w:eastAsiaTheme="minorEastAsia"/>
                <w:sz w:val="24"/>
              </w:rPr>
              <w:t>10.需要补充的其他内容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86" w:hRule="atLeast"/>
          <w:jc w:val="center"/>
        </w:trPr>
        <w:tc>
          <w:tcPr>
            <w:tcW w:w="1015" w:type="dxa"/>
            <w:tcBorders>
              <w:left w:val="single" w:color="auto" w:sz="4" w:space="0"/>
            </w:tcBorders>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10.1</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b/>
                <w:sz w:val="24"/>
              </w:rPr>
            </w:pPr>
            <w:r>
              <w:rPr>
                <w:rFonts w:hint="eastAsia" w:asciiTheme="minorEastAsia" w:hAnsiTheme="minorEastAsia" w:eastAsiaTheme="minorEastAsia"/>
                <w:b/>
                <w:sz w:val="24"/>
              </w:rPr>
              <w:t>按照交通运输部〔2015〕24号令，采用技术评分最低标价法。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50" w:hRule="atLeast"/>
          <w:jc w:val="center"/>
        </w:trPr>
        <w:tc>
          <w:tcPr>
            <w:tcW w:w="1015" w:type="dxa"/>
            <w:tcBorders>
              <w:left w:val="single" w:color="auto" w:sz="4" w:space="0"/>
              <w:bottom w:val="single" w:color="auto" w:sz="4" w:space="0"/>
            </w:tcBorders>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10.2</w:t>
            </w:r>
          </w:p>
        </w:tc>
        <w:tc>
          <w:tcPr>
            <w:tcW w:w="8837" w:type="dxa"/>
            <w:gridSpan w:val="3"/>
            <w:tcBorders>
              <w:bottom w:val="single" w:color="auto" w:sz="4" w:space="0"/>
              <w:right w:val="single" w:color="auto" w:sz="4" w:space="0"/>
            </w:tcBorders>
            <w:vAlign w:val="center"/>
          </w:tcPr>
          <w:p>
            <w:pPr>
              <w:ind w:left="113" w:right="113"/>
              <w:jc w:val="left"/>
              <w:rPr>
                <w:rFonts w:asciiTheme="minorEastAsia" w:hAnsiTheme="minorEastAsia" w:eastAsiaTheme="minorEastAsia"/>
                <w:sz w:val="24"/>
              </w:rPr>
            </w:pPr>
            <w:r>
              <w:rPr>
                <w:rFonts w:hint="eastAsia" w:asciiTheme="minorEastAsia" w:hAnsiTheme="minorEastAsia" w:eastAsiaTheme="minorEastAsia"/>
                <w:b/>
                <w:sz w:val="24"/>
              </w:rPr>
              <w:t>清单单价报价要求参照合同项目专用合同条款。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829"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b/>
                <w:sz w:val="24"/>
              </w:rPr>
              <w:t>10.3</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sz w:val="24"/>
              </w:rPr>
            </w:pPr>
            <w:r>
              <w:rPr>
                <w:rFonts w:hint="eastAsia" w:asciiTheme="minorEastAsia" w:hAnsiTheme="minorEastAsia" w:eastAsiaTheme="minorEastAsia"/>
                <w:b/>
                <w:sz w:val="24"/>
              </w:rPr>
              <w:t>投标人在投标截止时间前应随时关注《全国公共资源交易平台（河南省·许昌市）》发出的有关本工程的答疑、修改等相关内容。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99"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b/>
                <w:sz w:val="24"/>
              </w:rPr>
              <w:t>10.4</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b/>
                <w:sz w:val="24"/>
              </w:rPr>
            </w:pPr>
            <w:r>
              <w:rPr>
                <w:rFonts w:hint="eastAsia" w:asciiTheme="minorEastAsia" w:hAnsiTheme="minorEastAsia" w:eastAsiaTheme="minorEastAsia"/>
                <w:b/>
                <w:bCs/>
                <w:sz w:val="24"/>
              </w:rPr>
              <w:t>投标文件第一个信封(商务及技术文件)不得出现有关投标报价的内容，否则评标委员会将对投标文件第一个信封(商务及技术文件)作废标处理。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77"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b/>
                <w:sz w:val="24"/>
              </w:rPr>
            </w:pPr>
            <w:r>
              <w:rPr>
                <w:rFonts w:hint="eastAsia" w:asciiTheme="minorEastAsia" w:hAnsiTheme="minorEastAsia" w:eastAsiaTheme="minorEastAsia"/>
                <w:b/>
                <w:sz w:val="24"/>
              </w:rPr>
              <w:t>10.5</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b/>
                <w:sz w:val="24"/>
              </w:rPr>
            </w:pPr>
            <w:r>
              <w:rPr>
                <w:rFonts w:hint="eastAsia" w:asciiTheme="minorEastAsia" w:hAnsiTheme="minorEastAsia" w:eastAsiaTheme="minorEastAsia"/>
                <w:b/>
                <w:sz w:val="24"/>
              </w:rPr>
              <w:t>类似工程是指指2016年1月1日以来承建过的</w:t>
            </w:r>
            <w:r>
              <w:rPr>
                <w:rFonts w:hint="eastAsia" w:asciiTheme="minorEastAsia" w:hAnsiTheme="minorEastAsia" w:eastAsiaTheme="minorEastAsia"/>
                <w:b/>
                <w:sz w:val="24"/>
                <w:lang w:val="en-US" w:eastAsia="zh-CN"/>
              </w:rPr>
              <w:t>公路</w:t>
            </w:r>
            <w:r>
              <w:rPr>
                <w:rFonts w:hint="eastAsia" w:asciiTheme="minorEastAsia" w:hAnsiTheme="minorEastAsia" w:eastAsiaTheme="minorEastAsia"/>
                <w:b/>
                <w:sz w:val="24"/>
              </w:rPr>
              <w:t>工程。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818"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b/>
                <w:sz w:val="24"/>
              </w:rPr>
            </w:pPr>
            <w:r>
              <w:rPr>
                <w:rFonts w:hint="eastAsia" w:asciiTheme="minorEastAsia" w:hAnsiTheme="minorEastAsia" w:eastAsiaTheme="minorEastAsia"/>
                <w:b/>
                <w:sz w:val="24"/>
              </w:rPr>
              <w:t>10.6</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b/>
                <w:sz w:val="24"/>
              </w:rPr>
            </w:pPr>
            <w:r>
              <w:rPr>
                <w:rFonts w:hint="eastAsia" w:cs="仿宋" w:asciiTheme="minorEastAsia" w:hAnsiTheme="minorEastAsia" w:eastAsiaTheme="minorEastAsia"/>
                <w:b/>
                <w:bCs/>
                <w:sz w:val="24"/>
              </w:rPr>
              <w:t>潜在投标人如对招标文件有异议，请在规定时间内在《全国公共资源交易平台（河南省·许昌市）》上提出，以其他方式递交的异议不予接受。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818" w:hRule="atLeast"/>
          <w:jc w:val="center"/>
        </w:trPr>
        <w:tc>
          <w:tcPr>
            <w:tcW w:w="1015" w:type="dxa"/>
            <w:tcBorders>
              <w:left w:val="single" w:color="auto" w:sz="4" w:space="0"/>
            </w:tcBorders>
            <w:vAlign w:val="center"/>
          </w:tcPr>
          <w:p>
            <w:pPr>
              <w:ind w:left="113" w:right="113"/>
              <w:jc w:val="center"/>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val="en-US" w:eastAsia="zh-CN"/>
              </w:rPr>
              <w:t>10.7</w:t>
            </w:r>
          </w:p>
        </w:tc>
        <w:tc>
          <w:tcPr>
            <w:tcW w:w="8837" w:type="dxa"/>
            <w:gridSpan w:val="3"/>
            <w:tcBorders>
              <w:right w:val="single" w:color="auto" w:sz="4" w:space="0"/>
            </w:tcBorders>
            <w:vAlign w:val="center"/>
          </w:tcPr>
          <w:p>
            <w:pPr>
              <w:autoSpaceDE w:val="0"/>
              <w:autoSpaceDN w:val="0"/>
              <w:spacing w:line="240" w:lineRule="auto"/>
              <w:jc w:val="left"/>
              <w:outlineLvl w:val="0"/>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val="en-US" w:eastAsia="zh-CN"/>
              </w:rPr>
              <w:t>特别提示</w:t>
            </w:r>
          </w:p>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2、潜在投标人如对招标文件有异议，请在规定时间内在《全国公共资源交易平台（河南省·许昌市）》公共资源交易系统中提出，以其他方式递交的异议不予接受。</w:t>
            </w:r>
          </w:p>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3、投标人在投标截止时间前应随时关注《全国公共资源交易平台（河南省·许昌市）》公共资源交易系统发出的有关本项目的答疑、修改等相关内容。</w:t>
            </w:r>
          </w:p>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4、本项目试行全流程电子化交易，如因交易系统异常情况无法完成，将以人工方式进行。</w:t>
            </w:r>
          </w:p>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5、投标文件依据最终的招标文件进行编制。如果招标文件发生变更，投标人应以招标人最终发出的电子招标文件为准，编制投标文件，务请投标人随时关注项目变更信息。</w:t>
            </w:r>
          </w:p>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6、投标人电子投标文件成功提交后，应打印“投标文件提交回执单”，供开标现场备查。</w:t>
            </w:r>
          </w:p>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7、商务标投标文件制作注意事项：</w:t>
            </w:r>
          </w:p>
          <w:p>
            <w:pPr>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7.1 投标人登录《全国公共资源交易平台（河南省·许昌市）》公共资源交易系统下载“许昌投标文件制作系统SEARUN V1.1” 和操作手册（工程项目），按招标文件要求制作商务标投标文件。</w:t>
            </w:r>
          </w:p>
          <w:p>
            <w:pPr>
              <w:spacing w:line="360" w:lineRule="auto"/>
              <w:jc w:val="left"/>
              <w:rPr>
                <w:rFonts w:hint="eastAsia" w:cs="仿宋" w:asciiTheme="minorEastAsia" w:hAnsiTheme="minorEastAsia" w:eastAsiaTheme="minorEastAsia"/>
                <w:b/>
                <w:bCs/>
                <w:sz w:val="24"/>
              </w:rPr>
            </w:pPr>
            <w:r>
              <w:rPr>
                <w:rFonts w:hint="eastAsia" w:asciiTheme="minorEastAsia" w:hAnsiTheme="minorEastAsia" w:eastAsiaTheme="minorEastAsia"/>
                <w:sz w:val="24"/>
              </w:rPr>
              <w:t>7.2 商务标投标文件制作技术咨询：0374-2961598。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818" w:hRule="atLeast"/>
          <w:jc w:val="center"/>
        </w:trPr>
        <w:tc>
          <w:tcPr>
            <w:tcW w:w="1015" w:type="dxa"/>
            <w:tcBorders>
              <w:left w:val="single" w:color="auto" w:sz="4" w:space="0"/>
            </w:tcBorders>
            <w:vAlign w:val="center"/>
          </w:tcPr>
          <w:p>
            <w:pPr>
              <w:ind w:left="113" w:right="113"/>
              <w:jc w:val="center"/>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val="en-US" w:eastAsia="zh-CN"/>
              </w:rPr>
              <w:t>10.8</w:t>
            </w:r>
          </w:p>
        </w:tc>
        <w:tc>
          <w:tcPr>
            <w:tcW w:w="8837" w:type="dxa"/>
            <w:gridSpan w:val="3"/>
            <w:tcBorders>
              <w:right w:val="single" w:color="auto" w:sz="4" w:space="0"/>
            </w:tcBorders>
            <w:vAlign w:val="center"/>
          </w:tcPr>
          <w:p>
            <w:pPr>
              <w:spacing w:line="360" w:lineRule="auto"/>
              <w:jc w:val="left"/>
              <w:rPr>
                <w:rFonts w:hint="eastAsia" w:asciiTheme="minorEastAsia" w:hAnsiTheme="minorEastAsia" w:eastAsiaTheme="minorEastAsia"/>
                <w:b/>
                <w:bCs/>
                <w:sz w:val="24"/>
              </w:rPr>
            </w:pPr>
            <w:r>
              <w:rPr>
                <w:rFonts w:hint="eastAsia" w:asciiTheme="minorEastAsia" w:hAnsiTheme="minorEastAsia" w:eastAsiaTheme="minorEastAsia"/>
                <w:b/>
                <w:bCs/>
                <w:sz w:val="24"/>
              </w:rPr>
              <w:t>注意事项</w:t>
            </w:r>
          </w:p>
          <w:p>
            <w:pPr>
              <w:spacing w:line="360" w:lineRule="auto"/>
              <w:jc w:val="left"/>
              <w:rPr>
                <w:rFonts w:hint="eastAsia" w:asciiTheme="minorEastAsia" w:hAnsiTheme="minorEastAsia" w:eastAsiaTheme="minorEastAsia"/>
                <w:sz w:val="24"/>
              </w:rPr>
            </w:pPr>
            <w:r>
              <w:rPr>
                <w:rFonts w:hint="eastAsia" w:hAnsi="宋体" w:cs="宋体"/>
                <w:b/>
                <w:bCs/>
                <w:sz w:val="24"/>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spacing w:line="312" w:lineRule="auto"/>
        <w:jc w:val="center"/>
        <w:outlineLvl w:val="0"/>
        <w:rPr>
          <w:rFonts w:asciiTheme="minorEastAsia" w:hAnsiTheme="minorEastAsia" w:eastAsiaTheme="minorEastAsia"/>
          <w:bCs/>
          <w:sz w:val="24"/>
        </w:rPr>
      </w:pPr>
    </w:p>
    <w:p>
      <w:pPr>
        <w:pStyle w:val="2"/>
        <w:ind w:firstLine="210"/>
      </w:pPr>
      <w:r>
        <w:br w:type="page"/>
      </w:r>
    </w:p>
    <w:p>
      <w:pPr>
        <w:pStyle w:val="4"/>
        <w:spacing w:before="240" w:after="240" w:line="240" w:lineRule="auto"/>
        <w:jc w:val="center"/>
        <w:rPr>
          <w:rFonts w:ascii="黑体" w:eastAsia="黑体"/>
          <w:sz w:val="30"/>
          <w:szCs w:val="30"/>
          <w:vertAlign w:val="superscript"/>
        </w:rPr>
      </w:pPr>
      <w:bookmarkStart w:id="2" w:name="_Toc485889001"/>
      <w:bookmarkStart w:id="3" w:name="_Toc31404"/>
      <w:bookmarkStart w:id="4" w:name="_Toc486277862"/>
      <w:r>
        <w:rPr>
          <w:rFonts w:hint="eastAsia" w:ascii="黑体" w:eastAsia="黑体"/>
          <w:sz w:val="30"/>
          <w:szCs w:val="30"/>
        </w:rPr>
        <w:t>附录1   资格审查条件(资质最低条件)</w:t>
      </w:r>
      <w:bookmarkEnd w:id="2"/>
      <w:bookmarkEnd w:id="3"/>
      <w:bookmarkEnd w:id="4"/>
    </w:p>
    <w:tbl>
      <w:tblPr>
        <w:tblStyle w:val="16"/>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072" w:type="dxa"/>
            <w:vAlign w:val="center"/>
          </w:tcPr>
          <w:p>
            <w:pPr>
              <w:jc w:val="center"/>
              <w:rPr>
                <w:rFonts w:ascii="宋体" w:hAnsi="宋体"/>
                <w:sz w:val="24"/>
              </w:rPr>
            </w:pPr>
            <w:r>
              <w:rPr>
                <w:rFonts w:hint="eastAsia" w:ascii="宋体" w:hAnsi="宋体"/>
                <w:sz w:val="24"/>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82" w:hRule="atLeast"/>
          <w:jc w:val="center"/>
        </w:trPr>
        <w:tc>
          <w:tcPr>
            <w:tcW w:w="9072" w:type="dxa"/>
            <w:vAlign w:val="center"/>
          </w:tcPr>
          <w:p>
            <w:pPr>
              <w:autoSpaceDE w:val="0"/>
              <w:autoSpaceDN w:val="0"/>
              <w:adjustRightInd w:val="0"/>
              <w:snapToGrid w:val="0"/>
              <w:spacing w:line="460" w:lineRule="exact"/>
              <w:ind w:firstLine="480" w:firstLineChars="200"/>
              <w:rPr>
                <w:rFonts w:ascii="宋体" w:hAnsi="宋体" w:cs="宋体"/>
                <w:kern w:val="0"/>
                <w:sz w:val="24"/>
              </w:rPr>
            </w:pPr>
            <w:r>
              <w:rPr>
                <w:rFonts w:hint="eastAsia" w:ascii="宋体" w:hAnsi="宋体" w:cs="宋体"/>
                <w:kern w:val="0"/>
                <w:sz w:val="24"/>
              </w:rPr>
              <w:t>1、营业执照：具有在中华人民共和国境内注册的独立企业法人营业执照（在有效期内）。</w:t>
            </w:r>
          </w:p>
          <w:p>
            <w:pPr>
              <w:autoSpaceDE w:val="0"/>
              <w:autoSpaceDN w:val="0"/>
              <w:adjustRightInd w:val="0"/>
              <w:snapToGrid w:val="0"/>
              <w:spacing w:line="460" w:lineRule="exact"/>
              <w:ind w:firstLine="480" w:firstLineChars="200"/>
              <w:rPr>
                <w:rFonts w:ascii="宋体" w:hAnsi="宋体" w:cs="宋体"/>
                <w:kern w:val="0"/>
                <w:sz w:val="24"/>
              </w:rPr>
            </w:pPr>
            <w:r>
              <w:rPr>
                <w:rFonts w:hint="eastAsia" w:ascii="宋体" w:hAnsi="宋体" w:cs="宋体"/>
                <w:kern w:val="0"/>
                <w:sz w:val="24"/>
              </w:rPr>
              <w:t>2、资质要求：</w:t>
            </w:r>
            <w:r>
              <w:rPr>
                <w:rFonts w:hint="eastAsia" w:asciiTheme="minorEastAsia" w:hAnsiTheme="minorEastAsia" w:eastAsiaTheme="minorEastAsia"/>
                <w:sz w:val="24"/>
              </w:rPr>
              <w:t>公路工程施工总承包三级及以上资质，并具备有效的企业安全生产许可证，在人员、设备、资金等方面具有相应的施工能力</w:t>
            </w:r>
            <w:r>
              <w:rPr>
                <w:rFonts w:hint="eastAsia" w:ascii="宋体" w:hAnsi="宋体" w:cs="宋体"/>
                <w:kern w:val="0"/>
                <w:sz w:val="24"/>
              </w:rPr>
              <w:t>的施工企业。</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bl>
    <w:p>
      <w:pPr>
        <w:spacing w:before="120" w:after="120"/>
        <w:jc w:val="center"/>
        <w:rPr>
          <w:rFonts w:ascii="黑体" w:eastAsia="黑体"/>
          <w:b/>
          <w:bCs/>
          <w:kern w:val="44"/>
          <w:sz w:val="30"/>
          <w:szCs w:val="30"/>
        </w:rPr>
      </w:pPr>
    </w:p>
    <w:p>
      <w:pPr>
        <w:spacing w:before="120" w:after="120"/>
        <w:jc w:val="center"/>
        <w:rPr>
          <w:rFonts w:ascii="隶书" w:hAnsi="宋体" w:eastAsia="隶书"/>
          <w:sz w:val="24"/>
          <w:vertAlign w:val="superscript"/>
        </w:rPr>
      </w:pPr>
      <w:r>
        <w:rPr>
          <w:rFonts w:hint="eastAsia" w:ascii="黑体" w:eastAsia="黑体"/>
          <w:b/>
          <w:bCs/>
          <w:kern w:val="44"/>
          <w:sz w:val="30"/>
          <w:szCs w:val="30"/>
        </w:rPr>
        <w:t>附录2   资格审查条件(财务最低要求)</w:t>
      </w:r>
    </w:p>
    <w:tbl>
      <w:tblPr>
        <w:tblStyle w:val="16"/>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rPr>
            </w:pPr>
            <w:r>
              <w:rPr>
                <w:rFonts w:hint="eastAsia" w:ascii="宋体" w:hAnsi="宋体"/>
                <w:sz w:val="24"/>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902" w:hRule="atLeast"/>
          <w:jc w:val="center"/>
        </w:trPr>
        <w:tc>
          <w:tcPr>
            <w:tcW w:w="9239" w:type="dxa"/>
            <w:vAlign w:val="center"/>
          </w:tcPr>
          <w:p>
            <w:pPr>
              <w:spacing w:line="480" w:lineRule="exact"/>
              <w:ind w:firstLine="480" w:firstLineChars="200"/>
              <w:rPr>
                <w:rFonts w:ascii="宋体" w:hAnsi="宋体"/>
                <w:sz w:val="24"/>
              </w:rPr>
            </w:pPr>
            <w:r>
              <w:rPr>
                <w:rFonts w:hint="eastAsia" w:ascii="宋体" w:hAnsi="宋体"/>
                <w:sz w:val="24"/>
              </w:rPr>
              <w:t>投标申请人应提交最近三年内（</w:t>
            </w:r>
            <w:r>
              <w:rPr>
                <w:rFonts w:hint="eastAsia" w:ascii="宋体" w:hAnsi="宋体" w:cs="仿宋_GB2312"/>
                <w:sz w:val="24"/>
              </w:rPr>
              <w:t>201</w:t>
            </w:r>
            <w:r>
              <w:rPr>
                <w:rFonts w:hint="eastAsia" w:ascii="宋体" w:hAnsi="宋体" w:cs="仿宋_GB2312"/>
                <w:sz w:val="24"/>
                <w:lang w:val="en-US" w:eastAsia="zh-CN"/>
              </w:rPr>
              <w:t>6</w:t>
            </w:r>
            <w:r>
              <w:rPr>
                <w:rFonts w:hint="eastAsia" w:ascii="宋体" w:hAnsi="宋体" w:cs="仿宋_GB2312"/>
                <w:sz w:val="24"/>
              </w:rPr>
              <w:t>年1月1日至201</w:t>
            </w:r>
            <w:r>
              <w:rPr>
                <w:rFonts w:hint="eastAsia" w:ascii="宋体" w:hAnsi="宋体" w:cs="仿宋_GB2312"/>
                <w:sz w:val="24"/>
                <w:lang w:val="en-US" w:eastAsia="zh-CN"/>
              </w:rPr>
              <w:t>8</w:t>
            </w:r>
            <w:r>
              <w:rPr>
                <w:rFonts w:hint="eastAsia" w:ascii="宋体" w:hAnsi="宋体" w:cs="仿宋_GB2312"/>
                <w:sz w:val="24"/>
              </w:rPr>
              <w:t>年12月31日</w:t>
            </w:r>
            <w:r>
              <w:rPr>
                <w:rFonts w:hint="eastAsia" w:ascii="宋体" w:hAnsi="宋体"/>
                <w:sz w:val="24"/>
              </w:rPr>
              <w:t>）(</w:t>
            </w:r>
            <w:r>
              <w:rPr>
                <w:rFonts w:hint="eastAsia" w:hAnsi="宋体"/>
                <w:bCs/>
                <w:sz w:val="24"/>
              </w:rPr>
              <w:t>若公司成立未满三年，须提供成立当年至今的财务报告</w:t>
            </w:r>
            <w:r>
              <w:rPr>
                <w:rFonts w:hint="eastAsia" w:ascii="宋体" w:hAnsi="宋体"/>
                <w:sz w:val="24"/>
              </w:rPr>
              <w:t>)经审计的资产负债表、利润表、现金流量表、所有者权益变动表及其附注，证明资格预审申请人的财务状况良好，财务无亏损，没有被接管、冻结、破产状态；必要时，业主将向投标申请人的开户银行进行查询；</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bl>
    <w:p>
      <w:pPr>
        <w:rPr>
          <w:rFonts w:ascii="宋体" w:hAnsi="宋体"/>
          <w:sz w:val="24"/>
        </w:rPr>
      </w:pPr>
    </w:p>
    <w:p>
      <w:pPr>
        <w:spacing w:before="120" w:after="120"/>
        <w:jc w:val="center"/>
        <w:rPr>
          <w:rFonts w:ascii="隶书" w:hAnsi="宋体" w:eastAsia="隶书"/>
          <w:sz w:val="24"/>
          <w:vertAlign w:val="superscript"/>
        </w:rPr>
      </w:pPr>
      <w:r>
        <w:rPr>
          <w:rFonts w:hint="eastAsia" w:ascii="黑体" w:eastAsia="黑体"/>
          <w:b/>
          <w:bCs/>
          <w:kern w:val="44"/>
          <w:sz w:val="30"/>
          <w:szCs w:val="30"/>
        </w:rPr>
        <w:t>附录3   资格审查条件(业绩最低要求)</w:t>
      </w:r>
    </w:p>
    <w:tbl>
      <w:tblPr>
        <w:tblStyle w:val="16"/>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rPr>
            </w:pPr>
            <w:r>
              <w:rPr>
                <w:rFonts w:hint="eastAsia" w:ascii="宋体" w:hAnsi="宋体"/>
                <w:sz w:val="24"/>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69" w:hRule="atLeast"/>
          <w:jc w:val="center"/>
        </w:trPr>
        <w:tc>
          <w:tcPr>
            <w:tcW w:w="9239" w:type="dxa"/>
            <w:vAlign w:val="center"/>
          </w:tcPr>
          <w:p>
            <w:pPr>
              <w:ind w:firstLine="2880" w:firstLineChars="1200"/>
              <w:rPr>
                <w:rFonts w:ascii="宋体" w:hAnsi="宋体"/>
                <w:sz w:val="24"/>
              </w:rPr>
            </w:pPr>
            <w:r>
              <w:rPr>
                <w:rFonts w:hint="eastAsia" w:ascii="宋体" w:hAnsi="宋体"/>
                <w:sz w:val="24"/>
              </w:rPr>
              <w:t>2016年1月1日以来承建过的</w:t>
            </w:r>
            <w:r>
              <w:rPr>
                <w:rFonts w:hint="eastAsia" w:ascii="宋体" w:hAnsi="宋体"/>
                <w:sz w:val="24"/>
                <w:lang w:val="en-US" w:eastAsia="zh-CN"/>
              </w:rPr>
              <w:t>公路</w:t>
            </w:r>
            <w:r>
              <w:rPr>
                <w:rFonts w:hint="eastAsia" w:ascii="宋体" w:hAnsi="宋体"/>
                <w:sz w:val="24"/>
              </w:rPr>
              <w:t>工程。</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bl>
    <w:p>
      <w:pPr>
        <w:spacing w:before="120" w:after="120"/>
        <w:jc w:val="center"/>
        <w:rPr>
          <w:rFonts w:ascii="黑体" w:eastAsia="黑体"/>
          <w:b/>
          <w:bCs/>
          <w:kern w:val="44"/>
          <w:sz w:val="30"/>
          <w:szCs w:val="30"/>
        </w:rPr>
      </w:pPr>
    </w:p>
    <w:p>
      <w:pPr>
        <w:spacing w:before="120" w:after="120"/>
        <w:jc w:val="center"/>
        <w:rPr>
          <w:rFonts w:ascii="黑体" w:eastAsia="黑体"/>
          <w:b/>
          <w:bCs/>
          <w:kern w:val="44"/>
          <w:sz w:val="30"/>
          <w:szCs w:val="30"/>
        </w:rPr>
      </w:pPr>
      <w:r>
        <w:rPr>
          <w:rFonts w:hint="eastAsia" w:ascii="黑体" w:eastAsia="黑体"/>
          <w:b/>
          <w:bCs/>
          <w:kern w:val="44"/>
          <w:sz w:val="30"/>
          <w:szCs w:val="30"/>
        </w:rPr>
        <w:t>附录4   资格审查条件(信誉最低要求)</w:t>
      </w:r>
    </w:p>
    <w:tbl>
      <w:tblPr>
        <w:tblStyle w:val="16"/>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rPr>
            </w:pPr>
            <w:r>
              <w:rPr>
                <w:rFonts w:hint="eastAsia" w:ascii="宋体" w:hAnsi="宋体"/>
                <w:sz w:val="24"/>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spacing w:line="312" w:lineRule="auto"/>
              <w:ind w:firstLine="480" w:firstLineChars="200"/>
              <w:rPr>
                <w:rFonts w:asciiTheme="minorEastAsia" w:hAnsiTheme="minorEastAsia" w:eastAsiaTheme="minorEastAsia"/>
                <w:sz w:val="24"/>
              </w:rPr>
            </w:pP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根据《河南省公路建设市场从业单位及人员信用管理办法》第二十一条“对信用考核定级为D级即黑名单的从业单位，”不得参与本项目投标。</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不接受失信被执行人的投标。</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不接受投标人被“信用中国”和“信用河南”网站信用信息栏列入黑名单，以及被“国家企业信用信息公示系统”列入经营异常名录或严重失信黑名单的投标。</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bl>
    <w:p>
      <w:pPr>
        <w:rPr>
          <w:rFonts w:ascii="宋体" w:hAnsi="宋体"/>
          <w:sz w:val="24"/>
        </w:rPr>
      </w:pPr>
    </w:p>
    <w:p>
      <w:pPr>
        <w:spacing w:before="120" w:after="120"/>
        <w:jc w:val="center"/>
        <w:rPr>
          <w:rFonts w:ascii="隶书" w:hAnsi="宋体" w:eastAsia="隶书"/>
          <w:sz w:val="24"/>
          <w:vertAlign w:val="superscript"/>
        </w:rPr>
      </w:pPr>
      <w:r>
        <w:rPr>
          <w:rFonts w:ascii="黑体" w:eastAsia="黑体"/>
          <w:b/>
          <w:bCs/>
          <w:kern w:val="44"/>
          <w:sz w:val="30"/>
          <w:szCs w:val="30"/>
        </w:rPr>
        <w:br w:type="page"/>
      </w:r>
      <w:r>
        <w:rPr>
          <w:rFonts w:hint="eastAsia" w:ascii="黑体" w:eastAsia="黑体"/>
          <w:b/>
          <w:bCs/>
          <w:kern w:val="44"/>
          <w:sz w:val="30"/>
          <w:szCs w:val="30"/>
        </w:rPr>
        <w:t>附录5   资格审查条件(项目经理和项目总工最低要求)</w:t>
      </w:r>
    </w:p>
    <w:tbl>
      <w:tblPr>
        <w:tblStyle w:val="16"/>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984"/>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exact"/>
          <w:jc w:val="center"/>
        </w:trPr>
        <w:tc>
          <w:tcPr>
            <w:tcW w:w="2235" w:type="dxa"/>
            <w:vAlign w:val="center"/>
          </w:tcPr>
          <w:p>
            <w:pPr>
              <w:jc w:val="center"/>
              <w:rPr>
                <w:rFonts w:ascii="宋体" w:hAnsi="宋体"/>
                <w:sz w:val="24"/>
              </w:rPr>
            </w:pPr>
            <w:r>
              <w:rPr>
                <w:rFonts w:hint="eastAsia" w:ascii="宋体" w:hAnsi="宋体"/>
                <w:sz w:val="24"/>
              </w:rPr>
              <w:t>人  员</w:t>
            </w:r>
          </w:p>
        </w:tc>
        <w:tc>
          <w:tcPr>
            <w:tcW w:w="1984" w:type="dxa"/>
            <w:vAlign w:val="center"/>
          </w:tcPr>
          <w:p>
            <w:pPr>
              <w:jc w:val="center"/>
              <w:rPr>
                <w:rFonts w:ascii="宋体" w:hAnsi="宋体"/>
                <w:sz w:val="24"/>
              </w:rPr>
            </w:pPr>
            <w:r>
              <w:rPr>
                <w:rFonts w:hint="eastAsia" w:ascii="宋体" w:hAnsi="宋体"/>
                <w:sz w:val="24"/>
              </w:rPr>
              <w:t>数  量</w:t>
            </w:r>
          </w:p>
        </w:tc>
        <w:tc>
          <w:tcPr>
            <w:tcW w:w="5020" w:type="dxa"/>
            <w:vAlign w:val="center"/>
          </w:tcPr>
          <w:p>
            <w:pPr>
              <w:jc w:val="center"/>
              <w:rPr>
                <w:rFonts w:ascii="宋体" w:hAnsi="宋体"/>
                <w:sz w:val="24"/>
              </w:rPr>
            </w:pPr>
            <w:r>
              <w:rPr>
                <w:rFonts w:hint="eastAsia" w:ascii="宋体" w:hAnsi="宋体"/>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4" w:hRule="atLeast"/>
          <w:jc w:val="center"/>
        </w:trPr>
        <w:tc>
          <w:tcPr>
            <w:tcW w:w="2235" w:type="dxa"/>
            <w:vAlign w:val="center"/>
          </w:tcPr>
          <w:p>
            <w:pPr>
              <w:jc w:val="center"/>
              <w:rPr>
                <w:rFonts w:ascii="宋体" w:hAnsi="宋体"/>
                <w:sz w:val="24"/>
              </w:rPr>
            </w:pPr>
            <w:r>
              <w:rPr>
                <w:rFonts w:hint="eastAsia" w:ascii="宋体" w:hAnsi="宋体"/>
                <w:sz w:val="24"/>
              </w:rPr>
              <w:t>项目经理</w:t>
            </w:r>
          </w:p>
        </w:tc>
        <w:tc>
          <w:tcPr>
            <w:tcW w:w="1984" w:type="dxa"/>
            <w:vAlign w:val="center"/>
          </w:tcPr>
          <w:p>
            <w:pPr>
              <w:jc w:val="center"/>
              <w:rPr>
                <w:rFonts w:ascii="宋体" w:hAnsi="宋体"/>
                <w:sz w:val="24"/>
              </w:rPr>
            </w:pPr>
            <w:r>
              <w:rPr>
                <w:rFonts w:hint="eastAsia" w:ascii="宋体" w:hAnsi="宋体"/>
                <w:sz w:val="24"/>
              </w:rPr>
              <w:t>1</w:t>
            </w:r>
          </w:p>
        </w:tc>
        <w:tc>
          <w:tcPr>
            <w:tcW w:w="5020" w:type="dxa"/>
            <w:vAlign w:val="center"/>
          </w:tcPr>
          <w:p>
            <w:pPr>
              <w:rPr>
                <w:szCs w:val="21"/>
              </w:rPr>
            </w:pPr>
            <w:r>
              <w:rPr>
                <w:rFonts w:hint="eastAsia"/>
                <w:szCs w:val="21"/>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1" w:hRule="atLeast"/>
          <w:jc w:val="center"/>
        </w:trPr>
        <w:tc>
          <w:tcPr>
            <w:tcW w:w="2235" w:type="dxa"/>
            <w:vAlign w:val="center"/>
          </w:tcPr>
          <w:p>
            <w:pPr>
              <w:jc w:val="center"/>
              <w:rPr>
                <w:rFonts w:ascii="宋体" w:hAnsi="宋体"/>
                <w:sz w:val="24"/>
              </w:rPr>
            </w:pPr>
            <w:r>
              <w:rPr>
                <w:rFonts w:hint="eastAsia" w:ascii="宋体" w:hAnsi="宋体"/>
                <w:sz w:val="24"/>
              </w:rPr>
              <w:t>项目总工程师</w:t>
            </w:r>
          </w:p>
        </w:tc>
        <w:tc>
          <w:tcPr>
            <w:tcW w:w="1984" w:type="dxa"/>
            <w:vAlign w:val="center"/>
          </w:tcPr>
          <w:p>
            <w:pPr>
              <w:jc w:val="center"/>
              <w:rPr>
                <w:rFonts w:ascii="宋体" w:hAnsi="宋体"/>
                <w:sz w:val="24"/>
              </w:rPr>
            </w:pPr>
            <w:r>
              <w:rPr>
                <w:rFonts w:hint="eastAsia" w:ascii="宋体" w:hAnsi="宋体"/>
                <w:sz w:val="24"/>
              </w:rPr>
              <w:t>1</w:t>
            </w:r>
          </w:p>
        </w:tc>
        <w:tc>
          <w:tcPr>
            <w:tcW w:w="5020" w:type="dxa"/>
            <w:vAlign w:val="center"/>
          </w:tcPr>
          <w:p>
            <w:pPr>
              <w:rPr>
                <w:szCs w:val="21"/>
              </w:rPr>
            </w:pPr>
            <w:r>
              <w:rPr>
                <w:rFonts w:hint="eastAsia"/>
                <w:szCs w:val="21"/>
              </w:rPr>
              <w:t>具备中级及以上相关专业技术职称。</w:t>
            </w:r>
          </w:p>
        </w:tc>
      </w:tr>
    </w:tbl>
    <w:p>
      <w:pPr>
        <w:rPr>
          <w:rFonts w:ascii="宋体" w:hAnsi="宋体"/>
          <w:sz w:val="24"/>
        </w:rPr>
      </w:pPr>
    </w:p>
    <w:p>
      <w:pPr>
        <w:spacing w:before="120" w:after="120"/>
        <w:jc w:val="center"/>
        <w:rPr>
          <w:rFonts w:ascii="隶书" w:hAnsi="宋体" w:eastAsia="隶书"/>
          <w:sz w:val="24"/>
          <w:vertAlign w:val="superscript"/>
        </w:rPr>
      </w:pPr>
      <w:r>
        <w:rPr>
          <w:rFonts w:ascii="黑体" w:eastAsia="黑体"/>
          <w:b/>
          <w:bCs/>
          <w:kern w:val="44"/>
          <w:sz w:val="30"/>
          <w:szCs w:val="30"/>
        </w:rPr>
        <w:br w:type="page"/>
      </w:r>
      <w:r>
        <w:rPr>
          <w:rFonts w:hint="eastAsia" w:ascii="黑体" w:eastAsia="黑体"/>
          <w:b/>
          <w:bCs/>
          <w:kern w:val="44"/>
          <w:sz w:val="30"/>
          <w:szCs w:val="30"/>
        </w:rPr>
        <w:t>附录6  资格审查条件(其他主要管理人员和技术人员最低要求)</w:t>
      </w:r>
    </w:p>
    <w:tbl>
      <w:tblPr>
        <w:tblStyle w:val="16"/>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706" w:hRule="atLeast"/>
        </w:trPr>
        <w:tc>
          <w:tcPr>
            <w:tcW w:w="2250" w:type="dxa"/>
            <w:vAlign w:val="center"/>
          </w:tcPr>
          <w:p>
            <w:pPr>
              <w:jc w:val="center"/>
              <w:rPr>
                <w:rFonts w:ascii="宋体" w:hAnsi="宋体"/>
                <w:sz w:val="24"/>
              </w:rPr>
            </w:pPr>
            <w:r>
              <w:rPr>
                <w:rFonts w:hint="eastAsia" w:ascii="宋体" w:hAnsi="宋体"/>
                <w:sz w:val="24"/>
              </w:rPr>
              <w:t>人  员</w:t>
            </w:r>
          </w:p>
        </w:tc>
        <w:tc>
          <w:tcPr>
            <w:tcW w:w="1997" w:type="dxa"/>
            <w:vAlign w:val="center"/>
          </w:tcPr>
          <w:p>
            <w:pPr>
              <w:jc w:val="center"/>
              <w:rPr>
                <w:rFonts w:ascii="宋体" w:hAnsi="宋体"/>
                <w:sz w:val="24"/>
              </w:rPr>
            </w:pPr>
            <w:r>
              <w:rPr>
                <w:rFonts w:hint="eastAsia" w:ascii="宋体" w:hAnsi="宋体"/>
                <w:sz w:val="24"/>
              </w:rPr>
              <w:t>数  量</w:t>
            </w:r>
          </w:p>
        </w:tc>
        <w:tc>
          <w:tcPr>
            <w:tcW w:w="5053" w:type="dxa"/>
            <w:vAlign w:val="center"/>
          </w:tcPr>
          <w:p>
            <w:pPr>
              <w:jc w:val="center"/>
              <w:rPr>
                <w:rFonts w:ascii="宋体" w:hAnsi="宋体"/>
                <w:sz w:val="24"/>
              </w:rPr>
            </w:pPr>
            <w:r>
              <w:rPr>
                <w:rFonts w:hint="eastAsia" w:ascii="宋体" w:hAnsi="宋体"/>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trPr>
        <w:tc>
          <w:tcPr>
            <w:tcW w:w="2250" w:type="dxa"/>
            <w:vAlign w:val="center"/>
          </w:tcPr>
          <w:p>
            <w:pPr>
              <w:jc w:val="center"/>
              <w:rPr>
                <w:szCs w:val="21"/>
              </w:rPr>
            </w:pPr>
            <w:r>
              <w:rPr>
                <w:szCs w:val="21"/>
              </w:rPr>
              <w:t>财务负责人</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会计师，工程经验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250" w:type="dxa"/>
            <w:vAlign w:val="center"/>
          </w:tcPr>
          <w:p>
            <w:pPr>
              <w:jc w:val="center"/>
              <w:rPr>
                <w:szCs w:val="21"/>
              </w:rPr>
            </w:pPr>
            <w:r>
              <w:rPr>
                <w:szCs w:val="21"/>
              </w:rPr>
              <w:t>质检工程师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年以上，从事类似工程</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路基</w:t>
            </w:r>
            <w:r>
              <w:rPr>
                <w:rFonts w:hint="eastAsia"/>
                <w:szCs w:val="21"/>
              </w:rPr>
              <w:t>、路面</w:t>
            </w:r>
            <w:r>
              <w:rPr>
                <w:szCs w:val="21"/>
              </w:rPr>
              <w:t>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测量工程师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trPr>
        <w:tc>
          <w:tcPr>
            <w:tcW w:w="2250" w:type="dxa"/>
            <w:vAlign w:val="center"/>
          </w:tcPr>
          <w:p>
            <w:pPr>
              <w:jc w:val="center"/>
              <w:rPr>
                <w:szCs w:val="21"/>
              </w:rPr>
            </w:pPr>
            <w:r>
              <w:rPr>
                <w:szCs w:val="21"/>
              </w:rPr>
              <w:t>试验负责人</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机械工程师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trPr>
        <w:tc>
          <w:tcPr>
            <w:tcW w:w="2250" w:type="dxa"/>
            <w:vAlign w:val="center"/>
          </w:tcPr>
          <w:p>
            <w:pPr>
              <w:jc w:val="center"/>
              <w:rPr>
                <w:szCs w:val="21"/>
              </w:rPr>
            </w:pPr>
            <w:r>
              <w:rPr>
                <w:szCs w:val="21"/>
              </w:rPr>
              <w:t>专职安全员</w:t>
            </w:r>
          </w:p>
        </w:tc>
        <w:tc>
          <w:tcPr>
            <w:tcW w:w="1997" w:type="dxa"/>
            <w:vAlign w:val="center"/>
          </w:tcPr>
          <w:p>
            <w:pPr>
              <w:jc w:val="center"/>
              <w:rPr>
                <w:szCs w:val="21"/>
              </w:rPr>
            </w:pPr>
            <w:r>
              <w:rPr>
                <w:rFonts w:hint="eastAsia"/>
                <w:szCs w:val="21"/>
              </w:rPr>
              <w:t>1</w:t>
            </w:r>
          </w:p>
        </w:tc>
        <w:tc>
          <w:tcPr>
            <w:tcW w:w="5053" w:type="dxa"/>
            <w:vAlign w:val="center"/>
          </w:tcPr>
          <w:p>
            <w:pPr>
              <w:rPr>
                <w:szCs w:val="21"/>
              </w:rPr>
            </w:pPr>
            <w:r>
              <w:rPr>
                <w:szCs w:val="21"/>
              </w:rPr>
              <w:t>从事类似工作3年以上</w:t>
            </w:r>
            <w:r>
              <w:rPr>
                <w:szCs w:val="21"/>
                <w:lang w:val="zh-CN"/>
              </w:rPr>
              <w:t>，</w:t>
            </w:r>
            <w:r>
              <w:rPr>
                <w:szCs w:val="21"/>
              </w:rPr>
              <w:t>具</w:t>
            </w:r>
            <w:r>
              <w:rPr>
                <w:rFonts w:hint="eastAsia"/>
                <w:szCs w:val="21"/>
              </w:rPr>
              <w:t>有有效</w:t>
            </w:r>
            <w:r>
              <w:rPr>
                <w:szCs w:val="21"/>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spacing w:line="400" w:lineRule="exact"/>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rPr>
            </w:pPr>
          </w:p>
        </w:tc>
        <w:tc>
          <w:tcPr>
            <w:tcW w:w="1997" w:type="dxa"/>
            <w:vAlign w:val="center"/>
          </w:tcPr>
          <w:p>
            <w:pPr>
              <w:jc w:val="center"/>
              <w:rPr>
                <w:rFonts w:ascii="宋体" w:hAnsi="宋体"/>
                <w:sz w:val="24"/>
              </w:rPr>
            </w:pPr>
          </w:p>
        </w:tc>
        <w:tc>
          <w:tcPr>
            <w:tcW w:w="5053"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rPr>
            </w:pPr>
          </w:p>
        </w:tc>
        <w:tc>
          <w:tcPr>
            <w:tcW w:w="1997" w:type="dxa"/>
            <w:vAlign w:val="center"/>
          </w:tcPr>
          <w:p>
            <w:pPr>
              <w:jc w:val="center"/>
              <w:rPr>
                <w:rFonts w:ascii="宋体" w:hAnsi="宋体"/>
                <w:sz w:val="24"/>
              </w:rPr>
            </w:pPr>
          </w:p>
        </w:tc>
        <w:tc>
          <w:tcPr>
            <w:tcW w:w="5053" w:type="dxa"/>
            <w:vAlign w:val="center"/>
          </w:tcPr>
          <w:p>
            <w:pPr>
              <w:rPr>
                <w:rFonts w:ascii="宋体" w:hAnsi="宋体"/>
                <w:sz w:val="24"/>
              </w:rPr>
            </w:pPr>
          </w:p>
        </w:tc>
      </w:tr>
    </w:tbl>
    <w:p>
      <w:pPr>
        <w:rPr>
          <w:rFonts w:ascii="宋体" w:hAnsi="宋体"/>
          <w:sz w:val="24"/>
        </w:rPr>
      </w:pPr>
      <w:r>
        <w:rPr>
          <w:rFonts w:hint="eastAsia" w:ascii="宋体" w:hAnsi="宋体"/>
          <w:sz w:val="24"/>
        </w:rPr>
        <w:t>只需做出承诺，不再提供相关证明原件及复印件。</w:t>
      </w:r>
    </w:p>
    <w:p>
      <w:pPr>
        <w:widowControl/>
        <w:spacing w:line="360" w:lineRule="auto"/>
        <w:ind w:right="714"/>
        <w:jc w:val="center"/>
        <w:rPr>
          <w:rFonts w:asciiTheme="minorEastAsia" w:hAnsiTheme="minorEastAsia" w:eastAsiaTheme="minorEastAsia"/>
          <w:bCs/>
          <w:sz w:val="24"/>
        </w:rPr>
      </w:pPr>
      <w:r>
        <w:rPr>
          <w:rFonts w:asciiTheme="minorEastAsia" w:hAnsiTheme="minorEastAsia" w:eastAsiaTheme="minorEastAsia"/>
          <w:bCs/>
          <w:sz w:val="24"/>
        </w:rPr>
        <w:br w:type="page"/>
      </w:r>
    </w:p>
    <w:p>
      <w:pPr>
        <w:pStyle w:val="4"/>
        <w:keepNext w:val="0"/>
        <w:keepLines w:val="0"/>
        <w:adjustRightInd w:val="0"/>
        <w:snapToGrid w:val="0"/>
        <w:spacing w:beforeLines="50" w:after="0" w:line="400" w:lineRule="exact"/>
        <w:rPr>
          <w:rFonts w:ascii="宋体" w:hAnsi="宋体"/>
          <w:sz w:val="24"/>
          <w:szCs w:val="24"/>
        </w:rPr>
      </w:pPr>
      <w:bookmarkStart w:id="5" w:name="_Toc2209"/>
      <w:bookmarkStart w:id="6" w:name="_Toc486277863"/>
      <w:bookmarkStart w:id="7" w:name="_Toc485889002"/>
      <w:r>
        <w:rPr>
          <w:rFonts w:ascii="宋体" w:hAnsi="宋体"/>
          <w:sz w:val="24"/>
          <w:szCs w:val="24"/>
        </w:rPr>
        <w:t>1. 总则</w:t>
      </w:r>
      <w:bookmarkEnd w:id="5"/>
      <w:bookmarkEnd w:id="6"/>
      <w:bookmarkEnd w:id="7"/>
    </w:p>
    <w:p>
      <w:pPr>
        <w:pStyle w:val="4"/>
        <w:keepNext w:val="0"/>
        <w:keepLines w:val="0"/>
        <w:adjustRightInd w:val="0"/>
        <w:snapToGrid w:val="0"/>
        <w:spacing w:beforeLines="50" w:after="0" w:line="400" w:lineRule="exact"/>
        <w:rPr>
          <w:rFonts w:ascii="宋体" w:hAnsi="宋体"/>
          <w:sz w:val="24"/>
          <w:szCs w:val="24"/>
        </w:rPr>
      </w:pPr>
      <w:bookmarkStart w:id="8" w:name="_Toc486277864"/>
      <w:bookmarkStart w:id="9" w:name="_Toc29730"/>
      <w:bookmarkStart w:id="10" w:name="_Toc485889003"/>
      <w:bookmarkStart w:id="11" w:name="_Toc234382590"/>
      <w:r>
        <w:rPr>
          <w:rFonts w:ascii="宋体" w:hAnsi="宋体"/>
          <w:sz w:val="24"/>
          <w:szCs w:val="24"/>
        </w:rPr>
        <w:t>1.1 项目概况</w:t>
      </w:r>
      <w:bookmarkEnd w:id="8"/>
      <w:bookmarkEnd w:id="9"/>
      <w:bookmarkEnd w:id="10"/>
      <w:bookmarkEnd w:id="11"/>
    </w:p>
    <w:p>
      <w:pPr>
        <w:adjustRightInd w:val="0"/>
        <w:snapToGrid w:val="0"/>
        <w:spacing w:line="400" w:lineRule="exact"/>
        <w:ind w:firstLine="480"/>
        <w:rPr>
          <w:rFonts w:ascii="宋体" w:hAnsi="宋体"/>
          <w:sz w:val="24"/>
        </w:rPr>
      </w:pPr>
      <w:bookmarkStart w:id="12" w:name="_Toc234382591"/>
      <w:r>
        <w:rPr>
          <w:rFonts w:hint="eastAsia" w:ascii="宋体" w:hAnsi="宋体"/>
          <w:sz w:val="24"/>
        </w:rPr>
        <w:t>1.1.1根据《中华人民共和国招标投标法》等有关法律、法规和规章的规定，本招标项目已具备招标条件，现对本工程施工进行招标，</w:t>
      </w:r>
      <w:r>
        <w:rPr>
          <w:rFonts w:hint="eastAsia" w:ascii="宋体" w:hAnsi="宋体" w:cs="宋体"/>
          <w:sz w:val="24"/>
        </w:rPr>
        <w:t>择优选定投标人。</w:t>
      </w:r>
    </w:p>
    <w:p>
      <w:pPr>
        <w:adjustRightInd w:val="0"/>
        <w:snapToGrid w:val="0"/>
        <w:spacing w:line="400" w:lineRule="exact"/>
        <w:ind w:firstLine="480"/>
        <w:rPr>
          <w:rFonts w:ascii="宋体" w:hAnsi="宋体"/>
          <w:sz w:val="24"/>
        </w:rPr>
      </w:pPr>
      <w:r>
        <w:rPr>
          <w:rFonts w:hint="eastAsia" w:ascii="宋体" w:hAnsi="宋体"/>
          <w:sz w:val="24"/>
        </w:rPr>
        <w:t>1.1.2 本招标项目招标人：见投标人须知前附表。</w:t>
      </w:r>
    </w:p>
    <w:p>
      <w:pPr>
        <w:adjustRightInd w:val="0"/>
        <w:snapToGrid w:val="0"/>
        <w:spacing w:line="400" w:lineRule="exact"/>
        <w:ind w:firstLine="480"/>
        <w:rPr>
          <w:rFonts w:ascii="宋体" w:hAnsi="宋体"/>
          <w:sz w:val="24"/>
        </w:rPr>
      </w:pPr>
      <w:r>
        <w:rPr>
          <w:rFonts w:hint="eastAsia" w:ascii="宋体" w:hAnsi="宋体"/>
          <w:sz w:val="24"/>
        </w:rPr>
        <w:t>1.1.3 本招标项目代理机构：见投标人须知前附表。</w:t>
      </w:r>
    </w:p>
    <w:p>
      <w:pPr>
        <w:adjustRightInd w:val="0"/>
        <w:snapToGrid w:val="0"/>
        <w:spacing w:line="400" w:lineRule="exact"/>
        <w:ind w:firstLine="480"/>
        <w:rPr>
          <w:rFonts w:ascii="宋体" w:hAnsi="宋体"/>
          <w:sz w:val="24"/>
        </w:rPr>
      </w:pPr>
      <w:r>
        <w:rPr>
          <w:rFonts w:hint="eastAsia" w:ascii="宋体" w:hAnsi="宋体"/>
          <w:sz w:val="24"/>
        </w:rPr>
        <w:t>1.1.4 本招标项目名称：见投标人须知前附表。</w:t>
      </w:r>
    </w:p>
    <w:p>
      <w:pPr>
        <w:adjustRightInd w:val="0"/>
        <w:snapToGrid w:val="0"/>
        <w:spacing w:line="400" w:lineRule="exact"/>
        <w:ind w:firstLine="480"/>
        <w:rPr>
          <w:rFonts w:ascii="宋体" w:hAnsi="宋体"/>
          <w:sz w:val="24"/>
        </w:rPr>
      </w:pPr>
      <w:r>
        <w:rPr>
          <w:rFonts w:hint="eastAsia" w:ascii="宋体" w:hAnsi="宋体"/>
          <w:sz w:val="24"/>
        </w:rPr>
        <w:t>1.1.5 本招标项目建设地点：见投标人须知前附表。</w:t>
      </w:r>
    </w:p>
    <w:p>
      <w:pPr>
        <w:pStyle w:val="4"/>
        <w:keepNext w:val="0"/>
        <w:keepLines w:val="0"/>
        <w:adjustRightInd w:val="0"/>
        <w:snapToGrid w:val="0"/>
        <w:spacing w:beforeLines="50" w:after="0" w:line="400" w:lineRule="exact"/>
        <w:rPr>
          <w:rFonts w:ascii="宋体" w:hAnsi="宋体"/>
          <w:sz w:val="24"/>
          <w:szCs w:val="24"/>
        </w:rPr>
      </w:pPr>
      <w:bookmarkStart w:id="13" w:name="_Toc485889004"/>
      <w:bookmarkStart w:id="14" w:name="_Toc486277865"/>
      <w:bookmarkStart w:id="15" w:name="_Toc14323"/>
      <w:r>
        <w:rPr>
          <w:rFonts w:ascii="宋体" w:hAnsi="宋体"/>
          <w:sz w:val="24"/>
          <w:szCs w:val="24"/>
        </w:rPr>
        <w:t>1.</w:t>
      </w:r>
      <w:r>
        <w:rPr>
          <w:rFonts w:hint="eastAsia" w:ascii="宋体" w:hAnsi="宋体"/>
          <w:sz w:val="24"/>
          <w:szCs w:val="24"/>
        </w:rPr>
        <w:t>2</w:t>
      </w:r>
      <w:r>
        <w:rPr>
          <w:rFonts w:ascii="宋体" w:hAnsi="宋体"/>
          <w:sz w:val="24"/>
          <w:szCs w:val="24"/>
        </w:rPr>
        <w:t>资金来源和落实情况</w:t>
      </w:r>
      <w:bookmarkEnd w:id="12"/>
      <w:bookmarkEnd w:id="13"/>
      <w:bookmarkEnd w:id="14"/>
      <w:bookmarkEnd w:id="15"/>
    </w:p>
    <w:p>
      <w:pPr>
        <w:adjustRightInd w:val="0"/>
        <w:snapToGrid w:val="0"/>
        <w:spacing w:line="400" w:lineRule="exact"/>
        <w:ind w:firstLine="480"/>
        <w:rPr>
          <w:rFonts w:ascii="宋体" w:hAnsi="宋体"/>
          <w:sz w:val="24"/>
        </w:rPr>
      </w:pPr>
      <w:r>
        <w:rPr>
          <w:rFonts w:hint="eastAsia" w:ascii="宋体" w:hAnsi="宋体"/>
          <w:sz w:val="24"/>
        </w:rPr>
        <w:t>1.2.1 本招标项目的资金来源：见投标人须知前附表。</w:t>
      </w:r>
    </w:p>
    <w:p>
      <w:pPr>
        <w:adjustRightInd w:val="0"/>
        <w:snapToGrid w:val="0"/>
        <w:spacing w:line="400" w:lineRule="exact"/>
        <w:ind w:firstLine="480"/>
        <w:rPr>
          <w:rFonts w:ascii="宋体" w:hAnsi="宋体"/>
          <w:sz w:val="24"/>
        </w:rPr>
      </w:pPr>
      <w:r>
        <w:rPr>
          <w:rFonts w:hint="eastAsia" w:ascii="宋体" w:hAnsi="宋体"/>
          <w:sz w:val="24"/>
        </w:rPr>
        <w:t>1.2.2 本招标项目的出资比例：见投标人须知前附表。</w:t>
      </w:r>
    </w:p>
    <w:p>
      <w:pPr>
        <w:adjustRightInd w:val="0"/>
        <w:snapToGrid w:val="0"/>
        <w:spacing w:line="400" w:lineRule="exact"/>
        <w:ind w:firstLine="480" w:firstLineChars="200"/>
        <w:rPr>
          <w:rFonts w:ascii="宋体" w:hAnsi="宋体"/>
          <w:sz w:val="24"/>
        </w:rPr>
      </w:pPr>
      <w:r>
        <w:rPr>
          <w:rFonts w:hint="eastAsia" w:ascii="宋体" w:hAnsi="宋体"/>
          <w:sz w:val="24"/>
        </w:rPr>
        <w:t>1.2.3 本招标项目的资金落实情况：见投标人须知前附表。</w:t>
      </w:r>
    </w:p>
    <w:p>
      <w:pPr>
        <w:pStyle w:val="4"/>
        <w:keepNext w:val="0"/>
        <w:keepLines w:val="0"/>
        <w:adjustRightInd w:val="0"/>
        <w:snapToGrid w:val="0"/>
        <w:spacing w:beforeLines="50" w:after="0" w:line="400" w:lineRule="exact"/>
        <w:rPr>
          <w:rFonts w:ascii="宋体" w:hAnsi="宋体"/>
          <w:sz w:val="24"/>
          <w:szCs w:val="24"/>
        </w:rPr>
      </w:pPr>
      <w:bookmarkStart w:id="16" w:name="_Toc17973"/>
      <w:bookmarkStart w:id="17" w:name="_Toc234382592"/>
      <w:bookmarkStart w:id="18" w:name="_Toc485889005"/>
      <w:bookmarkStart w:id="19" w:name="_Toc486277866"/>
      <w:r>
        <w:rPr>
          <w:rFonts w:ascii="宋体" w:hAnsi="宋体"/>
          <w:sz w:val="24"/>
          <w:szCs w:val="24"/>
        </w:rPr>
        <w:t>1.3 招标范围、计划工期和质量要求</w:t>
      </w:r>
      <w:bookmarkEnd w:id="16"/>
      <w:bookmarkEnd w:id="17"/>
      <w:bookmarkEnd w:id="18"/>
      <w:bookmarkEnd w:id="19"/>
    </w:p>
    <w:p>
      <w:pPr>
        <w:adjustRightInd w:val="0"/>
        <w:snapToGrid w:val="0"/>
        <w:spacing w:line="400" w:lineRule="exact"/>
        <w:ind w:firstLine="480" w:firstLineChars="200"/>
        <w:rPr>
          <w:rFonts w:ascii="宋体" w:hAnsi="宋体"/>
          <w:sz w:val="24"/>
        </w:rPr>
      </w:pPr>
      <w:r>
        <w:rPr>
          <w:rFonts w:ascii="宋体" w:hAnsi="宋体"/>
          <w:sz w:val="24"/>
        </w:rPr>
        <w:t>1.3.1 本次招标范围：见投标人须知前附表。</w:t>
      </w:r>
    </w:p>
    <w:p>
      <w:pPr>
        <w:adjustRightInd w:val="0"/>
        <w:snapToGrid w:val="0"/>
        <w:spacing w:line="400" w:lineRule="exact"/>
        <w:ind w:firstLine="480" w:firstLineChars="200"/>
        <w:rPr>
          <w:rFonts w:ascii="宋体" w:hAnsi="宋体"/>
          <w:sz w:val="24"/>
        </w:rPr>
      </w:pPr>
      <w:r>
        <w:rPr>
          <w:rFonts w:ascii="宋体" w:hAnsi="宋体"/>
          <w:sz w:val="24"/>
        </w:rPr>
        <w:t>1.3.2 本</w:t>
      </w:r>
      <w:r>
        <w:rPr>
          <w:rFonts w:hint="eastAsia" w:ascii="宋体" w:hAnsi="宋体"/>
          <w:sz w:val="24"/>
        </w:rPr>
        <w:t>招标项目</w:t>
      </w:r>
      <w:r>
        <w:rPr>
          <w:rFonts w:ascii="宋体" w:hAnsi="宋体"/>
          <w:sz w:val="24"/>
        </w:rPr>
        <w:t>的计划工期：见投标人须知前附表。</w:t>
      </w:r>
    </w:p>
    <w:p>
      <w:pPr>
        <w:adjustRightInd w:val="0"/>
        <w:snapToGrid w:val="0"/>
        <w:spacing w:line="400" w:lineRule="exact"/>
        <w:ind w:firstLine="480" w:firstLineChars="200"/>
        <w:rPr>
          <w:rFonts w:ascii="宋体" w:hAnsi="宋体"/>
          <w:sz w:val="24"/>
        </w:rPr>
      </w:pPr>
      <w:r>
        <w:rPr>
          <w:rFonts w:ascii="宋体" w:hAnsi="宋体"/>
          <w:sz w:val="24"/>
        </w:rPr>
        <w:t>1.3.3 本</w:t>
      </w:r>
      <w:r>
        <w:rPr>
          <w:rFonts w:hint="eastAsia" w:ascii="宋体" w:hAnsi="宋体"/>
          <w:sz w:val="24"/>
        </w:rPr>
        <w:t>招标项目</w:t>
      </w:r>
      <w:r>
        <w:rPr>
          <w:rFonts w:ascii="宋体" w:hAnsi="宋体"/>
          <w:sz w:val="24"/>
        </w:rPr>
        <w:t>的质量要求：见投标人须知前附表。</w:t>
      </w:r>
    </w:p>
    <w:p>
      <w:pPr>
        <w:pStyle w:val="4"/>
        <w:keepNext w:val="0"/>
        <w:keepLines w:val="0"/>
        <w:adjustRightInd w:val="0"/>
        <w:snapToGrid w:val="0"/>
        <w:spacing w:beforeLines="50" w:after="0" w:line="400" w:lineRule="exact"/>
        <w:rPr>
          <w:rFonts w:ascii="宋体" w:hAnsi="宋体"/>
          <w:sz w:val="24"/>
          <w:szCs w:val="24"/>
        </w:rPr>
      </w:pPr>
      <w:bookmarkStart w:id="20" w:name="_Toc485889006"/>
      <w:bookmarkStart w:id="21" w:name="_Toc234382594"/>
      <w:bookmarkStart w:id="22" w:name="_Toc486277867"/>
      <w:bookmarkStart w:id="23" w:name="_Toc2109"/>
      <w:r>
        <w:rPr>
          <w:rFonts w:ascii="宋体" w:hAnsi="宋体"/>
          <w:sz w:val="24"/>
          <w:szCs w:val="24"/>
        </w:rPr>
        <w:t>1.4 投标人资格要求（适用于未进行资格预审的）</w:t>
      </w:r>
      <w:bookmarkEnd w:id="20"/>
      <w:bookmarkEnd w:id="21"/>
      <w:bookmarkEnd w:id="22"/>
      <w:bookmarkEnd w:id="23"/>
    </w:p>
    <w:p>
      <w:pPr>
        <w:adjustRightInd w:val="0"/>
        <w:snapToGrid w:val="0"/>
        <w:spacing w:line="400" w:lineRule="exact"/>
        <w:ind w:firstLine="480" w:firstLineChars="200"/>
        <w:rPr>
          <w:rFonts w:ascii="宋体" w:hAnsi="宋体"/>
          <w:sz w:val="24"/>
        </w:rPr>
      </w:pPr>
      <w:r>
        <w:rPr>
          <w:rFonts w:ascii="宋体" w:hAnsi="宋体"/>
          <w:sz w:val="24"/>
        </w:rPr>
        <w:t>1.4.1 投标人应具备承担本</w:t>
      </w:r>
      <w:r>
        <w:rPr>
          <w:rFonts w:hint="eastAsia" w:ascii="宋体" w:hAnsi="宋体"/>
          <w:sz w:val="24"/>
        </w:rPr>
        <w:t>项目</w:t>
      </w:r>
      <w:r>
        <w:rPr>
          <w:rFonts w:ascii="宋体" w:hAnsi="宋体"/>
          <w:sz w:val="24"/>
        </w:rPr>
        <w:t>施工的资质条件、能力和信誉。</w:t>
      </w:r>
    </w:p>
    <w:p>
      <w:pPr>
        <w:adjustRightInd w:val="0"/>
        <w:snapToGrid w:val="0"/>
        <w:spacing w:line="400" w:lineRule="exact"/>
        <w:ind w:firstLine="480" w:firstLineChars="200"/>
        <w:rPr>
          <w:rFonts w:ascii="宋体" w:hAnsi="宋体"/>
          <w:sz w:val="24"/>
        </w:rPr>
      </w:pPr>
      <w:r>
        <w:rPr>
          <w:rFonts w:ascii="宋体" w:hAnsi="宋体"/>
          <w:sz w:val="24"/>
        </w:rPr>
        <w:t>（1）资质条件：见投标人须知前附表；</w:t>
      </w:r>
    </w:p>
    <w:p>
      <w:pPr>
        <w:adjustRightInd w:val="0"/>
        <w:snapToGrid w:val="0"/>
        <w:spacing w:line="400" w:lineRule="exact"/>
        <w:ind w:firstLine="480" w:firstLineChars="200"/>
        <w:rPr>
          <w:rFonts w:ascii="宋体" w:hAnsi="宋体"/>
          <w:sz w:val="24"/>
        </w:rPr>
      </w:pPr>
      <w:r>
        <w:rPr>
          <w:rFonts w:ascii="宋体" w:hAnsi="宋体"/>
          <w:sz w:val="24"/>
        </w:rPr>
        <w:t>（2）财务要求：见投标人须知前附表；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（3）业绩要求：见投标人须知前附表；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（4）信誉要求：见投标人须知前附表;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（5）项目经理</w:t>
      </w:r>
      <w:r>
        <w:rPr>
          <w:rFonts w:hint="eastAsia" w:asciiTheme="minorEastAsia" w:hAnsiTheme="minorEastAsia" w:eastAsiaTheme="minorEastAsia"/>
          <w:sz w:val="24"/>
        </w:rPr>
        <w:t>和项目总工</w:t>
      </w:r>
      <w:r>
        <w:rPr>
          <w:rFonts w:ascii="宋体" w:hAnsi="宋体"/>
          <w:sz w:val="24"/>
        </w:rPr>
        <w:t>资格：见投标人须知前附表；</w:t>
      </w:r>
    </w:p>
    <w:p>
      <w:pPr>
        <w:adjustRightInd w:val="0"/>
        <w:snapToGrid w:val="0"/>
        <w:spacing w:line="400" w:lineRule="exact"/>
        <w:ind w:firstLine="480" w:firstLineChars="200"/>
        <w:rPr>
          <w:rFonts w:ascii="宋体" w:hAnsi="宋体"/>
          <w:sz w:val="24"/>
        </w:rPr>
      </w:pPr>
      <w:r>
        <w:rPr>
          <w:rFonts w:ascii="宋体" w:hAnsi="宋体"/>
          <w:sz w:val="24"/>
        </w:rPr>
        <w:t>（6）</w:t>
      </w:r>
      <w:r>
        <w:rPr>
          <w:rFonts w:hint="eastAsia" w:ascii="宋体" w:hAnsi="宋体"/>
          <w:sz w:val="24"/>
        </w:rPr>
        <w:t>其他</w:t>
      </w:r>
      <w:r>
        <w:rPr>
          <w:rFonts w:ascii="宋体" w:hAnsi="宋体"/>
          <w:sz w:val="24"/>
        </w:rPr>
        <w:t>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 xml:space="preserve">1.4.2 </w:t>
      </w:r>
      <w:r>
        <w:rPr>
          <w:rFonts w:hint="eastAsia" w:ascii="宋体" w:hAnsi="宋体"/>
          <w:sz w:val="24"/>
        </w:rPr>
        <w:t>本次招标不</w:t>
      </w:r>
      <w:r>
        <w:rPr>
          <w:rFonts w:ascii="宋体" w:hAnsi="宋体"/>
          <w:sz w:val="24"/>
        </w:rPr>
        <w:t>接受联合体</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ascii="宋体" w:hAnsi="宋体"/>
          <w:sz w:val="24"/>
        </w:rPr>
        <w:t>1.4.3 投标人不得存在下列情形之一：</w:t>
      </w:r>
    </w:p>
    <w:p>
      <w:pPr>
        <w:adjustRightInd w:val="0"/>
        <w:snapToGrid w:val="0"/>
        <w:spacing w:line="400" w:lineRule="exact"/>
        <w:ind w:firstLine="480" w:firstLineChars="200"/>
        <w:rPr>
          <w:rFonts w:ascii="宋体" w:hAnsi="宋体"/>
          <w:sz w:val="24"/>
        </w:rPr>
      </w:pPr>
      <w:r>
        <w:rPr>
          <w:rFonts w:ascii="宋体" w:hAnsi="宋体"/>
          <w:sz w:val="24"/>
        </w:rPr>
        <w:t>（1）为招标人不具有独立法人资格的附属机构（单位）；</w:t>
      </w:r>
    </w:p>
    <w:p>
      <w:pPr>
        <w:adjustRightInd w:val="0"/>
        <w:snapToGrid w:val="0"/>
        <w:spacing w:line="400" w:lineRule="exact"/>
        <w:ind w:firstLine="480" w:firstLineChars="200"/>
        <w:rPr>
          <w:rFonts w:ascii="宋体" w:hAnsi="宋体"/>
          <w:sz w:val="24"/>
        </w:rPr>
      </w:pPr>
      <w:r>
        <w:rPr>
          <w:rFonts w:ascii="宋体" w:hAnsi="宋体"/>
          <w:sz w:val="24"/>
        </w:rPr>
        <w:t>（2）为本标段前期准备提供设计或咨询服务的，但设计施工总承包的除外；</w:t>
      </w:r>
    </w:p>
    <w:p>
      <w:pPr>
        <w:adjustRightInd w:val="0"/>
        <w:snapToGrid w:val="0"/>
        <w:spacing w:line="400" w:lineRule="exact"/>
        <w:ind w:firstLine="480" w:firstLineChars="200"/>
        <w:rPr>
          <w:rFonts w:ascii="宋体" w:hAnsi="宋体"/>
          <w:sz w:val="24"/>
        </w:rPr>
      </w:pPr>
      <w:r>
        <w:rPr>
          <w:rFonts w:ascii="宋体" w:hAnsi="宋体"/>
          <w:sz w:val="24"/>
        </w:rPr>
        <w:t>（3）为本标段的监理人；</w:t>
      </w:r>
    </w:p>
    <w:p>
      <w:pPr>
        <w:adjustRightInd w:val="0"/>
        <w:snapToGrid w:val="0"/>
        <w:spacing w:line="400" w:lineRule="exact"/>
        <w:ind w:firstLine="480" w:firstLineChars="200"/>
        <w:rPr>
          <w:rFonts w:ascii="宋体" w:hAnsi="宋体"/>
          <w:sz w:val="24"/>
        </w:rPr>
      </w:pPr>
      <w:r>
        <w:rPr>
          <w:rFonts w:ascii="宋体" w:hAnsi="宋体"/>
          <w:sz w:val="24"/>
        </w:rPr>
        <w:t>（4）为本标段的代建人；</w:t>
      </w:r>
    </w:p>
    <w:p>
      <w:pPr>
        <w:adjustRightInd w:val="0"/>
        <w:snapToGrid w:val="0"/>
        <w:spacing w:line="400" w:lineRule="exact"/>
        <w:ind w:firstLine="480" w:firstLineChars="200"/>
        <w:rPr>
          <w:rFonts w:ascii="宋体" w:hAnsi="宋体"/>
          <w:sz w:val="24"/>
        </w:rPr>
      </w:pPr>
      <w:r>
        <w:rPr>
          <w:rFonts w:ascii="宋体" w:hAnsi="宋体"/>
          <w:sz w:val="24"/>
        </w:rPr>
        <w:t>（5）为本标段提供招标代理服务的；</w:t>
      </w:r>
    </w:p>
    <w:p>
      <w:pPr>
        <w:adjustRightInd w:val="0"/>
        <w:snapToGrid w:val="0"/>
        <w:spacing w:line="400" w:lineRule="exact"/>
        <w:ind w:firstLine="480" w:firstLineChars="200"/>
        <w:rPr>
          <w:rFonts w:ascii="宋体" w:hAnsi="宋体"/>
          <w:sz w:val="24"/>
        </w:rPr>
      </w:pPr>
      <w:r>
        <w:rPr>
          <w:rFonts w:ascii="宋体" w:hAnsi="宋体"/>
          <w:sz w:val="24"/>
        </w:rPr>
        <w:t>（6）与本标段的监理人或代建人或招标代理机构同为一个法定代表人的；</w:t>
      </w:r>
    </w:p>
    <w:p>
      <w:pPr>
        <w:adjustRightInd w:val="0"/>
        <w:snapToGrid w:val="0"/>
        <w:spacing w:line="400" w:lineRule="exact"/>
        <w:ind w:firstLine="480" w:firstLineChars="200"/>
        <w:rPr>
          <w:rFonts w:ascii="宋体" w:hAnsi="宋体"/>
          <w:sz w:val="24"/>
        </w:rPr>
      </w:pPr>
      <w:r>
        <w:rPr>
          <w:rFonts w:ascii="宋体" w:hAnsi="宋体"/>
          <w:sz w:val="24"/>
        </w:rPr>
        <w:t>（7）与本标段的监理人或代建人或招标代理机构相互控股或参股的；</w:t>
      </w:r>
    </w:p>
    <w:p>
      <w:pPr>
        <w:adjustRightInd w:val="0"/>
        <w:snapToGrid w:val="0"/>
        <w:spacing w:line="400" w:lineRule="exact"/>
        <w:ind w:firstLine="480" w:firstLineChars="200"/>
        <w:rPr>
          <w:rFonts w:ascii="宋体" w:hAnsi="宋体"/>
          <w:sz w:val="24"/>
        </w:rPr>
      </w:pPr>
      <w:r>
        <w:rPr>
          <w:rFonts w:ascii="宋体" w:hAnsi="宋体"/>
          <w:sz w:val="24"/>
        </w:rPr>
        <w:t>（8）与本标段的监理人或代建人或招标代理机构相互任职或工作的；</w:t>
      </w:r>
    </w:p>
    <w:p>
      <w:pPr>
        <w:adjustRightInd w:val="0"/>
        <w:snapToGrid w:val="0"/>
        <w:spacing w:line="400" w:lineRule="exact"/>
        <w:ind w:firstLine="480" w:firstLineChars="200"/>
        <w:rPr>
          <w:rFonts w:ascii="宋体" w:hAnsi="宋体"/>
          <w:sz w:val="24"/>
        </w:rPr>
      </w:pPr>
      <w:r>
        <w:rPr>
          <w:rFonts w:ascii="宋体" w:hAnsi="宋体"/>
          <w:sz w:val="24"/>
        </w:rPr>
        <w:t>（9）被责令停业的；</w:t>
      </w:r>
    </w:p>
    <w:p>
      <w:pPr>
        <w:adjustRightInd w:val="0"/>
        <w:snapToGrid w:val="0"/>
        <w:spacing w:line="400" w:lineRule="exact"/>
        <w:ind w:firstLine="480" w:firstLineChars="200"/>
        <w:rPr>
          <w:rFonts w:ascii="宋体" w:hAnsi="宋体"/>
          <w:sz w:val="24"/>
        </w:rPr>
      </w:pPr>
      <w:r>
        <w:rPr>
          <w:rFonts w:ascii="宋体" w:hAnsi="宋体"/>
          <w:sz w:val="24"/>
        </w:rPr>
        <w:t>（10）被暂停或取消投标资格的；</w:t>
      </w:r>
    </w:p>
    <w:p>
      <w:pPr>
        <w:adjustRightInd w:val="0"/>
        <w:snapToGrid w:val="0"/>
        <w:spacing w:line="400" w:lineRule="exact"/>
        <w:ind w:firstLine="480" w:firstLineChars="200"/>
        <w:rPr>
          <w:rFonts w:ascii="宋体" w:hAnsi="宋体"/>
          <w:sz w:val="24"/>
        </w:rPr>
      </w:pPr>
      <w:r>
        <w:rPr>
          <w:rFonts w:ascii="宋体" w:hAnsi="宋体"/>
          <w:sz w:val="24"/>
        </w:rPr>
        <w:t>（11）财产被接管或冻结的；</w:t>
      </w:r>
    </w:p>
    <w:p>
      <w:pPr>
        <w:adjustRightInd w:val="0"/>
        <w:snapToGrid w:val="0"/>
        <w:spacing w:line="400" w:lineRule="exact"/>
        <w:ind w:firstLine="480" w:firstLineChars="200"/>
        <w:rPr>
          <w:rFonts w:ascii="宋体" w:hAnsi="宋体"/>
          <w:sz w:val="24"/>
        </w:rPr>
      </w:pPr>
      <w:r>
        <w:rPr>
          <w:rFonts w:ascii="宋体" w:hAnsi="宋体"/>
          <w:sz w:val="24"/>
        </w:rPr>
        <w:t>（12）在最近三年内有骗取中标或严重违约或重大工程质量问题的</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hint="eastAsia" w:ascii="宋体" w:hAnsi="宋体"/>
          <w:sz w:val="24"/>
        </w:rPr>
        <w:t>（13）涉及正在诉讼的案件，或涉及正在诉讼的案件但经审查委员会认定不会对承担本项目造成重大影响；</w:t>
      </w:r>
    </w:p>
    <w:p>
      <w:pPr>
        <w:adjustRightInd w:val="0"/>
        <w:snapToGrid w:val="0"/>
        <w:spacing w:line="400" w:lineRule="exact"/>
        <w:ind w:firstLine="480" w:firstLineChars="200"/>
        <w:rPr>
          <w:rFonts w:ascii="宋体" w:hAnsi="宋体"/>
          <w:sz w:val="24"/>
        </w:rPr>
      </w:pPr>
      <w:r>
        <w:rPr>
          <w:rFonts w:hint="eastAsia" w:ascii="宋体" w:hAnsi="宋体"/>
          <w:sz w:val="24"/>
        </w:rPr>
        <w:t>（14）被省级及以上交通主管部门取消项目所在地的投标资格或禁止进入该区域公路建设市场且处于有效期内；</w:t>
      </w:r>
    </w:p>
    <w:p>
      <w:pPr>
        <w:adjustRightInd w:val="0"/>
        <w:snapToGrid w:val="0"/>
        <w:spacing w:line="400" w:lineRule="exact"/>
        <w:ind w:firstLine="480" w:firstLineChars="200"/>
        <w:rPr>
          <w:rFonts w:ascii="宋体" w:hAnsi="宋体"/>
          <w:sz w:val="24"/>
        </w:rPr>
      </w:pPr>
      <w:r>
        <w:rPr>
          <w:rFonts w:hint="eastAsia" w:ascii="宋体" w:hAnsi="宋体"/>
          <w:sz w:val="24"/>
        </w:rPr>
        <w:t>（15）为投资参股本项目的法人单位。</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1.4.4 投标人（包括联合体各成员）不得存在下列不良状况或不良信用记录：</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（1）被省级及以上交通运输主管部门取消招标项目所在地的投标资格且处于有效期内；</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r>
        <w:rPr>
          <w:rFonts w:hint="eastAsia" w:asciiTheme="minorEastAsia" w:hAnsiTheme="minorEastAsia" w:eastAsiaTheme="minorEastAsia"/>
          <w:sz w:val="24"/>
        </w:rPr>
        <w:t>根据《河南省公路建设市场从业单位及人员信用管理办法》第二十一条信用考核定级为D级即黑名单。</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（3）被责令停业，暂扣或吊销执照，或吊销资质证书；</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（4）进入清算程序，或被宣告破产，或其他丧失履约能力的情形；</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（5）在国家企业信用信息公示系统中被列入经营异常名录或严重失信黑名单；</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（6）在“信用中国”和“信用河南”网站中被列入黑名单；</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（7）法律法规或投标人须知前附表规定的其他情形。</w:t>
      </w:r>
    </w:p>
    <w:p>
      <w:pPr>
        <w:pStyle w:val="4"/>
        <w:keepNext w:val="0"/>
        <w:keepLines w:val="0"/>
        <w:adjustRightInd w:val="0"/>
        <w:snapToGrid w:val="0"/>
        <w:spacing w:beforeLines="50" w:after="0" w:line="400" w:lineRule="exact"/>
        <w:rPr>
          <w:rFonts w:ascii="宋体" w:hAnsi="宋体"/>
          <w:sz w:val="24"/>
          <w:szCs w:val="24"/>
        </w:rPr>
      </w:pPr>
      <w:bookmarkStart w:id="24" w:name="_Toc485889007"/>
      <w:bookmarkStart w:id="25" w:name="_Toc486277868"/>
      <w:bookmarkStart w:id="26" w:name="_Toc234382595"/>
      <w:bookmarkStart w:id="27" w:name="_Toc19946"/>
      <w:r>
        <w:rPr>
          <w:rFonts w:ascii="宋体" w:hAnsi="宋体"/>
          <w:sz w:val="24"/>
          <w:szCs w:val="24"/>
        </w:rPr>
        <w:t>1.5 费用承担</w:t>
      </w:r>
      <w:bookmarkEnd w:id="24"/>
      <w:bookmarkEnd w:id="25"/>
      <w:bookmarkEnd w:id="26"/>
      <w:bookmarkEnd w:id="27"/>
    </w:p>
    <w:p>
      <w:pPr>
        <w:adjustRightInd w:val="0"/>
        <w:snapToGrid w:val="0"/>
        <w:spacing w:line="400" w:lineRule="exact"/>
        <w:ind w:firstLine="480" w:firstLineChars="200"/>
        <w:rPr>
          <w:rFonts w:ascii="宋体" w:hAnsi="宋体"/>
          <w:sz w:val="24"/>
        </w:rPr>
      </w:pPr>
      <w:r>
        <w:rPr>
          <w:rFonts w:ascii="宋体" w:hAnsi="宋体"/>
          <w:sz w:val="24"/>
        </w:rPr>
        <w:t>投标人准备和参加投标活动发生的费用自理。</w:t>
      </w:r>
    </w:p>
    <w:p>
      <w:pPr>
        <w:pStyle w:val="4"/>
        <w:keepNext w:val="0"/>
        <w:keepLines w:val="0"/>
        <w:adjustRightInd w:val="0"/>
        <w:snapToGrid w:val="0"/>
        <w:spacing w:beforeLines="50" w:after="0" w:line="400" w:lineRule="exact"/>
        <w:rPr>
          <w:rFonts w:ascii="宋体" w:hAnsi="宋体"/>
          <w:sz w:val="24"/>
          <w:szCs w:val="24"/>
        </w:rPr>
      </w:pPr>
      <w:bookmarkStart w:id="28" w:name="_Toc234382596"/>
      <w:bookmarkStart w:id="29" w:name="_Toc485889008"/>
      <w:bookmarkStart w:id="30" w:name="_Toc8968"/>
      <w:bookmarkStart w:id="31" w:name="_Toc486277869"/>
      <w:r>
        <w:rPr>
          <w:rFonts w:ascii="宋体" w:hAnsi="宋体"/>
          <w:sz w:val="24"/>
          <w:szCs w:val="24"/>
        </w:rPr>
        <w:t>1.6 保密</w:t>
      </w:r>
      <w:bookmarkEnd w:id="28"/>
      <w:bookmarkEnd w:id="29"/>
      <w:bookmarkEnd w:id="30"/>
      <w:bookmarkEnd w:id="31"/>
    </w:p>
    <w:p>
      <w:pPr>
        <w:adjustRightInd w:val="0"/>
        <w:snapToGrid w:val="0"/>
        <w:spacing w:line="400" w:lineRule="exact"/>
        <w:ind w:firstLine="480" w:firstLineChars="200"/>
        <w:rPr>
          <w:rFonts w:ascii="宋体" w:hAnsi="宋体"/>
          <w:sz w:val="24"/>
        </w:rPr>
      </w:pPr>
      <w:r>
        <w:rPr>
          <w:rFonts w:ascii="宋体" w:hAnsi="宋体"/>
          <w:sz w:val="24"/>
        </w:rPr>
        <w:t>参与招标投标活动的各方应对招标文件和投标文件中的商业和技术等秘密保密，违者应对由此造成的后果承担法律责任。</w:t>
      </w:r>
    </w:p>
    <w:p>
      <w:pPr>
        <w:pStyle w:val="4"/>
        <w:keepNext w:val="0"/>
        <w:keepLines w:val="0"/>
        <w:adjustRightInd w:val="0"/>
        <w:snapToGrid w:val="0"/>
        <w:spacing w:beforeLines="50" w:after="0" w:line="400" w:lineRule="exact"/>
        <w:rPr>
          <w:rFonts w:ascii="宋体" w:hAnsi="宋体"/>
          <w:sz w:val="24"/>
          <w:szCs w:val="24"/>
        </w:rPr>
      </w:pPr>
      <w:bookmarkStart w:id="32" w:name="_Toc5358"/>
      <w:bookmarkStart w:id="33" w:name="_Toc485889009"/>
      <w:bookmarkStart w:id="34" w:name="_Toc234382597"/>
      <w:bookmarkStart w:id="35" w:name="_Toc486277870"/>
      <w:r>
        <w:rPr>
          <w:rFonts w:ascii="宋体" w:hAnsi="宋体"/>
          <w:sz w:val="24"/>
          <w:szCs w:val="24"/>
        </w:rPr>
        <w:t>1.7 语言文字</w:t>
      </w:r>
      <w:bookmarkEnd w:id="32"/>
      <w:bookmarkEnd w:id="33"/>
      <w:bookmarkEnd w:id="34"/>
      <w:bookmarkEnd w:id="35"/>
    </w:p>
    <w:p>
      <w:pPr>
        <w:adjustRightInd w:val="0"/>
        <w:snapToGrid w:val="0"/>
        <w:spacing w:line="400" w:lineRule="exact"/>
        <w:ind w:firstLine="480" w:firstLineChars="200"/>
        <w:rPr>
          <w:rFonts w:ascii="宋体" w:hAnsi="宋体"/>
          <w:sz w:val="24"/>
        </w:rPr>
      </w:pPr>
      <w:r>
        <w:rPr>
          <w:rFonts w:ascii="宋体" w:hAnsi="宋体"/>
          <w:sz w:val="24"/>
        </w:rPr>
        <w:t>除专用术语外，与招标投标有关的语言均使用中文。必要时专用术语应附有中文注释。</w:t>
      </w:r>
    </w:p>
    <w:p>
      <w:pPr>
        <w:pStyle w:val="4"/>
        <w:keepNext w:val="0"/>
        <w:keepLines w:val="0"/>
        <w:adjustRightInd w:val="0"/>
        <w:snapToGrid w:val="0"/>
        <w:spacing w:beforeLines="50" w:after="0" w:line="400" w:lineRule="exact"/>
        <w:rPr>
          <w:rFonts w:ascii="宋体" w:hAnsi="宋体"/>
          <w:sz w:val="24"/>
          <w:szCs w:val="24"/>
        </w:rPr>
      </w:pPr>
      <w:bookmarkStart w:id="36" w:name="_Toc105"/>
      <w:bookmarkStart w:id="37" w:name="_Toc485889010"/>
      <w:bookmarkStart w:id="38" w:name="_Toc486277871"/>
      <w:bookmarkStart w:id="39" w:name="_Toc234382598"/>
      <w:r>
        <w:rPr>
          <w:rFonts w:ascii="宋体" w:hAnsi="宋体"/>
          <w:sz w:val="24"/>
          <w:szCs w:val="24"/>
        </w:rPr>
        <w:t>1.8 计量单位</w:t>
      </w:r>
      <w:bookmarkEnd w:id="36"/>
      <w:bookmarkEnd w:id="37"/>
      <w:bookmarkEnd w:id="38"/>
      <w:bookmarkEnd w:id="39"/>
    </w:p>
    <w:p>
      <w:pPr>
        <w:adjustRightInd w:val="0"/>
        <w:snapToGrid w:val="0"/>
        <w:spacing w:line="400" w:lineRule="exact"/>
        <w:ind w:firstLine="480" w:firstLineChars="200"/>
        <w:rPr>
          <w:rFonts w:ascii="宋体" w:hAnsi="宋体"/>
          <w:sz w:val="24"/>
        </w:rPr>
      </w:pPr>
      <w:r>
        <w:rPr>
          <w:rFonts w:ascii="宋体" w:hAnsi="宋体"/>
          <w:sz w:val="24"/>
        </w:rPr>
        <w:t>所有计量均采用中华人民共和国法定计量单位。</w:t>
      </w:r>
    </w:p>
    <w:p>
      <w:pPr>
        <w:pStyle w:val="4"/>
        <w:keepNext w:val="0"/>
        <w:keepLines w:val="0"/>
        <w:adjustRightInd w:val="0"/>
        <w:snapToGrid w:val="0"/>
        <w:spacing w:beforeLines="50" w:after="0" w:line="400" w:lineRule="exact"/>
        <w:rPr>
          <w:rFonts w:ascii="宋体" w:hAnsi="宋体"/>
          <w:sz w:val="24"/>
          <w:szCs w:val="24"/>
        </w:rPr>
      </w:pPr>
      <w:bookmarkStart w:id="40" w:name="_Toc486277872"/>
      <w:bookmarkStart w:id="41" w:name="_Toc485889011"/>
      <w:bookmarkStart w:id="42" w:name="_Toc31645"/>
      <w:bookmarkStart w:id="43" w:name="_Toc234382599"/>
      <w:r>
        <w:rPr>
          <w:rFonts w:ascii="宋体" w:hAnsi="宋体"/>
          <w:sz w:val="24"/>
          <w:szCs w:val="24"/>
        </w:rPr>
        <w:t>1.9 踏勘现场</w:t>
      </w:r>
      <w:bookmarkEnd w:id="40"/>
      <w:bookmarkEnd w:id="41"/>
      <w:bookmarkEnd w:id="42"/>
      <w:bookmarkEnd w:id="43"/>
    </w:p>
    <w:p>
      <w:pPr>
        <w:adjustRightInd w:val="0"/>
        <w:snapToGrid w:val="0"/>
        <w:spacing w:line="400" w:lineRule="exact"/>
        <w:ind w:firstLine="480" w:firstLineChars="200"/>
        <w:rPr>
          <w:rFonts w:ascii="宋体" w:hAnsi="宋体"/>
          <w:sz w:val="24"/>
        </w:rPr>
      </w:pPr>
      <w:r>
        <w:rPr>
          <w:rFonts w:ascii="宋体" w:hAnsi="宋体"/>
          <w:sz w:val="24"/>
        </w:rPr>
        <w:t>1.9.1 投标人须知前附表规定组织踏勘现场的，招标人按投标人须知前附表规定的时间、地点组织投标人踏勘项目现场。</w:t>
      </w:r>
    </w:p>
    <w:p>
      <w:pPr>
        <w:adjustRightInd w:val="0"/>
        <w:snapToGrid w:val="0"/>
        <w:spacing w:line="400" w:lineRule="exact"/>
        <w:ind w:firstLine="480" w:firstLineChars="200"/>
        <w:rPr>
          <w:rFonts w:ascii="宋体" w:hAnsi="宋体"/>
          <w:sz w:val="24"/>
        </w:rPr>
      </w:pPr>
      <w:r>
        <w:rPr>
          <w:rFonts w:ascii="宋体" w:hAnsi="宋体"/>
          <w:sz w:val="24"/>
        </w:rPr>
        <w:t>1.9.2 投标人踏勘现场发生的费用自理。</w:t>
      </w:r>
    </w:p>
    <w:p>
      <w:pPr>
        <w:adjustRightInd w:val="0"/>
        <w:snapToGrid w:val="0"/>
        <w:spacing w:line="400" w:lineRule="exact"/>
        <w:ind w:firstLine="480" w:firstLineChars="200"/>
        <w:rPr>
          <w:rFonts w:ascii="宋体" w:hAnsi="宋体"/>
          <w:sz w:val="24"/>
        </w:rPr>
      </w:pPr>
      <w:r>
        <w:rPr>
          <w:rFonts w:ascii="宋体" w:hAnsi="宋体"/>
          <w:sz w:val="24"/>
        </w:rPr>
        <w:t>1.9.3 除招标人的原因外，投标人自行负责在踏勘现场中所发生的人员伤亡和财产损失。</w:t>
      </w:r>
    </w:p>
    <w:p>
      <w:pPr>
        <w:adjustRightInd w:val="0"/>
        <w:snapToGrid w:val="0"/>
        <w:spacing w:line="400" w:lineRule="exact"/>
        <w:ind w:firstLine="480" w:firstLineChars="200"/>
        <w:rPr>
          <w:rFonts w:ascii="宋体" w:hAnsi="宋体"/>
          <w:sz w:val="24"/>
        </w:rPr>
      </w:pPr>
      <w:r>
        <w:rPr>
          <w:rFonts w:ascii="宋体" w:hAnsi="宋体"/>
          <w:sz w:val="24"/>
        </w:rPr>
        <w:t>1.9.4 招标人在踏勘现场中介绍的工程场地和相关的周边环境情况，供投标人在编制投标文件时参考，招标人不对投标人据此作出的判断和决策负责。</w:t>
      </w:r>
    </w:p>
    <w:p>
      <w:pPr>
        <w:adjustRightInd w:val="0"/>
        <w:snapToGrid w:val="0"/>
        <w:spacing w:line="400" w:lineRule="exact"/>
        <w:ind w:firstLine="480" w:firstLineChars="200"/>
        <w:rPr>
          <w:rFonts w:ascii="宋体" w:hAnsi="宋体"/>
          <w:sz w:val="24"/>
        </w:rPr>
      </w:pPr>
      <w:r>
        <w:rPr>
          <w:rFonts w:hint="eastAsia" w:ascii="宋体" w:hAnsi="宋体"/>
          <w:sz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pStyle w:val="4"/>
        <w:keepNext w:val="0"/>
        <w:keepLines w:val="0"/>
        <w:adjustRightInd w:val="0"/>
        <w:snapToGrid w:val="0"/>
        <w:spacing w:beforeLines="50" w:after="0" w:line="400" w:lineRule="exact"/>
        <w:rPr>
          <w:rFonts w:ascii="宋体" w:hAnsi="宋体"/>
          <w:sz w:val="24"/>
          <w:szCs w:val="24"/>
        </w:rPr>
      </w:pPr>
      <w:bookmarkStart w:id="44" w:name="_Toc234382600"/>
      <w:bookmarkStart w:id="45" w:name="_Toc3462"/>
      <w:bookmarkStart w:id="46" w:name="_Toc485889012"/>
      <w:bookmarkStart w:id="47" w:name="_Toc486277873"/>
      <w:r>
        <w:rPr>
          <w:rFonts w:ascii="宋体" w:hAnsi="宋体"/>
          <w:sz w:val="24"/>
          <w:szCs w:val="24"/>
        </w:rPr>
        <w:t>1.10 投标预备会</w:t>
      </w:r>
      <w:bookmarkEnd w:id="44"/>
      <w:r>
        <w:rPr>
          <w:rFonts w:hint="eastAsia" w:ascii="宋体" w:hAnsi="宋体"/>
          <w:sz w:val="24"/>
          <w:szCs w:val="24"/>
        </w:rPr>
        <w:t>（不召开）</w:t>
      </w:r>
      <w:bookmarkEnd w:id="45"/>
      <w:bookmarkEnd w:id="46"/>
      <w:bookmarkEnd w:id="47"/>
    </w:p>
    <w:p>
      <w:pPr>
        <w:spacing w:line="360" w:lineRule="auto"/>
        <w:ind w:firstLine="470" w:firstLineChars="196"/>
        <w:rPr>
          <w:rFonts w:asciiTheme="minorEastAsia" w:hAnsiTheme="minorEastAsia" w:eastAsiaTheme="minorEastAsia"/>
          <w:color w:val="000000"/>
          <w:sz w:val="24"/>
        </w:rPr>
      </w:pPr>
      <w:bookmarkStart w:id="48" w:name="_Toc485889013"/>
      <w:bookmarkStart w:id="49" w:name="_Toc234382601"/>
      <w:bookmarkStart w:id="50" w:name="_Toc22514"/>
      <w:bookmarkStart w:id="51" w:name="_Toc486277874"/>
      <w:r>
        <w:rPr>
          <w:rFonts w:hint="eastAsia" w:asciiTheme="minorEastAsia" w:hAnsiTheme="minorEastAsia" w:eastAsiaTheme="minorEastAsia"/>
          <w:color w:val="000000"/>
          <w:sz w:val="24"/>
        </w:rPr>
        <w:t xml:space="preserve">1.10.1 </w:t>
      </w:r>
      <w:r>
        <w:rPr>
          <w:rFonts w:hint="eastAsia" w:asciiTheme="minorEastAsia" w:hAnsiTheme="minorEastAsia" w:eastAsiaTheme="minorEastAsia"/>
          <w:spacing w:val="-11"/>
          <w:sz w:val="24"/>
        </w:rPr>
        <w:t>第一章“招标公告”或“投标邀请书”规定召开投标预备会的，招标人按规定的时间和地点召开投标预备会，澄清投标人提出的问题。</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1.10.2 投标人应在投标人须知前附表规定的时间前，将问题在公共资源交易系统电子平台上提出。</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1.10.3 招标人在投标人须知前附表规定的时间内，将对投标人所提问题的澄清，</w:t>
      </w:r>
      <w:r>
        <w:rPr>
          <w:rFonts w:hint="eastAsia" w:asciiTheme="minorEastAsia" w:hAnsiTheme="minorEastAsia" w:eastAsiaTheme="minorEastAsia"/>
          <w:spacing w:val="-6"/>
          <w:sz w:val="24"/>
        </w:rPr>
        <w:t xml:space="preserve">以本章第 </w:t>
      </w:r>
      <w:r>
        <w:rPr>
          <w:rFonts w:hint="eastAsia" w:asciiTheme="minorEastAsia" w:hAnsiTheme="minorEastAsia" w:eastAsiaTheme="minorEastAsia"/>
          <w:sz w:val="24"/>
        </w:rPr>
        <w:t>2.2 款规定的形式通知所有购买招标文件的投标人。该澄清内容为招标文件的组成部分</w:t>
      </w:r>
    </w:p>
    <w:p>
      <w:pPr>
        <w:pStyle w:val="4"/>
        <w:keepNext w:val="0"/>
        <w:keepLines w:val="0"/>
        <w:adjustRightInd w:val="0"/>
        <w:snapToGrid w:val="0"/>
        <w:spacing w:beforeLines="50" w:after="0" w:line="400" w:lineRule="exact"/>
        <w:rPr>
          <w:rFonts w:ascii="宋体" w:hAnsi="宋体"/>
          <w:sz w:val="24"/>
          <w:szCs w:val="24"/>
        </w:rPr>
      </w:pPr>
      <w:r>
        <w:rPr>
          <w:rFonts w:ascii="宋体" w:hAnsi="宋体"/>
          <w:sz w:val="24"/>
          <w:szCs w:val="24"/>
        </w:rPr>
        <w:t>1.11 分包</w:t>
      </w:r>
      <w:bookmarkEnd w:id="48"/>
      <w:bookmarkEnd w:id="49"/>
      <w:bookmarkEnd w:id="50"/>
      <w:bookmarkEnd w:id="51"/>
    </w:p>
    <w:p>
      <w:pPr>
        <w:adjustRightInd w:val="0"/>
        <w:snapToGrid w:val="0"/>
        <w:spacing w:line="400" w:lineRule="exact"/>
        <w:ind w:firstLine="480" w:firstLineChars="200"/>
        <w:rPr>
          <w:rFonts w:ascii="宋体" w:hAnsi="宋体"/>
          <w:sz w:val="24"/>
        </w:rPr>
      </w:pPr>
      <w:r>
        <w:rPr>
          <w:rFonts w:hint="eastAsia" w:ascii="宋体" w:hAnsi="宋体"/>
          <w:sz w:val="24"/>
        </w:rPr>
        <w:t xml:space="preserve">本项目严禁转包和违规分包，且不得再次分包。投标人拟在中标后将中标项目的部分非主体、非关键性工作进行分包的，应符合以下规定： </w:t>
      </w:r>
    </w:p>
    <w:p>
      <w:pPr>
        <w:adjustRightInd w:val="0"/>
        <w:snapToGrid w:val="0"/>
        <w:spacing w:line="400" w:lineRule="exact"/>
        <w:ind w:firstLine="480" w:firstLineChars="200"/>
        <w:rPr>
          <w:rFonts w:ascii="宋体" w:hAnsi="宋体"/>
          <w:sz w:val="24"/>
        </w:rPr>
      </w:pPr>
      <w:r>
        <w:rPr>
          <w:rFonts w:hint="eastAsia" w:ascii="宋体" w:hAnsi="宋体"/>
          <w:sz w:val="24"/>
        </w:rPr>
        <w:t>分包内容要求：允许分包的工程范围仅限于非关键性工程或者适合专业化队伍施工的专业工程；</w:t>
      </w:r>
    </w:p>
    <w:p>
      <w:pPr>
        <w:adjustRightInd w:val="0"/>
        <w:snapToGrid w:val="0"/>
        <w:spacing w:line="400" w:lineRule="exact"/>
        <w:ind w:firstLine="480" w:firstLineChars="200"/>
        <w:rPr>
          <w:rFonts w:ascii="宋体" w:hAnsi="宋体"/>
          <w:sz w:val="24"/>
        </w:rPr>
      </w:pPr>
      <w:r>
        <w:rPr>
          <w:rFonts w:hint="eastAsia" w:ascii="宋体" w:hAnsi="宋体"/>
          <w:sz w:val="24"/>
        </w:rPr>
        <w:t>分包金额要求：专业工程分包的工程量累计不得超过总工程量的30%；</w:t>
      </w:r>
    </w:p>
    <w:p>
      <w:pPr>
        <w:adjustRightInd w:val="0"/>
        <w:snapToGrid w:val="0"/>
        <w:spacing w:line="400" w:lineRule="exact"/>
        <w:ind w:firstLine="480" w:firstLineChars="200"/>
        <w:rPr>
          <w:rFonts w:ascii="宋体" w:hAnsi="宋体"/>
          <w:sz w:val="24"/>
        </w:rPr>
      </w:pPr>
      <w:r>
        <w:rPr>
          <w:rFonts w:hint="eastAsia" w:ascii="宋体" w:hAnsi="宋体"/>
          <w:sz w:val="24"/>
        </w:rPr>
        <w:t>接受分包的第三人资质要求：分包人的资格能力应与其分包工程的标准和规模相适应，具备相应的专业承包资质或劳务分包资质；</w:t>
      </w:r>
    </w:p>
    <w:p>
      <w:pPr>
        <w:adjustRightInd w:val="0"/>
        <w:snapToGrid w:val="0"/>
        <w:spacing w:line="400" w:lineRule="exact"/>
        <w:ind w:firstLine="480" w:firstLineChars="200"/>
        <w:rPr>
          <w:rFonts w:ascii="宋体" w:hAnsi="宋体"/>
          <w:sz w:val="24"/>
        </w:rPr>
      </w:pPr>
      <w:r>
        <w:rPr>
          <w:rFonts w:hint="eastAsia" w:ascii="宋体" w:hAnsi="宋体"/>
          <w:sz w:val="24"/>
        </w:rPr>
        <w:t>其他要求；投标人如有分包计划，应按第八章“投标文件格式”的要求填写“拟分包项目调查表”，且投标人中标后的分包应满足合同条款第4.3款的相关要求。</w:t>
      </w:r>
    </w:p>
    <w:p>
      <w:pPr>
        <w:pStyle w:val="4"/>
        <w:keepNext w:val="0"/>
        <w:keepLines w:val="0"/>
        <w:adjustRightInd w:val="0"/>
        <w:snapToGrid w:val="0"/>
        <w:spacing w:beforeLines="50" w:after="0" w:line="400" w:lineRule="exact"/>
        <w:rPr>
          <w:rFonts w:ascii="宋体" w:hAnsi="宋体"/>
          <w:sz w:val="24"/>
          <w:szCs w:val="24"/>
          <w:vertAlign w:val="superscript"/>
        </w:rPr>
      </w:pPr>
      <w:bookmarkStart w:id="52" w:name="_Toc485889014"/>
      <w:bookmarkStart w:id="53" w:name="_Toc6184"/>
      <w:bookmarkStart w:id="54" w:name="_Toc234382602"/>
      <w:bookmarkStart w:id="55" w:name="_Toc486277875"/>
      <w:r>
        <w:rPr>
          <w:rFonts w:ascii="宋体" w:hAnsi="宋体"/>
          <w:sz w:val="24"/>
          <w:szCs w:val="24"/>
        </w:rPr>
        <w:t>1.12 偏离</w:t>
      </w:r>
      <w:bookmarkEnd w:id="52"/>
      <w:bookmarkEnd w:id="53"/>
      <w:bookmarkEnd w:id="54"/>
      <w:bookmarkEnd w:id="55"/>
    </w:p>
    <w:p>
      <w:pPr>
        <w:adjustRightInd w:val="0"/>
        <w:snapToGrid w:val="0"/>
        <w:spacing w:line="400" w:lineRule="exact"/>
        <w:ind w:firstLine="480" w:firstLineChars="200"/>
        <w:rPr>
          <w:rFonts w:ascii="宋体" w:hAnsi="宋体"/>
          <w:sz w:val="24"/>
        </w:rPr>
      </w:pPr>
      <w:r>
        <w:rPr>
          <w:rFonts w:ascii="宋体" w:hAnsi="宋体"/>
          <w:sz w:val="24"/>
        </w:rPr>
        <w:t>投标人须知前附表允许投标文件偏离招标文件某些要求的，偏离应当符合招标文件规定的偏离范围和幅度。</w:t>
      </w:r>
    </w:p>
    <w:p>
      <w:pPr>
        <w:adjustRightInd w:val="0"/>
        <w:snapToGrid w:val="0"/>
        <w:spacing w:line="400" w:lineRule="exact"/>
        <w:ind w:firstLine="480" w:firstLineChars="200"/>
        <w:rPr>
          <w:rFonts w:ascii="宋体" w:hAnsi="宋体"/>
          <w:sz w:val="24"/>
        </w:rPr>
      </w:pPr>
      <w:r>
        <w:rPr>
          <w:rFonts w:hint="eastAsia" w:ascii="宋体" w:hAnsi="宋体"/>
          <w:sz w:val="24"/>
        </w:rPr>
        <w:t>偏离即偏差，偏差分重大偏差和细微偏差。</w:t>
      </w:r>
    </w:p>
    <w:p>
      <w:pPr>
        <w:adjustRightInd w:val="0"/>
        <w:snapToGrid w:val="0"/>
        <w:spacing w:line="400" w:lineRule="exact"/>
        <w:ind w:firstLine="480" w:firstLineChars="200"/>
        <w:rPr>
          <w:rFonts w:ascii="宋体" w:hAnsi="宋体"/>
          <w:sz w:val="24"/>
        </w:rPr>
      </w:pPr>
      <w:r>
        <w:rPr>
          <w:rFonts w:hint="eastAsia" w:ascii="宋体" w:hAnsi="宋体"/>
          <w:sz w:val="24"/>
        </w:rPr>
        <w:t>1.12.1 投标文件不符合第三章“评标办法”第2.1款所列的初步评审标准以及按照第三章“评标办法”第3.1.3项和第3.1.4项的规定对投标价进行算术性错误修正及其他错误修正后，最终投标报价超过投标控制价上限（如有）的，属于重大偏差，视为对招标文件未作出实质性响应，按废标处理。</w:t>
      </w:r>
    </w:p>
    <w:p>
      <w:pPr>
        <w:adjustRightInd w:val="0"/>
        <w:snapToGrid w:val="0"/>
        <w:spacing w:line="400" w:lineRule="exact"/>
        <w:ind w:firstLine="480" w:firstLineChars="200"/>
        <w:rPr>
          <w:rFonts w:ascii="宋体" w:hAnsi="宋体"/>
          <w:sz w:val="24"/>
        </w:rPr>
      </w:pPr>
      <w:r>
        <w:rPr>
          <w:rFonts w:hint="eastAsia" w:ascii="宋体" w:hAnsi="宋体"/>
          <w:sz w:val="24"/>
        </w:rPr>
        <w:t>1.12.2 投标文件中的下列偏差为细微偏差：</w:t>
      </w:r>
    </w:p>
    <w:p>
      <w:pPr>
        <w:adjustRightInd w:val="0"/>
        <w:snapToGrid w:val="0"/>
        <w:spacing w:line="400" w:lineRule="exact"/>
        <w:ind w:firstLine="480" w:firstLineChars="200"/>
        <w:rPr>
          <w:rFonts w:ascii="宋体" w:hAnsi="宋体"/>
          <w:sz w:val="24"/>
        </w:rPr>
      </w:pPr>
      <w:r>
        <w:rPr>
          <w:rFonts w:hint="eastAsia" w:ascii="宋体" w:hAnsi="宋体"/>
          <w:sz w:val="24"/>
        </w:rPr>
        <w:t>（1）在按照第三章“评标办法”第3.1.3项和第3.1.4项的规定对投标价进行算术性错误修正及其他错误修正后，最终投标报价未超过投标控制价上限（如有）的情况下，出现第三章“评标办法”第3.1.3项所列的投标报价的算术性错误和第三章“评标办法”第3.1.4项所列的投标报价的其他错误；</w:t>
      </w:r>
    </w:p>
    <w:p>
      <w:pPr>
        <w:adjustRightInd w:val="0"/>
        <w:snapToGrid w:val="0"/>
        <w:spacing w:line="400" w:lineRule="exact"/>
        <w:ind w:firstLine="480" w:firstLineChars="200"/>
        <w:rPr>
          <w:rFonts w:ascii="宋体" w:hAnsi="宋体"/>
          <w:sz w:val="24"/>
        </w:rPr>
      </w:pPr>
      <w:r>
        <w:rPr>
          <w:rFonts w:hint="eastAsia" w:ascii="宋体" w:hAnsi="宋体"/>
          <w:sz w:val="24"/>
        </w:rPr>
        <w:t>（2）施工组织设计（含关键工程技术方案）和项目管理机构不够完善。</w:t>
      </w:r>
    </w:p>
    <w:p>
      <w:pPr>
        <w:adjustRightInd w:val="0"/>
        <w:snapToGrid w:val="0"/>
        <w:spacing w:line="400" w:lineRule="exact"/>
        <w:ind w:firstLine="480" w:firstLineChars="200"/>
        <w:rPr>
          <w:rFonts w:ascii="宋体" w:hAnsi="宋体"/>
          <w:sz w:val="24"/>
        </w:rPr>
      </w:pPr>
      <w:r>
        <w:rPr>
          <w:rFonts w:hint="eastAsia" w:ascii="宋体" w:hAnsi="宋体"/>
          <w:sz w:val="24"/>
        </w:rPr>
        <w:t>1.12.3 评标委员会对投标文件中的细微偏差按如下规定处理：</w:t>
      </w:r>
    </w:p>
    <w:p>
      <w:pPr>
        <w:adjustRightInd w:val="0"/>
        <w:snapToGrid w:val="0"/>
        <w:spacing w:line="400" w:lineRule="exact"/>
        <w:ind w:firstLine="480" w:firstLineChars="200"/>
        <w:rPr>
          <w:rFonts w:ascii="宋体" w:hAnsi="宋体"/>
          <w:sz w:val="24"/>
        </w:rPr>
      </w:pPr>
      <w:r>
        <w:rPr>
          <w:rFonts w:hint="eastAsia" w:ascii="宋体" w:hAnsi="宋体"/>
          <w:sz w:val="24"/>
        </w:rPr>
        <w:t>（1）对于本章第1.12.2项（1）目所述的细微偏差，按照第三章“评标办法”第3.1.3项和第3.1.4项的规定予以修正并要求投标人进行澄清；</w:t>
      </w:r>
    </w:p>
    <w:p>
      <w:pPr>
        <w:adjustRightInd w:val="0"/>
        <w:snapToGrid w:val="0"/>
        <w:spacing w:line="400" w:lineRule="exact"/>
        <w:ind w:firstLine="480" w:firstLineChars="200"/>
        <w:rPr>
          <w:rFonts w:ascii="宋体" w:hAnsi="宋体"/>
          <w:sz w:val="24"/>
        </w:rPr>
      </w:pPr>
      <w:r>
        <w:rPr>
          <w:rFonts w:hint="eastAsia" w:ascii="宋体" w:hAnsi="宋体"/>
          <w:sz w:val="24"/>
        </w:rPr>
        <w:t>（2）对于本章第1.12.2项（2）目所述的细微偏差，如果采用合理低价法或经评审的最低投标价法评标，应要求投标人对细微偏差进行澄清，只有投标人的澄清文件被评标委员会接受，投标人才能参加评标价的最终评比。如果采用综合评估法评标，评标委员会可在相关评分因素的评分中酌情扣分，但最多不得超过各评分因素权重分值的40%。</w:t>
      </w:r>
    </w:p>
    <w:p>
      <w:pPr>
        <w:pStyle w:val="4"/>
        <w:keepNext w:val="0"/>
        <w:keepLines w:val="0"/>
        <w:adjustRightInd w:val="0"/>
        <w:snapToGrid w:val="0"/>
        <w:spacing w:beforeLines="50" w:after="0" w:line="400" w:lineRule="exact"/>
        <w:rPr>
          <w:rFonts w:ascii="宋体" w:hAnsi="宋体"/>
          <w:sz w:val="24"/>
          <w:szCs w:val="24"/>
        </w:rPr>
      </w:pPr>
      <w:bookmarkStart w:id="56" w:name="_Toc486277876"/>
      <w:bookmarkStart w:id="57" w:name="_Toc22855"/>
      <w:bookmarkStart w:id="58" w:name="_Toc234382603"/>
      <w:bookmarkStart w:id="59" w:name="_Toc485889015"/>
      <w:r>
        <w:rPr>
          <w:rFonts w:ascii="宋体" w:hAnsi="宋体"/>
          <w:sz w:val="24"/>
          <w:szCs w:val="24"/>
        </w:rPr>
        <w:t>2. 招标文件</w:t>
      </w:r>
      <w:bookmarkEnd w:id="56"/>
      <w:bookmarkEnd w:id="57"/>
      <w:bookmarkEnd w:id="58"/>
      <w:bookmarkEnd w:id="59"/>
    </w:p>
    <w:p>
      <w:pPr>
        <w:pStyle w:val="4"/>
        <w:keepNext w:val="0"/>
        <w:keepLines w:val="0"/>
        <w:adjustRightInd w:val="0"/>
        <w:snapToGrid w:val="0"/>
        <w:spacing w:beforeLines="50" w:after="0" w:line="400" w:lineRule="exact"/>
        <w:rPr>
          <w:rFonts w:ascii="宋体" w:hAnsi="宋体"/>
          <w:sz w:val="24"/>
          <w:szCs w:val="24"/>
        </w:rPr>
      </w:pPr>
      <w:bookmarkStart w:id="60" w:name="_Toc234382604"/>
      <w:bookmarkStart w:id="61" w:name="_Toc12310"/>
      <w:bookmarkStart w:id="62" w:name="_Toc485889016"/>
      <w:bookmarkStart w:id="63" w:name="_Toc486277877"/>
      <w:r>
        <w:rPr>
          <w:rFonts w:ascii="宋体" w:hAnsi="宋体"/>
          <w:sz w:val="24"/>
          <w:szCs w:val="24"/>
        </w:rPr>
        <w:t>2.1 招标文件的组成</w:t>
      </w:r>
      <w:bookmarkEnd w:id="60"/>
      <w:bookmarkEnd w:id="61"/>
      <w:bookmarkEnd w:id="62"/>
      <w:bookmarkEnd w:id="63"/>
    </w:p>
    <w:p>
      <w:pPr>
        <w:adjustRightInd w:val="0"/>
        <w:snapToGrid w:val="0"/>
        <w:spacing w:line="400" w:lineRule="exact"/>
        <w:ind w:firstLine="480" w:firstLineChars="200"/>
        <w:rPr>
          <w:rFonts w:ascii="宋体" w:hAnsi="宋体"/>
          <w:sz w:val="24"/>
        </w:rPr>
      </w:pPr>
      <w:r>
        <w:rPr>
          <w:rFonts w:ascii="宋体" w:hAnsi="宋体"/>
          <w:sz w:val="24"/>
        </w:rPr>
        <w:t>本招标文件包括：</w:t>
      </w:r>
    </w:p>
    <w:p>
      <w:pPr>
        <w:adjustRightInd w:val="0"/>
        <w:snapToGrid w:val="0"/>
        <w:spacing w:line="400" w:lineRule="exact"/>
        <w:ind w:firstLine="480" w:firstLineChars="200"/>
        <w:rPr>
          <w:rFonts w:ascii="宋体" w:hAnsi="宋体"/>
          <w:sz w:val="24"/>
        </w:rPr>
      </w:pPr>
      <w:r>
        <w:rPr>
          <w:rFonts w:ascii="宋体" w:hAnsi="宋体"/>
          <w:sz w:val="24"/>
        </w:rPr>
        <w:t>（1）招标公告；</w:t>
      </w:r>
    </w:p>
    <w:p>
      <w:pPr>
        <w:adjustRightInd w:val="0"/>
        <w:snapToGrid w:val="0"/>
        <w:spacing w:line="400" w:lineRule="exact"/>
        <w:ind w:firstLine="480" w:firstLineChars="200"/>
        <w:rPr>
          <w:rFonts w:ascii="宋体" w:hAnsi="宋体"/>
          <w:sz w:val="24"/>
        </w:rPr>
      </w:pPr>
      <w:r>
        <w:rPr>
          <w:rFonts w:ascii="宋体" w:hAnsi="宋体"/>
          <w:sz w:val="24"/>
        </w:rPr>
        <w:t>（2）投标人须知；</w:t>
      </w:r>
    </w:p>
    <w:p>
      <w:pPr>
        <w:adjustRightInd w:val="0"/>
        <w:snapToGrid w:val="0"/>
        <w:spacing w:line="400" w:lineRule="exact"/>
        <w:ind w:firstLine="480" w:firstLineChars="200"/>
        <w:rPr>
          <w:rFonts w:ascii="宋体" w:hAnsi="宋体"/>
          <w:sz w:val="24"/>
        </w:rPr>
      </w:pPr>
      <w:r>
        <w:rPr>
          <w:rFonts w:ascii="宋体" w:hAnsi="宋体"/>
          <w:sz w:val="24"/>
        </w:rPr>
        <w:t>（3）评标办法；</w:t>
      </w:r>
    </w:p>
    <w:p>
      <w:pPr>
        <w:adjustRightInd w:val="0"/>
        <w:snapToGrid w:val="0"/>
        <w:spacing w:line="400" w:lineRule="exact"/>
        <w:ind w:firstLine="480" w:firstLineChars="200"/>
        <w:rPr>
          <w:rFonts w:ascii="宋体" w:hAnsi="宋体"/>
          <w:sz w:val="24"/>
        </w:rPr>
      </w:pPr>
      <w:r>
        <w:rPr>
          <w:rFonts w:ascii="宋体" w:hAnsi="宋体"/>
          <w:sz w:val="24"/>
        </w:rPr>
        <w:t>（4）合同条款及格式；</w:t>
      </w:r>
    </w:p>
    <w:p>
      <w:pPr>
        <w:adjustRightInd w:val="0"/>
        <w:snapToGrid w:val="0"/>
        <w:spacing w:line="400" w:lineRule="exact"/>
        <w:ind w:firstLine="480" w:firstLineChars="200"/>
        <w:rPr>
          <w:rFonts w:ascii="宋体" w:hAnsi="宋体"/>
          <w:sz w:val="24"/>
        </w:rPr>
      </w:pPr>
      <w:r>
        <w:rPr>
          <w:rFonts w:ascii="宋体" w:hAnsi="宋体"/>
          <w:sz w:val="24"/>
        </w:rPr>
        <w:t>（5）工程量清单；</w:t>
      </w:r>
    </w:p>
    <w:p>
      <w:pPr>
        <w:adjustRightInd w:val="0"/>
        <w:snapToGrid w:val="0"/>
        <w:spacing w:line="400" w:lineRule="exact"/>
        <w:ind w:firstLine="480" w:firstLineChars="200"/>
        <w:rPr>
          <w:rFonts w:ascii="宋体" w:hAnsi="宋体"/>
          <w:sz w:val="24"/>
        </w:rPr>
      </w:pPr>
      <w:r>
        <w:rPr>
          <w:rFonts w:ascii="宋体" w:hAnsi="宋体"/>
          <w:sz w:val="24"/>
        </w:rPr>
        <w:t>（6）图纸；</w:t>
      </w:r>
    </w:p>
    <w:p>
      <w:pPr>
        <w:adjustRightInd w:val="0"/>
        <w:snapToGrid w:val="0"/>
        <w:spacing w:line="400" w:lineRule="exact"/>
        <w:ind w:firstLine="480" w:firstLineChars="200"/>
        <w:rPr>
          <w:rFonts w:ascii="宋体" w:hAnsi="宋体"/>
          <w:sz w:val="24"/>
        </w:rPr>
      </w:pPr>
      <w:r>
        <w:rPr>
          <w:rFonts w:ascii="宋体" w:hAnsi="宋体"/>
          <w:sz w:val="24"/>
        </w:rPr>
        <w:t>（7）技术</w:t>
      </w:r>
      <w:r>
        <w:rPr>
          <w:rFonts w:hint="eastAsia" w:ascii="宋体" w:hAnsi="宋体"/>
          <w:sz w:val="24"/>
        </w:rPr>
        <w:t>规范(另册)</w:t>
      </w:r>
      <w:r>
        <w:rPr>
          <w:rFonts w:ascii="宋体" w:hAnsi="宋体"/>
          <w:sz w:val="24"/>
        </w:rPr>
        <w:t>；</w:t>
      </w:r>
    </w:p>
    <w:p>
      <w:pPr>
        <w:adjustRightInd w:val="0"/>
        <w:snapToGrid w:val="0"/>
        <w:spacing w:line="400" w:lineRule="exact"/>
        <w:ind w:firstLine="480" w:firstLineChars="200"/>
        <w:rPr>
          <w:rFonts w:ascii="宋体" w:hAnsi="宋体"/>
          <w:sz w:val="24"/>
        </w:rPr>
      </w:pPr>
      <w:r>
        <w:rPr>
          <w:rFonts w:ascii="宋体" w:hAnsi="宋体"/>
          <w:sz w:val="24"/>
        </w:rPr>
        <w:t>（8）投标文件格式；</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9</w:t>
      </w:r>
      <w:r>
        <w:rPr>
          <w:rFonts w:ascii="宋体" w:hAnsi="宋体"/>
          <w:sz w:val="24"/>
        </w:rPr>
        <w:t>）</w:t>
      </w:r>
      <w:r>
        <w:rPr>
          <w:rFonts w:hint="eastAsia" w:ascii="宋体" w:hAnsi="宋体"/>
          <w:sz w:val="24"/>
        </w:rPr>
        <w:t>投标人须知前附表规定的其他材料。</w:t>
      </w:r>
    </w:p>
    <w:p>
      <w:pPr>
        <w:adjustRightInd w:val="0"/>
        <w:snapToGrid w:val="0"/>
        <w:spacing w:line="400" w:lineRule="exact"/>
        <w:ind w:firstLine="480" w:firstLineChars="200"/>
        <w:rPr>
          <w:rFonts w:ascii="宋体" w:hAnsi="宋体"/>
          <w:sz w:val="24"/>
        </w:rPr>
      </w:pPr>
      <w:r>
        <w:rPr>
          <w:rFonts w:ascii="宋体" w:hAnsi="宋体"/>
          <w:sz w:val="24"/>
        </w:rPr>
        <w:t>根据本章第1.10款、第2.2款和第2.3款对招标文件所作的澄清、修改，构成招标文件的组成部分。</w:t>
      </w:r>
    </w:p>
    <w:p>
      <w:pPr>
        <w:adjustRightInd w:val="0"/>
        <w:snapToGrid w:val="0"/>
        <w:spacing w:line="400" w:lineRule="exact"/>
        <w:ind w:firstLine="480" w:firstLineChars="200"/>
        <w:rPr>
          <w:rFonts w:ascii="宋体" w:hAnsi="宋体"/>
          <w:sz w:val="24"/>
        </w:rPr>
      </w:pPr>
      <w:r>
        <w:rPr>
          <w:rFonts w:hint="eastAsia" w:ascii="宋体" w:hAnsi="宋体"/>
          <w:sz w:val="24"/>
        </w:rPr>
        <w:t>当招标文件、招标文件的澄清或修改等在同一内容的表述上不一致时，以最后发出的书面文件为准。</w:t>
      </w:r>
    </w:p>
    <w:p>
      <w:pPr>
        <w:pStyle w:val="4"/>
        <w:keepNext w:val="0"/>
        <w:keepLines w:val="0"/>
        <w:adjustRightInd w:val="0"/>
        <w:snapToGrid w:val="0"/>
        <w:spacing w:beforeLines="50" w:after="0" w:line="400" w:lineRule="exact"/>
        <w:rPr>
          <w:rFonts w:ascii="宋体" w:hAnsi="宋体"/>
          <w:sz w:val="24"/>
          <w:szCs w:val="24"/>
        </w:rPr>
      </w:pPr>
      <w:bookmarkStart w:id="64" w:name="_Toc234382605"/>
      <w:bookmarkStart w:id="65" w:name="_Toc16084"/>
      <w:bookmarkStart w:id="66" w:name="_Toc485889017"/>
      <w:bookmarkStart w:id="67" w:name="_Toc486277878"/>
      <w:r>
        <w:rPr>
          <w:rFonts w:ascii="宋体" w:hAnsi="宋体"/>
          <w:sz w:val="24"/>
          <w:szCs w:val="24"/>
        </w:rPr>
        <w:t>2.2 招标文件的澄清</w:t>
      </w:r>
      <w:bookmarkEnd w:id="64"/>
      <w:bookmarkEnd w:id="65"/>
      <w:bookmarkEnd w:id="66"/>
      <w:bookmarkEnd w:id="67"/>
    </w:p>
    <w:p>
      <w:pPr>
        <w:adjustRightInd w:val="0"/>
        <w:snapToGrid w:val="0"/>
        <w:spacing w:line="400" w:lineRule="exact"/>
        <w:ind w:firstLine="480" w:firstLineChars="200"/>
        <w:rPr>
          <w:rFonts w:ascii="宋体" w:hAnsi="宋体" w:cs="宋体"/>
          <w:kern w:val="0"/>
          <w:sz w:val="24"/>
        </w:rPr>
      </w:pPr>
      <w:bookmarkStart w:id="68" w:name="_Toc234382606"/>
      <w:r>
        <w:rPr>
          <w:rFonts w:hint="eastAsia" w:ascii="宋体" w:hAnsi="宋体" w:cs="宋体"/>
          <w:kern w:val="0"/>
          <w:sz w:val="24"/>
        </w:rPr>
        <w:t>2.2.1投标人应仔细阅读和检查招标文件的全部内容。如发现缺页或附件不全，</w:t>
      </w:r>
      <w:r>
        <w:rPr>
          <w:rFonts w:hint="eastAsia" w:ascii="宋体" w:hAnsi="宋体"/>
          <w:sz w:val="24"/>
        </w:rPr>
        <w:t>通过公共资源交易系统电子平台发出</w:t>
      </w:r>
      <w:r>
        <w:rPr>
          <w:rFonts w:hint="eastAsia" w:ascii="宋体" w:hAnsi="宋体" w:cs="宋体"/>
          <w:kern w:val="0"/>
          <w:sz w:val="24"/>
        </w:rPr>
        <w:t>，以便补齐。如有疑问，应在投标人须知前附表规定的时间要求招标人对招标文件予以澄清。</w:t>
      </w:r>
      <w:r>
        <w:rPr>
          <w:rFonts w:hint="eastAsia" w:ascii="宋体" w:hAnsi="宋体" w:cs="宋体"/>
          <w:b/>
          <w:kern w:val="0"/>
          <w:sz w:val="24"/>
        </w:rPr>
        <w:t>如未提出异议，视为全面接受</w:t>
      </w:r>
      <w:r>
        <w:rPr>
          <w:rFonts w:hint="eastAsia" w:ascii="宋体" w:hAnsi="宋体" w:cs="宋体"/>
          <w:kern w:val="0"/>
          <w:sz w:val="24"/>
        </w:rPr>
        <w:t>。</w:t>
      </w:r>
    </w:p>
    <w:p>
      <w:pPr>
        <w:adjustRightInd w:val="0"/>
        <w:snapToGrid w:val="0"/>
        <w:spacing w:line="400" w:lineRule="exact"/>
        <w:ind w:firstLine="480" w:firstLineChars="200"/>
        <w:rPr>
          <w:rFonts w:ascii="宋体" w:hAnsi="宋体"/>
          <w:sz w:val="24"/>
        </w:rPr>
      </w:pPr>
      <w:r>
        <w:rPr>
          <w:rFonts w:ascii="宋体" w:hAnsi="宋体"/>
          <w:sz w:val="24"/>
        </w:rPr>
        <w:t xml:space="preserve">2.2.2 </w:t>
      </w:r>
      <w:r>
        <w:rPr>
          <w:rFonts w:hint="eastAsia" w:ascii="宋体" w:hAnsi="宋体"/>
          <w:sz w:val="24"/>
        </w:rPr>
        <w:t>招标文件的澄清将在投标人须知前附表规定的投标截止时间15天前通过公共资源交易系统电子平台发出，但不指明澄清问题的来源。如果澄清发出的时间距投标截止时间不足15天，相应延长投标截止时间。</w:t>
      </w:r>
    </w:p>
    <w:p>
      <w:pPr>
        <w:adjustRightInd w:val="0"/>
        <w:snapToGrid w:val="0"/>
        <w:spacing w:line="400" w:lineRule="exact"/>
        <w:ind w:firstLine="480" w:firstLineChars="200"/>
        <w:rPr>
          <w:rFonts w:ascii="宋体" w:hAnsi="宋体"/>
          <w:sz w:val="24"/>
        </w:rPr>
      </w:pPr>
      <w:r>
        <w:rPr>
          <w:rFonts w:ascii="宋体" w:hAnsi="宋体"/>
          <w:sz w:val="24"/>
        </w:rPr>
        <w:t xml:space="preserve">2.2.3 </w:t>
      </w:r>
      <w:r>
        <w:rPr>
          <w:rFonts w:hint="eastAsia" w:ascii="宋体" w:hAnsi="宋体"/>
          <w:sz w:val="24"/>
        </w:rPr>
        <w:t>所有澄清、答疑全部以公共资源交易系统电子平台发出的为准，不再接受书面形式的递交。</w:t>
      </w:r>
    </w:p>
    <w:p>
      <w:pPr>
        <w:pStyle w:val="4"/>
        <w:keepNext w:val="0"/>
        <w:keepLines w:val="0"/>
        <w:adjustRightInd w:val="0"/>
        <w:snapToGrid w:val="0"/>
        <w:spacing w:beforeLines="50" w:after="0" w:line="400" w:lineRule="exact"/>
        <w:rPr>
          <w:rFonts w:ascii="宋体" w:hAnsi="宋体"/>
          <w:sz w:val="24"/>
          <w:szCs w:val="24"/>
        </w:rPr>
      </w:pPr>
      <w:bookmarkStart w:id="69" w:name="_Toc486277879"/>
      <w:bookmarkStart w:id="70" w:name="_Toc485889018"/>
      <w:bookmarkStart w:id="71" w:name="_Toc29706"/>
      <w:r>
        <w:rPr>
          <w:rFonts w:ascii="宋体" w:hAnsi="宋体"/>
          <w:sz w:val="24"/>
          <w:szCs w:val="24"/>
        </w:rPr>
        <w:t>2.3 招标文件的修改</w:t>
      </w:r>
      <w:bookmarkEnd w:id="68"/>
      <w:bookmarkEnd w:id="69"/>
      <w:bookmarkEnd w:id="70"/>
      <w:bookmarkEnd w:id="71"/>
    </w:p>
    <w:p>
      <w:pPr>
        <w:adjustRightInd w:val="0"/>
        <w:snapToGrid w:val="0"/>
        <w:spacing w:line="400" w:lineRule="exact"/>
        <w:ind w:firstLine="480" w:firstLineChars="200"/>
        <w:rPr>
          <w:rFonts w:ascii="宋体" w:hAnsi="宋体"/>
          <w:sz w:val="24"/>
        </w:rPr>
      </w:pPr>
      <w:bookmarkStart w:id="72" w:name="_Toc234382607"/>
      <w:r>
        <w:rPr>
          <w:rFonts w:ascii="宋体" w:hAnsi="宋体"/>
          <w:sz w:val="24"/>
        </w:rPr>
        <w:t xml:space="preserve">2.3.1 </w:t>
      </w:r>
      <w:r>
        <w:rPr>
          <w:rFonts w:hint="eastAsia" w:ascii="宋体" w:hAnsi="宋体"/>
          <w:sz w:val="24"/>
        </w:rPr>
        <w:t>在投标截止时间</w:t>
      </w:r>
      <w:r>
        <w:rPr>
          <w:rFonts w:ascii="宋体" w:hAnsi="宋体"/>
          <w:sz w:val="24"/>
        </w:rPr>
        <w:t>15</w:t>
      </w:r>
      <w:r>
        <w:rPr>
          <w:rFonts w:hint="eastAsia" w:ascii="宋体" w:hAnsi="宋体"/>
          <w:sz w:val="24"/>
        </w:rPr>
        <w:t>天前，招标人可以通过全国公共资源交易平台（河南省·许昌市）修改招标文件，如果修改招标文件的时间距投标截止时间不足</w:t>
      </w:r>
      <w:r>
        <w:rPr>
          <w:rFonts w:ascii="宋体" w:hAnsi="宋体"/>
          <w:sz w:val="24"/>
        </w:rPr>
        <w:t xml:space="preserve">15 </w:t>
      </w:r>
      <w:r>
        <w:rPr>
          <w:rFonts w:hint="eastAsia" w:ascii="宋体" w:hAnsi="宋体"/>
          <w:sz w:val="24"/>
        </w:rPr>
        <w:t>天，相应延长投标截止时间。</w:t>
      </w:r>
      <w:bookmarkStart w:id="73" w:name="_Toc485889019"/>
      <w:bookmarkStart w:id="74" w:name="_Toc486277880"/>
    </w:p>
    <w:p>
      <w:pPr>
        <w:adjustRightInd w:val="0"/>
        <w:snapToGrid w:val="0"/>
        <w:spacing w:line="400" w:lineRule="exact"/>
        <w:ind w:firstLine="480" w:firstLineChars="200"/>
        <w:rPr>
          <w:rFonts w:ascii="宋体" w:hAnsi="宋体"/>
          <w:sz w:val="24"/>
        </w:rPr>
      </w:pPr>
      <w:r>
        <w:rPr>
          <w:rFonts w:hint="eastAsia" w:ascii="宋体" w:hAnsi="宋体"/>
          <w:sz w:val="24"/>
        </w:rPr>
        <w:t>2.3.2 当招标文件（含评标、定标办法）、补充通知、答疑纪要，内容相互矛盾时，以最后发出的通知（或纪要）为准。</w:t>
      </w:r>
      <w:bookmarkEnd w:id="73"/>
      <w:bookmarkEnd w:id="74"/>
    </w:p>
    <w:p>
      <w:pPr>
        <w:pStyle w:val="4"/>
        <w:keepNext w:val="0"/>
        <w:keepLines w:val="0"/>
        <w:adjustRightInd w:val="0"/>
        <w:snapToGrid w:val="0"/>
        <w:spacing w:beforeLines="50" w:after="0" w:line="400" w:lineRule="exact"/>
        <w:rPr>
          <w:rFonts w:ascii="宋体" w:hAnsi="宋体"/>
          <w:sz w:val="24"/>
          <w:szCs w:val="24"/>
        </w:rPr>
      </w:pPr>
      <w:bookmarkStart w:id="75" w:name="_Toc485889020"/>
      <w:bookmarkStart w:id="76" w:name="_Toc8003"/>
      <w:bookmarkStart w:id="77" w:name="_Toc486277881"/>
      <w:r>
        <w:rPr>
          <w:rFonts w:ascii="宋体" w:hAnsi="宋体"/>
          <w:sz w:val="24"/>
          <w:szCs w:val="24"/>
        </w:rPr>
        <w:t>3. 投标文件</w:t>
      </w:r>
      <w:bookmarkEnd w:id="72"/>
      <w:bookmarkEnd w:id="75"/>
      <w:bookmarkEnd w:id="76"/>
      <w:bookmarkEnd w:id="77"/>
    </w:p>
    <w:p>
      <w:pPr>
        <w:pStyle w:val="4"/>
        <w:keepNext w:val="0"/>
        <w:keepLines w:val="0"/>
        <w:adjustRightInd w:val="0"/>
        <w:snapToGrid w:val="0"/>
        <w:spacing w:beforeLines="50" w:after="0" w:line="400" w:lineRule="exact"/>
        <w:rPr>
          <w:rFonts w:ascii="宋体" w:hAnsi="宋体"/>
          <w:sz w:val="24"/>
          <w:szCs w:val="24"/>
        </w:rPr>
      </w:pPr>
      <w:bookmarkStart w:id="78" w:name="_Toc12156"/>
      <w:bookmarkStart w:id="79" w:name="_Toc485889021"/>
      <w:bookmarkStart w:id="80" w:name="_Toc486277882"/>
      <w:bookmarkStart w:id="81" w:name="_Toc234382608"/>
      <w:r>
        <w:rPr>
          <w:rFonts w:ascii="宋体" w:hAnsi="宋体"/>
          <w:sz w:val="24"/>
          <w:szCs w:val="24"/>
        </w:rPr>
        <w:t>3.1 投标文件的组成</w:t>
      </w:r>
      <w:bookmarkEnd w:id="78"/>
      <w:bookmarkEnd w:id="79"/>
      <w:bookmarkEnd w:id="80"/>
      <w:bookmarkEnd w:id="81"/>
    </w:p>
    <w:p>
      <w:pPr>
        <w:adjustRightInd w:val="0"/>
        <w:snapToGrid w:val="0"/>
        <w:spacing w:line="400" w:lineRule="exact"/>
        <w:ind w:firstLine="480" w:firstLineChars="200"/>
        <w:rPr>
          <w:rFonts w:ascii="宋体" w:hAnsi="宋体"/>
          <w:sz w:val="24"/>
        </w:rPr>
      </w:pPr>
      <w:r>
        <w:rPr>
          <w:rFonts w:ascii="宋体" w:hAnsi="宋体"/>
          <w:sz w:val="24"/>
        </w:rPr>
        <w:t>3.1.1 投标文件应包括下列内容：</w:t>
      </w:r>
    </w:p>
    <w:p>
      <w:pPr>
        <w:adjustRightInd w:val="0"/>
        <w:snapToGrid w:val="0"/>
        <w:spacing w:line="400" w:lineRule="exact"/>
        <w:ind w:firstLine="480" w:firstLineChars="200"/>
        <w:rPr>
          <w:rFonts w:ascii="宋体" w:hAnsi="宋体"/>
          <w:sz w:val="24"/>
        </w:rPr>
      </w:pPr>
      <w:r>
        <w:rPr>
          <w:rFonts w:hint="eastAsia" w:ascii="宋体" w:hAnsi="宋体"/>
          <w:sz w:val="24"/>
        </w:rPr>
        <w:t>第一个信封（商务及技术文件）：</w:t>
      </w:r>
    </w:p>
    <w:p>
      <w:pPr>
        <w:adjustRightInd w:val="0"/>
        <w:snapToGrid w:val="0"/>
        <w:spacing w:line="400" w:lineRule="exact"/>
        <w:ind w:firstLine="480" w:firstLineChars="200"/>
        <w:rPr>
          <w:rFonts w:ascii="宋体" w:hAnsi="宋体"/>
          <w:sz w:val="24"/>
        </w:rPr>
      </w:pPr>
      <w:r>
        <w:rPr>
          <w:rFonts w:ascii="宋体" w:hAnsi="宋体"/>
          <w:sz w:val="24"/>
        </w:rPr>
        <w:t>（1）投标函及投标函附录；</w:t>
      </w:r>
    </w:p>
    <w:p>
      <w:pPr>
        <w:adjustRightInd w:val="0"/>
        <w:snapToGrid w:val="0"/>
        <w:spacing w:line="400" w:lineRule="exact"/>
        <w:ind w:firstLine="480" w:firstLineChars="200"/>
        <w:rPr>
          <w:rFonts w:ascii="宋体" w:hAnsi="宋体"/>
          <w:sz w:val="24"/>
        </w:rPr>
      </w:pPr>
      <w:r>
        <w:rPr>
          <w:rFonts w:ascii="宋体" w:hAnsi="宋体"/>
          <w:sz w:val="24"/>
        </w:rPr>
        <w:t>（2）法定代表人身份证明</w:t>
      </w:r>
      <w:r>
        <w:rPr>
          <w:rFonts w:hint="eastAsia" w:ascii="宋体" w:hAnsi="宋体"/>
          <w:sz w:val="24"/>
        </w:rPr>
        <w:t>及</w:t>
      </w:r>
      <w:r>
        <w:rPr>
          <w:rFonts w:ascii="宋体" w:hAnsi="宋体"/>
          <w:sz w:val="24"/>
        </w:rPr>
        <w:t>授权委托书</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）投标保证金；</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4</w:t>
      </w:r>
      <w:r>
        <w:rPr>
          <w:rFonts w:ascii="宋体" w:hAnsi="宋体"/>
          <w:sz w:val="24"/>
        </w:rPr>
        <w:t>）施工组织设计；</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5</w:t>
      </w:r>
      <w:r>
        <w:rPr>
          <w:rFonts w:ascii="宋体" w:hAnsi="宋体"/>
          <w:sz w:val="24"/>
        </w:rPr>
        <w:t>）项目管理机构；</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6</w:t>
      </w:r>
      <w:r>
        <w:rPr>
          <w:rFonts w:ascii="宋体" w:hAnsi="宋体"/>
          <w:sz w:val="24"/>
        </w:rPr>
        <w:t>）资格审查资料；</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7</w:t>
      </w:r>
      <w:r>
        <w:rPr>
          <w:rFonts w:ascii="宋体" w:hAnsi="宋体"/>
          <w:sz w:val="24"/>
        </w:rPr>
        <w:t>）</w:t>
      </w:r>
      <w:r>
        <w:rPr>
          <w:rFonts w:hint="eastAsia" w:ascii="宋体" w:hAnsi="宋体"/>
          <w:sz w:val="24"/>
        </w:rPr>
        <w:t>主要进场管理人员和技术人员最低要求；</w:t>
      </w:r>
    </w:p>
    <w:p>
      <w:pPr>
        <w:adjustRightInd w:val="0"/>
        <w:snapToGrid w:val="0"/>
        <w:spacing w:line="400" w:lineRule="exact"/>
        <w:ind w:firstLine="480" w:firstLineChars="200"/>
        <w:rPr>
          <w:rFonts w:ascii="宋体" w:hAnsi="宋体"/>
          <w:sz w:val="24"/>
        </w:rPr>
      </w:pPr>
      <w:r>
        <w:rPr>
          <w:rFonts w:hint="eastAsia" w:ascii="宋体" w:hAnsi="宋体"/>
          <w:sz w:val="24"/>
        </w:rPr>
        <w:t>（8）农民工工资支付承诺书；</w:t>
      </w:r>
    </w:p>
    <w:p>
      <w:pPr>
        <w:adjustRightInd w:val="0"/>
        <w:snapToGrid w:val="0"/>
        <w:spacing w:line="400" w:lineRule="exact"/>
        <w:ind w:firstLine="480" w:firstLineChars="200"/>
        <w:rPr>
          <w:rFonts w:ascii="宋体" w:hAnsi="宋体"/>
          <w:sz w:val="24"/>
        </w:rPr>
      </w:pPr>
      <w:r>
        <w:rPr>
          <w:rFonts w:hint="eastAsia" w:ascii="宋体" w:hAnsi="宋体"/>
          <w:sz w:val="24"/>
        </w:rPr>
        <w:t>（9）扬尘治理专项承诺书；</w:t>
      </w:r>
    </w:p>
    <w:p>
      <w:pPr>
        <w:adjustRightInd w:val="0"/>
        <w:snapToGrid w:val="0"/>
        <w:spacing w:line="400" w:lineRule="exact"/>
        <w:ind w:firstLine="480" w:firstLineChars="200"/>
        <w:rPr>
          <w:rFonts w:ascii="宋体" w:hAnsi="宋体"/>
          <w:sz w:val="24"/>
        </w:rPr>
      </w:pPr>
      <w:r>
        <w:rPr>
          <w:rFonts w:hint="eastAsia" w:ascii="宋体" w:hAnsi="宋体"/>
          <w:sz w:val="24"/>
        </w:rPr>
        <w:t>（10）其他材料。</w:t>
      </w:r>
    </w:p>
    <w:p>
      <w:pPr>
        <w:adjustRightInd w:val="0"/>
        <w:snapToGrid w:val="0"/>
        <w:spacing w:line="400" w:lineRule="exact"/>
        <w:ind w:firstLine="480" w:firstLineChars="200"/>
        <w:rPr>
          <w:rFonts w:ascii="宋体" w:hAnsi="宋体"/>
          <w:sz w:val="24"/>
        </w:rPr>
      </w:pPr>
      <w:r>
        <w:rPr>
          <w:rFonts w:hint="eastAsia" w:ascii="宋体" w:hAnsi="宋体"/>
          <w:sz w:val="24"/>
        </w:rPr>
        <w:t>第二个信封（投标报价和工程量清单）</w:t>
      </w:r>
    </w:p>
    <w:p>
      <w:pPr>
        <w:adjustRightInd w:val="0"/>
        <w:snapToGrid w:val="0"/>
        <w:spacing w:line="400" w:lineRule="exact"/>
        <w:ind w:firstLine="480" w:firstLineChars="200"/>
        <w:rPr>
          <w:rFonts w:ascii="宋体" w:hAnsi="宋体"/>
          <w:sz w:val="24"/>
        </w:rPr>
      </w:pPr>
      <w:r>
        <w:rPr>
          <w:rFonts w:hint="eastAsia" w:ascii="宋体" w:hAnsi="宋体"/>
          <w:sz w:val="24"/>
        </w:rPr>
        <w:t>（1）投标函；</w:t>
      </w:r>
    </w:p>
    <w:p>
      <w:pPr>
        <w:adjustRightInd w:val="0"/>
        <w:snapToGrid w:val="0"/>
        <w:spacing w:line="400" w:lineRule="exact"/>
        <w:ind w:firstLine="480" w:firstLineChars="200"/>
        <w:rPr>
          <w:rFonts w:ascii="宋体" w:hAnsi="宋体"/>
          <w:sz w:val="24"/>
        </w:rPr>
      </w:pPr>
      <w:r>
        <w:rPr>
          <w:rFonts w:hint="eastAsia" w:ascii="宋体" w:hAnsi="宋体"/>
          <w:sz w:val="24"/>
        </w:rPr>
        <w:t>（2）已标价工程量清单；</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w:t>
      </w:r>
      <w:r>
        <w:rPr>
          <w:rFonts w:hint="eastAsia" w:ascii="宋体" w:hAnsi="宋体"/>
          <w:sz w:val="24"/>
        </w:rPr>
        <w:t>拟分包项目情况表；</w:t>
      </w:r>
    </w:p>
    <w:p>
      <w:pPr>
        <w:adjustRightInd w:val="0"/>
        <w:snapToGrid w:val="0"/>
        <w:spacing w:line="400" w:lineRule="exact"/>
        <w:ind w:firstLine="480" w:firstLineChars="200"/>
        <w:rPr>
          <w:rFonts w:ascii="宋体" w:hAnsi="宋体"/>
          <w:sz w:val="24"/>
        </w:rPr>
      </w:pPr>
      <w:r>
        <w:rPr>
          <w:rFonts w:hint="eastAsia" w:ascii="宋体" w:hAnsi="宋体"/>
          <w:sz w:val="24"/>
        </w:rPr>
        <w:t>（4）合同用款估算表。</w:t>
      </w:r>
    </w:p>
    <w:p>
      <w:pPr>
        <w:ind w:left="120" w:leftChars="57" w:firstLine="360" w:firstLineChars="150"/>
        <w:rPr>
          <w:rFonts w:cs="仿宋" w:asciiTheme="minorEastAsia" w:hAnsiTheme="minorEastAsia" w:eastAsiaTheme="minorEastAsia"/>
        </w:rPr>
      </w:pPr>
      <w:r>
        <w:rPr>
          <w:rFonts w:hint="eastAsia" w:cs="仿宋" w:asciiTheme="minorEastAsia" w:hAnsiTheme="minorEastAsia" w:eastAsiaTheme="minorEastAsia"/>
          <w:sz w:val="24"/>
        </w:rPr>
        <w:t>3.1.2投标人在评标过程中作出的符合法律法规和招标文件规定的澄清确认，构成投标文件的组成部分。</w:t>
      </w:r>
    </w:p>
    <w:p>
      <w:pPr>
        <w:pStyle w:val="4"/>
        <w:keepNext w:val="0"/>
        <w:keepLines w:val="0"/>
        <w:adjustRightInd w:val="0"/>
        <w:snapToGrid w:val="0"/>
        <w:spacing w:beforeLines="50" w:after="0" w:line="400" w:lineRule="exact"/>
        <w:rPr>
          <w:rFonts w:ascii="宋体" w:hAnsi="宋体"/>
          <w:sz w:val="24"/>
          <w:szCs w:val="24"/>
        </w:rPr>
      </w:pPr>
      <w:bookmarkStart w:id="82" w:name="_Toc234382609"/>
      <w:bookmarkStart w:id="83" w:name="_Toc12761"/>
      <w:bookmarkStart w:id="84" w:name="_Toc485889022"/>
      <w:bookmarkStart w:id="85" w:name="_Toc486277883"/>
      <w:r>
        <w:rPr>
          <w:rFonts w:ascii="宋体" w:hAnsi="宋体"/>
          <w:sz w:val="24"/>
          <w:szCs w:val="24"/>
        </w:rPr>
        <w:t>3.2 投标报价</w:t>
      </w:r>
      <w:bookmarkEnd w:id="82"/>
      <w:bookmarkEnd w:id="83"/>
      <w:bookmarkEnd w:id="84"/>
      <w:bookmarkEnd w:id="85"/>
    </w:p>
    <w:p>
      <w:pPr>
        <w:adjustRightInd w:val="0"/>
        <w:snapToGrid w:val="0"/>
        <w:spacing w:line="400" w:lineRule="exact"/>
        <w:ind w:firstLine="480" w:firstLineChars="200"/>
        <w:rPr>
          <w:rFonts w:ascii="宋体" w:hAnsi="宋体"/>
          <w:sz w:val="24"/>
        </w:rPr>
      </w:pPr>
      <w:r>
        <w:rPr>
          <w:rFonts w:ascii="宋体" w:hAnsi="宋体"/>
          <w:sz w:val="24"/>
        </w:rPr>
        <w:t>3.2.1</w:t>
      </w:r>
      <w:r>
        <w:rPr>
          <w:rFonts w:hint="eastAsia" w:cs="仿宋" w:asciiTheme="minorEastAsia" w:hAnsiTheme="minorEastAsia" w:eastAsiaTheme="minorEastAsia"/>
          <w:sz w:val="24"/>
        </w:rPr>
        <w:t>投标报价应包括国家规定的增值税税金，除投标人须知前附表另有规定外，增值税税金按一般计税方法计算。</w:t>
      </w:r>
      <w:r>
        <w:rPr>
          <w:rFonts w:ascii="宋体" w:hAnsi="宋体"/>
          <w:sz w:val="24"/>
        </w:rPr>
        <w:t>投标人应按第五章“工程量清单”的要求填写相应表格。</w:t>
      </w:r>
    </w:p>
    <w:p>
      <w:pPr>
        <w:adjustRightInd w:val="0"/>
        <w:snapToGrid w:val="0"/>
        <w:spacing w:line="400" w:lineRule="exact"/>
        <w:ind w:firstLine="480" w:firstLineChars="200"/>
        <w:rPr>
          <w:rFonts w:ascii="宋体" w:hAnsi="宋体"/>
          <w:sz w:val="24"/>
        </w:rPr>
      </w:pPr>
      <w:r>
        <w:rPr>
          <w:rFonts w:hint="eastAsia" w:ascii="宋体" w:hAnsi="宋体"/>
          <w:sz w:val="24"/>
        </w:rPr>
        <w:t>投标人应按投标人须知前附表规定的方式填写工程量清单。</w:t>
      </w:r>
    </w:p>
    <w:p>
      <w:pPr>
        <w:adjustRightInd w:val="0"/>
        <w:snapToGrid w:val="0"/>
        <w:spacing w:line="400" w:lineRule="exact"/>
        <w:ind w:firstLine="480" w:firstLineChars="200"/>
        <w:rPr>
          <w:rFonts w:ascii="宋体" w:hAnsi="宋体"/>
          <w:sz w:val="24"/>
        </w:rPr>
      </w:pPr>
      <w:r>
        <w:rPr>
          <w:rFonts w:hint="eastAsia" w:ascii="宋体" w:hAnsi="宋体"/>
          <w:sz w:val="24"/>
        </w:rPr>
        <w:t>本项目招标由招标人提供书面工程量清单，由投标人按照招标人提供的工程量清单填写本合同各工程子目的单价、合价和总额价。评标委员会将按照第三章“评标办法”第3.1.3项和第3.1.4项的规定对投标价进行算术性错误修正及其他错误修正。</w:t>
      </w:r>
    </w:p>
    <w:p>
      <w:pPr>
        <w:adjustRightInd w:val="0"/>
        <w:snapToGrid w:val="0"/>
        <w:spacing w:line="400" w:lineRule="exact"/>
        <w:ind w:firstLine="480" w:firstLineChars="200"/>
        <w:rPr>
          <w:rFonts w:ascii="宋体" w:hAnsi="宋体"/>
          <w:sz w:val="24"/>
        </w:rPr>
      </w:pPr>
      <w:r>
        <w:rPr>
          <w:rFonts w:ascii="宋体" w:hAnsi="宋体"/>
          <w:sz w:val="24"/>
        </w:rPr>
        <w:t>3.2.2 投标人在投标截止时间前修改投标函中的投标总报价，应同时修改第五章“工程量清单”中的相应报价。此修改须符合本章第 4.3 款的有关要求。</w:t>
      </w:r>
    </w:p>
    <w:p>
      <w:pPr>
        <w:adjustRightInd w:val="0"/>
        <w:snapToGrid w:val="0"/>
        <w:spacing w:line="400" w:lineRule="exact"/>
        <w:ind w:firstLine="480" w:firstLineChars="200"/>
        <w:rPr>
          <w:rFonts w:ascii="宋体" w:hAnsi="宋体"/>
          <w:sz w:val="24"/>
        </w:rPr>
      </w:pPr>
      <w:r>
        <w:rPr>
          <w:rFonts w:hint="eastAsia" w:ascii="宋体" w:hAnsi="宋体"/>
          <w:sz w:val="24"/>
        </w:rPr>
        <w:t>3.2.3 投标人如果发现工程量清单中的数量与图纸中数量不一致时，应立即通知招标人核查，除非招标人以书面方式予以更正，否则，应以工程量清单中列出的数量为准。</w:t>
      </w:r>
    </w:p>
    <w:p>
      <w:pPr>
        <w:adjustRightInd w:val="0"/>
        <w:snapToGrid w:val="0"/>
        <w:spacing w:line="400" w:lineRule="exact"/>
        <w:ind w:firstLine="480" w:firstLineChars="200"/>
        <w:rPr>
          <w:rFonts w:ascii="宋体" w:hAnsi="宋体"/>
          <w:sz w:val="24"/>
        </w:rPr>
      </w:pPr>
      <w:r>
        <w:rPr>
          <w:rFonts w:hint="eastAsia" w:ascii="宋体" w:hAnsi="宋体"/>
          <w:sz w:val="24"/>
        </w:rPr>
        <w:t>3.2.4投标人应根据《公路水运工程安全生产监督管理办法》，在投标总价中计入安全生产费用，安全生产费用应符合合同条款第9.2.5项的规定。工程量清单100章内列有上述安全生产费的支付子目，由投标人按招标文件的规定填写总额价。</w:t>
      </w:r>
    </w:p>
    <w:p>
      <w:pPr>
        <w:adjustRightInd w:val="0"/>
        <w:snapToGrid w:val="0"/>
        <w:spacing w:line="400" w:lineRule="exact"/>
        <w:ind w:firstLine="480" w:firstLineChars="200"/>
        <w:rPr>
          <w:rFonts w:ascii="宋体" w:hAnsi="宋体"/>
          <w:sz w:val="24"/>
        </w:rPr>
      </w:pPr>
      <w:r>
        <w:rPr>
          <w:rFonts w:hint="eastAsia" w:ascii="宋体" w:hAnsi="宋体"/>
          <w:sz w:val="24"/>
        </w:rPr>
        <w:t>3.2.5 除投标人须知前附表另有规定外，招标人不接受调价函。若招标人接受调价函，则应在招标文件中给出调价函的格式。投标人若有调价函则应遵循如下规定：</w:t>
      </w:r>
    </w:p>
    <w:p>
      <w:pPr>
        <w:adjustRightInd w:val="0"/>
        <w:snapToGrid w:val="0"/>
        <w:spacing w:line="400" w:lineRule="exact"/>
        <w:ind w:firstLine="480" w:firstLineChars="200"/>
        <w:rPr>
          <w:rFonts w:ascii="宋体" w:hAnsi="宋体"/>
          <w:sz w:val="24"/>
        </w:rPr>
      </w:pPr>
      <w:r>
        <w:rPr>
          <w:rFonts w:hint="eastAsia" w:ascii="宋体" w:hAnsi="宋体"/>
          <w:sz w:val="24"/>
        </w:rPr>
        <w:t>（1）调价函必须采用招标文件规定的格式；调价函应说明调价后的最终报价，并以最终报价为准，而且投标人只能有一次调价的机会。</w:t>
      </w:r>
    </w:p>
    <w:p>
      <w:pPr>
        <w:adjustRightInd w:val="0"/>
        <w:snapToGrid w:val="0"/>
        <w:spacing w:line="400" w:lineRule="exact"/>
        <w:ind w:firstLine="480" w:firstLineChars="200"/>
        <w:rPr>
          <w:rFonts w:ascii="宋体" w:hAnsi="宋体"/>
          <w:sz w:val="24"/>
        </w:rPr>
      </w:pPr>
      <w:r>
        <w:rPr>
          <w:rFonts w:hint="eastAsia" w:ascii="宋体" w:hAnsi="宋体"/>
          <w:sz w:val="24"/>
        </w:rPr>
        <w:t>（2）工程量清单中招标人指定的报价不允许调价。</w:t>
      </w:r>
    </w:p>
    <w:p>
      <w:pPr>
        <w:adjustRightInd w:val="0"/>
        <w:snapToGrid w:val="0"/>
        <w:spacing w:line="400" w:lineRule="exact"/>
        <w:ind w:firstLine="480" w:firstLineChars="200"/>
        <w:rPr>
          <w:rFonts w:ascii="宋体" w:hAnsi="宋体"/>
          <w:sz w:val="24"/>
        </w:rPr>
      </w:pPr>
      <w:r>
        <w:rPr>
          <w:rFonts w:hint="eastAsia" w:ascii="宋体" w:hAnsi="宋体"/>
          <w:sz w:val="24"/>
        </w:rPr>
        <w:t>（3）调价函必须附有调价后的工程量清单；调价函必须粘贴或机械装订在投标文件正本首页，与投标文件一起密封提交。</w:t>
      </w:r>
    </w:p>
    <w:p>
      <w:pPr>
        <w:adjustRightInd w:val="0"/>
        <w:snapToGrid w:val="0"/>
        <w:spacing w:line="400" w:lineRule="exact"/>
        <w:ind w:firstLine="480" w:firstLineChars="200"/>
        <w:rPr>
          <w:rFonts w:ascii="宋体" w:hAnsi="宋体"/>
          <w:sz w:val="24"/>
        </w:rPr>
      </w:pPr>
      <w:r>
        <w:rPr>
          <w:rFonts w:hint="eastAsia" w:ascii="宋体" w:hAnsi="宋体"/>
          <w:sz w:val="24"/>
        </w:rPr>
        <w:t>若投标人未提交调价后的工程量清单，或调价函未装在投标文件正本首页，调价函均视为无效，仍以原报价作为最终报价，若投标人提交的调价函多于一个，或对不允许调价的内容进行了调价，或调价函有附加条件，投标文件作为废标处理。</w:t>
      </w:r>
    </w:p>
    <w:p>
      <w:pPr>
        <w:adjustRightInd w:val="0"/>
        <w:snapToGrid w:val="0"/>
        <w:spacing w:line="400" w:lineRule="exact"/>
        <w:ind w:firstLine="480" w:firstLineChars="200"/>
        <w:rPr>
          <w:rFonts w:ascii="宋体" w:hAnsi="宋体"/>
          <w:sz w:val="24"/>
        </w:rPr>
      </w:pPr>
      <w:r>
        <w:rPr>
          <w:rFonts w:hint="eastAsia" w:ascii="宋体" w:hAnsi="宋体"/>
          <w:sz w:val="24"/>
        </w:rPr>
        <w:t>（4）若招标人接受调价函，投标人调价后的工程量清单和有效调价函的大写金额报价应保持一致，如果报价金额出现差异时，则以有效调价函的大写金额报价为准。</w:t>
      </w:r>
    </w:p>
    <w:p>
      <w:pPr>
        <w:adjustRightInd w:val="0"/>
        <w:snapToGrid w:val="0"/>
        <w:spacing w:line="400" w:lineRule="exact"/>
        <w:ind w:firstLine="480" w:firstLineChars="200"/>
        <w:rPr>
          <w:rFonts w:ascii="宋体" w:hAnsi="宋体"/>
          <w:sz w:val="24"/>
        </w:rPr>
      </w:pPr>
      <w:r>
        <w:rPr>
          <w:rFonts w:hint="eastAsia" w:ascii="宋体" w:hAnsi="宋体"/>
          <w:sz w:val="24"/>
        </w:rPr>
        <w:t>3.2.6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次范围内填写各可调因子的权种，合同实施期间将按此权种进行调价。</w:t>
      </w:r>
    </w:p>
    <w:p>
      <w:pPr>
        <w:pStyle w:val="4"/>
        <w:keepNext w:val="0"/>
        <w:keepLines w:val="0"/>
        <w:adjustRightInd w:val="0"/>
        <w:snapToGrid w:val="0"/>
        <w:spacing w:beforeLines="50" w:after="0" w:line="400" w:lineRule="exact"/>
        <w:rPr>
          <w:rFonts w:ascii="宋体" w:hAnsi="宋体"/>
          <w:sz w:val="24"/>
          <w:szCs w:val="24"/>
        </w:rPr>
      </w:pPr>
      <w:bookmarkStart w:id="86" w:name="_Toc485889023"/>
      <w:bookmarkStart w:id="87" w:name="_Toc6040"/>
      <w:bookmarkStart w:id="88" w:name="_Toc234382610"/>
      <w:bookmarkStart w:id="89" w:name="_Toc486277884"/>
      <w:r>
        <w:rPr>
          <w:rFonts w:ascii="宋体" w:hAnsi="宋体"/>
          <w:sz w:val="24"/>
          <w:szCs w:val="24"/>
        </w:rPr>
        <w:t>3.3 投标有效期</w:t>
      </w:r>
      <w:bookmarkEnd w:id="86"/>
      <w:bookmarkEnd w:id="87"/>
      <w:bookmarkEnd w:id="88"/>
      <w:bookmarkEnd w:id="89"/>
    </w:p>
    <w:p>
      <w:pPr>
        <w:adjustRightInd w:val="0"/>
        <w:snapToGrid w:val="0"/>
        <w:spacing w:line="400" w:lineRule="exact"/>
        <w:ind w:firstLine="464" w:firstLineChars="200"/>
        <w:rPr>
          <w:rFonts w:ascii="宋体" w:hAnsi="宋体"/>
          <w:spacing w:val="-4"/>
          <w:sz w:val="24"/>
        </w:rPr>
      </w:pPr>
      <w:r>
        <w:rPr>
          <w:rFonts w:ascii="宋体" w:hAnsi="宋体"/>
          <w:spacing w:val="-4"/>
          <w:sz w:val="24"/>
        </w:rPr>
        <w:t>3.3.1 在投标人须知前附表规定的投标有效期内，投标人不得要求撤销或修改其投标文件。</w:t>
      </w:r>
    </w:p>
    <w:p>
      <w:pPr>
        <w:adjustRightInd w:val="0"/>
        <w:snapToGrid w:val="0"/>
        <w:spacing w:line="400" w:lineRule="exact"/>
        <w:ind w:firstLine="480" w:firstLineChars="200"/>
        <w:rPr>
          <w:rFonts w:ascii="宋体" w:hAnsi="宋体"/>
          <w:sz w:val="24"/>
        </w:rPr>
      </w:pPr>
      <w:r>
        <w:rPr>
          <w:rFonts w:ascii="宋体" w:hAnsi="宋体"/>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cs="宋体" w:asciiTheme="minorEastAsia" w:hAnsiTheme="minorEastAsia" w:eastAsiaTheme="minorEastAsia"/>
          <w:b/>
          <w:bCs/>
          <w:sz w:val="24"/>
          <w:szCs w:val="22"/>
        </w:rPr>
      </w:pPr>
      <w:bookmarkStart w:id="90" w:name="_Toc234382613"/>
      <w:r>
        <w:rPr>
          <w:rFonts w:hint="eastAsia" w:cs="宋体" w:asciiTheme="minorEastAsia" w:hAnsiTheme="minorEastAsia" w:eastAsiaTheme="minorEastAsia"/>
          <w:b/>
          <w:bCs/>
          <w:sz w:val="24"/>
        </w:rPr>
        <w:t>3.4 投标保证金</w:t>
      </w:r>
    </w:p>
    <w:p>
      <w:pPr>
        <w:widowControl/>
        <w:autoSpaceDE w:val="0"/>
        <w:autoSpaceDN w:val="0"/>
        <w:adjustRightInd w:val="0"/>
        <w:spacing w:line="400" w:lineRule="exact"/>
        <w:jc w:val="left"/>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szCs w:val="22"/>
        </w:rPr>
        <w:t>3.4.1 投标保证金</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投标人应按投标人须知前附表后规定缴纳投标保证金。</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投标保证金的相关规定</w:t>
      </w:r>
    </w:p>
    <w:p>
      <w:pPr>
        <w:adjustRightInd w:val="0"/>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投标保证金的退还：</w:t>
      </w:r>
    </w:p>
    <w:p>
      <w:pPr>
        <w:adjustRightInd w:val="0"/>
        <w:snapToGrid w:val="0"/>
        <w:spacing w:line="400" w:lineRule="exact"/>
        <w:ind w:firstLine="480" w:firstLineChars="200"/>
        <w:rPr>
          <w:rFonts w:ascii="宋体" w:hAnsi="宋体"/>
          <w:sz w:val="24"/>
        </w:rPr>
      </w:pPr>
      <w:r>
        <w:rPr>
          <w:rFonts w:hint="eastAsia" w:ascii="宋体" w:hAnsi="宋体"/>
          <w:sz w:val="24"/>
        </w:rPr>
        <w:t>（1）中标公告发出后，5个工作日内退还非中标候选人投标保证金及银行同期活期存款利息。</w:t>
      </w:r>
    </w:p>
    <w:p>
      <w:pPr>
        <w:adjustRightInd w:val="0"/>
        <w:snapToGrid w:val="0"/>
        <w:spacing w:line="400" w:lineRule="exact"/>
        <w:ind w:firstLine="480" w:firstLineChars="200"/>
        <w:rPr>
          <w:rFonts w:ascii="宋体" w:hAnsi="宋体"/>
          <w:sz w:val="24"/>
        </w:rPr>
      </w:pPr>
      <w:r>
        <w:rPr>
          <w:rFonts w:hint="eastAsia" w:ascii="宋体" w:hAnsi="宋体"/>
          <w:sz w:val="24"/>
        </w:rPr>
        <w:t>（2）在法定期限内签订书面合同，中标人执投标保证金退还申请表(单位加盖行政公章)及合同原件、履约保证金缴纳通知书、履约保证金转账凭证到中心业务部室办理退款手续，中心在5个工作日内向中标人和其他中标候选人退还投标保证金及银行同期活期存款利息。</w:t>
      </w:r>
    </w:p>
    <w:p>
      <w:pPr>
        <w:adjustRightInd w:val="0"/>
        <w:snapToGrid w:val="0"/>
        <w:spacing w:line="400" w:lineRule="exact"/>
        <w:ind w:firstLine="480" w:firstLineChars="200"/>
        <w:rPr>
          <w:rFonts w:ascii="宋体" w:hAnsi="宋体"/>
          <w:sz w:val="24"/>
        </w:rPr>
      </w:pPr>
      <w:r>
        <w:rPr>
          <w:rFonts w:hint="eastAsia" w:ascii="宋体" w:hAnsi="宋体"/>
          <w:sz w:val="24"/>
        </w:rPr>
        <w:t>（3）项目废标或招标人终止招标的，在此后5个工作日内退还投标保证金及银行同期活期存利息。</w:t>
      </w:r>
    </w:p>
    <w:p>
      <w:pPr>
        <w:adjustRightInd w:val="0"/>
        <w:snapToGrid w:val="0"/>
        <w:spacing w:line="400" w:lineRule="exact"/>
        <w:ind w:firstLine="480" w:firstLineChars="200"/>
        <w:rPr>
          <w:rFonts w:ascii="宋体" w:hAnsi="宋体"/>
          <w:sz w:val="24"/>
        </w:rPr>
      </w:pPr>
      <w:r>
        <w:rPr>
          <w:rFonts w:hint="eastAsia" w:ascii="宋体" w:hAnsi="宋体"/>
          <w:sz w:val="24"/>
        </w:rPr>
        <w:t>（4）投标活动中出现质疑、投诉的，中标候选人、质疑人和被质疑人、投诉人和被投诉人的投标保证金暂停退还。</w:t>
      </w:r>
    </w:p>
    <w:p>
      <w:pPr>
        <w:adjustRightInd w:val="0"/>
        <w:snapToGrid w:val="0"/>
        <w:spacing w:line="400" w:lineRule="exact"/>
        <w:ind w:firstLine="480" w:firstLineChars="200"/>
        <w:rPr>
          <w:rFonts w:ascii="宋体" w:hAnsi="宋体"/>
          <w:sz w:val="24"/>
        </w:rPr>
      </w:pPr>
      <w:r>
        <w:rPr>
          <w:rFonts w:hint="eastAsia" w:ascii="宋体" w:hAnsi="宋体"/>
          <w:sz w:val="24"/>
        </w:rPr>
        <w:t>（5）相关投标人有违法违规行为的项目，其投标保证金暂不退还，待行政监督部门对相关情况处置后，按照有关规定办理。</w:t>
      </w:r>
    </w:p>
    <w:p>
      <w:pPr>
        <w:adjustRightInd w:val="0"/>
        <w:snapToGrid w:val="0"/>
        <w:spacing w:line="400" w:lineRule="exact"/>
        <w:ind w:firstLine="480" w:firstLineChars="200"/>
        <w:rPr>
          <w:rFonts w:ascii="宋体" w:hAnsi="宋体"/>
          <w:sz w:val="24"/>
        </w:rPr>
      </w:pPr>
      <w:r>
        <w:rPr>
          <w:rFonts w:hint="eastAsia" w:ascii="宋体" w:hAnsi="宋体"/>
          <w:sz w:val="24"/>
        </w:rPr>
        <w:t>（6）退还投标保证金，除另有规定外，一般以转账方式一次性退还至投标保证金的原提交账户。</w:t>
      </w:r>
    </w:p>
    <w:p>
      <w:pPr>
        <w:adjustRightInd w:val="0"/>
        <w:snapToGrid w:val="0"/>
        <w:spacing w:line="400" w:lineRule="exact"/>
        <w:ind w:firstLine="480" w:firstLineChars="200"/>
        <w:rPr>
          <w:rFonts w:ascii="宋体" w:hAnsi="宋体"/>
          <w:sz w:val="24"/>
        </w:rPr>
      </w:pPr>
      <w:r>
        <w:rPr>
          <w:rFonts w:hint="eastAsia" w:ascii="宋体" w:hAnsi="宋体"/>
          <w:sz w:val="24"/>
        </w:rPr>
        <w:t>2、投标人有下列情形之一的，不予退还投标保证金：</w:t>
      </w:r>
    </w:p>
    <w:p>
      <w:pPr>
        <w:adjustRightInd w:val="0"/>
        <w:snapToGrid w:val="0"/>
        <w:spacing w:line="400" w:lineRule="exact"/>
        <w:ind w:firstLine="480" w:firstLineChars="200"/>
        <w:rPr>
          <w:rFonts w:ascii="宋体" w:hAnsi="宋体"/>
          <w:sz w:val="24"/>
        </w:rPr>
      </w:pPr>
      <w:r>
        <w:rPr>
          <w:rFonts w:hint="eastAsia" w:ascii="宋体" w:hAnsi="宋体"/>
          <w:sz w:val="24"/>
        </w:rPr>
        <w:t xml:space="preserve">（一）在招标文件要求提交投标文件的截止时间后至投标文件有效期满前撤回投标的； </w:t>
      </w:r>
    </w:p>
    <w:p>
      <w:pPr>
        <w:adjustRightInd w:val="0"/>
        <w:snapToGrid w:val="0"/>
        <w:spacing w:line="400" w:lineRule="exact"/>
        <w:ind w:firstLine="480" w:firstLineChars="200"/>
        <w:rPr>
          <w:rFonts w:ascii="宋体" w:hAnsi="宋体"/>
          <w:sz w:val="24"/>
        </w:rPr>
      </w:pPr>
      <w:r>
        <w:rPr>
          <w:rFonts w:hint="eastAsia" w:ascii="宋体" w:hAnsi="宋体"/>
          <w:sz w:val="24"/>
        </w:rPr>
        <w:t xml:space="preserve">（二）中标通知书发出后，中标人无故放弃中标项目或无正当理由在规定时间内不与招标人签订合同或未按招标文件规定提交履约担保的； </w:t>
      </w:r>
    </w:p>
    <w:p>
      <w:pPr>
        <w:adjustRightInd w:val="0"/>
        <w:snapToGrid w:val="0"/>
        <w:spacing w:line="400" w:lineRule="exact"/>
        <w:ind w:firstLine="480" w:firstLineChars="200"/>
        <w:rPr>
          <w:rFonts w:ascii="宋体" w:hAnsi="宋体"/>
          <w:sz w:val="24"/>
        </w:rPr>
      </w:pPr>
      <w:r>
        <w:rPr>
          <w:rFonts w:hint="eastAsia" w:ascii="宋体" w:hAnsi="宋体"/>
          <w:sz w:val="24"/>
        </w:rPr>
        <w:t xml:space="preserve">（三）将中标项目转让给他人，或者在投标文件中未说明，且未经招标人同意，将中标项目分包给他人的； </w:t>
      </w:r>
    </w:p>
    <w:p>
      <w:pPr>
        <w:adjustRightInd w:val="0"/>
        <w:snapToGrid w:val="0"/>
        <w:spacing w:line="400" w:lineRule="exact"/>
        <w:ind w:firstLine="480" w:firstLineChars="200"/>
        <w:rPr>
          <w:rFonts w:ascii="宋体" w:hAnsi="宋体"/>
          <w:sz w:val="24"/>
        </w:rPr>
      </w:pPr>
      <w:r>
        <w:rPr>
          <w:rFonts w:hint="eastAsia" w:ascii="宋体" w:hAnsi="宋体"/>
          <w:sz w:val="24"/>
        </w:rPr>
        <w:t xml:space="preserve">（四）投标人在招投标活动中弄虚作假、围标串标，骗取中标并经招投标行政监督部门调查核实的； </w:t>
      </w:r>
    </w:p>
    <w:p>
      <w:pPr>
        <w:adjustRightInd w:val="0"/>
        <w:snapToGrid w:val="0"/>
        <w:spacing w:line="400" w:lineRule="exact"/>
        <w:ind w:firstLine="480" w:firstLineChars="200"/>
        <w:rPr>
          <w:rFonts w:ascii="宋体" w:hAnsi="宋体"/>
          <w:sz w:val="24"/>
        </w:rPr>
      </w:pPr>
      <w:r>
        <w:rPr>
          <w:rFonts w:hint="eastAsia" w:ascii="宋体" w:hAnsi="宋体"/>
          <w:sz w:val="24"/>
        </w:rPr>
        <w:t>（五）拒绝履行合同义务的；</w:t>
      </w:r>
    </w:p>
    <w:p>
      <w:pPr>
        <w:adjustRightInd w:val="0"/>
        <w:snapToGrid w:val="0"/>
        <w:spacing w:line="400" w:lineRule="exact"/>
        <w:ind w:firstLine="480" w:firstLineChars="200"/>
        <w:rPr>
          <w:rFonts w:ascii="宋体" w:hAnsi="宋体"/>
          <w:sz w:val="24"/>
        </w:rPr>
      </w:pPr>
      <w:r>
        <w:rPr>
          <w:rFonts w:hint="eastAsia" w:ascii="宋体" w:hAnsi="宋体"/>
          <w:sz w:val="24"/>
        </w:rPr>
        <w:t>（六）相关法律、法规规定不予退还的其它情形。</w:t>
      </w:r>
    </w:p>
    <w:p>
      <w:pPr>
        <w:adjustRightInd w:val="0"/>
        <w:snapToGrid w:val="0"/>
        <w:spacing w:line="400" w:lineRule="exact"/>
        <w:ind w:firstLine="480" w:firstLineChars="200"/>
        <w:rPr>
          <w:rFonts w:ascii="宋体" w:hAnsi="宋体"/>
          <w:sz w:val="24"/>
        </w:rPr>
      </w:pPr>
      <w:r>
        <w:rPr>
          <w:rFonts w:hint="eastAsia" w:ascii="宋体" w:hAnsi="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Style w:val="4"/>
        <w:keepNext w:val="0"/>
        <w:keepLines w:val="0"/>
        <w:adjustRightInd w:val="0"/>
        <w:snapToGrid w:val="0"/>
        <w:spacing w:beforeLines="50" w:after="0" w:line="400" w:lineRule="exact"/>
        <w:rPr>
          <w:rFonts w:ascii="宋体" w:hAnsi="宋体"/>
          <w:sz w:val="24"/>
          <w:szCs w:val="24"/>
        </w:rPr>
      </w:pPr>
      <w:bookmarkStart w:id="91" w:name="_Toc10524"/>
      <w:bookmarkStart w:id="92" w:name="_Toc485889025"/>
      <w:bookmarkStart w:id="93" w:name="_Toc486277886"/>
      <w:r>
        <w:rPr>
          <w:rFonts w:ascii="宋体" w:hAnsi="宋体"/>
          <w:sz w:val="24"/>
          <w:szCs w:val="24"/>
        </w:rPr>
        <w:t>3.5 资格审查资料</w:t>
      </w:r>
      <w:bookmarkEnd w:id="90"/>
      <w:bookmarkEnd w:id="91"/>
      <w:bookmarkEnd w:id="92"/>
      <w:bookmarkEnd w:id="93"/>
    </w:p>
    <w:p>
      <w:pPr>
        <w:adjustRightInd w:val="0"/>
        <w:snapToGrid w:val="0"/>
        <w:spacing w:line="400" w:lineRule="exact"/>
        <w:ind w:firstLine="480" w:firstLineChars="200"/>
        <w:rPr>
          <w:rFonts w:ascii="宋体" w:hAnsi="宋体"/>
          <w:sz w:val="24"/>
        </w:rPr>
      </w:pPr>
      <w:r>
        <w:rPr>
          <w:rFonts w:ascii="宋体" w:hAnsi="宋体"/>
          <w:sz w:val="24"/>
        </w:rPr>
        <w:t>3.5.1 “投标人基本情况表”应附</w:t>
      </w:r>
      <w:r>
        <w:rPr>
          <w:rFonts w:hint="eastAsia" w:ascii="宋体" w:hAnsi="宋体"/>
          <w:sz w:val="24"/>
        </w:rPr>
        <w:t>企业法人</w:t>
      </w:r>
      <w:r>
        <w:rPr>
          <w:rFonts w:ascii="宋体" w:hAnsi="宋体"/>
          <w:sz w:val="24"/>
        </w:rPr>
        <w:t>营业执照副本</w:t>
      </w:r>
      <w:r>
        <w:rPr>
          <w:rFonts w:hint="eastAsia" w:ascii="宋体" w:hAnsi="宋体"/>
          <w:sz w:val="24"/>
        </w:rPr>
        <w:t>、施工资质证书副本、安全生产许可证副本、基本账户开户许可证</w:t>
      </w:r>
      <w:r>
        <w:rPr>
          <w:rFonts w:hint="eastAsia" w:ascii="宋体" w:hAnsi="宋体"/>
          <w:sz w:val="24"/>
          <w:lang w:val="en-US" w:eastAsia="zh-CN"/>
        </w:rPr>
        <w:t>的原件扫描件（或图片）</w:t>
      </w:r>
      <w:r>
        <w:rPr>
          <w:rFonts w:hint="eastAsia" w:ascii="宋体" w:hAnsi="宋体"/>
          <w:sz w:val="24"/>
        </w:rPr>
        <w:t>件并加盖单位章</w:t>
      </w:r>
      <w:r>
        <w:rPr>
          <w:rFonts w:ascii="宋体" w:hAnsi="宋体"/>
          <w:sz w:val="24"/>
        </w:rPr>
        <w:t>。</w:t>
      </w:r>
    </w:p>
    <w:p>
      <w:pPr>
        <w:adjustRightInd w:val="0"/>
        <w:snapToGrid w:val="0"/>
        <w:spacing w:line="400" w:lineRule="exact"/>
        <w:ind w:firstLine="480" w:firstLineChars="200"/>
        <w:rPr>
          <w:rFonts w:ascii="宋体" w:hAnsi="宋体"/>
          <w:color w:val="FF0000"/>
          <w:sz w:val="24"/>
        </w:rPr>
      </w:pPr>
      <w:r>
        <w:rPr>
          <w:rFonts w:ascii="宋体" w:hAnsi="宋体"/>
          <w:sz w:val="24"/>
        </w:rPr>
        <w:t>3.5.2 “近年财务状况表”应附经会计师事务所或审计机构审计的财务会计报表，包括</w:t>
      </w:r>
      <w:r>
        <w:rPr>
          <w:rFonts w:hint="eastAsia" w:ascii="宋体" w:hAnsi="宋体"/>
          <w:sz w:val="24"/>
        </w:rPr>
        <w:t>资产负债表、利润表、现金流量表、所有者权益变动表及其附注</w:t>
      </w:r>
      <w:r>
        <w:rPr>
          <w:rFonts w:ascii="宋体" w:hAnsi="宋体"/>
          <w:sz w:val="24"/>
        </w:rPr>
        <w:t>的</w:t>
      </w:r>
      <w:r>
        <w:rPr>
          <w:rFonts w:hint="eastAsia" w:ascii="宋体" w:hAnsi="宋体"/>
          <w:sz w:val="24"/>
          <w:lang w:val="en-US" w:eastAsia="zh-CN"/>
        </w:rPr>
        <w:t>原件扫描件（或图片）</w:t>
      </w:r>
      <w:r>
        <w:rPr>
          <w:rFonts w:ascii="宋体" w:hAnsi="宋体"/>
          <w:sz w:val="24"/>
        </w:rPr>
        <w:t>，具体年份要求见投标人须知前附表。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3.5.3 “近年完成的类似项目情况表”应附中标通知书</w:t>
      </w:r>
      <w:r>
        <w:rPr>
          <w:rFonts w:hint="eastAsia" w:ascii="宋体" w:hAnsi="宋体"/>
          <w:sz w:val="24"/>
        </w:rPr>
        <w:t>、</w:t>
      </w:r>
      <w:r>
        <w:rPr>
          <w:rFonts w:ascii="宋体" w:hAnsi="宋体"/>
          <w:sz w:val="24"/>
        </w:rPr>
        <w:t>合同协议书</w:t>
      </w:r>
      <w:r>
        <w:rPr>
          <w:rFonts w:hint="eastAsia" w:ascii="宋体" w:hAnsi="宋体"/>
          <w:sz w:val="24"/>
        </w:rPr>
        <w:t>、</w:t>
      </w:r>
      <w:r>
        <w:rPr>
          <w:rFonts w:ascii="宋体" w:hAnsi="宋体"/>
          <w:sz w:val="24"/>
        </w:rPr>
        <w:t>工程接收证书（工程竣工验收证书）的</w:t>
      </w:r>
      <w:r>
        <w:rPr>
          <w:rFonts w:hint="eastAsia" w:ascii="宋体" w:hAnsi="宋体"/>
          <w:sz w:val="24"/>
          <w:lang w:val="en-US" w:eastAsia="zh-CN"/>
        </w:rPr>
        <w:t>原件扫描件（或图片）</w:t>
      </w:r>
      <w:r>
        <w:rPr>
          <w:rFonts w:ascii="宋体" w:hAnsi="宋体"/>
          <w:sz w:val="24"/>
        </w:rPr>
        <w:t>，具体年份要求见投标人须知前附表。每张表格只填写一个项目，并标明序号。</w:t>
      </w:r>
    </w:p>
    <w:p>
      <w:pPr>
        <w:adjustRightInd w:val="0"/>
        <w:snapToGrid w:val="0"/>
        <w:spacing w:line="400" w:lineRule="exact"/>
        <w:ind w:firstLine="480" w:firstLineChars="200"/>
        <w:rPr>
          <w:rFonts w:ascii="宋体" w:hAnsi="宋体"/>
          <w:sz w:val="24"/>
        </w:rPr>
      </w:pPr>
      <w:r>
        <w:rPr>
          <w:rFonts w:hint="eastAsia" w:ascii="宋体" w:hAnsi="宋体"/>
          <w:sz w:val="24"/>
        </w:rPr>
        <w:t>工程接收证书（工程竣工验收证书）可以是发包人出具的公路工程（标段）交工验收证书或竣工验收委员会出具的公路工程竣工验收鉴定书或质量监督机构对各参建单位签发的工作综合评价等级证书。</w:t>
      </w:r>
    </w:p>
    <w:p>
      <w:pPr>
        <w:adjustRightInd w:val="0"/>
        <w:snapToGrid w:val="0"/>
        <w:spacing w:line="400" w:lineRule="exact"/>
        <w:ind w:firstLine="480" w:firstLineChars="200"/>
        <w:rPr>
          <w:rFonts w:ascii="宋体" w:hAnsi="宋体"/>
          <w:sz w:val="24"/>
        </w:rPr>
      </w:pPr>
      <w:r>
        <w:rPr>
          <w:rFonts w:ascii="宋体" w:hAnsi="宋体"/>
          <w:sz w:val="24"/>
        </w:rPr>
        <w:t>3.5.4 “正在施工和新承接的项目情况表”应附中标通知书和合同协议书</w:t>
      </w:r>
      <w:r>
        <w:rPr>
          <w:rFonts w:hint="eastAsia" w:ascii="宋体" w:hAnsi="宋体"/>
          <w:sz w:val="24"/>
          <w:lang w:val="en-US" w:eastAsia="zh-CN"/>
        </w:rPr>
        <w:t>的原件扫描件（或图片）</w:t>
      </w:r>
      <w:r>
        <w:rPr>
          <w:rFonts w:ascii="宋体" w:hAnsi="宋体"/>
          <w:sz w:val="24"/>
        </w:rPr>
        <w:t>。每张表格只填写一个项目，并标明序号。</w:t>
      </w:r>
    </w:p>
    <w:p>
      <w:pPr>
        <w:adjustRightInd w:val="0"/>
        <w:snapToGrid w:val="0"/>
        <w:spacing w:line="400" w:lineRule="exact"/>
        <w:ind w:firstLine="480" w:firstLineChars="200"/>
        <w:rPr>
          <w:rFonts w:ascii="宋体" w:hAnsi="宋体"/>
          <w:sz w:val="24"/>
        </w:rPr>
      </w:pPr>
      <w:r>
        <w:rPr>
          <w:rFonts w:hint="eastAsia" w:ascii="宋体" w:hAnsi="宋体"/>
          <w:sz w:val="24"/>
        </w:rPr>
        <w:t>3.5.5“拟委任的项目经理和项目总工资历表”应附项目经理和项目总工的身份证、职称资格证书以及资格审查条件所要求的其他相关证书（如建造师注册证书、安全生产考核合格证书等）的</w:t>
      </w:r>
      <w:r>
        <w:rPr>
          <w:rFonts w:hint="eastAsia" w:ascii="宋体" w:hAnsi="宋体"/>
          <w:sz w:val="24"/>
          <w:lang w:val="en-US" w:eastAsia="zh-CN"/>
        </w:rPr>
        <w:t>原件扫描件（或图片）</w:t>
      </w:r>
      <w:r>
        <w:rPr>
          <w:rFonts w:hint="eastAsia" w:ascii="宋体" w:hAnsi="宋体"/>
          <w:sz w:val="24"/>
        </w:rPr>
        <w:t>，并应提供其担任类似项目的项目经理和项目总工的相关业绩证明材料</w:t>
      </w:r>
      <w:r>
        <w:rPr>
          <w:rFonts w:hint="eastAsia" w:ascii="宋体" w:hAnsi="宋体"/>
          <w:sz w:val="24"/>
          <w:lang w:val="en-US" w:eastAsia="zh-CN"/>
        </w:rPr>
        <w:t>的原件扫描件（或图片）</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hint="eastAsia" w:cs="仿宋" w:asciiTheme="minorEastAsia" w:hAnsiTheme="minorEastAsia" w:eastAsiaTheme="minorEastAsia"/>
          <w:bCs/>
          <w:sz w:val="24"/>
        </w:rPr>
        <w:t>如项目经理或项目总工目前仍在其他项目上任职，则投标人应提供由该项目发包人出具的、承诺上述人员能够从该项目撤离的书面证明材料</w:t>
      </w:r>
      <w:r>
        <w:rPr>
          <w:rFonts w:hint="eastAsia" w:cs="仿宋" w:asciiTheme="minorEastAsia" w:hAnsiTheme="minorEastAsia" w:eastAsiaTheme="minorEastAsia"/>
          <w:bCs/>
          <w:sz w:val="24"/>
          <w:lang w:val="en-US" w:eastAsia="zh-CN"/>
        </w:rPr>
        <w:t>的</w:t>
      </w:r>
      <w:r>
        <w:rPr>
          <w:rFonts w:hint="eastAsia" w:ascii="宋体" w:hAnsi="宋体"/>
          <w:sz w:val="24"/>
          <w:lang w:val="en-US" w:eastAsia="zh-CN"/>
        </w:rPr>
        <w:t>原件扫描件（或图片）</w:t>
      </w:r>
      <w:r>
        <w:rPr>
          <w:rFonts w:hint="eastAsia" w:cs="仿宋" w:asciiTheme="minorEastAsia" w:hAnsiTheme="minorEastAsia" w:eastAsiaTheme="minorEastAsia"/>
          <w:bCs/>
          <w:sz w:val="24"/>
        </w:rPr>
        <w:t>。</w:t>
      </w:r>
    </w:p>
    <w:p>
      <w:pPr>
        <w:adjustRightInd w:val="0"/>
        <w:snapToGrid w:val="0"/>
        <w:spacing w:line="400" w:lineRule="exact"/>
        <w:ind w:firstLine="480" w:firstLineChars="200"/>
        <w:rPr>
          <w:rFonts w:ascii="宋体" w:hAnsi="宋体"/>
          <w:sz w:val="24"/>
        </w:rPr>
      </w:pPr>
      <w:r>
        <w:rPr>
          <w:rFonts w:hint="eastAsia" w:cs="仿宋" w:asciiTheme="minorEastAsia" w:hAnsiTheme="minorEastAsia" w:eastAsiaTheme="minorEastAsia"/>
          <w:bCs/>
          <w:sz w:val="24"/>
        </w:rPr>
        <w:t>3.5.6</w:t>
      </w:r>
      <w:r>
        <w:rPr>
          <w:rFonts w:cs="仿宋" w:asciiTheme="minorEastAsia" w:hAnsiTheme="minorEastAsia" w:eastAsiaTheme="minorEastAsia"/>
          <w:bCs/>
          <w:sz w:val="24"/>
        </w:rPr>
        <w:t>“投标人的信誉情况表”应附投标人在国家企业信用信息公示系统中未被列入</w:t>
      </w:r>
      <w:r>
        <w:rPr>
          <w:rFonts w:hint="eastAsia" w:cs="仿宋" w:asciiTheme="minorEastAsia" w:hAnsiTheme="minorEastAsia" w:eastAsiaTheme="minorEastAsia"/>
          <w:bCs/>
          <w:sz w:val="24"/>
        </w:rPr>
        <w:t>经营异常名录或</w:t>
      </w:r>
      <w:r>
        <w:rPr>
          <w:rFonts w:cs="仿宋" w:asciiTheme="minorEastAsia" w:hAnsiTheme="minorEastAsia" w:eastAsiaTheme="minorEastAsia"/>
          <w:bCs/>
          <w:sz w:val="24"/>
        </w:rPr>
        <w:t>严重失信</w:t>
      </w:r>
      <w:r>
        <w:rPr>
          <w:rFonts w:hint="eastAsia" w:cs="仿宋" w:asciiTheme="minorEastAsia" w:hAnsiTheme="minorEastAsia" w:eastAsiaTheme="minorEastAsia"/>
          <w:bCs/>
          <w:sz w:val="24"/>
        </w:rPr>
        <w:t>黑</w:t>
      </w:r>
      <w:r>
        <w:rPr>
          <w:rFonts w:cs="仿宋" w:asciiTheme="minorEastAsia" w:hAnsiTheme="minorEastAsia" w:eastAsiaTheme="minorEastAsia"/>
          <w:bCs/>
          <w:sz w:val="24"/>
        </w:rPr>
        <w:t>名单</w:t>
      </w:r>
      <w:r>
        <w:rPr>
          <w:rFonts w:hint="eastAsia" w:cs="仿宋" w:asciiTheme="minorEastAsia" w:hAnsiTheme="minorEastAsia" w:eastAsiaTheme="minorEastAsia"/>
          <w:bCs/>
          <w:sz w:val="24"/>
        </w:rPr>
        <w:t>、未在“信用中国”</w:t>
      </w:r>
      <w:r>
        <w:rPr>
          <w:rFonts w:hint="eastAsia" w:asciiTheme="minorEastAsia" w:hAnsiTheme="minorEastAsia" w:eastAsiaTheme="minorEastAsia"/>
          <w:sz w:val="24"/>
        </w:rPr>
        <w:t>和“信用河南”</w:t>
      </w:r>
      <w:r>
        <w:rPr>
          <w:rFonts w:hint="eastAsia" w:cs="仿宋" w:asciiTheme="minorEastAsia" w:hAnsiTheme="minorEastAsia" w:eastAsiaTheme="minorEastAsia"/>
          <w:bCs/>
          <w:sz w:val="24"/>
        </w:rPr>
        <w:t>网站信用信息栏列入黑名单的网页截图。</w:t>
      </w:r>
    </w:p>
    <w:p>
      <w:pPr>
        <w:adjustRightInd w:val="0"/>
        <w:snapToGrid w:val="0"/>
        <w:spacing w:line="400" w:lineRule="exact"/>
        <w:ind w:firstLine="480" w:firstLineChars="200"/>
        <w:rPr>
          <w:rFonts w:ascii="宋体" w:hAnsi="宋体"/>
          <w:sz w:val="24"/>
        </w:rPr>
      </w:pPr>
      <w:r>
        <w:rPr>
          <w:rFonts w:ascii="宋体" w:hAnsi="宋体"/>
          <w:sz w:val="24"/>
        </w:rPr>
        <w:t>3.5.</w:t>
      </w:r>
      <w:r>
        <w:rPr>
          <w:rFonts w:hint="eastAsia" w:ascii="宋体" w:hAnsi="宋体"/>
          <w:sz w:val="24"/>
        </w:rPr>
        <w:t>7</w:t>
      </w:r>
      <w:r>
        <w:rPr>
          <w:rFonts w:ascii="宋体" w:hAnsi="宋体"/>
          <w:sz w:val="24"/>
        </w:rPr>
        <w:t xml:space="preserve"> “近年发生的诉讼及仲裁情况”应说明相关情况，并附法院或仲裁机构作出的判决、裁决等有关法律文书</w:t>
      </w:r>
      <w:r>
        <w:rPr>
          <w:rFonts w:hint="eastAsia" w:ascii="宋体" w:hAnsi="宋体"/>
          <w:sz w:val="24"/>
          <w:lang w:eastAsia="zh-CN"/>
        </w:rPr>
        <w:t>的原件扫描件（或图片）</w:t>
      </w:r>
      <w:r>
        <w:rPr>
          <w:rFonts w:ascii="宋体" w:hAnsi="宋体"/>
          <w:sz w:val="24"/>
        </w:rPr>
        <w:t>应说明相关情况，并附法院或仲裁机构作出的判决、裁决等有关法律文书</w:t>
      </w:r>
      <w:r>
        <w:rPr>
          <w:rFonts w:hint="eastAsia" w:ascii="宋体" w:hAnsi="宋体"/>
          <w:sz w:val="24"/>
          <w:lang w:val="en-US" w:eastAsia="zh-CN"/>
        </w:rPr>
        <w:t>的原件扫描件（或图片）</w:t>
      </w:r>
      <w:r>
        <w:rPr>
          <w:rFonts w:ascii="宋体" w:hAnsi="宋体"/>
          <w:sz w:val="24"/>
        </w:rPr>
        <w:t>，具体年份要求见投标人须知前附表。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3.5.</w:t>
      </w:r>
      <w:r>
        <w:rPr>
          <w:rFonts w:hint="eastAsia" w:ascii="宋体" w:hAnsi="宋体"/>
          <w:sz w:val="24"/>
        </w:rPr>
        <w:t>8</w:t>
      </w:r>
      <w:r>
        <w:rPr>
          <w:rFonts w:ascii="宋体" w:hAnsi="宋体"/>
          <w:sz w:val="24"/>
        </w:rPr>
        <w:t xml:space="preserve"> 投标人须知前附表规定接受联合体投标的，本章第3.5.1项至第3.5.5项规定的表格和资料应包括联合体各方相关情况。</w:t>
      </w:r>
    </w:p>
    <w:p>
      <w:pPr>
        <w:adjustRightInd w:val="0"/>
        <w:snapToGrid w:val="0"/>
        <w:spacing w:line="400" w:lineRule="exact"/>
        <w:ind w:firstLine="480" w:firstLineChars="200"/>
        <w:rPr>
          <w:rFonts w:ascii="宋体" w:hAnsi="宋体"/>
          <w:sz w:val="24"/>
        </w:rPr>
      </w:pPr>
      <w:r>
        <w:rPr>
          <w:rFonts w:hint="eastAsia" w:ascii="宋体" w:hAnsi="宋体"/>
          <w:sz w:val="24"/>
        </w:rPr>
        <w:t>3.5.9 投标人在投标文件中填报的项目经理和项目总工不允许更换。</w:t>
      </w:r>
    </w:p>
    <w:p>
      <w:pPr>
        <w:adjustRightInd w:val="0"/>
        <w:snapToGrid w:val="0"/>
        <w:spacing w:line="400" w:lineRule="exact"/>
        <w:ind w:firstLine="480" w:firstLineChars="200"/>
        <w:rPr>
          <w:rFonts w:ascii="宋体" w:hAnsi="宋体"/>
          <w:sz w:val="24"/>
        </w:rPr>
      </w:pPr>
      <w:r>
        <w:rPr>
          <w:rFonts w:hint="eastAsia" w:ascii="宋体" w:hAnsi="宋体"/>
          <w:sz w:val="24"/>
        </w:rPr>
        <w:t>3.5.10招标人将进一步核查投标人在投标文件中提供的材料，若在评标期间发现投标人提供了虚假资料，招标人有权对投标人的投标文件作废标处理，并没收其投标担保；若在评标结果公示期间发现作为中标候选人的投标人提供了虚假资料，招标人有权取消其中标资格并没收其投标担保；若在合同实施期间发现投标人提供了虚假资料，招标人有权从工程支付款或履约保证金中扣除不超过10%签约合同价的金额作为违约金。同时招标人将投标人以上弄虚作假行为上报省级交通主管部门，作为不良记录纳入公路建设市场信用信息管理系统。</w:t>
      </w:r>
    </w:p>
    <w:p>
      <w:pPr>
        <w:pStyle w:val="4"/>
        <w:keepNext w:val="0"/>
        <w:keepLines w:val="0"/>
        <w:adjustRightInd w:val="0"/>
        <w:snapToGrid w:val="0"/>
        <w:spacing w:beforeLines="50" w:after="0" w:line="400" w:lineRule="exact"/>
        <w:rPr>
          <w:rFonts w:ascii="宋体" w:hAnsi="宋体"/>
          <w:sz w:val="24"/>
          <w:szCs w:val="24"/>
        </w:rPr>
      </w:pPr>
      <w:bookmarkStart w:id="94" w:name="_Toc486277887"/>
      <w:bookmarkStart w:id="95" w:name="_Toc485889026"/>
      <w:bookmarkStart w:id="96" w:name="_Toc15460"/>
      <w:bookmarkStart w:id="97" w:name="_Toc234382614"/>
      <w:r>
        <w:rPr>
          <w:rFonts w:ascii="宋体" w:hAnsi="宋体"/>
          <w:sz w:val="24"/>
          <w:szCs w:val="24"/>
        </w:rPr>
        <w:t>3.6 备选投标方案</w:t>
      </w:r>
      <w:bookmarkEnd w:id="94"/>
      <w:bookmarkEnd w:id="95"/>
      <w:bookmarkEnd w:id="96"/>
      <w:bookmarkEnd w:id="97"/>
    </w:p>
    <w:p>
      <w:pPr>
        <w:adjustRightInd w:val="0"/>
        <w:snapToGrid w:val="0"/>
        <w:spacing w:line="400" w:lineRule="exact"/>
        <w:ind w:firstLine="480" w:firstLineChars="200"/>
        <w:rPr>
          <w:rFonts w:ascii="宋体" w:hAnsi="宋体"/>
          <w:sz w:val="24"/>
        </w:rPr>
      </w:pPr>
      <w:r>
        <w:rPr>
          <w:rFonts w:ascii="宋体" w:hAnsi="宋体"/>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keepNext w:val="0"/>
        <w:keepLines w:val="0"/>
        <w:adjustRightInd w:val="0"/>
        <w:snapToGrid w:val="0"/>
        <w:spacing w:beforeLines="50" w:after="0" w:line="400" w:lineRule="exact"/>
        <w:rPr>
          <w:rFonts w:ascii="宋体" w:hAnsi="宋体"/>
          <w:sz w:val="24"/>
          <w:szCs w:val="24"/>
        </w:rPr>
      </w:pPr>
      <w:bookmarkStart w:id="98" w:name="_Toc30194"/>
      <w:bookmarkStart w:id="99" w:name="_Toc234382615"/>
      <w:bookmarkStart w:id="100" w:name="_Toc485889027"/>
      <w:bookmarkStart w:id="101" w:name="_Toc486277888"/>
      <w:r>
        <w:rPr>
          <w:rFonts w:ascii="宋体" w:hAnsi="宋体"/>
          <w:sz w:val="24"/>
          <w:szCs w:val="24"/>
        </w:rPr>
        <w:t>3.7 投标文件的编制</w:t>
      </w:r>
      <w:bookmarkEnd w:id="98"/>
      <w:bookmarkEnd w:id="99"/>
      <w:bookmarkEnd w:id="100"/>
      <w:bookmarkEnd w:id="101"/>
    </w:p>
    <w:p>
      <w:pPr>
        <w:adjustRightInd w:val="0"/>
        <w:snapToGrid w:val="0"/>
        <w:spacing w:line="400" w:lineRule="exact"/>
        <w:ind w:firstLine="480" w:firstLineChars="200"/>
        <w:rPr>
          <w:rFonts w:hint="eastAsia" w:ascii="宋体" w:hAnsi="宋体"/>
          <w:sz w:val="24"/>
        </w:rPr>
      </w:pPr>
      <w:bookmarkStart w:id="102" w:name="_Toc486277889"/>
      <w:bookmarkStart w:id="103" w:name="_Toc234382616"/>
      <w:bookmarkStart w:id="104" w:name="_Toc3142"/>
      <w:bookmarkStart w:id="105" w:name="_Toc485889028"/>
      <w:r>
        <w:rPr>
          <w:rFonts w:hint="eastAsia" w:ascii="宋体" w:hAnsi="宋体"/>
          <w:sz w:val="24"/>
        </w:rPr>
        <w:t>3.7.1投标文件应按第八章“投标文件格式”进行编写，如有必要，可以增加附页，作为投标文件的组成部分。其中，投标函附录在满足招标文件实质性要求的基础上，可以提出比招标文件要求更有利于招标人的承诺。投标人编制的投标文件应当满足招标文件规定的基本格式要求。</w:t>
      </w:r>
    </w:p>
    <w:p>
      <w:pPr>
        <w:adjustRightInd w:val="0"/>
        <w:snapToGrid w:val="0"/>
        <w:spacing w:line="400" w:lineRule="exact"/>
        <w:ind w:firstLine="480" w:firstLineChars="200"/>
        <w:rPr>
          <w:rFonts w:hint="eastAsia" w:ascii="宋体" w:hAnsi="宋体"/>
          <w:sz w:val="24"/>
        </w:rPr>
      </w:pPr>
      <w:r>
        <w:rPr>
          <w:rFonts w:hint="eastAsia" w:ascii="宋体" w:hAnsi="宋体"/>
          <w:sz w:val="24"/>
        </w:rPr>
        <w:t>3.7.2 投标文件应当对招标文件有关工期、投标有效期、质量要求、技术标准和要求、招标范围等实质性内容作出响应。</w:t>
      </w:r>
    </w:p>
    <w:p>
      <w:pPr>
        <w:adjustRightInd w:val="0"/>
        <w:snapToGrid w:val="0"/>
        <w:spacing w:line="400" w:lineRule="exact"/>
        <w:ind w:firstLine="480" w:firstLineChars="200"/>
        <w:rPr>
          <w:rFonts w:hint="eastAsia" w:ascii="宋体" w:hAnsi="宋体"/>
          <w:sz w:val="24"/>
        </w:rPr>
      </w:pPr>
      <w:r>
        <w:rPr>
          <w:rFonts w:hint="eastAsia" w:ascii="宋体" w:hAnsi="宋体"/>
          <w:sz w:val="24"/>
        </w:rPr>
        <w:t>3.7.3纸质投标文件应用不褪色的材料书写或打印，并由投标人的法定代表人或其授权委托人签字，加盖单位公章。授权委托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adjustRightInd w:val="0"/>
        <w:snapToGrid w:val="0"/>
        <w:spacing w:line="400" w:lineRule="exact"/>
        <w:ind w:firstLine="480" w:firstLineChars="200"/>
        <w:rPr>
          <w:rFonts w:hint="eastAsia" w:ascii="宋体" w:hAnsi="宋体"/>
          <w:sz w:val="24"/>
        </w:rPr>
      </w:pPr>
      <w:r>
        <w:rPr>
          <w:rFonts w:hint="eastAsia" w:ascii="宋体" w:hAnsi="宋体"/>
          <w:sz w:val="24"/>
        </w:rPr>
        <w:t>3.7.4 投标人登录许昌公共资源交易系统下载“许昌投标文件制作系统SEARUN V1.</w:t>
      </w:r>
      <w:r>
        <w:rPr>
          <w:rFonts w:hint="eastAsia" w:ascii="宋体" w:hAnsi="宋体"/>
          <w:sz w:val="24"/>
          <w:lang w:val="en-US" w:eastAsia="zh-CN"/>
        </w:rPr>
        <w:t>1</w:t>
      </w:r>
      <w:r>
        <w:rPr>
          <w:rFonts w:hint="eastAsia" w:ascii="宋体" w:hAnsi="宋体"/>
          <w:sz w:val="24"/>
        </w:rPr>
        <w:t>”，按招标文件要求制作电子投标文件。投标文件制作技术咨询：0374-2961598。</w:t>
      </w:r>
    </w:p>
    <w:p>
      <w:pPr>
        <w:adjustRightInd w:val="0"/>
        <w:snapToGrid w:val="0"/>
        <w:spacing w:line="400" w:lineRule="exact"/>
        <w:ind w:firstLine="480" w:firstLineChars="200"/>
        <w:rPr>
          <w:rFonts w:hint="eastAsia" w:ascii="宋体" w:hAnsi="宋体"/>
          <w:sz w:val="24"/>
        </w:rPr>
      </w:pPr>
      <w:r>
        <w:rPr>
          <w:rFonts w:hint="eastAsia" w:ascii="宋体" w:hAnsi="宋体"/>
          <w:sz w:val="24"/>
        </w:rPr>
        <w:t>3.7.5 使用电子介质存储的备份文件1份。</w:t>
      </w:r>
    </w:p>
    <w:p>
      <w:pPr>
        <w:adjustRightInd w:val="0"/>
        <w:snapToGrid w:val="0"/>
        <w:spacing w:line="400" w:lineRule="exact"/>
        <w:ind w:firstLine="480" w:firstLineChars="200"/>
        <w:rPr>
          <w:rFonts w:hint="eastAsia" w:ascii="宋体" w:hAnsi="宋体"/>
          <w:sz w:val="24"/>
        </w:rPr>
      </w:pPr>
      <w:r>
        <w:rPr>
          <w:rFonts w:hint="eastAsia" w:ascii="宋体" w:hAnsi="宋体"/>
          <w:sz w:val="24"/>
        </w:rPr>
        <w:t>3.7.6 同时生成与电子投标文件内容、水印码、电子签章一致的PDF文件,用于打印纸质文件。</w:t>
      </w:r>
    </w:p>
    <w:p>
      <w:pPr>
        <w:adjustRightInd w:val="0"/>
        <w:snapToGrid w:val="0"/>
        <w:spacing w:line="400" w:lineRule="exact"/>
        <w:ind w:firstLine="480" w:firstLineChars="200"/>
        <w:rPr>
          <w:rFonts w:hint="eastAsia" w:ascii="宋体" w:hAnsi="宋体"/>
          <w:sz w:val="24"/>
        </w:rPr>
      </w:pPr>
      <w:r>
        <w:rPr>
          <w:rFonts w:hint="eastAsia" w:ascii="宋体" w:hAnsi="宋体"/>
          <w:sz w:val="24"/>
        </w:rPr>
        <w:t>3.7.7 纸质投标文件份数见投标人须知前附表。正本和副本的封面上应清楚地标记“正本”或“副本”的字样。当副本和正本不一致时，以正本为准。正本中大、小写不一致时以大写为准，用A4纸打印，投标文件的正本与副本应分别装订成册，并编制目录。</w:t>
      </w:r>
    </w:p>
    <w:p>
      <w:pPr>
        <w:adjustRightInd w:val="0"/>
        <w:snapToGrid w:val="0"/>
        <w:spacing w:line="400" w:lineRule="exact"/>
        <w:ind w:firstLine="480" w:firstLineChars="200"/>
        <w:rPr>
          <w:rFonts w:hint="eastAsia" w:ascii="宋体" w:hAnsi="宋体"/>
          <w:sz w:val="24"/>
        </w:rPr>
      </w:pPr>
      <w:r>
        <w:rPr>
          <w:rFonts w:hint="eastAsia" w:ascii="宋体" w:hAnsi="宋体"/>
          <w:sz w:val="24"/>
        </w:rPr>
        <w:t>3.7.8具体装订要求见投标人须知前附表规定。</w:t>
      </w:r>
    </w:p>
    <w:p>
      <w:pPr>
        <w:pStyle w:val="4"/>
        <w:keepNext w:val="0"/>
        <w:keepLines w:val="0"/>
        <w:adjustRightInd w:val="0"/>
        <w:snapToGrid w:val="0"/>
        <w:spacing w:beforeLines="50" w:after="0" w:line="400" w:lineRule="exact"/>
        <w:rPr>
          <w:rFonts w:ascii="宋体" w:hAnsi="宋体"/>
          <w:sz w:val="24"/>
          <w:szCs w:val="24"/>
        </w:rPr>
      </w:pPr>
      <w:r>
        <w:rPr>
          <w:rFonts w:ascii="宋体" w:hAnsi="宋体"/>
          <w:sz w:val="24"/>
          <w:szCs w:val="24"/>
        </w:rPr>
        <w:t>4. 投标</w:t>
      </w:r>
      <w:bookmarkEnd w:id="102"/>
      <w:bookmarkEnd w:id="103"/>
      <w:bookmarkEnd w:id="104"/>
      <w:bookmarkEnd w:id="105"/>
    </w:p>
    <w:p>
      <w:pPr>
        <w:adjustRightInd w:val="0"/>
        <w:snapToGrid w:val="0"/>
        <w:spacing w:line="400" w:lineRule="exact"/>
        <w:rPr>
          <w:rFonts w:hint="eastAsia" w:ascii="宋体" w:hAnsi="宋体"/>
          <w:b/>
          <w:bCs/>
          <w:sz w:val="24"/>
        </w:rPr>
      </w:pPr>
      <w:bookmarkStart w:id="106" w:name="_Toc234382617"/>
      <w:bookmarkStart w:id="107" w:name="_Toc486277890"/>
      <w:bookmarkStart w:id="108" w:name="_Toc26813"/>
      <w:bookmarkStart w:id="109" w:name="_Toc485889029"/>
      <w:r>
        <w:rPr>
          <w:rFonts w:hint="eastAsia" w:ascii="宋体" w:hAnsi="宋体"/>
          <w:b/>
          <w:bCs/>
          <w:sz w:val="24"/>
        </w:rPr>
        <w:t>4.1 投标文件的密封和标记</w:t>
      </w:r>
      <w:bookmarkStart w:id="110" w:name="_Toc31665"/>
      <w:bookmarkStart w:id="111" w:name="_Toc234382618"/>
      <w:bookmarkStart w:id="112" w:name="_Toc486277891"/>
      <w:bookmarkStart w:id="113" w:name="_Toc485889030"/>
      <w:bookmarkEnd w:id="106"/>
      <w:bookmarkEnd w:id="107"/>
      <w:bookmarkEnd w:id="108"/>
      <w:bookmarkEnd w:id="109"/>
      <w:r>
        <w:rPr>
          <w:rFonts w:hint="eastAsia" w:ascii="宋体" w:hAnsi="宋体"/>
          <w:b/>
          <w:bCs/>
          <w:sz w:val="24"/>
        </w:rPr>
        <w:t>（具体要求详见投标人须知前附表）</w:t>
      </w:r>
    </w:p>
    <w:p>
      <w:pPr>
        <w:adjustRightInd w:val="0"/>
        <w:snapToGrid w:val="0"/>
        <w:spacing w:line="400" w:lineRule="exact"/>
        <w:rPr>
          <w:rFonts w:hint="eastAsia" w:ascii="宋体" w:hAnsi="宋体"/>
          <w:b/>
          <w:bCs/>
          <w:sz w:val="24"/>
        </w:rPr>
      </w:pPr>
      <w:r>
        <w:rPr>
          <w:rFonts w:hint="eastAsia" w:ascii="宋体" w:hAnsi="宋体"/>
          <w:b/>
          <w:bCs/>
          <w:sz w:val="24"/>
        </w:rPr>
        <w:t>4.2 投标文件的递交</w:t>
      </w:r>
      <w:bookmarkEnd w:id="110"/>
      <w:bookmarkEnd w:id="111"/>
      <w:bookmarkEnd w:id="112"/>
      <w:bookmarkEnd w:id="113"/>
    </w:p>
    <w:p>
      <w:pPr>
        <w:adjustRightInd w:val="0"/>
        <w:snapToGrid w:val="0"/>
        <w:spacing w:line="400" w:lineRule="exact"/>
        <w:ind w:firstLine="480" w:firstLineChars="200"/>
        <w:rPr>
          <w:rFonts w:hint="eastAsia" w:ascii="宋体" w:hAnsi="宋体"/>
          <w:sz w:val="24"/>
        </w:rPr>
      </w:pPr>
      <w:bookmarkStart w:id="114" w:name="_Toc486277892"/>
      <w:bookmarkStart w:id="115" w:name="_Toc234382619"/>
      <w:bookmarkStart w:id="116" w:name="_Toc485889031"/>
      <w:bookmarkStart w:id="117" w:name="_Toc30135"/>
      <w:r>
        <w:rPr>
          <w:rFonts w:hint="eastAsia" w:ascii="宋体" w:hAnsi="宋体"/>
          <w:sz w:val="24"/>
        </w:rPr>
        <w:t>4.2.1、本项目为全流程电子化交易项目，须提交电子投标文件和纸质投标文件（正本1份、副本1份）。</w:t>
      </w:r>
    </w:p>
    <w:p>
      <w:pPr>
        <w:adjustRightInd w:val="0"/>
        <w:snapToGrid w:val="0"/>
        <w:spacing w:line="400" w:lineRule="exact"/>
        <w:ind w:firstLine="480" w:firstLineChars="200"/>
        <w:rPr>
          <w:rFonts w:hint="eastAsia" w:ascii="宋体" w:hAnsi="宋体"/>
          <w:sz w:val="24"/>
        </w:rPr>
      </w:pPr>
      <w:r>
        <w:rPr>
          <w:rFonts w:hint="eastAsia" w:ascii="宋体" w:hAnsi="宋体"/>
          <w:sz w:val="24"/>
        </w:rPr>
        <w:t>4.2.2、投标文件提交截止时间及开标时间：见投标人须知前附表。</w:t>
      </w:r>
    </w:p>
    <w:p>
      <w:pPr>
        <w:adjustRightInd w:val="0"/>
        <w:snapToGrid w:val="0"/>
        <w:spacing w:line="400" w:lineRule="exact"/>
        <w:ind w:firstLine="480" w:firstLineChars="200"/>
        <w:rPr>
          <w:rFonts w:hint="eastAsia" w:ascii="宋体" w:hAnsi="宋体"/>
          <w:sz w:val="24"/>
        </w:rPr>
      </w:pPr>
      <w:r>
        <w:rPr>
          <w:rFonts w:hint="eastAsia" w:ascii="宋体" w:hAnsi="宋体"/>
          <w:sz w:val="24"/>
        </w:rPr>
        <w:t>4.2.3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adjustRightInd w:val="0"/>
        <w:snapToGrid w:val="0"/>
        <w:spacing w:line="400" w:lineRule="exact"/>
        <w:ind w:firstLine="480" w:firstLineChars="200"/>
        <w:rPr>
          <w:rFonts w:hint="eastAsia" w:ascii="宋体" w:hAnsi="宋体"/>
          <w:sz w:val="24"/>
        </w:rPr>
      </w:pPr>
      <w:r>
        <w:rPr>
          <w:rFonts w:hint="eastAsia" w:ascii="宋体" w:hAnsi="宋体"/>
          <w:sz w:val="24"/>
        </w:rPr>
        <w:t>4.2.4、纸质投标文件提交地点：见投标人须知前附表。</w:t>
      </w:r>
    </w:p>
    <w:p>
      <w:pPr>
        <w:adjustRightInd w:val="0"/>
        <w:snapToGrid w:val="0"/>
        <w:spacing w:line="400" w:lineRule="exact"/>
        <w:ind w:firstLine="480" w:firstLineChars="200"/>
        <w:rPr>
          <w:rFonts w:hint="eastAsia" w:ascii="宋体" w:hAnsi="宋体"/>
          <w:sz w:val="24"/>
        </w:rPr>
      </w:pPr>
      <w:r>
        <w:rPr>
          <w:rFonts w:hint="eastAsia" w:ascii="宋体" w:hAnsi="宋体"/>
          <w:sz w:val="24"/>
        </w:rPr>
        <w:t>4.2.5、逾期送达的或者未按照招标文件要求密封的纸质投标文件、及仅提供纸质投标文件的，招标人不予受理。</w:t>
      </w:r>
    </w:p>
    <w:p>
      <w:pPr>
        <w:adjustRightInd w:val="0"/>
        <w:snapToGrid w:val="0"/>
        <w:spacing w:line="400" w:lineRule="exact"/>
        <w:ind w:firstLine="480" w:firstLineChars="200"/>
        <w:rPr>
          <w:rFonts w:hint="eastAsia" w:ascii="宋体" w:hAnsi="宋体"/>
          <w:sz w:val="24"/>
        </w:rPr>
      </w:pPr>
      <w:r>
        <w:rPr>
          <w:rFonts w:hint="eastAsia" w:ascii="宋体" w:hAnsi="宋体"/>
          <w:sz w:val="24"/>
        </w:rPr>
        <w:t>4.2.6、 除投标人须知前附表另有规定外，投标人所递交的投标文件不予退还。</w:t>
      </w:r>
    </w:p>
    <w:p>
      <w:pPr>
        <w:pStyle w:val="4"/>
        <w:keepNext w:val="0"/>
        <w:keepLines w:val="0"/>
        <w:adjustRightInd w:val="0"/>
        <w:snapToGrid w:val="0"/>
        <w:spacing w:beforeLines="50" w:after="0" w:line="400" w:lineRule="exact"/>
        <w:rPr>
          <w:rFonts w:ascii="宋体" w:hAnsi="宋体"/>
          <w:sz w:val="24"/>
          <w:szCs w:val="24"/>
        </w:rPr>
      </w:pPr>
      <w:r>
        <w:rPr>
          <w:rFonts w:ascii="宋体" w:hAnsi="宋体"/>
          <w:sz w:val="24"/>
          <w:szCs w:val="24"/>
        </w:rPr>
        <w:t>4.3 投标文件的修改与撤回</w:t>
      </w:r>
      <w:bookmarkEnd w:id="114"/>
      <w:bookmarkEnd w:id="115"/>
      <w:bookmarkEnd w:id="116"/>
      <w:bookmarkEnd w:id="117"/>
    </w:p>
    <w:p>
      <w:pPr>
        <w:adjustRightInd w:val="0"/>
        <w:snapToGrid w:val="0"/>
        <w:spacing w:line="400" w:lineRule="exact"/>
        <w:ind w:firstLine="480" w:firstLineChars="200"/>
        <w:rPr>
          <w:rFonts w:hint="eastAsia" w:ascii="宋体" w:hAnsi="宋体"/>
          <w:sz w:val="24"/>
        </w:rPr>
      </w:pPr>
      <w:bookmarkStart w:id="118" w:name="_Toc11058"/>
      <w:bookmarkStart w:id="119" w:name="_Toc234382620"/>
      <w:bookmarkStart w:id="120" w:name="_Toc485889032"/>
      <w:bookmarkStart w:id="121" w:name="_Toc486277893"/>
      <w:r>
        <w:rPr>
          <w:rFonts w:hint="eastAsia" w:ascii="宋体" w:hAnsi="宋体"/>
          <w:sz w:val="24"/>
        </w:rPr>
        <w:t>4.3.1 在本章第4.2.2项规定的投标截止时间前，投标人可以修改或撤回已递交的投标文件，但应以书面形式通知招标人。</w:t>
      </w:r>
    </w:p>
    <w:p>
      <w:pPr>
        <w:adjustRightInd w:val="0"/>
        <w:snapToGrid w:val="0"/>
        <w:spacing w:line="400" w:lineRule="exact"/>
        <w:ind w:firstLine="480" w:firstLineChars="200"/>
        <w:rPr>
          <w:rFonts w:hint="eastAsia" w:ascii="宋体" w:hAnsi="宋体"/>
          <w:sz w:val="24"/>
        </w:rPr>
      </w:pPr>
      <w:r>
        <w:rPr>
          <w:rFonts w:hint="eastAsia" w:ascii="宋体" w:hAnsi="宋体"/>
          <w:sz w:val="24"/>
        </w:rPr>
        <w:t>4.3.2 投标人修改或撤回已递交投标文件的书面通知应按照本章投标人须知前附表第3.7.3项的要求签字或盖章。招标人收到书面通知后，向投标人出具签收凭证。</w:t>
      </w:r>
    </w:p>
    <w:p>
      <w:pPr>
        <w:adjustRightInd w:val="0"/>
        <w:snapToGrid w:val="0"/>
        <w:spacing w:line="400" w:lineRule="exact"/>
        <w:ind w:firstLine="480" w:firstLineChars="200"/>
        <w:rPr>
          <w:rFonts w:hint="eastAsia" w:ascii="宋体" w:hAnsi="宋体"/>
          <w:sz w:val="24"/>
        </w:rPr>
      </w:pPr>
      <w:r>
        <w:rPr>
          <w:rFonts w:hint="eastAsia" w:ascii="宋体" w:hAnsi="宋体"/>
          <w:sz w:val="24"/>
        </w:rPr>
        <w:t>4.3.3 修改的内容为投标文件的组成部分。修改的投标文件应按照本章第3条、第4条规定进行编制、密封、标记和递交，并标明“修改”字样。</w:t>
      </w:r>
    </w:p>
    <w:p>
      <w:pPr>
        <w:adjustRightInd w:val="0"/>
        <w:snapToGrid w:val="0"/>
        <w:spacing w:line="400" w:lineRule="exact"/>
        <w:ind w:firstLine="480" w:firstLineChars="200"/>
        <w:rPr>
          <w:rFonts w:hint="eastAsia" w:ascii="宋体" w:hAnsi="宋体"/>
          <w:sz w:val="24"/>
        </w:rPr>
      </w:pPr>
      <w:r>
        <w:rPr>
          <w:rFonts w:hint="eastAsia" w:ascii="宋体" w:hAnsi="宋体"/>
          <w:sz w:val="24"/>
        </w:rPr>
        <w:t>4.3.4 投标人应当在投标截止时间前完成电子投标文件的提交，可以补充、修改或撤回。投标截止时间前未完成电子投标文件提交、取得“投标文件提交回执单”的，视为撤回投标文件。</w:t>
      </w:r>
    </w:p>
    <w:p>
      <w:pPr>
        <w:pStyle w:val="4"/>
        <w:keepNext w:val="0"/>
        <w:keepLines w:val="0"/>
        <w:adjustRightInd w:val="0"/>
        <w:snapToGrid w:val="0"/>
        <w:spacing w:beforeLines="50" w:after="0" w:line="400" w:lineRule="exact"/>
        <w:rPr>
          <w:rFonts w:ascii="宋体" w:hAnsi="宋体"/>
          <w:sz w:val="24"/>
          <w:szCs w:val="24"/>
        </w:rPr>
      </w:pPr>
      <w:r>
        <w:rPr>
          <w:rFonts w:ascii="宋体" w:hAnsi="宋体"/>
          <w:sz w:val="24"/>
          <w:szCs w:val="24"/>
        </w:rPr>
        <w:t>5. 开标</w:t>
      </w:r>
      <w:bookmarkEnd w:id="118"/>
      <w:bookmarkEnd w:id="119"/>
      <w:bookmarkEnd w:id="120"/>
      <w:bookmarkEnd w:id="121"/>
    </w:p>
    <w:p>
      <w:pPr>
        <w:pStyle w:val="4"/>
        <w:keepNext w:val="0"/>
        <w:keepLines w:val="0"/>
        <w:adjustRightInd w:val="0"/>
        <w:snapToGrid w:val="0"/>
        <w:spacing w:beforeLines="50" w:after="0" w:line="400" w:lineRule="exact"/>
        <w:rPr>
          <w:rFonts w:ascii="宋体" w:hAnsi="宋体"/>
          <w:sz w:val="24"/>
          <w:szCs w:val="24"/>
        </w:rPr>
      </w:pPr>
      <w:bookmarkStart w:id="122" w:name="_Toc234382622"/>
      <w:bookmarkStart w:id="123" w:name="_Toc486277894"/>
      <w:bookmarkStart w:id="124" w:name="_Toc485889033"/>
      <w:bookmarkStart w:id="125" w:name="_Toc11150"/>
      <w:r>
        <w:rPr>
          <w:rFonts w:ascii="宋体" w:hAnsi="宋体"/>
          <w:sz w:val="24"/>
          <w:szCs w:val="24"/>
        </w:rPr>
        <w:t>5.1 开标时间和地点</w:t>
      </w:r>
      <w:bookmarkEnd w:id="122"/>
      <w:bookmarkEnd w:id="123"/>
      <w:bookmarkEnd w:id="124"/>
      <w:bookmarkEnd w:id="125"/>
    </w:p>
    <w:p>
      <w:pPr>
        <w:adjustRightInd w:val="0"/>
        <w:snapToGrid w:val="0"/>
        <w:spacing w:line="400" w:lineRule="exact"/>
        <w:ind w:firstLine="480" w:firstLineChars="200"/>
        <w:rPr>
          <w:rFonts w:ascii="宋体" w:hAnsi="宋体"/>
          <w:sz w:val="24"/>
        </w:rPr>
      </w:pPr>
      <w:r>
        <w:rPr>
          <w:rFonts w:ascii="宋体" w:hAnsi="宋体"/>
          <w:sz w:val="24"/>
        </w:rPr>
        <w:t>招标人在投标人须知前附表第 2.2.2 项规定的投标截止时间（开标时间）和投标人须知</w:t>
      </w:r>
      <w:r>
        <w:rPr>
          <w:rFonts w:hint="eastAsia" w:asciiTheme="minorEastAsia" w:hAnsiTheme="minorEastAsia" w:eastAsiaTheme="minorEastAsia" w:cstheme="minorEastAsia"/>
          <w:sz w:val="24"/>
          <w:highlight w:val="none"/>
        </w:rPr>
        <w:t>前附表</w:t>
      </w:r>
      <w:r>
        <w:rPr>
          <w:rFonts w:ascii="宋体" w:hAnsi="宋体"/>
          <w:sz w:val="24"/>
        </w:rPr>
        <w:t>规定的地点</w:t>
      </w:r>
      <w:r>
        <w:rPr>
          <w:rFonts w:hint="eastAsia" w:ascii="宋体" w:hAnsi="宋体"/>
          <w:sz w:val="24"/>
        </w:rPr>
        <w:t>对收到的投标文件第一个信封（商务及技术文件）</w:t>
      </w:r>
      <w:r>
        <w:rPr>
          <w:rFonts w:ascii="宋体" w:hAnsi="宋体"/>
          <w:sz w:val="24"/>
        </w:rPr>
        <w:t>公开开标，并邀请所有投标人的法定代表人或其委托代理人准时参加。</w:t>
      </w:r>
    </w:p>
    <w:p>
      <w:pPr>
        <w:adjustRightInd w:val="0"/>
        <w:snapToGrid w:val="0"/>
        <w:spacing w:line="400" w:lineRule="exact"/>
        <w:ind w:firstLine="480" w:firstLineChars="200"/>
        <w:rPr>
          <w:rFonts w:ascii="宋体" w:hAnsi="宋体"/>
          <w:sz w:val="24"/>
        </w:rPr>
      </w:pPr>
      <w:r>
        <w:rPr>
          <w:rFonts w:hint="eastAsia" w:ascii="宋体" w:hAnsi="宋体"/>
          <w:sz w:val="24"/>
        </w:rPr>
        <w:t>招标人在投标人须知前附表规定的时间和地点对投标文件第二个信封（投标报价和工程量清单）进行开标，并邀请所有投标人的法定代表人或其委托代理人准时参加，投标人若未派法定代表人或委托代理人出席开标活动，视为该投标人默认开标结果。</w:t>
      </w:r>
    </w:p>
    <w:p>
      <w:pPr>
        <w:pStyle w:val="4"/>
        <w:keepNext w:val="0"/>
        <w:keepLines w:val="0"/>
        <w:adjustRightInd w:val="0"/>
        <w:snapToGrid w:val="0"/>
        <w:spacing w:beforeLines="50" w:after="0" w:line="400" w:lineRule="exact"/>
        <w:rPr>
          <w:rFonts w:ascii="宋体" w:hAnsi="宋体"/>
          <w:sz w:val="24"/>
          <w:szCs w:val="24"/>
        </w:rPr>
      </w:pPr>
      <w:bookmarkStart w:id="126" w:name="_Toc234382624"/>
      <w:bookmarkStart w:id="127" w:name="_Toc26054"/>
      <w:bookmarkStart w:id="128" w:name="_Toc486277895"/>
      <w:bookmarkStart w:id="129" w:name="_Toc485889034"/>
      <w:r>
        <w:rPr>
          <w:rFonts w:ascii="宋体" w:hAnsi="宋体"/>
          <w:sz w:val="24"/>
          <w:szCs w:val="24"/>
        </w:rPr>
        <w:t>5.2 开标程序</w:t>
      </w:r>
      <w:bookmarkEnd w:id="126"/>
      <w:bookmarkEnd w:id="127"/>
      <w:bookmarkEnd w:id="128"/>
      <w:bookmarkEnd w:id="129"/>
    </w:p>
    <w:p>
      <w:pPr>
        <w:adjustRightInd w:val="0"/>
        <w:snapToGrid w:val="0"/>
        <w:spacing w:line="400" w:lineRule="exact"/>
        <w:ind w:firstLine="480" w:firstLineChars="200"/>
        <w:rPr>
          <w:rFonts w:ascii="宋体" w:hAnsi="宋体"/>
          <w:sz w:val="24"/>
        </w:rPr>
      </w:pPr>
      <w:bookmarkStart w:id="130" w:name="_Toc485889035"/>
      <w:bookmarkStart w:id="131" w:name="_Toc234382625"/>
      <w:bookmarkStart w:id="132" w:name="_Toc486277896"/>
      <w:bookmarkStart w:id="133" w:name="_Toc27685"/>
      <w:r>
        <w:rPr>
          <w:rFonts w:hint="eastAsia" w:ascii="宋体" w:hAnsi="宋体"/>
          <w:sz w:val="24"/>
        </w:rPr>
        <w:t>5.2.1主持人按下列程序进行开标对投标文件第一个信封（商务及技术文件）进行开标：</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）宣布投标截止时间，并公布招标人、代理机构、监督部门名称；</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）宣布开标纪律；</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）公布在投标截止时间前递交投标文件的投标人名称和投标保证金缴纳情况，检查各投标文件的密封情况。</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）电子投标文件解密</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）宣布唱标顺序，按已定顺序唱标，唱标内容为：投标人名称、质量目标、工期及其他内容，并记录；</w:t>
      </w:r>
    </w:p>
    <w:p>
      <w:pPr>
        <w:adjustRightInd w:val="0"/>
        <w:snapToGrid w:val="0"/>
        <w:spacing w:line="400" w:lineRule="exact"/>
        <w:ind w:firstLine="480" w:firstLineChars="200"/>
        <w:rPr>
          <w:rFonts w:ascii="宋体" w:hAnsi="宋体"/>
          <w:sz w:val="24"/>
        </w:rPr>
      </w:pPr>
      <w:r>
        <w:rPr>
          <w:rFonts w:hint="eastAsia" w:ascii="宋体" w:hAnsi="宋体"/>
          <w:sz w:val="24"/>
        </w:rPr>
        <w:t>（6）投标人代表、招标人代表、监标人、记录人等有关人员在开标记录上签字确认；</w:t>
      </w:r>
    </w:p>
    <w:p>
      <w:pPr>
        <w:adjustRightInd w:val="0"/>
        <w:snapToGrid w:val="0"/>
        <w:spacing w:line="400" w:lineRule="exact"/>
        <w:ind w:firstLine="480" w:firstLineChars="200"/>
        <w:rPr>
          <w:rFonts w:ascii="宋体" w:hAnsi="宋体"/>
          <w:sz w:val="24"/>
        </w:rPr>
      </w:pPr>
      <w:r>
        <w:rPr>
          <w:rFonts w:hint="eastAsia" w:ascii="宋体" w:hAnsi="宋体"/>
          <w:sz w:val="24"/>
        </w:rPr>
        <w:t>（7）开标结束。</w:t>
      </w:r>
    </w:p>
    <w:p>
      <w:pPr>
        <w:adjustRightInd w:val="0"/>
        <w:snapToGrid w:val="0"/>
        <w:spacing w:line="400" w:lineRule="exact"/>
        <w:ind w:firstLine="480" w:firstLineChars="200"/>
        <w:rPr>
          <w:rFonts w:ascii="宋体" w:hAnsi="宋体"/>
          <w:sz w:val="24"/>
        </w:rPr>
      </w:pPr>
      <w:r>
        <w:rPr>
          <w:rFonts w:hint="eastAsia" w:ascii="宋体" w:hAnsi="宋体"/>
          <w:sz w:val="24"/>
        </w:rPr>
        <w:t>若宣读的内容与投标文件不符时，投标人有权在开标现场提出异议，经监标人当场核查确认之后，可重新宣读其投标文件。若投标人现场未提出异议，则认为投标人已确认招标人宣读的内容。</w:t>
      </w:r>
    </w:p>
    <w:p>
      <w:pPr>
        <w:adjustRightInd w:val="0"/>
        <w:snapToGrid w:val="0"/>
        <w:spacing w:line="400" w:lineRule="exact"/>
        <w:ind w:firstLine="480" w:firstLineChars="200"/>
        <w:rPr>
          <w:rFonts w:ascii="宋体" w:hAnsi="宋体"/>
          <w:sz w:val="24"/>
        </w:rPr>
      </w:pPr>
      <w:r>
        <w:rPr>
          <w:rFonts w:ascii="宋体" w:hAnsi="宋体"/>
          <w:sz w:val="24"/>
        </w:rPr>
        <w:t>5.2.</w:t>
      </w:r>
      <w:r>
        <w:rPr>
          <w:rFonts w:hint="eastAsia" w:ascii="宋体" w:hAnsi="宋体"/>
          <w:sz w:val="24"/>
        </w:rPr>
        <w:t>2</w:t>
      </w:r>
      <w:r>
        <w:rPr>
          <w:rFonts w:ascii="宋体" w:hAnsi="宋体"/>
          <w:sz w:val="24"/>
        </w:rPr>
        <w:t xml:space="preserve"> </w:t>
      </w:r>
      <w:r>
        <w:rPr>
          <w:rFonts w:hint="eastAsia" w:ascii="宋体" w:hAnsi="宋体"/>
          <w:sz w:val="24"/>
        </w:rPr>
        <w:t>招标人将按照本章第</w:t>
      </w:r>
      <w:r>
        <w:rPr>
          <w:rFonts w:ascii="宋体" w:hAnsi="宋体"/>
          <w:sz w:val="24"/>
        </w:rPr>
        <w:t>5.1</w:t>
      </w:r>
      <w:r>
        <w:rPr>
          <w:rFonts w:hint="eastAsia" w:ascii="宋体" w:hAnsi="宋体"/>
          <w:sz w:val="24"/>
        </w:rPr>
        <w:t>款规定的时间和地点对投标文件第二个信封（投标报价和工程量清单）进行开标。主持人按下列程序进行开标：</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）宣布招标人、代理机构、监督部门名称；</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）宣布开标纪律；</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）检查各投标文件的密封情况。</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）电子投标文件解密</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）宣布唱标顺序，按已定顺序唱标，唱标内容为：投标人名称、投标报价，并记录；</w:t>
      </w:r>
    </w:p>
    <w:p>
      <w:pPr>
        <w:adjustRightInd w:val="0"/>
        <w:snapToGrid w:val="0"/>
        <w:spacing w:line="400" w:lineRule="exact"/>
        <w:ind w:firstLine="480" w:firstLineChars="200"/>
        <w:rPr>
          <w:rFonts w:ascii="宋体" w:hAnsi="宋体"/>
          <w:sz w:val="24"/>
        </w:rPr>
      </w:pPr>
      <w:r>
        <w:rPr>
          <w:rFonts w:hint="eastAsia" w:ascii="宋体" w:hAnsi="宋体"/>
          <w:sz w:val="24"/>
        </w:rPr>
        <w:t>（6）投标人代表、招标人代表、监标人、记录人等有关人员在开标记录上签字确认；</w:t>
      </w:r>
    </w:p>
    <w:p>
      <w:pPr>
        <w:adjustRightInd w:val="0"/>
        <w:snapToGrid w:val="0"/>
        <w:spacing w:line="400" w:lineRule="exact"/>
        <w:ind w:firstLine="480" w:firstLineChars="200"/>
        <w:rPr>
          <w:rFonts w:ascii="宋体" w:hAnsi="宋体"/>
          <w:sz w:val="24"/>
        </w:rPr>
      </w:pPr>
      <w:r>
        <w:rPr>
          <w:rFonts w:hint="eastAsia" w:ascii="宋体" w:hAnsi="宋体"/>
          <w:sz w:val="24"/>
        </w:rPr>
        <w:t>（7）开标结束。</w:t>
      </w:r>
    </w:p>
    <w:p>
      <w:pPr>
        <w:adjustRightInd w:val="0"/>
        <w:snapToGrid w:val="0"/>
        <w:spacing w:line="400" w:lineRule="exact"/>
        <w:ind w:firstLine="480" w:firstLineChars="200"/>
        <w:rPr>
          <w:rFonts w:ascii="宋体" w:hAnsi="宋体"/>
          <w:sz w:val="24"/>
        </w:rPr>
      </w:pPr>
      <w:r>
        <w:rPr>
          <w:rFonts w:ascii="宋体" w:hAnsi="宋体"/>
          <w:sz w:val="24"/>
        </w:rPr>
        <w:t>5.2.</w:t>
      </w:r>
      <w:r>
        <w:rPr>
          <w:rFonts w:hint="eastAsia" w:ascii="宋体" w:hAnsi="宋体"/>
          <w:sz w:val="24"/>
        </w:rPr>
        <w:t>2.1第二个信封（投标报价和工程量清单）开标过程中，若招标人发现投标文件出现以下任一情况，经监标人确认并当场宣布为废标：</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）未在投标函上填写投标总价；</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）投标报价或调价函中的报价超出招标人公布的投标控制价上限。</w:t>
      </w:r>
    </w:p>
    <w:p>
      <w:pPr>
        <w:adjustRightInd w:val="0"/>
        <w:snapToGrid w:val="0"/>
        <w:spacing w:line="400" w:lineRule="exact"/>
        <w:ind w:firstLine="480" w:firstLineChars="200"/>
        <w:rPr>
          <w:rFonts w:hint="eastAsia" w:ascii="宋体" w:hAnsi="宋体"/>
          <w:sz w:val="24"/>
        </w:rPr>
      </w:pPr>
      <w:r>
        <w:rPr>
          <w:rFonts w:ascii="宋体" w:hAnsi="宋体"/>
          <w:sz w:val="24"/>
        </w:rPr>
        <w:t xml:space="preserve"> </w:t>
      </w:r>
      <w:r>
        <w:rPr>
          <w:rFonts w:hint="eastAsia" w:ascii="宋体" w:hAnsi="宋体"/>
          <w:sz w:val="24"/>
        </w:rPr>
        <w:t>若招标人宣读的内容与投标文件不符时，投标人有权在开标现场提出异议，经监标人当场核查确认之后，可重新宣读其投标文件。若投标人现场未提出异议，则认为投标人已确认招标人宣读的内容。</w:t>
      </w:r>
    </w:p>
    <w:p>
      <w:pPr>
        <w:adjustRightInd w:val="0"/>
        <w:snapToGrid w:val="0"/>
        <w:spacing w:line="400" w:lineRule="exact"/>
        <w:ind w:firstLine="480" w:firstLineChars="200"/>
        <w:rPr>
          <w:rFonts w:ascii="宋体" w:hAnsi="宋体"/>
          <w:sz w:val="24"/>
        </w:rPr>
      </w:pPr>
      <w:r>
        <w:rPr>
          <w:rFonts w:ascii="宋体" w:hAnsi="宋体"/>
          <w:sz w:val="24"/>
        </w:rPr>
        <w:t>5.2.</w:t>
      </w:r>
      <w:r>
        <w:rPr>
          <w:rFonts w:hint="eastAsia" w:ascii="宋体" w:hAnsi="宋体"/>
          <w:sz w:val="24"/>
        </w:rPr>
        <w:t>3</w:t>
      </w:r>
      <w:r>
        <w:rPr>
          <w:rFonts w:ascii="宋体" w:hAnsi="宋体"/>
          <w:sz w:val="24"/>
        </w:rPr>
        <w:t xml:space="preserve"> </w:t>
      </w:r>
      <w:r>
        <w:rPr>
          <w:rFonts w:hint="eastAsia" w:ascii="宋体" w:hAnsi="宋体"/>
          <w:sz w:val="24"/>
        </w:rPr>
        <w:t>电子投标文件的解密</w:t>
      </w:r>
    </w:p>
    <w:p>
      <w:pPr>
        <w:adjustRightInd w:val="0"/>
        <w:snapToGrid w:val="0"/>
        <w:spacing w:line="400" w:lineRule="exact"/>
        <w:ind w:firstLine="480" w:firstLineChars="200"/>
        <w:rPr>
          <w:rFonts w:ascii="宋体" w:hAnsi="宋体"/>
          <w:sz w:val="24"/>
        </w:rPr>
      </w:pPr>
      <w:r>
        <w:rPr>
          <w:rFonts w:ascii="宋体" w:hAnsi="宋体"/>
          <w:sz w:val="24"/>
        </w:rPr>
        <w:t>5.2.</w:t>
      </w:r>
      <w:r>
        <w:rPr>
          <w:rFonts w:hint="eastAsia" w:ascii="宋体" w:hAnsi="宋体"/>
          <w:sz w:val="24"/>
        </w:rPr>
        <w:t>3</w:t>
      </w:r>
      <w:r>
        <w:rPr>
          <w:rFonts w:ascii="宋体" w:hAnsi="宋体"/>
          <w:sz w:val="24"/>
        </w:rPr>
        <w:t>.1</w:t>
      </w:r>
      <w:r>
        <w:rPr>
          <w:rFonts w:hint="eastAsia" w:ascii="宋体" w:hAnsi="宋体"/>
          <w:sz w:val="24"/>
        </w:rPr>
        <w:t>本项目为全流程电子化交易项目，电子投标文件采用双重加密。在投标截止时间到达后，分标段进行解密。</w:t>
      </w:r>
    </w:p>
    <w:p>
      <w:pPr>
        <w:adjustRightInd w:val="0"/>
        <w:snapToGrid w:val="0"/>
        <w:spacing w:line="400" w:lineRule="exact"/>
        <w:ind w:firstLine="480" w:firstLineChars="200"/>
        <w:rPr>
          <w:rFonts w:ascii="宋体" w:hAnsi="宋体"/>
          <w:sz w:val="24"/>
        </w:rPr>
      </w:pPr>
      <w:r>
        <w:rPr>
          <w:rFonts w:ascii="宋体" w:hAnsi="宋体"/>
          <w:sz w:val="24"/>
        </w:rPr>
        <w:t>(1)</w:t>
      </w:r>
      <w:r>
        <w:rPr>
          <w:rFonts w:hint="eastAsia" w:ascii="宋体" w:hAnsi="宋体"/>
          <w:sz w:val="24"/>
        </w:rPr>
        <w:t>投标人解密：投标人使用本单位</w:t>
      </w:r>
      <w:r>
        <w:rPr>
          <w:rFonts w:ascii="宋体" w:hAnsi="宋体"/>
          <w:sz w:val="24"/>
        </w:rPr>
        <w:t>CA</w:t>
      </w:r>
      <w:r>
        <w:rPr>
          <w:rFonts w:hint="eastAsia" w:ascii="宋体" w:hAnsi="宋体"/>
          <w:sz w:val="24"/>
        </w:rPr>
        <w:t>数字证书远程或现场进行解密。需现场使用一体机进行解密的，请在代理机构引导下进行。</w:t>
      </w:r>
    </w:p>
    <w:p>
      <w:pPr>
        <w:adjustRightInd w:val="0"/>
        <w:snapToGrid w:val="0"/>
        <w:spacing w:line="400" w:lineRule="exact"/>
        <w:ind w:firstLine="480" w:firstLineChars="200"/>
        <w:rPr>
          <w:rFonts w:ascii="宋体" w:hAnsi="宋体"/>
          <w:sz w:val="24"/>
        </w:rPr>
      </w:pPr>
      <w:r>
        <w:rPr>
          <w:rFonts w:ascii="宋体" w:hAnsi="宋体"/>
          <w:sz w:val="24"/>
        </w:rPr>
        <w:t>(2)</w:t>
      </w:r>
      <w:r>
        <w:rPr>
          <w:rFonts w:hint="eastAsia" w:ascii="宋体" w:hAnsi="宋体"/>
          <w:sz w:val="24"/>
        </w:rPr>
        <w:t>代理机构解密：代理机构按电子投标文件到达交易系统的先后顺序，使用本单位</w:t>
      </w:r>
      <w:r>
        <w:rPr>
          <w:rFonts w:ascii="宋体" w:hAnsi="宋体"/>
          <w:sz w:val="24"/>
        </w:rPr>
        <w:t>CA</w:t>
      </w:r>
      <w:r>
        <w:rPr>
          <w:rFonts w:hint="eastAsia" w:ascii="宋体" w:hAnsi="宋体"/>
          <w:sz w:val="24"/>
        </w:rPr>
        <w:t>数字证书进行再次解密。</w:t>
      </w:r>
    </w:p>
    <w:p>
      <w:pPr>
        <w:adjustRightInd w:val="0"/>
        <w:snapToGrid w:val="0"/>
        <w:spacing w:line="400" w:lineRule="exact"/>
        <w:ind w:firstLine="480" w:firstLineChars="200"/>
        <w:rPr>
          <w:rFonts w:ascii="宋体" w:hAnsi="宋体"/>
          <w:sz w:val="24"/>
        </w:rPr>
      </w:pPr>
      <w:r>
        <w:rPr>
          <w:rFonts w:ascii="宋体" w:hAnsi="宋体"/>
          <w:sz w:val="24"/>
        </w:rPr>
        <w:t>5.2.</w:t>
      </w:r>
      <w:r>
        <w:rPr>
          <w:rFonts w:hint="eastAsia" w:ascii="宋体" w:hAnsi="宋体"/>
          <w:sz w:val="24"/>
        </w:rPr>
        <w:t>3</w:t>
      </w:r>
      <w:r>
        <w:rPr>
          <w:rFonts w:ascii="宋体" w:hAnsi="宋体"/>
          <w:sz w:val="24"/>
        </w:rPr>
        <w:t>.2</w:t>
      </w:r>
      <w:r>
        <w:rPr>
          <w:rFonts w:hint="eastAsia" w:ascii="宋体" w:hAnsi="宋体"/>
          <w:sz w:val="24"/>
        </w:rPr>
        <w:t>电子投标文件解密异常情况处理</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）因电子交易系统异常无法解密电子投标文件的，使用纸质投标文件，以人工方式进行。</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4"/>
        <w:keepNext w:val="0"/>
        <w:keepLines w:val="0"/>
        <w:adjustRightInd w:val="0"/>
        <w:snapToGrid w:val="0"/>
        <w:spacing w:beforeLines="50" w:after="0" w:line="400" w:lineRule="exact"/>
        <w:rPr>
          <w:rFonts w:ascii="宋体" w:hAnsi="宋体"/>
          <w:sz w:val="24"/>
          <w:szCs w:val="24"/>
        </w:rPr>
      </w:pPr>
      <w:r>
        <w:rPr>
          <w:rFonts w:ascii="宋体" w:hAnsi="宋体"/>
          <w:sz w:val="24"/>
          <w:szCs w:val="24"/>
        </w:rPr>
        <w:t>6. 评标</w:t>
      </w:r>
      <w:bookmarkEnd w:id="130"/>
      <w:bookmarkEnd w:id="131"/>
      <w:bookmarkEnd w:id="132"/>
      <w:bookmarkEnd w:id="133"/>
    </w:p>
    <w:p>
      <w:pPr>
        <w:pStyle w:val="4"/>
        <w:keepNext w:val="0"/>
        <w:keepLines w:val="0"/>
        <w:adjustRightInd w:val="0"/>
        <w:snapToGrid w:val="0"/>
        <w:spacing w:beforeLines="50" w:after="0" w:line="400" w:lineRule="exact"/>
        <w:rPr>
          <w:rFonts w:ascii="宋体" w:hAnsi="宋体"/>
          <w:sz w:val="24"/>
          <w:szCs w:val="24"/>
        </w:rPr>
      </w:pPr>
      <w:bookmarkStart w:id="134" w:name="_Toc234382626"/>
      <w:bookmarkStart w:id="135" w:name="_Toc17693"/>
      <w:bookmarkStart w:id="136" w:name="_Toc485889036"/>
      <w:bookmarkStart w:id="137" w:name="_Toc486277897"/>
      <w:r>
        <w:rPr>
          <w:rFonts w:ascii="宋体" w:hAnsi="宋体"/>
          <w:sz w:val="24"/>
          <w:szCs w:val="24"/>
        </w:rPr>
        <w:t>6.1 评标委员会</w:t>
      </w:r>
      <w:bookmarkEnd w:id="134"/>
      <w:bookmarkEnd w:id="135"/>
      <w:bookmarkEnd w:id="136"/>
      <w:bookmarkEnd w:id="137"/>
    </w:p>
    <w:p>
      <w:pPr>
        <w:adjustRightInd w:val="0"/>
        <w:snapToGrid w:val="0"/>
        <w:spacing w:line="400" w:lineRule="exact"/>
        <w:ind w:firstLine="480" w:firstLineChars="200"/>
        <w:rPr>
          <w:rFonts w:ascii="宋体" w:hAnsi="宋体"/>
          <w:sz w:val="24"/>
        </w:rPr>
      </w:pPr>
      <w:r>
        <w:rPr>
          <w:rFonts w:ascii="宋体" w:hAnsi="宋体"/>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djustRightInd w:val="0"/>
        <w:snapToGrid w:val="0"/>
        <w:spacing w:line="400" w:lineRule="exact"/>
        <w:ind w:firstLine="480" w:firstLineChars="200"/>
        <w:rPr>
          <w:rFonts w:ascii="宋体" w:hAnsi="宋体"/>
          <w:sz w:val="24"/>
        </w:rPr>
      </w:pPr>
      <w:r>
        <w:rPr>
          <w:rFonts w:ascii="宋体" w:hAnsi="宋体"/>
          <w:sz w:val="24"/>
        </w:rPr>
        <w:t>6.1.2 评标委员会成员有下列情形之一的，应当回避：</w:t>
      </w:r>
    </w:p>
    <w:p>
      <w:pPr>
        <w:adjustRightInd w:val="0"/>
        <w:snapToGrid w:val="0"/>
        <w:spacing w:line="400" w:lineRule="exact"/>
        <w:ind w:firstLine="480" w:firstLineChars="200"/>
        <w:rPr>
          <w:rFonts w:ascii="宋体" w:hAnsi="宋体"/>
          <w:sz w:val="24"/>
        </w:rPr>
      </w:pPr>
      <w:r>
        <w:rPr>
          <w:rFonts w:ascii="宋体" w:hAnsi="宋体"/>
          <w:sz w:val="24"/>
        </w:rPr>
        <w:t>（1）招标人或投标人的主要负责人的近亲属；</w:t>
      </w:r>
    </w:p>
    <w:p>
      <w:pPr>
        <w:adjustRightInd w:val="0"/>
        <w:snapToGrid w:val="0"/>
        <w:spacing w:line="400" w:lineRule="exact"/>
        <w:ind w:firstLine="480" w:firstLineChars="200"/>
        <w:rPr>
          <w:rFonts w:ascii="宋体" w:hAnsi="宋体"/>
          <w:sz w:val="24"/>
        </w:rPr>
      </w:pPr>
      <w:r>
        <w:rPr>
          <w:rFonts w:ascii="宋体" w:hAnsi="宋体"/>
          <w:sz w:val="24"/>
        </w:rPr>
        <w:t>（2）项目主管部门或者行政监督部门的人员；</w:t>
      </w:r>
    </w:p>
    <w:p>
      <w:pPr>
        <w:adjustRightInd w:val="0"/>
        <w:snapToGrid w:val="0"/>
        <w:spacing w:line="400" w:lineRule="exact"/>
        <w:ind w:firstLine="480" w:firstLineChars="200"/>
        <w:rPr>
          <w:rFonts w:ascii="宋体" w:hAnsi="宋体"/>
          <w:sz w:val="24"/>
        </w:rPr>
      </w:pPr>
      <w:r>
        <w:rPr>
          <w:rFonts w:ascii="宋体" w:hAnsi="宋体"/>
          <w:sz w:val="24"/>
        </w:rPr>
        <w:t>（3）与投标人有经济利益关系，可能影响对投标公正评审的；</w:t>
      </w:r>
    </w:p>
    <w:p>
      <w:pPr>
        <w:adjustRightInd w:val="0"/>
        <w:snapToGrid w:val="0"/>
        <w:spacing w:line="400" w:lineRule="exact"/>
        <w:ind w:firstLine="480" w:firstLineChars="200"/>
        <w:rPr>
          <w:rFonts w:ascii="宋体" w:hAnsi="宋体"/>
          <w:sz w:val="24"/>
        </w:rPr>
      </w:pPr>
      <w:r>
        <w:rPr>
          <w:rFonts w:ascii="宋体" w:hAnsi="宋体"/>
          <w:sz w:val="24"/>
        </w:rPr>
        <w:t>（4）曾因在招标、评标以及其他与招标投标有关活动中从事违法行为而受过行政处罚或刑事处罚的。</w:t>
      </w:r>
    </w:p>
    <w:p>
      <w:pPr>
        <w:pStyle w:val="4"/>
        <w:keepNext w:val="0"/>
        <w:keepLines w:val="0"/>
        <w:adjustRightInd w:val="0"/>
        <w:snapToGrid w:val="0"/>
        <w:spacing w:beforeLines="50" w:after="0" w:line="400" w:lineRule="exact"/>
        <w:rPr>
          <w:rFonts w:ascii="宋体" w:hAnsi="宋体"/>
          <w:sz w:val="24"/>
          <w:szCs w:val="24"/>
        </w:rPr>
      </w:pPr>
      <w:bookmarkStart w:id="138" w:name="_Toc5222"/>
      <w:bookmarkStart w:id="139" w:name="_Toc234382627"/>
      <w:bookmarkStart w:id="140" w:name="_Toc485889037"/>
      <w:bookmarkStart w:id="141" w:name="_Toc486277898"/>
      <w:r>
        <w:rPr>
          <w:rFonts w:ascii="宋体" w:hAnsi="宋体"/>
          <w:sz w:val="24"/>
          <w:szCs w:val="24"/>
        </w:rPr>
        <w:t>6.2 评标原则</w:t>
      </w:r>
      <w:bookmarkEnd w:id="138"/>
      <w:bookmarkEnd w:id="139"/>
      <w:bookmarkEnd w:id="140"/>
      <w:bookmarkEnd w:id="141"/>
      <w:r>
        <w:rPr>
          <w:rFonts w:hint="eastAsia" w:ascii="宋体" w:hAnsi="宋体"/>
          <w:sz w:val="24"/>
          <w:szCs w:val="24"/>
        </w:rPr>
        <w:t>：</w:t>
      </w:r>
      <w:r>
        <w:rPr>
          <w:rFonts w:ascii="宋体" w:hAnsi="宋体"/>
          <w:sz w:val="24"/>
        </w:rPr>
        <w:t>评标活动遵循公平、公正、科学和择优的原则。</w:t>
      </w:r>
    </w:p>
    <w:p>
      <w:pPr>
        <w:pStyle w:val="4"/>
        <w:keepNext w:val="0"/>
        <w:keepLines w:val="0"/>
        <w:adjustRightInd w:val="0"/>
        <w:snapToGrid w:val="0"/>
        <w:spacing w:beforeLines="50" w:after="0" w:line="400" w:lineRule="exact"/>
        <w:rPr>
          <w:rFonts w:ascii="宋体" w:hAnsi="宋体"/>
          <w:sz w:val="24"/>
          <w:szCs w:val="24"/>
        </w:rPr>
      </w:pPr>
      <w:bookmarkStart w:id="142" w:name="_Toc485889038"/>
      <w:bookmarkStart w:id="143" w:name="_Toc234382628"/>
      <w:bookmarkStart w:id="144" w:name="_Toc31911"/>
      <w:bookmarkStart w:id="145" w:name="_Toc486277899"/>
      <w:r>
        <w:rPr>
          <w:rFonts w:ascii="宋体" w:hAnsi="宋体"/>
          <w:sz w:val="24"/>
          <w:szCs w:val="24"/>
        </w:rPr>
        <w:t>6.3 评标</w:t>
      </w:r>
      <w:bookmarkEnd w:id="142"/>
      <w:bookmarkEnd w:id="143"/>
      <w:bookmarkEnd w:id="144"/>
      <w:bookmarkEnd w:id="145"/>
    </w:p>
    <w:p>
      <w:pPr>
        <w:adjustRightInd w:val="0"/>
        <w:snapToGrid w:val="0"/>
        <w:spacing w:line="400" w:lineRule="exact"/>
        <w:ind w:firstLine="480" w:firstLineChars="200"/>
        <w:rPr>
          <w:rFonts w:ascii="宋体" w:hAnsi="宋体"/>
          <w:sz w:val="24"/>
        </w:rPr>
      </w:pPr>
      <w:r>
        <w:rPr>
          <w:rFonts w:ascii="宋体" w:hAnsi="宋体"/>
          <w:sz w:val="24"/>
        </w:rPr>
        <w:t>评标委员会按照第三章“评标办法”规定的方法、评审因素、标准和程序对投标文件进行评审。第三章“评标办法”没有规定的方法、评审因素和标准，不作为评标依据。</w:t>
      </w:r>
    </w:p>
    <w:p>
      <w:pPr>
        <w:pStyle w:val="4"/>
        <w:keepNext w:val="0"/>
        <w:keepLines w:val="0"/>
        <w:adjustRightInd w:val="0"/>
        <w:snapToGrid w:val="0"/>
        <w:spacing w:beforeLines="50" w:after="0" w:line="400" w:lineRule="exact"/>
        <w:rPr>
          <w:rFonts w:ascii="宋体" w:hAnsi="宋体"/>
          <w:sz w:val="24"/>
          <w:szCs w:val="24"/>
        </w:rPr>
      </w:pPr>
      <w:bookmarkStart w:id="146" w:name="_Toc21378"/>
      <w:bookmarkStart w:id="147" w:name="_Toc485889039"/>
      <w:bookmarkStart w:id="148" w:name="_Toc486277900"/>
      <w:bookmarkStart w:id="149" w:name="_Toc234382629"/>
      <w:r>
        <w:rPr>
          <w:rFonts w:ascii="宋体" w:hAnsi="宋体"/>
          <w:sz w:val="24"/>
          <w:szCs w:val="24"/>
        </w:rPr>
        <w:t>7. 合同授予</w:t>
      </w:r>
      <w:bookmarkEnd w:id="146"/>
      <w:bookmarkEnd w:id="147"/>
      <w:bookmarkEnd w:id="148"/>
      <w:bookmarkEnd w:id="149"/>
    </w:p>
    <w:p>
      <w:pPr>
        <w:pStyle w:val="4"/>
        <w:keepNext w:val="0"/>
        <w:keepLines w:val="0"/>
        <w:adjustRightInd w:val="0"/>
        <w:snapToGrid w:val="0"/>
        <w:spacing w:beforeLines="50" w:after="0" w:line="400" w:lineRule="exact"/>
        <w:rPr>
          <w:rFonts w:ascii="宋体" w:hAnsi="宋体"/>
          <w:sz w:val="24"/>
          <w:szCs w:val="24"/>
        </w:rPr>
      </w:pPr>
      <w:bookmarkStart w:id="150" w:name="_Toc486277901"/>
      <w:bookmarkStart w:id="151" w:name="_Toc485889040"/>
      <w:bookmarkStart w:id="152" w:name="_Toc234382630"/>
      <w:bookmarkStart w:id="153" w:name="_Toc10828"/>
      <w:r>
        <w:rPr>
          <w:rFonts w:ascii="宋体" w:hAnsi="宋体"/>
          <w:sz w:val="24"/>
          <w:szCs w:val="24"/>
        </w:rPr>
        <w:t>7.1 定标方式</w:t>
      </w:r>
      <w:bookmarkEnd w:id="150"/>
      <w:bookmarkEnd w:id="151"/>
      <w:bookmarkEnd w:id="152"/>
      <w:bookmarkEnd w:id="153"/>
    </w:p>
    <w:p>
      <w:pPr>
        <w:adjustRightInd w:val="0"/>
        <w:snapToGrid w:val="0"/>
        <w:spacing w:line="400" w:lineRule="exact"/>
        <w:ind w:firstLine="480" w:firstLineChars="200"/>
        <w:rPr>
          <w:rFonts w:ascii="宋体" w:hAnsi="宋体"/>
          <w:sz w:val="24"/>
        </w:rPr>
      </w:pPr>
      <w:r>
        <w:rPr>
          <w:rFonts w:ascii="宋体" w:hAnsi="宋体"/>
          <w:sz w:val="24"/>
        </w:rPr>
        <w:t>除投标人须知前附表规定评标委员会直接确定中标人外，招标人依据评标委员会推荐的中标候选人确定中标人，评标委员会推荐中标候选人的人数见投标人须知前附表。</w:t>
      </w:r>
    </w:p>
    <w:p>
      <w:pPr>
        <w:pStyle w:val="4"/>
        <w:keepNext w:val="0"/>
        <w:keepLines w:val="0"/>
        <w:adjustRightInd w:val="0"/>
        <w:snapToGrid w:val="0"/>
        <w:spacing w:beforeLines="50" w:after="0" w:line="400" w:lineRule="exact"/>
        <w:rPr>
          <w:rFonts w:ascii="宋体" w:hAnsi="宋体"/>
          <w:sz w:val="24"/>
          <w:szCs w:val="24"/>
        </w:rPr>
      </w:pPr>
      <w:bookmarkStart w:id="154" w:name="_Toc485889041"/>
      <w:bookmarkStart w:id="155" w:name="_Toc234382631"/>
      <w:bookmarkStart w:id="156" w:name="_Toc13648"/>
      <w:bookmarkStart w:id="157" w:name="_Toc486277902"/>
      <w:r>
        <w:rPr>
          <w:rFonts w:ascii="宋体" w:hAnsi="宋体"/>
          <w:sz w:val="24"/>
          <w:szCs w:val="24"/>
        </w:rPr>
        <w:t>7.2 中标通知</w:t>
      </w:r>
      <w:bookmarkEnd w:id="154"/>
      <w:bookmarkEnd w:id="155"/>
      <w:bookmarkEnd w:id="156"/>
      <w:bookmarkEnd w:id="157"/>
    </w:p>
    <w:p>
      <w:pPr>
        <w:adjustRightInd w:val="0"/>
        <w:snapToGrid w:val="0"/>
        <w:spacing w:line="400" w:lineRule="exact"/>
        <w:ind w:firstLine="480" w:firstLineChars="200"/>
        <w:rPr>
          <w:rFonts w:ascii="宋体" w:hAnsi="宋体"/>
          <w:sz w:val="24"/>
        </w:rPr>
      </w:pPr>
      <w:r>
        <w:rPr>
          <w:rFonts w:ascii="宋体" w:hAnsi="宋体"/>
          <w:sz w:val="24"/>
        </w:rPr>
        <w:t>在本章第 3.3 款规定的投标有效期内，招标人以书面形式向中标人发出中标通知书，同时将中标结果通知未中标的投标人。</w:t>
      </w:r>
    </w:p>
    <w:p>
      <w:pPr>
        <w:pStyle w:val="4"/>
        <w:keepNext w:val="0"/>
        <w:keepLines w:val="0"/>
        <w:adjustRightInd w:val="0"/>
        <w:snapToGrid w:val="0"/>
        <w:spacing w:beforeLines="50" w:after="0" w:line="400" w:lineRule="exact"/>
        <w:rPr>
          <w:rFonts w:ascii="宋体" w:hAnsi="宋体"/>
          <w:sz w:val="24"/>
          <w:szCs w:val="24"/>
        </w:rPr>
      </w:pPr>
      <w:bookmarkStart w:id="158" w:name="_Toc486277903"/>
      <w:bookmarkStart w:id="159" w:name="_Toc485889042"/>
      <w:bookmarkStart w:id="160" w:name="_Toc16842"/>
      <w:bookmarkStart w:id="161" w:name="_Toc234382633"/>
      <w:r>
        <w:rPr>
          <w:rFonts w:ascii="宋体" w:hAnsi="宋体"/>
          <w:sz w:val="24"/>
          <w:szCs w:val="24"/>
        </w:rPr>
        <w:t>7.</w:t>
      </w:r>
      <w:r>
        <w:rPr>
          <w:rFonts w:hint="eastAsia" w:ascii="宋体" w:hAnsi="宋体"/>
          <w:sz w:val="24"/>
          <w:szCs w:val="24"/>
        </w:rPr>
        <w:t>3</w:t>
      </w:r>
      <w:r>
        <w:rPr>
          <w:rFonts w:ascii="宋体" w:hAnsi="宋体"/>
          <w:sz w:val="24"/>
          <w:szCs w:val="24"/>
        </w:rPr>
        <w:t>签订合同</w:t>
      </w:r>
      <w:bookmarkEnd w:id="158"/>
      <w:bookmarkEnd w:id="159"/>
      <w:bookmarkEnd w:id="160"/>
      <w:bookmarkEnd w:id="161"/>
    </w:p>
    <w:p>
      <w:pPr>
        <w:adjustRightInd w:val="0"/>
        <w:snapToGrid w:val="0"/>
        <w:spacing w:line="400" w:lineRule="exact"/>
        <w:ind w:firstLine="456" w:firstLineChars="200"/>
        <w:rPr>
          <w:rFonts w:ascii="宋体" w:hAnsi="宋体"/>
          <w:spacing w:val="-6"/>
          <w:sz w:val="24"/>
        </w:rPr>
      </w:pPr>
      <w:r>
        <w:rPr>
          <w:rFonts w:ascii="宋体" w:hAnsi="宋体"/>
          <w:spacing w:val="-6"/>
          <w:sz w:val="24"/>
        </w:rPr>
        <w:t>7.</w:t>
      </w:r>
      <w:r>
        <w:rPr>
          <w:rFonts w:hint="eastAsia" w:ascii="宋体" w:hAnsi="宋体"/>
          <w:spacing w:val="-6"/>
          <w:sz w:val="24"/>
        </w:rPr>
        <w:t>3</w:t>
      </w:r>
      <w:r>
        <w:rPr>
          <w:rFonts w:ascii="宋体" w:hAnsi="宋体"/>
          <w:spacing w:val="-6"/>
          <w:sz w:val="24"/>
        </w:rPr>
        <w:t>.1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djustRightInd w:val="0"/>
        <w:snapToGrid w:val="0"/>
        <w:spacing w:line="400" w:lineRule="exact"/>
        <w:ind w:firstLine="480" w:firstLineChars="200"/>
        <w:rPr>
          <w:rFonts w:ascii="宋体" w:hAnsi="宋体"/>
          <w:sz w:val="24"/>
        </w:rPr>
      </w:pPr>
      <w:r>
        <w:rPr>
          <w:rFonts w:ascii="宋体" w:hAnsi="宋体"/>
          <w:sz w:val="24"/>
        </w:rPr>
        <w:t>7.</w:t>
      </w:r>
      <w:r>
        <w:rPr>
          <w:rFonts w:hint="eastAsia" w:ascii="宋体" w:hAnsi="宋体"/>
          <w:sz w:val="24"/>
        </w:rPr>
        <w:t>3</w:t>
      </w:r>
      <w:r>
        <w:rPr>
          <w:rFonts w:ascii="宋体" w:hAnsi="宋体"/>
          <w:sz w:val="24"/>
        </w:rPr>
        <w:t>.2 发出中标通知书后，招标人无正当理由拒签合同的，招标人向中标人退还投标保证金；给中标人造成损失的，还应当赔偿损失。</w:t>
      </w:r>
    </w:p>
    <w:p>
      <w:pPr>
        <w:adjustRightInd w:val="0"/>
        <w:snapToGrid w:val="0"/>
        <w:spacing w:line="400" w:lineRule="exact"/>
        <w:ind w:firstLine="480" w:firstLineChars="200"/>
        <w:rPr>
          <w:rFonts w:ascii="宋体" w:hAnsi="宋体"/>
          <w:sz w:val="24"/>
        </w:rPr>
      </w:pPr>
      <w:r>
        <w:rPr>
          <w:rFonts w:hint="eastAsia" w:ascii="宋体" w:hAnsi="宋体"/>
          <w:sz w:val="24"/>
        </w:rPr>
        <w:t>7.3.3 签约合同价的确定原则如下：</w:t>
      </w:r>
    </w:p>
    <w:p>
      <w:pPr>
        <w:adjustRightInd w:val="0"/>
        <w:snapToGrid w:val="0"/>
        <w:spacing w:line="400" w:lineRule="exact"/>
        <w:ind w:firstLine="480" w:firstLineChars="200"/>
        <w:rPr>
          <w:rFonts w:ascii="宋体" w:hAnsi="宋体"/>
          <w:sz w:val="24"/>
        </w:rPr>
      </w:pPr>
      <w:r>
        <w:rPr>
          <w:rFonts w:hint="eastAsia" w:ascii="宋体" w:hAnsi="宋体"/>
          <w:sz w:val="24"/>
        </w:rPr>
        <w:t>（1）按照评标办法规定对投标报价进行修正后，若休整后的最终投标报价小于开标时的投标函文字报价，则签订合同时以修正后的最终投标为准；</w:t>
      </w:r>
    </w:p>
    <w:p>
      <w:pPr>
        <w:adjustRightInd w:val="0"/>
        <w:snapToGrid w:val="0"/>
        <w:spacing w:line="400" w:lineRule="exact"/>
        <w:ind w:firstLine="480" w:firstLineChars="200"/>
        <w:rPr>
          <w:rFonts w:ascii="宋体" w:hAnsi="宋体"/>
          <w:sz w:val="24"/>
        </w:rPr>
      </w:pPr>
      <w:r>
        <w:rPr>
          <w:rFonts w:hint="eastAsia" w:ascii="宋体" w:hAnsi="宋体"/>
          <w:sz w:val="24"/>
        </w:rPr>
        <w:t>（2）按照评标办法规定对投标报价进行修正后，若修正后的最终投标报价大于开标时的投标函文字报价，则签订合同时以开标时的投标函文字报价为准，同时按比例修正相应子目的单价或合价。</w:t>
      </w:r>
    </w:p>
    <w:p>
      <w:pPr>
        <w:adjustRightInd w:val="0"/>
        <w:snapToGrid w:val="0"/>
        <w:spacing w:line="400" w:lineRule="exact"/>
        <w:ind w:firstLine="480" w:firstLineChars="200"/>
        <w:rPr>
          <w:rFonts w:ascii="宋体" w:hAnsi="宋体"/>
          <w:sz w:val="24"/>
        </w:rPr>
      </w:pPr>
      <w:r>
        <w:rPr>
          <w:rFonts w:hint="eastAsia" w:ascii="宋体" w:hAnsi="宋体"/>
          <w:sz w:val="24"/>
        </w:rPr>
        <w:t>7.3.4 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安全生产方面的权利和义务以及应承担的违约责任。</w:t>
      </w:r>
    </w:p>
    <w:p>
      <w:pPr>
        <w:adjustRightInd w:val="0"/>
        <w:snapToGrid w:val="0"/>
        <w:spacing w:line="400" w:lineRule="exact"/>
        <w:ind w:firstLine="480" w:firstLineChars="200"/>
        <w:rPr>
          <w:rFonts w:ascii="宋体" w:hAnsi="宋体"/>
          <w:sz w:val="24"/>
        </w:rPr>
      </w:pPr>
      <w:r>
        <w:rPr>
          <w:rFonts w:hint="eastAsia" w:ascii="宋体" w:hAnsi="宋体"/>
          <w:sz w:val="24"/>
        </w:rPr>
        <w:t>7.3.5 如果根据本章第3.5.10项（适用于未进行资格预审的）、第7.3.2项或第7.4.1项规定，招标人取消了中标人的中标资格，在此情况下，招标人可将合同授予下一个中标候选人，或者按规定重新组织招标。</w:t>
      </w:r>
    </w:p>
    <w:p>
      <w:pPr>
        <w:autoSpaceDE w:val="0"/>
        <w:autoSpaceDN w:val="0"/>
        <w:adjustRightInd w:val="0"/>
        <w:spacing w:line="360" w:lineRule="auto"/>
        <w:jc w:val="left"/>
        <w:rPr>
          <w:rFonts w:cs="宋体" w:asciiTheme="minorEastAsia" w:hAnsiTheme="minorEastAsia" w:eastAsiaTheme="minorEastAsia"/>
          <w:b/>
          <w:sz w:val="24"/>
        </w:rPr>
      </w:pPr>
      <w:r>
        <w:rPr>
          <w:rFonts w:hint="eastAsia" w:cs="宋体" w:asciiTheme="minorEastAsia" w:hAnsiTheme="minorEastAsia" w:eastAsiaTheme="minorEastAsia"/>
          <w:b/>
          <w:sz w:val="24"/>
        </w:rPr>
        <w:t>7.4履约保证金</w:t>
      </w:r>
    </w:p>
    <w:p>
      <w:pPr>
        <w:widowControl/>
        <w:spacing w:line="360" w:lineRule="auto"/>
        <w:jc w:val="left"/>
        <w:rPr>
          <w:rFonts w:cs="宋体" w:asciiTheme="minorEastAsia" w:hAnsiTheme="minorEastAsia" w:eastAsiaTheme="minorEastAsia"/>
          <w:b/>
          <w:color w:val="000000"/>
          <w:sz w:val="24"/>
        </w:rPr>
      </w:pPr>
      <w:bookmarkStart w:id="162" w:name="_Toc486277904"/>
      <w:bookmarkStart w:id="163" w:name="_Toc16570"/>
      <w:bookmarkStart w:id="164" w:name="_Toc485889043"/>
      <w:bookmarkStart w:id="165" w:name="_Toc234382634"/>
      <w:r>
        <w:rPr>
          <w:rFonts w:hint="eastAsia" w:cs="宋体" w:asciiTheme="minorEastAsia" w:hAnsiTheme="minorEastAsia" w:eastAsiaTheme="minorEastAsia"/>
          <w:color w:val="000000"/>
          <w:sz w:val="24"/>
        </w:rPr>
        <w:t>7.4.1</w:t>
      </w:r>
      <w:r>
        <w:rPr>
          <w:rFonts w:cs="宋体" w:asciiTheme="minorEastAsia" w:hAnsiTheme="minorEastAsia" w:eastAsiaTheme="minorEastAsia"/>
          <w:color w:val="000000"/>
          <w:sz w:val="24"/>
        </w:rPr>
        <w:t>履约保证金提交方式</w:t>
      </w:r>
      <w:r>
        <w:rPr>
          <w:rFonts w:hint="eastAsia" w:cs="宋体" w:asciiTheme="minorEastAsia" w:hAnsiTheme="minorEastAsia" w:eastAsiaTheme="minorEastAsia"/>
          <w:color w:val="000000"/>
          <w:sz w:val="24"/>
        </w:rPr>
        <w:t>及注意事项</w:t>
      </w:r>
      <w:r>
        <w:rPr>
          <w:rFonts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(1)</w:t>
      </w:r>
      <w:r>
        <w:rPr>
          <w:rFonts w:cs="宋体" w:asciiTheme="minorEastAsia" w:hAnsiTheme="minorEastAsia" w:eastAsiaTheme="minorEastAsia"/>
          <w:color w:val="000000"/>
          <w:sz w:val="24"/>
        </w:rPr>
        <w:t>以网银、银行转账支票、银行电汇方式提交。</w:t>
      </w:r>
      <w:r>
        <w:rPr>
          <w:rFonts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(2)</w:t>
      </w:r>
      <w:r>
        <w:rPr>
          <w:rFonts w:cs="宋体" w:asciiTheme="minorEastAsia" w:hAnsiTheme="minorEastAsia" w:eastAsiaTheme="minorEastAsia"/>
          <w:color w:val="000000"/>
          <w:sz w:val="24"/>
        </w:rPr>
        <w:t>现金支票和现金不得作为履约保证金提交方式。</w:t>
      </w:r>
      <w:r>
        <w:rPr>
          <w:rFonts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(3)</w:t>
      </w:r>
      <w:r>
        <w:rPr>
          <w:rFonts w:cs="宋体" w:asciiTheme="minorEastAsia" w:hAnsiTheme="minorEastAsia" w:eastAsiaTheme="minorEastAsia"/>
          <w:color w:val="000000"/>
          <w:sz w:val="24"/>
        </w:rPr>
        <w:t>中标人必须通过其公司账户按照规定的方式提交，其名称应与中标单位的名称一致</w:t>
      </w:r>
      <w:r>
        <w:rPr>
          <w:rFonts w:hint="eastAsia" w:cs="宋体" w:asciiTheme="minorEastAsia" w:hAnsiTheme="minorEastAsia" w:eastAsiaTheme="minorEastAsia"/>
          <w:color w:val="000000"/>
          <w:sz w:val="24"/>
        </w:rPr>
        <w:t>。</w:t>
      </w:r>
      <w:r>
        <w:rPr>
          <w:rFonts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(4)中标人在缴纳履约保证金时，必须在附言、备注和用途栏注明</w:t>
      </w:r>
      <w:r>
        <w:rPr>
          <w:rFonts w:hint="eastAsia" w:cs="宋体" w:asciiTheme="minorEastAsia" w:hAnsiTheme="minorEastAsia" w:eastAsiaTheme="minorEastAsia"/>
          <w:b/>
          <w:color w:val="000000"/>
          <w:sz w:val="24"/>
        </w:rPr>
        <w:t>“项目编号及标段”</w:t>
      </w:r>
      <w:r>
        <w:rPr>
          <w:rFonts w:hint="eastAsia" w:cs="宋体" w:asciiTheme="minorEastAsia" w:hAnsiTheme="minorEastAsia" w:eastAsiaTheme="minorEastAsia"/>
          <w:color w:val="000000"/>
          <w:sz w:val="24"/>
        </w:rPr>
        <w:t>，否则可能造成延迟退还。</w:t>
      </w:r>
    </w:p>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7.4.2</w:t>
      </w:r>
      <w:r>
        <w:rPr>
          <w:rFonts w:cs="宋体" w:asciiTheme="minorEastAsia" w:hAnsiTheme="minorEastAsia" w:eastAsiaTheme="minorEastAsia"/>
          <w:color w:val="000000"/>
          <w:sz w:val="24"/>
        </w:rPr>
        <w:t>履约保证金提交比例和数额</w:t>
      </w:r>
      <w:r>
        <w:rPr>
          <w:rFonts w:cs="宋体" w:asciiTheme="minorEastAsia" w:hAnsiTheme="minorEastAsia" w:eastAsiaTheme="minorEastAsia"/>
          <w:color w:val="000000"/>
          <w:sz w:val="24"/>
        </w:rPr>
        <w:br w:type="textWrapping"/>
      </w:r>
      <w:r>
        <w:rPr>
          <w:rFonts w:cs="宋体" w:asciiTheme="minorEastAsia" w:hAnsiTheme="minorEastAsia" w:eastAsiaTheme="minorEastAsia"/>
          <w:color w:val="000000"/>
          <w:sz w:val="24"/>
        </w:rPr>
        <w:t>履约保证金数额不得超过中标合同金额的10%。</w:t>
      </w:r>
      <w:r>
        <w:rPr>
          <w:rFonts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7.4.3</w:t>
      </w:r>
      <w:r>
        <w:rPr>
          <w:rFonts w:cs="宋体" w:asciiTheme="minorEastAsia" w:hAnsiTheme="minorEastAsia" w:eastAsiaTheme="minorEastAsia"/>
          <w:color w:val="000000"/>
          <w:sz w:val="24"/>
        </w:rPr>
        <w:t>履约保证金的退还</w:t>
      </w:r>
      <w:r>
        <w:rPr>
          <w:rFonts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(1)</w:t>
      </w:r>
      <w:r>
        <w:rPr>
          <w:rFonts w:cs="宋体" w:asciiTheme="minorEastAsia" w:hAnsiTheme="minorEastAsia" w:eastAsiaTheme="minorEastAsia"/>
          <w:color w:val="000000"/>
          <w:sz w:val="24"/>
        </w:rPr>
        <w:t>项目完工后，由招标人出具《履约保证金退还通知单》，中心财务凭《履约保证金退还通知单》在五个工作日内退还履约保证金及银行同期活期存款利息至中标人账户。</w:t>
      </w:r>
      <w:r>
        <w:rPr>
          <w:rFonts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(2)</w:t>
      </w:r>
      <w:r>
        <w:rPr>
          <w:rFonts w:cs="宋体" w:asciiTheme="minorEastAsia" w:hAnsiTheme="minorEastAsia" w:eastAsiaTheme="minorEastAsia"/>
          <w:color w:val="000000"/>
          <w:sz w:val="24"/>
        </w:rPr>
        <w:t>中标人因发生质疑、投诉、举报或有关部门立案调查的，中心依据相关行政监督部门的意见暂停退还或没收其履约保证金，待行政监督部门对相关情况处置后，按照有关规定办理。</w:t>
      </w:r>
    </w:p>
    <w:p>
      <w:pPr>
        <w:autoSpaceDE w:val="0"/>
        <w:autoSpaceDN w:val="0"/>
        <w:adjustRightInd w:val="0"/>
        <w:snapToGrid w:val="0"/>
        <w:spacing w:line="440" w:lineRule="exact"/>
        <w:outlineLvl w:val="0"/>
        <w:rPr>
          <w:rFonts w:ascii="仿宋" w:hAnsi="仿宋" w:eastAsia="仿宋" w:cs="宋体"/>
          <w:color w:val="000000"/>
          <w:sz w:val="30"/>
          <w:szCs w:val="30"/>
        </w:rPr>
      </w:pPr>
    </w:p>
    <w:p>
      <w:pPr>
        <w:jc w:val="center"/>
        <w:rPr>
          <w:rFonts w:ascii="宋体" w:hAnsi="宋体"/>
          <w:color w:val="000000"/>
          <w:sz w:val="36"/>
          <w:szCs w:val="36"/>
        </w:rPr>
      </w:pPr>
      <w:r>
        <w:rPr>
          <w:rFonts w:hint="eastAsia" w:ascii="仿宋_GB2312" w:hAnsi="宋体" w:eastAsia="仿宋_GB2312"/>
          <w:color w:val="000000"/>
          <w:sz w:val="36"/>
          <w:szCs w:val="36"/>
        </w:rPr>
        <w:br w:type="page"/>
      </w:r>
      <w:r>
        <w:rPr>
          <w:rFonts w:hint="eastAsia" w:ascii="宋体" w:hAnsi="宋体"/>
          <w:color w:val="000000"/>
          <w:sz w:val="36"/>
          <w:szCs w:val="36"/>
        </w:rPr>
        <w:t>履约保证金退还通知单</w:t>
      </w:r>
    </w:p>
    <w:tbl>
      <w:tblPr>
        <w:tblStyle w:val="1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ascii="宋体" w:hAnsi="宋体"/>
                <w:color w:val="000000"/>
                <w:sz w:val="24"/>
              </w:rPr>
            </w:pPr>
            <w:r>
              <w:rPr>
                <w:rFonts w:hint="eastAsia" w:ascii="宋体" w:hAnsi="宋体"/>
                <w:color w:val="000000"/>
                <w:sz w:val="24"/>
              </w:rPr>
              <w:t>项目编号</w:t>
            </w:r>
          </w:p>
        </w:tc>
        <w:tc>
          <w:tcPr>
            <w:tcW w:w="4140" w:type="dxa"/>
            <w:gridSpan w:val="2"/>
            <w:vAlign w:val="center"/>
          </w:tcPr>
          <w:p>
            <w:pPr>
              <w:spacing w:line="360" w:lineRule="exact"/>
              <w:jc w:val="center"/>
              <w:rPr>
                <w:rFonts w:ascii="宋体" w:hAnsi="宋体"/>
                <w:color w:val="000000"/>
                <w:sz w:val="24"/>
              </w:rPr>
            </w:pPr>
          </w:p>
        </w:tc>
        <w:tc>
          <w:tcPr>
            <w:tcW w:w="1440" w:type="dxa"/>
            <w:gridSpan w:val="2"/>
            <w:vAlign w:val="center"/>
          </w:tcPr>
          <w:p>
            <w:pPr>
              <w:spacing w:line="360" w:lineRule="exact"/>
              <w:jc w:val="center"/>
              <w:rPr>
                <w:rFonts w:ascii="宋体" w:hAnsi="宋体"/>
                <w:color w:val="000000"/>
                <w:sz w:val="24"/>
              </w:rPr>
            </w:pPr>
            <w:r>
              <w:rPr>
                <w:rFonts w:hint="eastAsia" w:ascii="宋体" w:hAnsi="宋体"/>
                <w:color w:val="000000"/>
                <w:sz w:val="24"/>
              </w:rPr>
              <w:t>是否完工</w:t>
            </w:r>
          </w:p>
        </w:tc>
        <w:tc>
          <w:tcPr>
            <w:tcW w:w="2162" w:type="dxa"/>
            <w:vAlign w:val="center"/>
          </w:tcPr>
          <w:p>
            <w:pPr>
              <w:spacing w:line="360" w:lineRule="exact"/>
              <w:ind w:firstLine="240" w:firstLineChars="100"/>
              <w:rPr>
                <w:rFonts w:ascii="宋体" w:hAnsi="宋体"/>
                <w:color w:val="000000"/>
                <w:sz w:val="24"/>
              </w:rPr>
            </w:pPr>
            <w:r>
              <w:rPr>
                <w:rFonts w:hint="eastAsia" w:ascii="宋体" w:hAnsi="宋体"/>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ascii="宋体" w:hAnsi="宋体"/>
                <w:color w:val="000000"/>
                <w:sz w:val="24"/>
              </w:rPr>
            </w:pPr>
            <w:r>
              <w:rPr>
                <w:rFonts w:hint="eastAsia" w:ascii="宋体" w:hAnsi="宋体"/>
                <w:color w:val="000000"/>
                <w:sz w:val="24"/>
              </w:rPr>
              <w:t>中标企业名称</w:t>
            </w:r>
          </w:p>
        </w:tc>
        <w:tc>
          <w:tcPr>
            <w:tcW w:w="7742" w:type="dxa"/>
            <w:gridSpan w:val="5"/>
            <w:vAlign w:val="center"/>
          </w:tcPr>
          <w:p>
            <w:pPr>
              <w:spacing w:line="3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ascii="宋体" w:hAnsi="宋体"/>
                <w:color w:val="000000"/>
                <w:sz w:val="24"/>
              </w:rPr>
            </w:pPr>
            <w:r>
              <w:rPr>
                <w:rFonts w:hint="eastAsia" w:ascii="宋体" w:hAnsi="宋体"/>
                <w:color w:val="000000"/>
                <w:sz w:val="24"/>
              </w:rPr>
              <w:t>开户银行</w:t>
            </w:r>
          </w:p>
        </w:tc>
        <w:tc>
          <w:tcPr>
            <w:tcW w:w="3780" w:type="dxa"/>
            <w:vAlign w:val="center"/>
          </w:tcPr>
          <w:p>
            <w:pPr>
              <w:rPr>
                <w:rFonts w:ascii="宋体" w:hAnsi="宋体"/>
                <w:color w:val="000000"/>
                <w:sz w:val="24"/>
              </w:rPr>
            </w:pPr>
          </w:p>
        </w:tc>
        <w:tc>
          <w:tcPr>
            <w:tcW w:w="722" w:type="dxa"/>
            <w:gridSpan w:val="2"/>
            <w:vAlign w:val="center"/>
          </w:tcPr>
          <w:p>
            <w:pPr>
              <w:spacing w:line="360" w:lineRule="exact"/>
              <w:rPr>
                <w:rFonts w:ascii="宋体" w:hAnsi="宋体"/>
                <w:color w:val="000000"/>
                <w:sz w:val="24"/>
              </w:rPr>
            </w:pPr>
            <w:r>
              <w:rPr>
                <w:rFonts w:hint="eastAsia" w:ascii="宋体" w:hAnsi="宋体"/>
                <w:color w:val="000000"/>
                <w:sz w:val="24"/>
              </w:rPr>
              <w:t>账号</w:t>
            </w:r>
          </w:p>
        </w:tc>
        <w:tc>
          <w:tcPr>
            <w:tcW w:w="3240" w:type="dxa"/>
            <w:gridSpan w:val="2"/>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ascii="宋体" w:hAnsi="宋体"/>
                <w:color w:val="000000"/>
                <w:sz w:val="24"/>
              </w:rPr>
            </w:pPr>
            <w:r>
              <w:rPr>
                <w:rFonts w:hint="eastAsia" w:ascii="宋体" w:hAnsi="宋体"/>
                <w:color w:val="000000"/>
                <w:sz w:val="24"/>
              </w:rPr>
              <w:t>金额</w:t>
            </w:r>
          </w:p>
        </w:tc>
        <w:tc>
          <w:tcPr>
            <w:tcW w:w="7742" w:type="dxa"/>
            <w:gridSpan w:val="5"/>
            <w:vAlign w:val="center"/>
          </w:tcPr>
          <w:p>
            <w:pPr>
              <w:spacing w:line="360" w:lineRule="exact"/>
              <w:rPr>
                <w:rFonts w:ascii="宋体" w:hAnsi="宋体"/>
                <w:color w:val="000000"/>
                <w:sz w:val="24"/>
              </w:rPr>
            </w:pPr>
            <w:r>
              <w:rPr>
                <w:rFonts w:hint="eastAsia" w:ascii="宋体" w:hAnsi="宋体"/>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ascii="宋体" w:hAnsi="宋体"/>
                <w:color w:val="000000"/>
                <w:sz w:val="24"/>
              </w:rPr>
            </w:pPr>
            <w:r>
              <w:rPr>
                <w:rFonts w:hint="eastAsia" w:ascii="宋体" w:hAnsi="宋体"/>
                <w:color w:val="000000"/>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tcPr>
          <w:p>
            <w:pPr>
              <w:jc w:val="center"/>
              <w:rPr>
                <w:rFonts w:ascii="宋体" w:hAnsi="宋体"/>
                <w:color w:val="000000"/>
                <w:sz w:val="24"/>
              </w:rPr>
            </w:pPr>
          </w:p>
          <w:p>
            <w:pPr>
              <w:jc w:val="center"/>
              <w:rPr>
                <w:rFonts w:ascii="宋体" w:hAnsi="宋体"/>
                <w:color w:val="000000"/>
                <w:sz w:val="24"/>
              </w:rPr>
            </w:pPr>
            <w:r>
              <w:rPr>
                <w:rFonts w:hint="eastAsia" w:ascii="宋体" w:hAnsi="宋体"/>
                <w:color w:val="000000"/>
                <w:sz w:val="24"/>
              </w:rPr>
              <w:t xml:space="preserve">                            </w:t>
            </w:r>
          </w:p>
          <w:p>
            <w:pPr>
              <w:ind w:firstLine="840" w:firstLineChars="350"/>
              <w:rPr>
                <w:rFonts w:ascii="宋体" w:hAnsi="宋体"/>
                <w:color w:val="000000"/>
                <w:sz w:val="24"/>
              </w:rPr>
            </w:pPr>
            <w:r>
              <w:rPr>
                <w:rFonts w:hint="eastAsia" w:ascii="宋体" w:hAnsi="宋体"/>
                <w:color w:val="000000"/>
                <w:sz w:val="24"/>
              </w:rPr>
              <w:t>主要负责人签字 ：                           盖  章：</w:t>
            </w:r>
          </w:p>
          <w:p>
            <w:pPr>
              <w:jc w:val="center"/>
              <w:rPr>
                <w:rFonts w:ascii="宋体" w:hAnsi="宋体"/>
                <w:color w:val="000000"/>
                <w:sz w:val="24"/>
              </w:rPr>
            </w:pPr>
          </w:p>
          <w:p>
            <w:pPr>
              <w:ind w:right="480" w:firstLine="5880" w:firstLineChars="2450"/>
              <w:rPr>
                <w:rFonts w:ascii="宋体" w:hAnsi="宋体"/>
                <w:color w:val="000000"/>
                <w:sz w:val="24"/>
              </w:rPr>
            </w:pPr>
            <w:r>
              <w:rPr>
                <w:rFonts w:hint="eastAsia" w:ascii="宋体" w:hAnsi="宋体"/>
                <w:color w:val="000000"/>
                <w:sz w:val="24"/>
              </w:rPr>
              <w:t>年   月   日</w:t>
            </w:r>
          </w:p>
        </w:tc>
      </w:tr>
    </w:tbl>
    <w:p>
      <w:pPr>
        <w:spacing w:line="1000" w:lineRule="exact"/>
        <w:rPr>
          <w:rFonts w:ascii="方正小标宋简体" w:hAnsi="Calibri" w:eastAsia="方正小标宋简体" w:cs="宋体"/>
          <w:sz w:val="32"/>
          <w:szCs w:val="32"/>
          <w:lang w:val="zh-CN"/>
        </w:rPr>
      </w:pPr>
    </w:p>
    <w:p>
      <w:pPr>
        <w:pStyle w:val="4"/>
        <w:keepNext w:val="0"/>
        <w:keepLines w:val="0"/>
        <w:adjustRightInd w:val="0"/>
        <w:snapToGrid w:val="0"/>
        <w:spacing w:beforeLines="50" w:after="0" w:line="400" w:lineRule="exact"/>
        <w:rPr>
          <w:rFonts w:ascii="宋体" w:hAnsi="宋体"/>
          <w:sz w:val="24"/>
          <w:szCs w:val="24"/>
        </w:rPr>
      </w:pPr>
      <w:r>
        <w:rPr>
          <w:rFonts w:ascii="宋体" w:hAnsi="宋体"/>
          <w:sz w:val="24"/>
          <w:szCs w:val="24"/>
        </w:rPr>
        <w:t>8. 重新招标和不再招标</w:t>
      </w:r>
      <w:bookmarkEnd w:id="162"/>
      <w:bookmarkEnd w:id="163"/>
      <w:bookmarkEnd w:id="164"/>
      <w:bookmarkEnd w:id="165"/>
    </w:p>
    <w:p>
      <w:pPr>
        <w:pStyle w:val="4"/>
        <w:keepNext w:val="0"/>
        <w:keepLines w:val="0"/>
        <w:adjustRightInd w:val="0"/>
        <w:snapToGrid w:val="0"/>
        <w:spacing w:beforeLines="50" w:after="0" w:line="400" w:lineRule="exact"/>
        <w:rPr>
          <w:rFonts w:ascii="宋体" w:hAnsi="宋体"/>
          <w:sz w:val="24"/>
          <w:szCs w:val="24"/>
        </w:rPr>
      </w:pPr>
      <w:bookmarkStart w:id="166" w:name="_Toc4100"/>
      <w:bookmarkStart w:id="167" w:name="_Toc485889044"/>
      <w:bookmarkStart w:id="168" w:name="_Toc234382635"/>
      <w:bookmarkStart w:id="169" w:name="_Toc486277905"/>
      <w:r>
        <w:rPr>
          <w:rFonts w:ascii="宋体" w:hAnsi="宋体"/>
          <w:sz w:val="24"/>
          <w:szCs w:val="24"/>
        </w:rPr>
        <w:t>8.1 重新招标</w:t>
      </w:r>
      <w:bookmarkEnd w:id="166"/>
      <w:bookmarkEnd w:id="167"/>
      <w:bookmarkEnd w:id="168"/>
      <w:bookmarkEnd w:id="169"/>
    </w:p>
    <w:p>
      <w:pPr>
        <w:adjustRightInd w:val="0"/>
        <w:snapToGrid w:val="0"/>
        <w:spacing w:line="400" w:lineRule="exact"/>
        <w:ind w:firstLine="480" w:firstLineChars="200"/>
        <w:rPr>
          <w:rFonts w:ascii="宋体" w:hAnsi="宋体"/>
          <w:sz w:val="24"/>
        </w:rPr>
      </w:pPr>
      <w:r>
        <w:rPr>
          <w:rFonts w:ascii="宋体" w:hAnsi="宋体"/>
          <w:sz w:val="24"/>
        </w:rPr>
        <w:t>有下列情形之一的，招标人将重新招标：</w:t>
      </w:r>
    </w:p>
    <w:p>
      <w:pPr>
        <w:adjustRightInd w:val="0"/>
        <w:snapToGrid w:val="0"/>
        <w:spacing w:line="400" w:lineRule="exact"/>
        <w:ind w:firstLine="480" w:firstLineChars="200"/>
        <w:rPr>
          <w:rFonts w:ascii="宋体" w:hAnsi="宋体"/>
          <w:sz w:val="24"/>
        </w:rPr>
      </w:pPr>
      <w:r>
        <w:rPr>
          <w:rFonts w:ascii="宋体" w:hAnsi="宋体"/>
          <w:sz w:val="24"/>
        </w:rPr>
        <w:t>（1）投标截止时间止，投标人少于3个的；</w:t>
      </w:r>
    </w:p>
    <w:p>
      <w:pPr>
        <w:adjustRightInd w:val="0"/>
        <w:snapToGrid w:val="0"/>
        <w:spacing w:line="400" w:lineRule="exact"/>
        <w:ind w:firstLine="480" w:firstLineChars="200"/>
        <w:rPr>
          <w:rFonts w:ascii="宋体" w:hAnsi="宋体"/>
          <w:sz w:val="24"/>
        </w:rPr>
      </w:pPr>
      <w:r>
        <w:rPr>
          <w:rFonts w:ascii="宋体" w:hAnsi="宋体"/>
          <w:sz w:val="24"/>
        </w:rPr>
        <w:t>（2）经评标委员会评审后否决所有投标的</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hint="eastAsia" w:ascii="宋体" w:hAnsi="宋体"/>
          <w:sz w:val="24"/>
        </w:rPr>
        <w:t>（3）中标候选人均未与招标人签订合同的；</w:t>
      </w:r>
    </w:p>
    <w:p>
      <w:pPr>
        <w:adjustRightInd w:val="0"/>
        <w:snapToGrid w:val="0"/>
        <w:spacing w:line="400" w:lineRule="exact"/>
        <w:ind w:firstLine="480" w:firstLineChars="200"/>
        <w:rPr>
          <w:rFonts w:ascii="宋体" w:hAnsi="宋体"/>
          <w:sz w:val="24"/>
        </w:rPr>
      </w:pPr>
      <w:r>
        <w:rPr>
          <w:rFonts w:hint="eastAsia" w:ascii="宋体" w:hAnsi="宋体"/>
          <w:sz w:val="24"/>
        </w:rPr>
        <w:t>（4）法律规定的其他情形。</w:t>
      </w:r>
    </w:p>
    <w:p>
      <w:pPr>
        <w:pStyle w:val="4"/>
        <w:keepNext w:val="0"/>
        <w:keepLines w:val="0"/>
        <w:adjustRightInd w:val="0"/>
        <w:snapToGrid w:val="0"/>
        <w:spacing w:beforeLines="50" w:after="0" w:line="400" w:lineRule="exact"/>
        <w:rPr>
          <w:rFonts w:ascii="宋体" w:hAnsi="宋体"/>
          <w:sz w:val="24"/>
          <w:szCs w:val="24"/>
        </w:rPr>
      </w:pPr>
      <w:bookmarkStart w:id="170" w:name="_Toc485889045"/>
      <w:bookmarkStart w:id="171" w:name="_Toc21063"/>
      <w:bookmarkStart w:id="172" w:name="_Toc486277906"/>
      <w:bookmarkStart w:id="173" w:name="_Toc234382636"/>
      <w:r>
        <w:rPr>
          <w:rFonts w:ascii="宋体" w:hAnsi="宋体"/>
          <w:sz w:val="24"/>
          <w:szCs w:val="24"/>
        </w:rPr>
        <w:t>8.2 不再招标</w:t>
      </w:r>
      <w:bookmarkEnd w:id="170"/>
      <w:bookmarkEnd w:id="171"/>
      <w:bookmarkEnd w:id="172"/>
      <w:bookmarkEnd w:id="173"/>
    </w:p>
    <w:p>
      <w:pPr>
        <w:adjustRightInd w:val="0"/>
        <w:snapToGrid w:val="0"/>
        <w:spacing w:line="400" w:lineRule="exact"/>
        <w:ind w:firstLine="480" w:firstLineChars="200"/>
        <w:rPr>
          <w:rFonts w:ascii="宋体" w:hAnsi="宋体"/>
          <w:sz w:val="24"/>
        </w:rPr>
      </w:pPr>
      <w:r>
        <w:rPr>
          <w:rFonts w:ascii="宋体" w:hAnsi="宋体"/>
          <w:sz w:val="24"/>
        </w:rPr>
        <w:t>重新招标后投标人仍少于3 个或者所有投标被否决的，属于必须审批或核准的工程建设项目，经原审批或核准部门批准后不再进行招标。</w:t>
      </w:r>
    </w:p>
    <w:p>
      <w:pPr>
        <w:pStyle w:val="4"/>
        <w:keepNext w:val="0"/>
        <w:keepLines w:val="0"/>
        <w:adjustRightInd w:val="0"/>
        <w:snapToGrid w:val="0"/>
        <w:spacing w:beforeLines="50" w:after="0" w:line="400" w:lineRule="exact"/>
        <w:rPr>
          <w:rFonts w:ascii="宋体" w:hAnsi="宋体"/>
          <w:sz w:val="24"/>
          <w:szCs w:val="24"/>
        </w:rPr>
      </w:pPr>
      <w:bookmarkStart w:id="174" w:name="_Toc234382637"/>
      <w:bookmarkStart w:id="175" w:name="_Toc32202"/>
      <w:bookmarkStart w:id="176" w:name="_Toc486277907"/>
      <w:bookmarkStart w:id="177" w:name="_Toc485889046"/>
      <w:r>
        <w:rPr>
          <w:rFonts w:ascii="宋体" w:hAnsi="宋体"/>
          <w:sz w:val="24"/>
          <w:szCs w:val="24"/>
        </w:rPr>
        <w:t>9. 纪律和监督</w:t>
      </w:r>
      <w:bookmarkEnd w:id="174"/>
      <w:bookmarkEnd w:id="175"/>
      <w:bookmarkEnd w:id="176"/>
      <w:bookmarkEnd w:id="177"/>
    </w:p>
    <w:p>
      <w:pPr>
        <w:pStyle w:val="4"/>
        <w:keepNext w:val="0"/>
        <w:keepLines w:val="0"/>
        <w:adjustRightInd w:val="0"/>
        <w:snapToGrid w:val="0"/>
        <w:spacing w:beforeLines="50" w:after="0" w:line="400" w:lineRule="exact"/>
        <w:rPr>
          <w:rFonts w:ascii="宋体" w:hAnsi="宋体"/>
          <w:sz w:val="24"/>
          <w:szCs w:val="24"/>
        </w:rPr>
      </w:pPr>
      <w:bookmarkStart w:id="178" w:name="_Toc234382638"/>
      <w:bookmarkStart w:id="179" w:name="_Toc23625"/>
      <w:bookmarkStart w:id="180" w:name="_Toc485889047"/>
      <w:bookmarkStart w:id="181" w:name="_Toc486277908"/>
      <w:r>
        <w:rPr>
          <w:rFonts w:ascii="宋体" w:hAnsi="宋体"/>
          <w:sz w:val="24"/>
          <w:szCs w:val="24"/>
        </w:rPr>
        <w:t>9.1 对招标人的纪律要求</w:t>
      </w:r>
      <w:bookmarkEnd w:id="178"/>
      <w:bookmarkEnd w:id="179"/>
      <w:bookmarkEnd w:id="180"/>
      <w:bookmarkEnd w:id="181"/>
    </w:p>
    <w:p>
      <w:pPr>
        <w:adjustRightInd w:val="0"/>
        <w:snapToGrid w:val="0"/>
        <w:spacing w:line="400" w:lineRule="exact"/>
        <w:ind w:firstLine="480" w:firstLineChars="200"/>
        <w:rPr>
          <w:rFonts w:ascii="宋体" w:hAnsi="宋体"/>
          <w:sz w:val="24"/>
        </w:rPr>
      </w:pPr>
      <w:r>
        <w:rPr>
          <w:rFonts w:ascii="宋体" w:hAnsi="宋体"/>
          <w:sz w:val="24"/>
        </w:rPr>
        <w:t>招标人不得泄漏招标投标活动中应当保密的情况和资料，不得与投标人串通损害国家利益、社会公共利益或者他人合法权益。</w:t>
      </w:r>
    </w:p>
    <w:p>
      <w:pPr>
        <w:pStyle w:val="4"/>
        <w:keepNext w:val="0"/>
        <w:keepLines w:val="0"/>
        <w:adjustRightInd w:val="0"/>
        <w:snapToGrid w:val="0"/>
        <w:spacing w:beforeLines="50" w:after="0" w:line="400" w:lineRule="exact"/>
        <w:rPr>
          <w:rFonts w:ascii="宋体" w:hAnsi="宋体"/>
          <w:sz w:val="24"/>
          <w:szCs w:val="24"/>
        </w:rPr>
      </w:pPr>
      <w:bookmarkStart w:id="182" w:name="_Toc485889048"/>
      <w:bookmarkStart w:id="183" w:name="_Toc234382639"/>
      <w:bookmarkStart w:id="184" w:name="_Toc486277909"/>
      <w:bookmarkStart w:id="185" w:name="_Toc13796"/>
      <w:r>
        <w:rPr>
          <w:rFonts w:ascii="宋体" w:hAnsi="宋体"/>
          <w:sz w:val="24"/>
          <w:szCs w:val="24"/>
        </w:rPr>
        <w:t>9.2 对投标人的纪律要求</w:t>
      </w:r>
      <w:bookmarkEnd w:id="182"/>
      <w:bookmarkEnd w:id="183"/>
      <w:bookmarkEnd w:id="184"/>
      <w:bookmarkEnd w:id="185"/>
    </w:p>
    <w:p>
      <w:pPr>
        <w:adjustRightInd w:val="0"/>
        <w:snapToGrid w:val="0"/>
        <w:spacing w:line="400" w:lineRule="exact"/>
        <w:ind w:firstLine="480" w:firstLineChars="200"/>
        <w:rPr>
          <w:rFonts w:ascii="宋体" w:hAnsi="宋体"/>
          <w:sz w:val="24"/>
        </w:rPr>
      </w:pPr>
      <w:r>
        <w:rPr>
          <w:rFonts w:ascii="宋体" w:hAnsi="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keepNext w:val="0"/>
        <w:keepLines w:val="0"/>
        <w:adjustRightInd w:val="0"/>
        <w:snapToGrid w:val="0"/>
        <w:spacing w:beforeLines="50" w:after="0" w:line="400" w:lineRule="exact"/>
        <w:rPr>
          <w:rFonts w:ascii="宋体" w:hAnsi="宋体"/>
          <w:sz w:val="24"/>
          <w:szCs w:val="24"/>
        </w:rPr>
      </w:pPr>
      <w:bookmarkStart w:id="186" w:name="_Toc486277910"/>
      <w:bookmarkStart w:id="187" w:name="_Toc234382640"/>
      <w:bookmarkStart w:id="188" w:name="_Toc16702"/>
      <w:bookmarkStart w:id="189" w:name="_Toc485889049"/>
      <w:r>
        <w:rPr>
          <w:rFonts w:ascii="宋体" w:hAnsi="宋体"/>
          <w:sz w:val="24"/>
          <w:szCs w:val="24"/>
        </w:rPr>
        <w:t>9.3 对评标委员会成员的纪律要求</w:t>
      </w:r>
      <w:bookmarkEnd w:id="186"/>
      <w:bookmarkEnd w:id="187"/>
      <w:bookmarkEnd w:id="188"/>
      <w:bookmarkEnd w:id="189"/>
    </w:p>
    <w:p>
      <w:pPr>
        <w:adjustRightInd w:val="0"/>
        <w:snapToGrid w:val="0"/>
        <w:spacing w:line="400" w:lineRule="exact"/>
        <w:ind w:firstLine="480" w:firstLineChars="200"/>
        <w:rPr>
          <w:rFonts w:ascii="宋体" w:hAnsi="宋体"/>
          <w:sz w:val="24"/>
        </w:rPr>
      </w:pPr>
      <w:r>
        <w:rPr>
          <w:rFonts w:ascii="宋体" w:hAnsi="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keepNext w:val="0"/>
        <w:keepLines w:val="0"/>
        <w:adjustRightInd w:val="0"/>
        <w:snapToGrid w:val="0"/>
        <w:spacing w:beforeLines="50" w:after="0" w:line="400" w:lineRule="exact"/>
        <w:rPr>
          <w:rFonts w:ascii="宋体" w:hAnsi="宋体"/>
          <w:sz w:val="24"/>
          <w:szCs w:val="24"/>
        </w:rPr>
      </w:pPr>
      <w:bookmarkStart w:id="190" w:name="_Toc485889050"/>
      <w:bookmarkStart w:id="191" w:name="_Toc234382641"/>
      <w:bookmarkStart w:id="192" w:name="_Toc486277911"/>
      <w:bookmarkStart w:id="193" w:name="_Toc12383"/>
      <w:r>
        <w:rPr>
          <w:rFonts w:ascii="宋体" w:hAnsi="宋体"/>
          <w:sz w:val="24"/>
          <w:szCs w:val="24"/>
        </w:rPr>
        <w:t>9.4 对与评标活动有关的工作人员的纪律要求</w:t>
      </w:r>
      <w:bookmarkEnd w:id="190"/>
      <w:bookmarkEnd w:id="191"/>
      <w:bookmarkEnd w:id="192"/>
      <w:bookmarkEnd w:id="193"/>
    </w:p>
    <w:p>
      <w:pPr>
        <w:adjustRightInd w:val="0"/>
        <w:snapToGrid w:val="0"/>
        <w:spacing w:line="400" w:lineRule="exact"/>
        <w:ind w:firstLine="480" w:firstLineChars="200"/>
        <w:rPr>
          <w:rFonts w:ascii="宋体" w:hAnsi="宋体"/>
          <w:sz w:val="24"/>
        </w:rPr>
      </w:pPr>
      <w:r>
        <w:rPr>
          <w:rFonts w:ascii="宋体" w:hAnsi="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keepNext w:val="0"/>
        <w:keepLines w:val="0"/>
        <w:adjustRightInd w:val="0"/>
        <w:snapToGrid w:val="0"/>
        <w:spacing w:beforeLines="50" w:after="0" w:line="400" w:lineRule="exact"/>
        <w:rPr>
          <w:rFonts w:ascii="宋体" w:hAnsi="宋体"/>
          <w:sz w:val="24"/>
          <w:szCs w:val="24"/>
        </w:rPr>
      </w:pPr>
      <w:bookmarkStart w:id="194" w:name="_Toc25179"/>
      <w:bookmarkStart w:id="195" w:name="_Toc234382642"/>
      <w:bookmarkStart w:id="196" w:name="_Toc486277912"/>
      <w:bookmarkStart w:id="197" w:name="_Toc485889051"/>
      <w:r>
        <w:rPr>
          <w:rFonts w:ascii="宋体" w:hAnsi="宋体"/>
          <w:sz w:val="24"/>
          <w:szCs w:val="24"/>
        </w:rPr>
        <w:t>9.5 投诉</w:t>
      </w:r>
      <w:bookmarkEnd w:id="194"/>
      <w:bookmarkEnd w:id="195"/>
      <w:bookmarkEnd w:id="196"/>
      <w:bookmarkEnd w:id="197"/>
    </w:p>
    <w:p>
      <w:pPr>
        <w:adjustRightInd w:val="0"/>
        <w:snapToGrid w:val="0"/>
        <w:spacing w:line="400" w:lineRule="exact"/>
        <w:ind w:firstLine="480" w:firstLineChars="200"/>
        <w:rPr>
          <w:rFonts w:ascii="宋体" w:hAnsi="宋体"/>
          <w:sz w:val="24"/>
        </w:rPr>
      </w:pPr>
      <w:r>
        <w:rPr>
          <w:rFonts w:ascii="宋体" w:hAnsi="宋体"/>
          <w:sz w:val="24"/>
        </w:rPr>
        <w:t>投标人和其他利害关系人认为本次招标活动违反法律、法规和规章规定的，有权向有关行政监督部门投诉。</w:t>
      </w:r>
    </w:p>
    <w:p>
      <w:pPr>
        <w:pStyle w:val="4"/>
        <w:keepNext w:val="0"/>
        <w:keepLines w:val="0"/>
        <w:adjustRightInd w:val="0"/>
        <w:snapToGrid w:val="0"/>
        <w:spacing w:beforeLines="50" w:after="0" w:line="400" w:lineRule="exact"/>
        <w:rPr>
          <w:rFonts w:ascii="宋体" w:hAnsi="宋体"/>
          <w:sz w:val="24"/>
          <w:szCs w:val="24"/>
        </w:rPr>
      </w:pPr>
      <w:bookmarkStart w:id="198" w:name="_Toc30072"/>
      <w:bookmarkStart w:id="199" w:name="_Toc234382643"/>
      <w:bookmarkStart w:id="200" w:name="_Toc486277913"/>
      <w:bookmarkStart w:id="201" w:name="_Toc485889052"/>
      <w:r>
        <w:rPr>
          <w:rFonts w:ascii="宋体" w:hAnsi="宋体"/>
          <w:sz w:val="24"/>
          <w:szCs w:val="24"/>
        </w:rPr>
        <w:t>10. 需要补充的其他内容</w:t>
      </w:r>
      <w:bookmarkEnd w:id="198"/>
      <w:bookmarkEnd w:id="199"/>
      <w:bookmarkEnd w:id="200"/>
      <w:bookmarkEnd w:id="201"/>
    </w:p>
    <w:p>
      <w:pPr>
        <w:adjustRightInd w:val="0"/>
        <w:snapToGrid w:val="0"/>
        <w:spacing w:line="400" w:lineRule="exact"/>
        <w:ind w:firstLine="480" w:firstLineChars="200"/>
        <w:rPr>
          <w:rFonts w:ascii="宋体" w:hAnsi="宋体"/>
          <w:sz w:val="24"/>
        </w:rPr>
      </w:pPr>
      <w:r>
        <w:rPr>
          <w:rFonts w:ascii="宋体" w:hAnsi="宋体"/>
          <w:sz w:val="24"/>
        </w:rPr>
        <w:t>需要补充的其他内容：见投标人须知前附表。</w:t>
      </w:r>
    </w:p>
    <w:p>
      <w:pPr>
        <w:widowControl/>
        <w:spacing w:line="360" w:lineRule="auto"/>
        <w:ind w:right="714"/>
        <w:jc w:val="center"/>
        <w:rPr>
          <w:rFonts w:ascii="宋体" w:hAnsi="宋体"/>
          <w:sz w:val="24"/>
        </w:rPr>
      </w:pPr>
      <w:bookmarkStart w:id="202" w:name="_Toc234382644"/>
      <w:r>
        <w:rPr>
          <w:rFonts w:ascii="宋体" w:hAnsi="宋体"/>
          <w:sz w:val="24"/>
        </w:rPr>
        <w:br w:type="page"/>
      </w:r>
    </w:p>
    <w:bookmarkEnd w:id="202"/>
    <w:p>
      <w:pPr>
        <w:adjustRightInd w:val="0"/>
        <w:snapToGrid w:val="0"/>
        <w:spacing w:line="400" w:lineRule="exact"/>
        <w:rPr>
          <w:rFonts w:ascii="黑体" w:hAnsi="黑体" w:eastAsia="黑体"/>
          <w:b/>
          <w:bCs/>
          <w:sz w:val="32"/>
          <w:szCs w:val="32"/>
        </w:rPr>
      </w:pPr>
      <w:r>
        <w:rPr>
          <w:rFonts w:hint="eastAsia" w:ascii="黑体" w:hAnsi="黑体" w:eastAsia="黑体"/>
          <w:b/>
          <w:bCs/>
          <w:sz w:val="32"/>
          <w:szCs w:val="32"/>
        </w:rPr>
        <w:t>附件一：投标保证金</w:t>
      </w:r>
    </w:p>
    <w:tbl>
      <w:tblPr>
        <w:tblStyle w:val="16"/>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hint="eastAsia" w:ascii="仿宋_GB2312" w:hAnsi="宋体" w:eastAsia="仿宋_GB2312" w:cs="宋体"/>
                <w:sz w:val="24"/>
                <w:szCs w:val="22"/>
                <w:lang w:eastAsia="zh-CN"/>
              </w:rPr>
            </w:pPr>
            <w:r>
              <w:rPr>
                <w:rFonts w:hint="eastAsia" w:ascii="仿宋_GB2312" w:hAnsi="宋体" w:eastAsia="仿宋_GB2312" w:cs="宋体"/>
                <w:sz w:val="24"/>
                <w:szCs w:val="22"/>
                <w:lang w:eastAsia="zh-CN"/>
              </w:rPr>
              <w:t>建安建工公字〔2019〕</w:t>
            </w:r>
            <w:r>
              <w:rPr>
                <w:rFonts w:hint="eastAsia" w:ascii="仿宋_GB2312" w:hAnsi="宋体" w:eastAsia="仿宋_GB2312" w:cs="宋体"/>
                <w:sz w:val="24"/>
                <w:szCs w:val="22"/>
                <w:lang w:val="en-US" w:eastAsia="zh-CN"/>
              </w:rPr>
              <w:t>102</w:t>
            </w:r>
            <w:r>
              <w:rPr>
                <w:rFonts w:hint="eastAsia" w:ascii="仿宋_GB2312" w:hAnsi="宋体" w:eastAsia="仿宋_GB2312" w:cs="宋体"/>
                <w:sz w:val="24"/>
                <w:szCs w:val="22"/>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rFonts w:hint="eastAsia" w:ascii="仿宋_GB2312" w:hAnsi="宋体" w:eastAsia="仿宋_GB2312" w:cs="宋体"/>
                <w:sz w:val="24"/>
                <w:szCs w:val="22"/>
                <w:lang w:eastAsia="zh-CN"/>
              </w:rPr>
            </w:pPr>
            <w:r>
              <w:rPr>
                <w:rFonts w:hint="eastAsia" w:ascii="仿宋_GB2312" w:hAnsi="宋体" w:eastAsia="仿宋_GB2312" w:cs="宋体"/>
                <w:sz w:val="24"/>
                <w:szCs w:val="22"/>
                <w:lang w:eastAsia="zh-CN"/>
              </w:rPr>
              <w:t>许昌市建安区小召乡、</w:t>
            </w:r>
            <w:r>
              <w:rPr>
                <w:rFonts w:hint="eastAsia" w:ascii="仿宋_GB2312" w:hAnsi="宋体" w:eastAsia="仿宋_GB2312" w:cs="宋体"/>
                <w:sz w:val="24"/>
                <w:szCs w:val="22"/>
                <w:highlight w:val="none"/>
                <w:lang w:eastAsia="zh-CN"/>
              </w:rPr>
              <w:t>苏桥镇危桥改造项目二次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ind w:firstLine="960" w:firstLineChars="400"/>
              <w:rPr>
                <w:rFonts w:ascii="仿宋_GB2312" w:hAnsi="宋体" w:eastAsia="仿宋_GB2312" w:cs="宋体"/>
                <w:sz w:val="24"/>
                <w:szCs w:val="22"/>
              </w:rPr>
            </w:pPr>
            <w:r>
              <w:rPr>
                <w:rFonts w:hint="eastAsia" w:ascii="仿宋_GB2312" w:hAnsi="宋体" w:eastAsia="仿宋_GB2312" w:cs="宋体"/>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r>
              <w:rPr>
                <w:rFonts w:hint="eastAsia" w:ascii="仿宋_GB2312" w:hAnsi="宋体" w:eastAsia="仿宋_GB2312" w:cs="宋体"/>
                <w:sz w:val="24"/>
              </w:rPr>
              <w:t>投标保证金</w:t>
            </w:r>
          </w:p>
          <w:p>
            <w:pPr>
              <w:adjustRightInd w:val="0"/>
              <w:snapToGrid w:val="0"/>
              <w:spacing w:line="500" w:lineRule="exact"/>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叁万元整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30</w:t>
            </w:r>
            <w:r>
              <w:rPr>
                <w:rFonts w:hint="eastAsia" w:ascii="仿宋_GB2312" w:hAnsi="宋体" w:eastAsia="仿宋_GB2312" w:cs="宋体"/>
                <w:sz w:val="24"/>
                <w:szCs w:val="22"/>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14"/>
                <w:rFonts w:hint="eastAsia" w:ascii="仿宋_GB2312" w:hAnsi="宋体" w:eastAsia="仿宋_GB2312" w:cs="宋体"/>
                <w:sz w:val="24"/>
              </w:rPr>
              <w:t>http://221.14.6.70:8088/ggzy</w:t>
            </w:r>
            <w:r>
              <w:rPr>
                <w:rStyle w:val="14"/>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napToGri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napToGri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napToGri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napToGri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adjustRightInd w:val="0"/>
        <w:snapToGrid w:val="0"/>
        <w:rPr>
          <w:rFonts w:ascii="仿宋_GB2312" w:hAnsi="新宋体" w:eastAsia="仿宋_GB2312"/>
          <w:b/>
          <w:sz w:val="36"/>
          <w:szCs w:val="36"/>
        </w:rPr>
      </w:pPr>
    </w:p>
    <w:p>
      <w:pPr>
        <w:adjustRightInd w:val="0"/>
        <w:snapToGrid w:val="0"/>
        <w:jc w:val="center"/>
        <w:rPr>
          <w:rFonts w:ascii="方正小标宋简体" w:hAnsi="宋体" w:eastAsia="方正小标宋简体" w:cs="宋体"/>
          <w:sz w:val="36"/>
          <w:szCs w:val="36"/>
        </w:rPr>
      </w:pPr>
    </w:p>
    <w:p>
      <w:pPr>
        <w:adjustRightInd w:val="0"/>
        <w:snapToGrid w:val="0"/>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16"/>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adjustRightInd w:val="0"/>
              <w:snapToGrid w:val="0"/>
              <w:jc w:val="right"/>
              <w:rPr>
                <w:rFonts w:ascii="仿宋_GB2312" w:hAnsi="新宋体" w:eastAsia="仿宋_GB2312" w:cs="新宋体"/>
                <w:sz w:val="24"/>
              </w:rPr>
            </w:pPr>
          </w:p>
          <w:p>
            <w:pPr>
              <w:adjustRightInd w:val="0"/>
              <w:snapToGrid w:val="0"/>
              <w:ind w:right="480" w:firstLine="5880" w:firstLineChars="2450"/>
              <w:rPr>
                <w:rFonts w:ascii="仿宋_GB2312" w:hAnsi="新宋体" w:eastAsia="仿宋_GB2312" w:cs="新宋体"/>
                <w:sz w:val="24"/>
              </w:rPr>
            </w:pPr>
          </w:p>
          <w:p>
            <w:pPr>
              <w:adjustRightInd w:val="0"/>
              <w:snapToGrid w:val="0"/>
              <w:ind w:right="480" w:firstLine="5880" w:firstLineChars="2450"/>
              <w:rPr>
                <w:rFonts w:ascii="仿宋_GB2312" w:hAnsi="新宋体" w:eastAsia="仿宋_GB2312" w:cs="新宋体"/>
                <w:sz w:val="24"/>
              </w:rPr>
            </w:pPr>
          </w:p>
          <w:p>
            <w:pPr>
              <w:adjustRightInd w:val="0"/>
              <w:snapToGrid w:val="0"/>
              <w:ind w:right="480" w:firstLine="5880" w:firstLineChars="2450"/>
              <w:rPr>
                <w:rFonts w:ascii="仿宋_GB2312" w:hAnsi="新宋体" w:eastAsia="仿宋_GB2312" w:cs="新宋体"/>
                <w:sz w:val="24"/>
              </w:rPr>
            </w:pPr>
          </w:p>
          <w:p>
            <w:pPr>
              <w:adjustRightInd w:val="0"/>
              <w:snapToGrid w:val="0"/>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adjustRightInd w:val="0"/>
        <w:snapToGrid w:val="0"/>
        <w:jc w:val="left"/>
        <w:rPr>
          <w:rFonts w:ascii="华文中宋" w:hAnsi="华文中宋" w:eastAsia="华文中宋"/>
          <w:b/>
          <w:bCs/>
          <w:sz w:val="32"/>
          <w:szCs w:val="32"/>
        </w:rPr>
      </w:pPr>
    </w:p>
    <w:p>
      <w:pPr>
        <w:adjustRightInd w:val="0"/>
        <w:snapToGrid w:val="0"/>
        <w:jc w:val="left"/>
        <w:rPr>
          <w:rFonts w:ascii="华文中宋" w:hAnsi="华文中宋" w:eastAsia="华文中宋"/>
          <w:b/>
          <w:bCs/>
          <w:sz w:val="32"/>
          <w:szCs w:val="32"/>
        </w:rPr>
      </w:pPr>
    </w:p>
    <w:p>
      <w:pPr>
        <w:adjustRightInd w:val="0"/>
        <w:snapToGrid w:val="0"/>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pStyle w:val="2"/>
        <w:ind w:firstLine="210"/>
      </w:pPr>
    </w:p>
    <w:p>
      <w:pPr>
        <w:adjustRightInd w:val="0"/>
        <w:snapToGrid w:val="0"/>
        <w:spacing w:afterLines="50" w:line="440" w:lineRule="exact"/>
        <w:rPr>
          <w:rFonts w:ascii="黑体" w:eastAsia="黑体"/>
          <w:b/>
          <w:sz w:val="24"/>
        </w:rPr>
      </w:pPr>
    </w:p>
    <w:p>
      <w:pPr>
        <w:adjustRightInd w:val="0"/>
        <w:snapToGrid w:val="0"/>
      </w:pPr>
    </w:p>
    <w:p>
      <w:pPr>
        <w:pStyle w:val="2"/>
        <w:ind w:firstLine="210"/>
      </w:pPr>
    </w:p>
    <w:p>
      <w:pPr>
        <w:rPr>
          <w:rFonts w:ascii="黑体" w:hAnsi="宋体" w:eastAsia="黑体"/>
          <w:b/>
          <w:sz w:val="32"/>
          <w:szCs w:val="32"/>
        </w:rPr>
      </w:pPr>
      <w:bookmarkStart w:id="203" w:name="_Toc234382646"/>
      <w:r>
        <w:rPr>
          <w:rFonts w:ascii="黑体" w:hAnsi="宋体" w:eastAsia="黑体"/>
          <w:b/>
          <w:sz w:val="32"/>
          <w:szCs w:val="32"/>
        </w:rPr>
        <w:t>附</w:t>
      </w:r>
      <w:r>
        <w:rPr>
          <w:rFonts w:hint="eastAsia" w:ascii="黑体" w:hAnsi="宋体" w:eastAsia="黑体"/>
          <w:b/>
          <w:sz w:val="32"/>
          <w:szCs w:val="32"/>
        </w:rPr>
        <w:t>件</w:t>
      </w:r>
      <w:r>
        <w:rPr>
          <w:rFonts w:hint="eastAsia" w:ascii="黑体" w:hAnsi="宋体" w:eastAsia="黑体"/>
          <w:b/>
          <w:sz w:val="32"/>
          <w:szCs w:val="32"/>
          <w:lang w:val="en-US" w:eastAsia="zh-CN"/>
        </w:rPr>
        <w:t>二</w:t>
      </w:r>
      <w:r>
        <w:rPr>
          <w:rFonts w:ascii="黑体" w:hAnsi="宋体" w:eastAsia="黑体"/>
          <w:b/>
          <w:sz w:val="32"/>
          <w:szCs w:val="32"/>
        </w:rPr>
        <w:t>：问题澄清通知</w:t>
      </w:r>
      <w:bookmarkEnd w:id="203"/>
    </w:p>
    <w:p>
      <w:pPr>
        <w:rPr>
          <w:rFonts w:ascii="宋体" w:hAnsi="宋体"/>
          <w:sz w:val="24"/>
        </w:rPr>
      </w:pPr>
    </w:p>
    <w:p>
      <w:pPr>
        <w:jc w:val="center"/>
        <w:rPr>
          <w:rFonts w:ascii="黑体" w:hAnsi="宋体" w:eastAsia="黑体"/>
          <w:b/>
          <w:bCs/>
          <w:kern w:val="44"/>
          <w:sz w:val="28"/>
          <w:szCs w:val="28"/>
        </w:rPr>
      </w:pPr>
      <w:r>
        <w:rPr>
          <w:rFonts w:hint="eastAsia" w:ascii="黑体" w:hAnsi="宋体" w:eastAsia="黑体"/>
          <w:b/>
          <w:bCs/>
          <w:kern w:val="44"/>
          <w:sz w:val="28"/>
          <w:szCs w:val="28"/>
        </w:rPr>
        <w:t>问题澄清通知</w:t>
      </w:r>
    </w:p>
    <w:p>
      <w:pPr>
        <w:rPr>
          <w:rFonts w:ascii="宋体" w:hAnsi="宋体"/>
          <w:sz w:val="24"/>
        </w:rPr>
      </w:pPr>
    </w:p>
    <w:p>
      <w:pPr>
        <w:jc w:val="center"/>
        <w:rPr>
          <w:rFonts w:ascii="宋体" w:hAnsi="宋体"/>
          <w:sz w:val="24"/>
        </w:rPr>
      </w:pPr>
      <w:r>
        <w:rPr>
          <w:rFonts w:ascii="宋体" w:hAnsi="宋体"/>
          <w:sz w:val="24"/>
        </w:rPr>
        <w:t>编号：</w:t>
      </w:r>
    </w:p>
    <w:p>
      <w:pPr>
        <w:rPr>
          <w:rFonts w:ascii="宋体" w:hAnsi="宋体"/>
          <w:sz w:val="24"/>
        </w:rPr>
      </w:pPr>
    </w:p>
    <w:p>
      <w:pPr>
        <w:rPr>
          <w:rFonts w:ascii="宋体" w:hAnsi="宋体"/>
          <w:sz w:val="24"/>
        </w:rPr>
      </w:pPr>
      <w:r>
        <w:rPr>
          <w:rFonts w:ascii="宋体" w:hAnsi="宋体"/>
          <w:sz w:val="24"/>
          <w:u w:val="single"/>
        </w:rPr>
        <w:tab/>
      </w:r>
      <w:r>
        <w:rPr>
          <w:rFonts w:ascii="宋体" w:hAnsi="宋体"/>
          <w:sz w:val="24"/>
          <w:u w:val="single"/>
        </w:rPr>
        <w:t>（投标人名称）</w:t>
      </w:r>
      <w:r>
        <w:rPr>
          <w:rFonts w:ascii="宋体" w:hAnsi="宋体"/>
          <w:sz w:val="24"/>
        </w:rPr>
        <w:t>：</w:t>
      </w:r>
    </w:p>
    <w:p>
      <w:pPr>
        <w:rPr>
          <w:rFonts w:ascii="宋体" w:hAnsi="宋体"/>
          <w:sz w:val="24"/>
        </w:rPr>
      </w:pPr>
    </w:p>
    <w:p>
      <w:pPr>
        <w:spacing w:line="400" w:lineRule="exact"/>
        <w:ind w:firstLine="480" w:firstLineChars="200"/>
        <w:rPr>
          <w:rFonts w:ascii="宋体" w:hAnsi="宋体"/>
          <w:sz w:val="24"/>
        </w:rPr>
      </w:pPr>
      <w:r>
        <w:rPr>
          <w:rFonts w:hint="eastAsia" w:ascii="宋体" w:hAnsi="宋体"/>
          <w:sz w:val="24"/>
          <w:u w:val="single"/>
        </w:rPr>
        <w:t xml:space="preserve">       </w:t>
      </w:r>
      <w:r>
        <w:rPr>
          <w:rFonts w:ascii="宋体" w:hAnsi="宋体"/>
          <w:sz w:val="24"/>
          <w:u w:val="single"/>
        </w:rPr>
        <w:t>（项目名称）</w:t>
      </w:r>
      <w:r>
        <w:rPr>
          <w:rFonts w:ascii="宋体" w:hAnsi="宋体"/>
          <w:sz w:val="24"/>
        </w:rPr>
        <w:t>施工招标的评标委员会，对你方的投标文件进行了仔细的审查，现需你方对下列问题以书面形式予以澄清：</w:t>
      </w:r>
    </w:p>
    <w:p>
      <w:pPr>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1.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2. </w:t>
      </w:r>
    </w:p>
    <w:p>
      <w:pPr>
        <w:rPr>
          <w:rFonts w:ascii="宋体" w:hAnsi="宋体"/>
          <w:sz w:val="24"/>
        </w:rPr>
      </w:pPr>
    </w:p>
    <w:p>
      <w:pPr>
        <w:rPr>
          <w:rFonts w:ascii="宋体" w:hAnsi="宋体"/>
          <w:sz w:val="24"/>
        </w:rPr>
      </w:pPr>
      <w:r>
        <w:rPr>
          <w:rFonts w:ascii="宋体" w:hAnsi="宋体"/>
          <w:sz w:val="24"/>
        </w:rPr>
        <w:t>......</w:t>
      </w:r>
    </w:p>
    <w:p>
      <w:pPr>
        <w:rPr>
          <w:rFonts w:ascii="宋体" w:hAnsi="宋体"/>
          <w:sz w:val="24"/>
        </w:rPr>
      </w:pPr>
    </w:p>
    <w:p>
      <w:pPr>
        <w:spacing w:line="400" w:lineRule="exact"/>
        <w:ind w:firstLine="480" w:firstLineChars="200"/>
        <w:rPr>
          <w:rFonts w:ascii="宋体" w:hAnsi="宋体"/>
          <w:sz w:val="24"/>
          <w:u w:val="single"/>
        </w:rPr>
      </w:pPr>
      <w:r>
        <w:rPr>
          <w:rFonts w:ascii="宋体" w:hAnsi="宋体"/>
          <w:sz w:val="24"/>
        </w:rPr>
        <w:t>请将上述问题的澄清于</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r>
        <w:rPr>
          <w:rFonts w:hint="eastAsia" w:ascii="宋体" w:hAnsi="宋体"/>
          <w:sz w:val="24"/>
          <w:u w:val="single"/>
        </w:rPr>
        <w:t xml:space="preserve">  </w:t>
      </w:r>
      <w:r>
        <w:rPr>
          <w:rFonts w:ascii="宋体" w:hAnsi="宋体"/>
          <w:sz w:val="24"/>
        </w:rPr>
        <w:t>时前递交至</w:t>
      </w:r>
      <w:r>
        <w:rPr>
          <w:rFonts w:hint="eastAsia" w:ascii="宋体" w:hAnsi="宋体"/>
          <w:sz w:val="24"/>
          <w:u w:val="single"/>
        </w:rPr>
        <w:t xml:space="preserve">    </w:t>
      </w:r>
      <w:r>
        <w:rPr>
          <w:rFonts w:ascii="宋体" w:hAnsi="宋体"/>
          <w:sz w:val="24"/>
          <w:u w:val="single"/>
        </w:rPr>
        <w:t>（详细地址）</w:t>
      </w:r>
      <w:r>
        <w:rPr>
          <w:rFonts w:ascii="宋体" w:hAnsi="宋体"/>
          <w:sz w:val="24"/>
        </w:rPr>
        <w:t>或传真至</w:t>
      </w:r>
      <w:r>
        <w:rPr>
          <w:rFonts w:hint="eastAsia" w:ascii="宋体" w:hAnsi="宋体"/>
          <w:sz w:val="24"/>
          <w:u w:val="single"/>
        </w:rPr>
        <w:t xml:space="preserve">     </w:t>
      </w:r>
    </w:p>
    <w:p>
      <w:pPr>
        <w:spacing w:line="400" w:lineRule="exact"/>
        <w:rPr>
          <w:rFonts w:ascii="宋体" w:hAnsi="宋体"/>
          <w:sz w:val="24"/>
        </w:rPr>
      </w:pPr>
      <w:r>
        <w:rPr>
          <w:rFonts w:ascii="宋体" w:hAnsi="宋体"/>
          <w:sz w:val="24"/>
        </w:rPr>
        <w:t>（传真号码）。采用传真方式的，应在</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r>
        <w:rPr>
          <w:rFonts w:hint="eastAsia" w:ascii="宋体" w:hAnsi="宋体"/>
          <w:sz w:val="24"/>
          <w:u w:val="single"/>
        </w:rPr>
        <w:t xml:space="preserve">  </w:t>
      </w:r>
      <w:r>
        <w:rPr>
          <w:rFonts w:ascii="宋体" w:hAnsi="宋体"/>
          <w:sz w:val="24"/>
        </w:rPr>
        <w:t>时前将原件递交至</w:t>
      </w:r>
      <w:r>
        <w:rPr>
          <w:rFonts w:hint="eastAsia" w:ascii="宋体" w:hAnsi="宋体"/>
          <w:sz w:val="24"/>
          <w:u w:val="single"/>
        </w:rPr>
        <w:t xml:space="preserve">          </w:t>
      </w:r>
      <w:r>
        <w:rPr>
          <w:rFonts w:ascii="宋体" w:hAnsi="宋体"/>
          <w:sz w:val="24"/>
        </w:rPr>
        <w:t>（详细地址）。</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wordWrap w:val="0"/>
        <w:spacing w:line="360" w:lineRule="auto"/>
        <w:jc w:val="right"/>
        <w:rPr>
          <w:rFonts w:ascii="宋体" w:hAnsi="宋体"/>
          <w:sz w:val="24"/>
          <w:u w:val="single"/>
        </w:rPr>
      </w:pPr>
      <w:r>
        <w:rPr>
          <w:rFonts w:hint="eastAsia" w:ascii="宋体" w:hAnsi="宋体"/>
          <w:sz w:val="24"/>
          <w:u w:val="single"/>
        </w:rPr>
        <w:t xml:space="preserve">     （项目名称）  施工招标评标委员会</w:t>
      </w:r>
    </w:p>
    <w:p>
      <w:pPr>
        <w:wordWrap w:val="0"/>
        <w:spacing w:line="360" w:lineRule="auto"/>
        <w:jc w:val="right"/>
        <w:rPr>
          <w:rFonts w:ascii="宋体" w:hAnsi="宋体"/>
          <w:sz w:val="24"/>
        </w:rPr>
      </w:pPr>
      <w:r>
        <w:rPr>
          <w:rFonts w:hint="eastAsia" w:ascii="宋体" w:hAnsi="宋体"/>
          <w:sz w:val="24"/>
        </w:rPr>
        <w:t>招标人</w:t>
      </w:r>
      <w:r>
        <w:rPr>
          <w:rFonts w:ascii="宋体" w:hAnsi="宋体"/>
          <w:sz w:val="24"/>
        </w:rPr>
        <w:t>：（</w:t>
      </w:r>
      <w:r>
        <w:rPr>
          <w:rFonts w:hint="eastAsia" w:ascii="宋体" w:hAnsi="宋体"/>
          <w:sz w:val="24"/>
        </w:rPr>
        <w:t>盖单位章</w:t>
      </w:r>
      <w:r>
        <w:rPr>
          <w:rFonts w:ascii="宋体" w:hAnsi="宋体"/>
          <w:sz w:val="24"/>
        </w:rPr>
        <w:t>）</w:t>
      </w:r>
      <w:r>
        <w:rPr>
          <w:rFonts w:hint="eastAsia" w:ascii="宋体" w:hAnsi="宋体"/>
          <w:sz w:val="24"/>
        </w:rPr>
        <w:t xml:space="preserve">          </w:t>
      </w:r>
    </w:p>
    <w:p>
      <w:pPr>
        <w:wordWrap w:val="0"/>
        <w:spacing w:line="360" w:lineRule="auto"/>
        <w:jc w:val="right"/>
        <w:rPr>
          <w:rFonts w:ascii="宋体" w:hAnsi="宋体"/>
          <w:sz w:val="24"/>
        </w:rPr>
      </w:pP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日</w:t>
      </w:r>
      <w:r>
        <w:rPr>
          <w:rFonts w:hint="eastAsia" w:ascii="宋体" w:hAnsi="宋体"/>
          <w:sz w:val="24"/>
        </w:rPr>
        <w:t xml:space="preserve">   </w:t>
      </w:r>
    </w:p>
    <w:p>
      <w:pPr>
        <w:spacing w:line="360" w:lineRule="auto"/>
        <w:rPr>
          <w:rFonts w:ascii="宋体" w:hAnsi="宋体"/>
          <w:sz w:val="24"/>
        </w:rPr>
      </w:pPr>
    </w:p>
    <w:p>
      <w:pPr>
        <w:rPr>
          <w:rFonts w:ascii="黑体" w:hAnsi="宋体" w:eastAsia="黑体"/>
          <w:b/>
          <w:sz w:val="32"/>
          <w:szCs w:val="32"/>
        </w:rPr>
      </w:pPr>
      <w:r>
        <w:rPr>
          <w:rFonts w:ascii="宋体" w:hAnsi="宋体"/>
          <w:sz w:val="24"/>
        </w:rPr>
        <w:br w:type="page"/>
      </w:r>
      <w:bookmarkStart w:id="204" w:name="_Toc234382647"/>
      <w:r>
        <w:rPr>
          <w:rFonts w:ascii="黑体" w:hAnsi="宋体" w:eastAsia="黑体"/>
          <w:b/>
          <w:sz w:val="32"/>
          <w:szCs w:val="32"/>
        </w:rPr>
        <w:t>附</w:t>
      </w:r>
      <w:r>
        <w:rPr>
          <w:rFonts w:hint="eastAsia" w:ascii="黑体" w:hAnsi="宋体" w:eastAsia="黑体"/>
          <w:b/>
          <w:sz w:val="32"/>
          <w:szCs w:val="32"/>
        </w:rPr>
        <w:t>件</w:t>
      </w:r>
      <w:r>
        <w:rPr>
          <w:rFonts w:hint="eastAsia" w:ascii="黑体" w:hAnsi="宋体" w:eastAsia="黑体"/>
          <w:b/>
          <w:sz w:val="32"/>
          <w:szCs w:val="32"/>
          <w:lang w:val="en-US" w:eastAsia="zh-CN"/>
        </w:rPr>
        <w:t>三</w:t>
      </w:r>
      <w:r>
        <w:rPr>
          <w:rFonts w:ascii="黑体" w:hAnsi="宋体" w:eastAsia="黑体"/>
          <w:b/>
          <w:sz w:val="32"/>
          <w:szCs w:val="32"/>
        </w:rPr>
        <w:t>：问题的澄清</w:t>
      </w:r>
      <w:bookmarkEnd w:id="204"/>
    </w:p>
    <w:p>
      <w:pPr>
        <w:rPr>
          <w:rFonts w:ascii="宋体" w:hAnsi="宋体"/>
          <w:sz w:val="24"/>
        </w:rPr>
      </w:pPr>
    </w:p>
    <w:p>
      <w:pPr>
        <w:jc w:val="center"/>
        <w:rPr>
          <w:rFonts w:ascii="黑体" w:hAnsi="宋体" w:eastAsia="黑体"/>
          <w:b/>
          <w:bCs/>
          <w:kern w:val="44"/>
          <w:sz w:val="28"/>
          <w:szCs w:val="28"/>
        </w:rPr>
      </w:pPr>
      <w:r>
        <w:rPr>
          <w:rFonts w:ascii="黑体" w:hAnsi="宋体" w:eastAsia="黑体"/>
          <w:b/>
          <w:bCs/>
          <w:kern w:val="44"/>
          <w:sz w:val="28"/>
          <w:szCs w:val="28"/>
        </w:rPr>
        <w:t>问题的澄清</w:t>
      </w:r>
    </w:p>
    <w:p>
      <w:pPr>
        <w:rPr>
          <w:rFonts w:ascii="宋体" w:hAnsi="宋体"/>
          <w:sz w:val="24"/>
        </w:rPr>
      </w:pPr>
    </w:p>
    <w:p>
      <w:pPr>
        <w:jc w:val="center"/>
        <w:rPr>
          <w:rFonts w:ascii="宋体" w:hAnsi="宋体"/>
          <w:sz w:val="24"/>
        </w:rPr>
      </w:pPr>
      <w:r>
        <w:rPr>
          <w:rFonts w:ascii="宋体" w:hAnsi="宋体"/>
          <w:sz w:val="24"/>
        </w:rPr>
        <w:t>编号：</w:t>
      </w:r>
    </w:p>
    <w:p>
      <w:pPr>
        <w:spacing w:line="400" w:lineRule="exact"/>
        <w:ind w:firstLine="480" w:firstLineChars="200"/>
        <w:rPr>
          <w:rFonts w:ascii="宋体" w:hAnsi="宋体"/>
          <w:sz w:val="24"/>
        </w:rPr>
      </w:pPr>
      <w:r>
        <w:rPr>
          <w:rFonts w:hint="eastAsia" w:ascii="宋体" w:hAnsi="宋体"/>
          <w:sz w:val="24"/>
          <w:u w:val="single"/>
        </w:rPr>
        <w:t xml:space="preserve">      </w:t>
      </w:r>
      <w:r>
        <w:rPr>
          <w:rFonts w:ascii="宋体" w:hAnsi="宋体"/>
          <w:sz w:val="24"/>
          <w:u w:val="single"/>
        </w:rPr>
        <w:t>（项目名称）</w:t>
      </w:r>
      <w:r>
        <w:rPr>
          <w:rFonts w:ascii="宋体" w:hAnsi="宋体"/>
          <w:sz w:val="24"/>
        </w:rPr>
        <w:t xml:space="preserve">施工招标评标委员会：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问题澄清通知（编号：</w:t>
      </w:r>
      <w:r>
        <w:rPr>
          <w:rFonts w:hint="eastAsia" w:ascii="宋体" w:hAnsi="宋体"/>
          <w:sz w:val="24"/>
          <w:u w:val="single"/>
        </w:rPr>
        <w:t xml:space="preserve">       </w:t>
      </w:r>
      <w:r>
        <w:rPr>
          <w:rFonts w:ascii="宋体" w:hAnsi="宋体"/>
          <w:sz w:val="24"/>
        </w:rPr>
        <w:t>）已收悉，现澄清如下：</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1.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2. </w:t>
      </w:r>
    </w:p>
    <w:p>
      <w:pPr>
        <w:rPr>
          <w:rFonts w:ascii="宋体" w:hAnsi="宋体"/>
          <w:sz w:val="24"/>
        </w:rPr>
      </w:pPr>
    </w:p>
    <w:p>
      <w:pPr>
        <w:rPr>
          <w:rFonts w:ascii="宋体" w:hAnsi="宋体"/>
          <w:sz w:val="24"/>
        </w:rPr>
      </w:pPr>
      <w:r>
        <w:rPr>
          <w:rFonts w:ascii="宋体" w:hAnsi="宋体"/>
          <w:sz w:val="24"/>
        </w:rPr>
        <w:t>.....</w:t>
      </w:r>
    </w:p>
    <w:p>
      <w:pPr>
        <w:pStyle w:val="2"/>
        <w:ind w:firstLine="210"/>
      </w:pPr>
    </w:p>
    <w:p>
      <w:pPr>
        <w:pStyle w:val="2"/>
        <w:ind w:firstLine="210"/>
      </w:pPr>
    </w:p>
    <w:p>
      <w:pPr>
        <w:pStyle w:val="2"/>
        <w:ind w:firstLine="210"/>
      </w:pPr>
    </w:p>
    <w:p>
      <w:pPr>
        <w:pStyle w:val="2"/>
        <w:ind w:firstLine="210"/>
      </w:pPr>
    </w:p>
    <w:p>
      <w:pPr>
        <w:spacing w:line="360" w:lineRule="auto"/>
        <w:jc w:val="center"/>
        <w:rPr>
          <w:rFonts w:ascii="宋体" w:hAnsi="宋体"/>
          <w:sz w:val="24"/>
        </w:rPr>
      </w:pPr>
      <w:r>
        <w:rPr>
          <w:rFonts w:ascii="宋体" w:hAnsi="宋体"/>
          <w:sz w:val="24"/>
        </w:rPr>
        <w:t>投标人：（盖单位章）</w:t>
      </w:r>
    </w:p>
    <w:p>
      <w:pPr>
        <w:spacing w:line="360" w:lineRule="auto"/>
        <w:jc w:val="center"/>
        <w:rPr>
          <w:rFonts w:ascii="宋体" w:hAnsi="宋体"/>
          <w:sz w:val="24"/>
        </w:rPr>
      </w:pPr>
      <w:r>
        <w:rPr>
          <w:rFonts w:ascii="宋体" w:hAnsi="宋体"/>
          <w:sz w:val="24"/>
        </w:rPr>
        <w:t>法定代表人或其委托代理人：（签字）</w:t>
      </w:r>
    </w:p>
    <w:p>
      <w:pPr>
        <w:spacing w:line="360" w:lineRule="auto"/>
        <w:jc w:val="center"/>
        <w:rPr>
          <w:rFonts w:ascii="宋体" w:hAnsi="宋体"/>
          <w:sz w:val="24"/>
        </w:rPr>
      </w:pP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日</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spacing w:line="312" w:lineRule="auto"/>
        <w:jc w:val="center"/>
        <w:outlineLvl w:val="0"/>
        <w:rPr>
          <w:rFonts w:ascii="黑体" w:hAnsi="宋体" w:eastAsia="黑体"/>
          <w:bCs/>
          <w:sz w:val="44"/>
          <w:szCs w:val="44"/>
        </w:rPr>
      </w:pPr>
      <w:r>
        <w:rPr>
          <w:rFonts w:hint="eastAsia" w:ascii="黑体" w:eastAsia="黑体"/>
          <w:bCs/>
          <w:sz w:val="44"/>
          <w:szCs w:val="44"/>
        </w:rPr>
        <w:t>第三章  评标办法</w:t>
      </w:r>
    </w:p>
    <w:p>
      <w:pPr>
        <w:jc w:val="center"/>
        <w:outlineLvl w:val="0"/>
        <w:rPr>
          <w:rFonts w:ascii="宋体" w:hAnsi="宋体"/>
          <w:sz w:val="44"/>
          <w:szCs w:val="44"/>
        </w:rPr>
      </w:pPr>
      <w:bookmarkStart w:id="205" w:name="_Toc28682"/>
      <w:r>
        <w:rPr>
          <w:rFonts w:hint="eastAsia" w:ascii="宋体" w:hAnsi="宋体"/>
          <w:sz w:val="44"/>
          <w:szCs w:val="44"/>
        </w:rPr>
        <w:t>评标办法(技术评分最低标价法)</w:t>
      </w:r>
      <w:bookmarkEnd w:id="205"/>
    </w:p>
    <w:p>
      <w:pPr>
        <w:rPr>
          <w:rFonts w:ascii="新宋体" w:hAnsi="新宋体" w:eastAsia="新宋体" w:cs="新宋体"/>
          <w:sz w:val="24"/>
        </w:rPr>
      </w:pPr>
    </w:p>
    <w:p>
      <w:pPr>
        <w:ind w:firstLine="480" w:firstLineChars="200"/>
        <w:rPr>
          <w:rFonts w:ascii="宋体" w:hAnsi="宋体"/>
          <w:sz w:val="30"/>
          <w:szCs w:val="30"/>
        </w:rPr>
      </w:pPr>
      <w:r>
        <w:rPr>
          <w:rFonts w:hint="eastAsia" w:ascii="新宋体" w:hAnsi="新宋体" w:eastAsia="新宋体" w:cs="新宋体"/>
          <w:sz w:val="24"/>
        </w:rPr>
        <w:t>评标依据公路工程建设项目招标投标管理办法（中华人民共和国交通运输部令2015年第24号）。评标应遵循公正、公平、择优的原则严格按照招标文件进行。</w:t>
      </w:r>
    </w:p>
    <w:p>
      <w:pPr>
        <w:jc w:val="center"/>
        <w:rPr>
          <w:rFonts w:ascii="宋体" w:hAnsi="宋体"/>
          <w:sz w:val="24"/>
        </w:rPr>
      </w:pPr>
    </w:p>
    <w:p>
      <w:pPr>
        <w:spacing w:line="360" w:lineRule="auto"/>
        <w:jc w:val="center"/>
        <w:rPr>
          <w:rFonts w:ascii="宋体" w:hAnsi="宋体"/>
          <w:sz w:val="24"/>
        </w:rPr>
      </w:pPr>
      <w:r>
        <w:rPr>
          <w:rFonts w:hint="eastAsia" w:ascii="宋体" w:hAnsi="宋体"/>
          <w:sz w:val="24"/>
        </w:rPr>
        <w:t>评标办法前附表</w:t>
      </w:r>
    </w:p>
    <w:tbl>
      <w:tblPr>
        <w:tblStyle w:val="16"/>
        <w:tblW w:w="98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9"/>
        <w:gridCol w:w="1214"/>
        <w:gridCol w:w="7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1219" w:type="dxa"/>
            <w:tcBorders>
              <w:right w:val="single" w:color="auto" w:sz="4" w:space="0"/>
            </w:tcBorders>
            <w:vAlign w:val="center"/>
          </w:tcPr>
          <w:p>
            <w:pPr>
              <w:rPr>
                <w:rFonts w:ascii="宋体" w:hAnsi="宋体"/>
                <w:b/>
                <w:szCs w:val="21"/>
              </w:rPr>
            </w:pPr>
            <w:r>
              <w:rPr>
                <w:rFonts w:hint="eastAsia" w:ascii="宋体" w:hAnsi="宋体"/>
                <w:b/>
                <w:szCs w:val="21"/>
              </w:rPr>
              <w:t>条款号</w:t>
            </w:r>
          </w:p>
        </w:tc>
        <w:tc>
          <w:tcPr>
            <w:tcW w:w="1214" w:type="dxa"/>
            <w:tcBorders>
              <w:left w:val="single" w:color="auto" w:sz="4" w:space="0"/>
            </w:tcBorders>
            <w:vAlign w:val="center"/>
          </w:tcPr>
          <w:p>
            <w:pPr>
              <w:rPr>
                <w:rFonts w:ascii="宋体" w:hAnsi="宋体"/>
                <w:b/>
                <w:szCs w:val="21"/>
              </w:rPr>
            </w:pPr>
            <w:r>
              <w:rPr>
                <w:rFonts w:hint="eastAsia" w:ascii="宋体" w:hAnsi="宋体"/>
                <w:b/>
                <w:szCs w:val="21"/>
              </w:rPr>
              <w:t>条款内容</w:t>
            </w:r>
          </w:p>
        </w:tc>
        <w:tc>
          <w:tcPr>
            <w:tcW w:w="7380" w:type="dxa"/>
            <w:vAlign w:val="center"/>
          </w:tcPr>
          <w:p>
            <w:pPr>
              <w:rPr>
                <w:rFonts w:ascii="宋体" w:hAnsi="宋体"/>
                <w:b/>
                <w:szCs w:val="21"/>
              </w:rPr>
            </w:pPr>
            <w:r>
              <w:rPr>
                <w:rFonts w:hint="eastAsia" w:ascii="宋体" w:hAnsi="宋体"/>
                <w:b/>
                <w:szCs w:val="21"/>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8"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2.1.1</w:t>
            </w:r>
          </w:p>
          <w:p>
            <w:pPr>
              <w:jc w:val="center"/>
              <w:rPr>
                <w:rFonts w:ascii="宋体" w:hAnsi="宋体"/>
                <w:szCs w:val="21"/>
              </w:rPr>
            </w:pPr>
            <w:r>
              <w:rPr>
                <w:rFonts w:hint="eastAsia" w:ascii="宋体" w:hAnsi="宋体"/>
                <w:szCs w:val="21"/>
              </w:rPr>
              <w:t>2.1.3</w:t>
            </w:r>
          </w:p>
        </w:tc>
        <w:tc>
          <w:tcPr>
            <w:tcW w:w="1214" w:type="dxa"/>
            <w:tcBorders>
              <w:top w:val="single" w:color="auto" w:sz="4" w:space="0"/>
              <w:bottom w:val="single" w:color="auto" w:sz="4" w:space="0"/>
            </w:tcBorders>
            <w:vAlign w:val="center"/>
          </w:tcPr>
          <w:p>
            <w:pPr>
              <w:rPr>
                <w:rFonts w:ascii="宋体" w:hAnsi="宋体"/>
                <w:szCs w:val="21"/>
              </w:rPr>
            </w:pPr>
            <w:r>
              <w:rPr>
                <w:rFonts w:hint="eastAsia" w:ascii="宋体" w:hAnsi="宋体"/>
                <w:szCs w:val="21"/>
              </w:rPr>
              <w:t>形式评审与</w:t>
            </w:r>
          </w:p>
          <w:p>
            <w:pPr>
              <w:rPr>
                <w:rFonts w:ascii="宋体" w:hAnsi="宋体"/>
                <w:szCs w:val="21"/>
              </w:rPr>
            </w:pPr>
            <w:r>
              <w:rPr>
                <w:rFonts w:hint="eastAsia" w:ascii="宋体" w:hAnsi="宋体"/>
                <w:szCs w:val="21"/>
              </w:rPr>
              <w:t>响应性评审</w:t>
            </w:r>
          </w:p>
          <w:p>
            <w:pPr>
              <w:rPr>
                <w:rFonts w:ascii="宋体" w:hAnsi="宋体"/>
                <w:szCs w:val="21"/>
              </w:rPr>
            </w:pPr>
            <w:r>
              <w:rPr>
                <w:rFonts w:hint="eastAsia" w:ascii="宋体" w:hAnsi="宋体"/>
                <w:szCs w:val="21"/>
              </w:rPr>
              <w:t>标准</w:t>
            </w:r>
          </w:p>
        </w:tc>
        <w:tc>
          <w:tcPr>
            <w:tcW w:w="7380" w:type="dxa"/>
            <w:tcBorders>
              <w:top w:val="single" w:color="auto" w:sz="4" w:space="0"/>
              <w:bottom w:val="single" w:color="auto" w:sz="4" w:space="0"/>
            </w:tcBorders>
            <w:vAlign w:val="center"/>
          </w:tcPr>
          <w:p>
            <w:pPr>
              <w:spacing w:line="400" w:lineRule="exact"/>
              <w:jc w:val="left"/>
              <w:rPr>
                <w:rFonts w:ascii="宋体" w:hAnsi="宋体"/>
                <w:b/>
                <w:szCs w:val="21"/>
              </w:rPr>
            </w:pPr>
            <w:r>
              <w:rPr>
                <w:rFonts w:hint="eastAsia" w:ascii="宋体" w:hAnsi="宋体"/>
                <w:b/>
                <w:szCs w:val="21"/>
              </w:rPr>
              <w:t>第一个信封（商务及技术文件）评审标准：</w:t>
            </w:r>
          </w:p>
          <w:p>
            <w:pPr>
              <w:spacing w:line="400" w:lineRule="exact"/>
              <w:ind w:firstLine="420" w:firstLineChars="200"/>
              <w:jc w:val="left"/>
              <w:rPr>
                <w:rFonts w:ascii="宋体" w:hAnsi="宋体"/>
                <w:szCs w:val="21"/>
              </w:rPr>
            </w:pPr>
            <w:r>
              <w:rPr>
                <w:rFonts w:hint="eastAsia" w:ascii="宋体" w:hAnsi="宋体"/>
                <w:szCs w:val="21"/>
              </w:rPr>
              <w:t>(1)投标文件按照招标文件规定的格式、内容填写，字迹清晰可辨：</w:t>
            </w:r>
          </w:p>
          <w:p>
            <w:pPr>
              <w:spacing w:line="400" w:lineRule="exact"/>
              <w:ind w:firstLine="420" w:firstLineChars="200"/>
              <w:jc w:val="left"/>
              <w:rPr>
                <w:rFonts w:ascii="宋体" w:hAnsi="宋体"/>
                <w:szCs w:val="21"/>
              </w:rPr>
            </w:pPr>
            <w:r>
              <w:rPr>
                <w:rFonts w:hint="eastAsia" w:ascii="宋体" w:hAnsi="宋体"/>
                <w:szCs w:val="21"/>
              </w:rPr>
              <w:t>a.投标函按招标文件规定填报了工期、工程质</w:t>
            </w:r>
            <w:r>
              <w:rPr>
                <w:rFonts w:hint="eastAsia" w:ascii="宋体" w:hAnsi="宋体"/>
                <w:szCs w:val="21"/>
                <w:highlight w:val="none"/>
              </w:rPr>
              <w:t>量目标及安全目标</w:t>
            </w:r>
            <w:r>
              <w:rPr>
                <w:rFonts w:hint="eastAsia" w:ascii="宋体" w:hAnsi="宋体"/>
                <w:szCs w:val="21"/>
              </w:rPr>
              <w:t>；</w:t>
            </w:r>
          </w:p>
          <w:p>
            <w:pPr>
              <w:spacing w:line="400" w:lineRule="exact"/>
              <w:ind w:firstLine="420" w:firstLineChars="200"/>
              <w:jc w:val="left"/>
              <w:rPr>
                <w:rFonts w:ascii="宋体" w:hAnsi="宋体"/>
                <w:szCs w:val="21"/>
              </w:rPr>
            </w:pPr>
            <w:r>
              <w:rPr>
                <w:rFonts w:hint="eastAsia" w:ascii="宋体" w:hAnsi="宋体"/>
                <w:szCs w:val="21"/>
              </w:rPr>
              <w:t>b.投标函附录的所有数据均符合招标文件规定；</w:t>
            </w:r>
          </w:p>
          <w:p>
            <w:pPr>
              <w:spacing w:line="400" w:lineRule="exact"/>
              <w:ind w:firstLine="420" w:firstLineChars="200"/>
              <w:jc w:val="left"/>
              <w:rPr>
                <w:rFonts w:ascii="宋体" w:hAnsi="宋体"/>
                <w:szCs w:val="21"/>
              </w:rPr>
            </w:pPr>
            <w:r>
              <w:rPr>
                <w:rFonts w:hint="eastAsia" w:ascii="宋体" w:hAnsi="宋体"/>
                <w:szCs w:val="21"/>
              </w:rPr>
              <w:t>c.承诺函文字与招标文件规定一致，未进行修改和删减；</w:t>
            </w:r>
          </w:p>
          <w:p>
            <w:pPr>
              <w:spacing w:line="400" w:lineRule="exact"/>
              <w:ind w:firstLine="420" w:firstLineChars="200"/>
              <w:jc w:val="left"/>
              <w:rPr>
                <w:rFonts w:ascii="宋体" w:hAnsi="宋体"/>
                <w:szCs w:val="21"/>
              </w:rPr>
            </w:pPr>
            <w:r>
              <w:rPr>
                <w:rFonts w:hint="eastAsia" w:ascii="宋体" w:hAnsi="宋体"/>
                <w:szCs w:val="21"/>
              </w:rPr>
              <w:t>d.按照招标文件规定的格式、内容编制了施工组织设计及项目管理机构相关图表；</w:t>
            </w:r>
          </w:p>
          <w:p>
            <w:pPr>
              <w:spacing w:line="400" w:lineRule="exact"/>
              <w:ind w:firstLine="420" w:firstLineChars="200"/>
              <w:jc w:val="left"/>
              <w:rPr>
                <w:rFonts w:ascii="宋体" w:hAnsi="宋体"/>
                <w:szCs w:val="21"/>
              </w:rPr>
            </w:pPr>
            <w:r>
              <w:rPr>
                <w:rFonts w:hint="eastAsia" w:ascii="宋体" w:hAnsi="宋体"/>
                <w:szCs w:val="21"/>
              </w:rPr>
              <w:t>e.投标文件组成齐全完整，内容均按规定填写。</w:t>
            </w:r>
          </w:p>
          <w:p>
            <w:pPr>
              <w:spacing w:line="400" w:lineRule="exact"/>
              <w:ind w:firstLine="420" w:firstLineChars="200"/>
              <w:jc w:val="left"/>
              <w:rPr>
                <w:rFonts w:ascii="宋体" w:hAnsi="宋体"/>
                <w:szCs w:val="21"/>
              </w:rPr>
            </w:pPr>
            <w:r>
              <w:rPr>
                <w:rFonts w:hint="eastAsia" w:ascii="宋体" w:hAnsi="宋体"/>
                <w:szCs w:val="21"/>
              </w:rPr>
              <w:t>(2) 投标文件上法定代表人或其授权代理人的签字、投标人的单位章盖章齐全，符合招标文件规定。</w:t>
            </w:r>
          </w:p>
          <w:p>
            <w:pPr>
              <w:spacing w:line="400" w:lineRule="exact"/>
              <w:ind w:firstLine="420" w:firstLineChars="200"/>
              <w:jc w:val="left"/>
              <w:rPr>
                <w:rFonts w:ascii="宋体" w:hAnsi="宋体"/>
                <w:szCs w:val="21"/>
              </w:rPr>
            </w:pPr>
            <w:r>
              <w:rPr>
                <w:rFonts w:hint="eastAsia" w:ascii="宋体" w:hAnsi="宋体"/>
                <w:szCs w:val="21"/>
              </w:rPr>
              <w:t>(3) 投标人按照招标文件的规定提供了投标保证金</w:t>
            </w:r>
          </w:p>
          <w:p>
            <w:pPr>
              <w:spacing w:line="400" w:lineRule="exact"/>
              <w:ind w:firstLine="420" w:firstLineChars="200"/>
              <w:jc w:val="left"/>
              <w:rPr>
                <w:rFonts w:ascii="宋体" w:hAnsi="宋体"/>
                <w:szCs w:val="21"/>
              </w:rPr>
            </w:pPr>
            <w:r>
              <w:rPr>
                <w:rFonts w:hint="eastAsia" w:ascii="宋体" w:hAnsi="宋体"/>
                <w:szCs w:val="21"/>
              </w:rPr>
              <w:t>(4)投标文件上法定代表人或其授权代理人的签字、投标人的单位章盖章齐全，符合招标文件规定：</w:t>
            </w:r>
          </w:p>
          <w:p>
            <w:pPr>
              <w:spacing w:line="400" w:lineRule="exact"/>
              <w:ind w:firstLine="420" w:firstLineChars="200"/>
              <w:jc w:val="left"/>
              <w:rPr>
                <w:rFonts w:ascii="宋体" w:hAnsi="宋体"/>
                <w:szCs w:val="21"/>
              </w:rPr>
            </w:pPr>
            <w:r>
              <w:rPr>
                <w:rFonts w:hint="eastAsia" w:ascii="宋体" w:hAnsi="宋体"/>
                <w:szCs w:val="21"/>
              </w:rPr>
              <w:t>(5)投标文件中未出现有关投标报价的内容。</w:t>
            </w:r>
          </w:p>
          <w:p>
            <w:pPr>
              <w:spacing w:line="400" w:lineRule="exact"/>
              <w:ind w:firstLine="420" w:firstLineChars="200"/>
              <w:jc w:val="left"/>
              <w:rPr>
                <w:rFonts w:ascii="宋体" w:hAnsi="宋体"/>
                <w:szCs w:val="21"/>
              </w:rPr>
            </w:pPr>
            <w:r>
              <w:rPr>
                <w:rFonts w:hint="eastAsia" w:ascii="宋体" w:hAnsi="宋体"/>
                <w:szCs w:val="21"/>
              </w:rPr>
              <w:t>(6)投标文件载明的招标项目完成期限未超过招标文件规定的时限。</w:t>
            </w:r>
          </w:p>
          <w:p>
            <w:pPr>
              <w:spacing w:line="400" w:lineRule="exact"/>
              <w:ind w:firstLine="420" w:firstLineChars="200"/>
              <w:jc w:val="left"/>
              <w:rPr>
                <w:rFonts w:ascii="宋体" w:hAnsi="宋体"/>
                <w:szCs w:val="21"/>
              </w:rPr>
            </w:pPr>
            <w:r>
              <w:rPr>
                <w:rFonts w:hint="eastAsia" w:ascii="宋体" w:hAnsi="宋体"/>
                <w:szCs w:val="21"/>
              </w:rPr>
              <w:t>(7)投标文件对招标文件的实质性要求和条件作出响应。</w:t>
            </w:r>
          </w:p>
          <w:p>
            <w:pPr>
              <w:spacing w:line="400" w:lineRule="exact"/>
              <w:ind w:firstLine="420" w:firstLineChars="200"/>
              <w:jc w:val="left"/>
              <w:rPr>
                <w:rFonts w:ascii="宋体" w:hAnsi="宋体"/>
                <w:szCs w:val="21"/>
              </w:rPr>
            </w:pPr>
            <w:r>
              <w:rPr>
                <w:rFonts w:hint="eastAsia" w:ascii="宋体" w:hAnsi="宋体"/>
                <w:szCs w:val="21"/>
              </w:rPr>
              <w:t>(8)权利义务符合招标文件规定：</w:t>
            </w:r>
          </w:p>
          <w:p>
            <w:pPr>
              <w:spacing w:line="400" w:lineRule="exact"/>
              <w:ind w:firstLine="420" w:firstLineChars="200"/>
              <w:jc w:val="left"/>
              <w:rPr>
                <w:rFonts w:ascii="宋体" w:hAnsi="宋体"/>
                <w:szCs w:val="21"/>
              </w:rPr>
            </w:pPr>
            <w:r>
              <w:rPr>
                <w:rFonts w:hint="eastAsia" w:ascii="宋体" w:hAnsi="宋体"/>
                <w:szCs w:val="21"/>
              </w:rPr>
              <w:t>a.投标人应接受招标文件规定的风险划分原则，未提出新的风险划分办法；</w:t>
            </w:r>
          </w:p>
          <w:p>
            <w:pPr>
              <w:spacing w:line="400" w:lineRule="exact"/>
              <w:ind w:firstLine="420" w:firstLineChars="200"/>
              <w:jc w:val="left"/>
              <w:rPr>
                <w:rFonts w:ascii="宋体" w:hAnsi="宋体"/>
                <w:szCs w:val="21"/>
              </w:rPr>
            </w:pPr>
            <w:r>
              <w:rPr>
                <w:rFonts w:hint="eastAsia" w:ascii="宋体" w:hAnsi="宋体"/>
                <w:szCs w:val="21"/>
              </w:rPr>
              <w:t>b.投标人未增加发包人的责任范围，或减少投标人义务；</w:t>
            </w:r>
          </w:p>
          <w:p>
            <w:pPr>
              <w:spacing w:line="400" w:lineRule="exact"/>
              <w:ind w:firstLine="420" w:firstLineChars="200"/>
              <w:jc w:val="left"/>
              <w:rPr>
                <w:rFonts w:ascii="宋体" w:hAnsi="宋体"/>
                <w:szCs w:val="21"/>
              </w:rPr>
            </w:pPr>
            <w:r>
              <w:rPr>
                <w:rFonts w:hint="eastAsia" w:ascii="宋体" w:hAnsi="宋体"/>
                <w:szCs w:val="21"/>
              </w:rPr>
              <w:t>c.投标人未提出不同的工程验收、计量、支付办法；</w:t>
            </w:r>
          </w:p>
          <w:p>
            <w:pPr>
              <w:spacing w:line="400" w:lineRule="exact"/>
              <w:ind w:firstLine="420" w:firstLineChars="200"/>
              <w:jc w:val="left"/>
              <w:rPr>
                <w:rFonts w:ascii="宋体" w:hAnsi="宋体"/>
                <w:szCs w:val="21"/>
              </w:rPr>
            </w:pPr>
            <w:r>
              <w:rPr>
                <w:rFonts w:hint="eastAsia" w:ascii="宋体" w:hAnsi="宋体"/>
                <w:szCs w:val="21"/>
              </w:rPr>
              <w:t>d.投标人对合同纠纷、事故处理办法未提出异议；</w:t>
            </w:r>
          </w:p>
          <w:p>
            <w:pPr>
              <w:spacing w:line="400" w:lineRule="exact"/>
              <w:ind w:firstLine="420" w:firstLineChars="200"/>
              <w:jc w:val="left"/>
              <w:rPr>
                <w:rFonts w:ascii="宋体" w:hAnsi="宋体"/>
                <w:szCs w:val="21"/>
              </w:rPr>
            </w:pPr>
            <w:r>
              <w:rPr>
                <w:rFonts w:hint="eastAsia" w:ascii="宋体" w:hAnsi="宋体"/>
                <w:szCs w:val="21"/>
              </w:rPr>
              <w:t>e.投标人在投标活动中无欺诈行为；</w:t>
            </w:r>
          </w:p>
          <w:p>
            <w:pPr>
              <w:spacing w:line="400" w:lineRule="exact"/>
              <w:ind w:firstLine="420" w:firstLineChars="200"/>
              <w:jc w:val="left"/>
              <w:rPr>
                <w:rFonts w:ascii="宋体" w:hAnsi="宋体"/>
                <w:szCs w:val="21"/>
              </w:rPr>
            </w:pPr>
            <w:r>
              <w:rPr>
                <w:rFonts w:hint="eastAsia" w:ascii="宋体" w:hAnsi="宋体"/>
                <w:szCs w:val="21"/>
              </w:rPr>
              <w:t>f.投标人未对合同条款有重要保留。</w:t>
            </w:r>
          </w:p>
          <w:p>
            <w:pPr>
              <w:spacing w:line="400" w:lineRule="exact"/>
              <w:ind w:firstLine="420" w:firstLineChars="200"/>
              <w:jc w:val="left"/>
              <w:rPr>
                <w:rFonts w:ascii="宋体" w:hAnsi="宋体"/>
                <w:szCs w:val="21"/>
              </w:rPr>
            </w:pPr>
            <w:r>
              <w:rPr>
                <w:rFonts w:hint="eastAsia" w:ascii="宋体" w:hAnsi="宋体"/>
                <w:szCs w:val="21"/>
              </w:rPr>
              <w:t>(9)投标文件正、副本份数符合招标文件第二章“投标人须知”第3.7.4 项规定。</w:t>
            </w:r>
          </w:p>
          <w:p>
            <w:pPr>
              <w:spacing w:line="400" w:lineRule="exact"/>
              <w:jc w:val="left"/>
              <w:rPr>
                <w:rFonts w:ascii="宋体" w:hAnsi="宋体"/>
                <w:b/>
                <w:szCs w:val="21"/>
              </w:rPr>
            </w:pPr>
            <w:r>
              <w:rPr>
                <w:rFonts w:hint="eastAsia" w:ascii="宋体" w:hAnsi="宋体"/>
                <w:b/>
                <w:szCs w:val="21"/>
              </w:rPr>
              <w:t>第二个信封（报价文件）评审标准：</w:t>
            </w:r>
          </w:p>
          <w:p>
            <w:pPr>
              <w:spacing w:line="400" w:lineRule="exact"/>
              <w:ind w:firstLine="420" w:firstLineChars="200"/>
              <w:jc w:val="left"/>
              <w:rPr>
                <w:rFonts w:ascii="宋体" w:hAnsi="宋体"/>
                <w:szCs w:val="21"/>
              </w:rPr>
            </w:pPr>
            <w:r>
              <w:rPr>
                <w:rFonts w:hint="eastAsia" w:ascii="宋体" w:hAnsi="宋体"/>
                <w:szCs w:val="21"/>
              </w:rPr>
              <w:t>(1)投标文件按照招标文件规定的格式、内容填写，字迹清晰可辨，内容齐全完整：</w:t>
            </w:r>
          </w:p>
          <w:p>
            <w:pPr>
              <w:spacing w:line="400" w:lineRule="exact"/>
              <w:ind w:firstLine="420" w:firstLineChars="200"/>
              <w:jc w:val="left"/>
              <w:rPr>
                <w:rFonts w:ascii="宋体" w:hAnsi="宋体"/>
                <w:szCs w:val="21"/>
              </w:rPr>
            </w:pPr>
            <w:r>
              <w:rPr>
                <w:rFonts w:hint="eastAsia" w:ascii="宋体" w:hAnsi="宋体"/>
                <w:szCs w:val="21"/>
              </w:rPr>
              <w:t>a.投标函按招标文件规定填报了投标价（包括大写金额和小写金额），且投标价未超过招标文件设定的最高投标限价（如有）；</w:t>
            </w:r>
          </w:p>
          <w:p>
            <w:pPr>
              <w:spacing w:line="400" w:lineRule="exact"/>
              <w:ind w:firstLine="420" w:firstLineChars="200"/>
              <w:jc w:val="left"/>
              <w:rPr>
                <w:rFonts w:ascii="宋体" w:hAnsi="宋体"/>
                <w:szCs w:val="21"/>
              </w:rPr>
            </w:pPr>
            <w:r>
              <w:rPr>
                <w:rFonts w:hint="eastAsia" w:ascii="宋体" w:hAnsi="宋体"/>
                <w:szCs w:val="21"/>
              </w:rPr>
              <w:t>b.已标价工程量清单说明文字与招标文件规定一致，未进行修改和删减。</w:t>
            </w:r>
          </w:p>
          <w:p>
            <w:pPr>
              <w:spacing w:line="400" w:lineRule="exact"/>
              <w:ind w:firstLine="420" w:firstLineChars="200"/>
              <w:jc w:val="left"/>
              <w:rPr>
                <w:rFonts w:ascii="宋体" w:hAnsi="宋体"/>
                <w:szCs w:val="21"/>
              </w:rPr>
            </w:pPr>
            <w:r>
              <w:rPr>
                <w:rFonts w:hint="eastAsia" w:ascii="宋体" w:hAnsi="宋体"/>
                <w:szCs w:val="21"/>
              </w:rPr>
              <w:t>(2)投标文件上法定代表人或其授权代理人的签字、投标人的单位章盖章齐全，符合招标文件规定。</w:t>
            </w:r>
          </w:p>
          <w:p>
            <w:pPr>
              <w:spacing w:line="400" w:lineRule="exact"/>
              <w:ind w:firstLine="420" w:firstLineChars="200"/>
              <w:jc w:val="left"/>
              <w:rPr>
                <w:rFonts w:ascii="宋体" w:hAnsi="宋体"/>
                <w:szCs w:val="21"/>
              </w:rPr>
            </w:pPr>
            <w:r>
              <w:rPr>
                <w:rFonts w:hint="eastAsia" w:ascii="宋体" w:hAnsi="宋体"/>
                <w:szCs w:val="21"/>
              </w:rPr>
              <w:t>(3)同一投标人未提交两个以上不同的投标报价，但招标文件要求提交备选投标的除外。</w:t>
            </w:r>
          </w:p>
          <w:p>
            <w:pPr>
              <w:spacing w:line="400" w:lineRule="exact"/>
              <w:ind w:firstLine="420" w:firstLineChars="200"/>
              <w:jc w:val="left"/>
              <w:rPr>
                <w:rFonts w:ascii="宋体" w:hAnsi="宋体"/>
                <w:szCs w:val="21"/>
              </w:rPr>
            </w:pPr>
            <w:r>
              <w:rPr>
                <w:rFonts w:hint="eastAsia" w:ascii="宋体" w:hAnsi="宋体"/>
                <w:szCs w:val="21"/>
              </w:rPr>
              <w:t>(4)投标人若填写工程量固化清单，填写完毕的工程量固化清单未对工程量固化清单电子文件中的数据、格式和运算定义进行修改。</w:t>
            </w:r>
          </w:p>
          <w:p>
            <w:pPr>
              <w:spacing w:line="400" w:lineRule="exact"/>
              <w:ind w:firstLine="420" w:firstLineChars="200"/>
              <w:jc w:val="left"/>
              <w:rPr>
                <w:rFonts w:ascii="宋体" w:hAnsi="宋体"/>
                <w:b/>
                <w:szCs w:val="21"/>
              </w:rPr>
            </w:pPr>
            <w:r>
              <w:rPr>
                <w:rFonts w:hint="eastAsia" w:ascii="宋体" w:hAnsi="宋体"/>
                <w:szCs w:val="21"/>
              </w:rPr>
              <w:t>(5)投标文件正、副本份数符合招标文件第二章“投标人须知”第3.7.4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8" w:hRule="atLeast"/>
          <w:jc w:val="center"/>
        </w:trPr>
        <w:tc>
          <w:tcPr>
            <w:tcW w:w="1219" w:type="dxa"/>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2.1.2</w:t>
            </w:r>
          </w:p>
        </w:tc>
        <w:tc>
          <w:tcPr>
            <w:tcW w:w="1214" w:type="dxa"/>
            <w:tcBorders>
              <w:left w:val="single" w:color="auto" w:sz="4" w:space="0"/>
              <w:bottom w:val="single" w:color="auto" w:sz="4" w:space="0"/>
            </w:tcBorders>
            <w:vAlign w:val="center"/>
          </w:tcPr>
          <w:p>
            <w:pPr>
              <w:rPr>
                <w:rFonts w:ascii="宋体" w:hAnsi="宋体"/>
                <w:szCs w:val="21"/>
              </w:rPr>
            </w:pPr>
            <w:r>
              <w:rPr>
                <w:rFonts w:hint="eastAsia" w:ascii="宋体" w:hAnsi="宋体"/>
                <w:szCs w:val="21"/>
              </w:rPr>
              <w:t>资格评审标准</w:t>
            </w:r>
          </w:p>
        </w:tc>
        <w:tc>
          <w:tcPr>
            <w:tcW w:w="7380" w:type="dxa"/>
            <w:tcBorders>
              <w:bottom w:val="single" w:color="auto" w:sz="4" w:space="0"/>
            </w:tcBorders>
            <w:vAlign w:val="center"/>
          </w:tcPr>
          <w:p>
            <w:pPr>
              <w:spacing w:line="400" w:lineRule="exact"/>
              <w:ind w:firstLine="420" w:firstLineChars="200"/>
              <w:rPr>
                <w:rFonts w:ascii="宋体" w:hAnsi="宋体"/>
                <w:szCs w:val="21"/>
              </w:rPr>
            </w:pPr>
            <w:r>
              <w:rPr>
                <w:rFonts w:hint="eastAsia" w:ascii="宋体" w:hAnsi="宋体"/>
                <w:szCs w:val="21"/>
              </w:rPr>
              <w:t>(1)投标人具备有效的营业执照、资质证书和安全生产许可证和基本账户开户许可证；</w:t>
            </w:r>
          </w:p>
          <w:p>
            <w:pPr>
              <w:spacing w:line="400" w:lineRule="exact"/>
              <w:ind w:firstLine="420" w:firstLineChars="200"/>
              <w:rPr>
                <w:rFonts w:ascii="宋体" w:hAnsi="宋体"/>
                <w:szCs w:val="21"/>
              </w:rPr>
            </w:pPr>
            <w:r>
              <w:rPr>
                <w:rFonts w:hint="eastAsia" w:ascii="宋体" w:hAnsi="宋体"/>
                <w:szCs w:val="21"/>
              </w:rPr>
              <w:t>(2)投标人的资质等级符合招标文件规定；</w:t>
            </w:r>
          </w:p>
          <w:p>
            <w:pPr>
              <w:spacing w:line="400" w:lineRule="exact"/>
              <w:ind w:firstLine="420" w:firstLineChars="200"/>
              <w:rPr>
                <w:rFonts w:ascii="宋体" w:hAnsi="宋体"/>
                <w:szCs w:val="21"/>
              </w:rPr>
            </w:pPr>
            <w:r>
              <w:rPr>
                <w:rFonts w:hint="eastAsia" w:ascii="宋体" w:hAnsi="宋体"/>
                <w:szCs w:val="21"/>
              </w:rPr>
              <w:t>(3)投标人的财务状况符合招标文件规定；</w:t>
            </w:r>
          </w:p>
          <w:p>
            <w:pPr>
              <w:spacing w:line="400" w:lineRule="exact"/>
              <w:ind w:firstLine="420" w:firstLineChars="200"/>
              <w:rPr>
                <w:rFonts w:ascii="宋体" w:hAnsi="宋体"/>
                <w:szCs w:val="21"/>
              </w:rPr>
            </w:pPr>
            <w:r>
              <w:rPr>
                <w:rFonts w:hint="eastAsia" w:ascii="宋体" w:hAnsi="宋体"/>
                <w:szCs w:val="21"/>
              </w:rPr>
              <w:t>(4)投标人的类似项目业绩符合招标文件规定；</w:t>
            </w:r>
          </w:p>
          <w:p>
            <w:pPr>
              <w:spacing w:line="400" w:lineRule="exact"/>
              <w:ind w:firstLine="420" w:firstLineChars="200"/>
              <w:rPr>
                <w:rFonts w:ascii="宋体" w:hAnsi="宋体"/>
                <w:szCs w:val="21"/>
              </w:rPr>
            </w:pPr>
            <w:r>
              <w:rPr>
                <w:rFonts w:hint="eastAsia" w:ascii="宋体" w:hAnsi="宋体"/>
                <w:szCs w:val="21"/>
              </w:rPr>
              <w:t>(5)投标人的信誉符合招标文件规定；</w:t>
            </w:r>
          </w:p>
          <w:p>
            <w:pPr>
              <w:spacing w:line="400" w:lineRule="exact"/>
              <w:ind w:firstLine="420" w:firstLineChars="200"/>
              <w:rPr>
                <w:rFonts w:ascii="宋体" w:hAnsi="宋体"/>
                <w:szCs w:val="21"/>
              </w:rPr>
            </w:pPr>
            <w:r>
              <w:rPr>
                <w:rFonts w:hint="eastAsia" w:ascii="宋体" w:hAnsi="宋体"/>
                <w:szCs w:val="21"/>
              </w:rPr>
              <w:t>(6)投标人的项目经理资格符合招标文件规定；</w:t>
            </w:r>
          </w:p>
          <w:p>
            <w:pPr>
              <w:spacing w:line="400" w:lineRule="exact"/>
              <w:ind w:firstLine="420" w:firstLineChars="200"/>
              <w:rPr>
                <w:rFonts w:ascii="宋体" w:hAnsi="宋体"/>
                <w:szCs w:val="21"/>
              </w:rPr>
            </w:pPr>
            <w:r>
              <w:rPr>
                <w:rFonts w:hint="eastAsia" w:ascii="宋体" w:hAnsi="宋体"/>
                <w:szCs w:val="21"/>
              </w:rPr>
              <w:t>(7)投标人的其他要求符合招标文件规定；</w:t>
            </w:r>
          </w:p>
          <w:p>
            <w:pPr>
              <w:spacing w:line="400" w:lineRule="exact"/>
              <w:ind w:firstLine="420" w:firstLineChars="200"/>
              <w:rPr>
                <w:rFonts w:ascii="宋体" w:hAnsi="宋体"/>
                <w:szCs w:val="21"/>
              </w:rPr>
            </w:pPr>
            <w:r>
              <w:rPr>
                <w:rFonts w:hint="eastAsia" w:ascii="宋体" w:hAnsi="宋体"/>
                <w:szCs w:val="21"/>
              </w:rPr>
              <w:t>(8)投标人不存在第二章“投标人须知”第1.4.3项规定的任何一种情形；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7"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2.2.1</w:t>
            </w:r>
          </w:p>
        </w:tc>
        <w:tc>
          <w:tcPr>
            <w:tcW w:w="1214" w:type="dxa"/>
            <w:tcBorders>
              <w:top w:val="single" w:color="auto" w:sz="4" w:space="0"/>
              <w:bottom w:val="single" w:color="auto" w:sz="4" w:space="0"/>
            </w:tcBorders>
            <w:vAlign w:val="center"/>
          </w:tcPr>
          <w:p>
            <w:pPr>
              <w:rPr>
                <w:rFonts w:ascii="宋体" w:hAnsi="宋体"/>
                <w:szCs w:val="21"/>
              </w:rPr>
            </w:pPr>
            <w:r>
              <w:rPr>
                <w:rFonts w:hint="eastAsia" w:ascii="宋体" w:hAnsi="宋体"/>
                <w:szCs w:val="21"/>
              </w:rPr>
              <w:t>第一个信封</w:t>
            </w:r>
          </w:p>
          <w:p>
            <w:pPr>
              <w:rPr>
                <w:rFonts w:ascii="宋体" w:hAnsi="宋体"/>
                <w:szCs w:val="21"/>
              </w:rPr>
            </w:pPr>
            <w:r>
              <w:rPr>
                <w:rFonts w:hint="eastAsia" w:ascii="宋体" w:hAnsi="宋体"/>
                <w:szCs w:val="21"/>
              </w:rPr>
              <w:t>评分分值构成(总分100分)</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ascii="宋体" w:hAnsi="宋体"/>
                <w:szCs w:val="21"/>
              </w:rPr>
            </w:pPr>
            <w:r>
              <w:rPr>
                <w:rFonts w:hint="eastAsia" w:ascii="宋体" w:hAnsi="宋体"/>
                <w:szCs w:val="21"/>
              </w:rPr>
              <w:t>施工组织设计40分</w:t>
            </w:r>
          </w:p>
          <w:p>
            <w:pPr>
              <w:spacing w:line="400" w:lineRule="exact"/>
              <w:ind w:firstLine="420" w:firstLineChars="200"/>
              <w:jc w:val="left"/>
              <w:rPr>
                <w:rFonts w:ascii="宋体" w:hAnsi="宋体"/>
                <w:szCs w:val="21"/>
              </w:rPr>
            </w:pPr>
            <w:r>
              <w:rPr>
                <w:rFonts w:hint="eastAsia" w:ascii="宋体" w:hAnsi="宋体"/>
                <w:szCs w:val="21"/>
              </w:rPr>
              <w:t>项目管理机构20分</w:t>
            </w:r>
          </w:p>
          <w:p>
            <w:pPr>
              <w:spacing w:line="400" w:lineRule="exact"/>
              <w:ind w:firstLine="420" w:firstLineChars="200"/>
              <w:jc w:val="left"/>
              <w:rPr>
                <w:rFonts w:ascii="宋体" w:hAnsi="宋体"/>
                <w:szCs w:val="21"/>
              </w:rPr>
            </w:pPr>
            <w:r>
              <w:rPr>
                <w:rFonts w:hint="eastAsia" w:ascii="宋体" w:hAnsi="宋体"/>
                <w:szCs w:val="21"/>
              </w:rPr>
              <w:t>技术能力25分</w:t>
            </w:r>
          </w:p>
          <w:p>
            <w:pPr>
              <w:spacing w:line="400" w:lineRule="exact"/>
              <w:ind w:firstLine="420" w:firstLineChars="200"/>
              <w:jc w:val="left"/>
              <w:rPr>
                <w:rFonts w:ascii="宋体" w:hAnsi="宋体"/>
                <w:szCs w:val="21"/>
              </w:rPr>
            </w:pPr>
            <w:r>
              <w:rPr>
                <w:rFonts w:hint="eastAsia" w:ascii="宋体" w:hAnsi="宋体"/>
                <w:szCs w:val="21"/>
              </w:rPr>
              <w:t>履约信誉15分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7"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3.2.1</w:t>
            </w:r>
          </w:p>
        </w:tc>
        <w:tc>
          <w:tcPr>
            <w:tcW w:w="1214" w:type="dxa"/>
            <w:tcBorders>
              <w:top w:val="single" w:color="auto" w:sz="4" w:space="0"/>
              <w:bottom w:val="single" w:color="auto" w:sz="4" w:space="0"/>
            </w:tcBorders>
            <w:vAlign w:val="center"/>
          </w:tcPr>
          <w:p>
            <w:pPr>
              <w:rPr>
                <w:rFonts w:ascii="宋体" w:hAnsi="宋体"/>
                <w:szCs w:val="21"/>
              </w:rPr>
            </w:pPr>
            <w:r>
              <w:rPr>
                <w:rFonts w:hint="eastAsia" w:ascii="宋体" w:hAnsi="宋体"/>
                <w:szCs w:val="21"/>
              </w:rPr>
              <w:t>通过第一个信封详细评审的投标人数量</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ascii="宋体" w:hAnsi="宋体"/>
                <w:szCs w:val="21"/>
              </w:rPr>
            </w:pPr>
            <w:r>
              <w:rPr>
                <w:rFonts w:hint="eastAsia" w:ascii="宋体" w:hAnsi="宋体"/>
                <w:szCs w:val="21"/>
              </w:rPr>
              <w:t>按照投标人的商务和技术得分由高到低排序，选择前三名通过详细评审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jc w:val="center"/>
        </w:trPr>
        <w:tc>
          <w:tcPr>
            <w:tcW w:w="1219" w:type="dxa"/>
            <w:tcBorders>
              <w:right w:val="single" w:color="auto" w:sz="4" w:space="0"/>
            </w:tcBorders>
            <w:vAlign w:val="center"/>
          </w:tcPr>
          <w:p>
            <w:pPr>
              <w:rPr>
                <w:rFonts w:ascii="宋体" w:hAnsi="宋体"/>
                <w:b/>
                <w:szCs w:val="21"/>
              </w:rPr>
            </w:pPr>
            <w:r>
              <w:rPr>
                <w:rFonts w:hint="eastAsia" w:ascii="宋体" w:hAnsi="宋体"/>
                <w:b/>
                <w:szCs w:val="21"/>
              </w:rPr>
              <w:t>条款号</w:t>
            </w:r>
          </w:p>
        </w:tc>
        <w:tc>
          <w:tcPr>
            <w:tcW w:w="1214" w:type="dxa"/>
            <w:tcBorders>
              <w:left w:val="single" w:color="auto" w:sz="4" w:space="0"/>
            </w:tcBorders>
            <w:vAlign w:val="center"/>
          </w:tcPr>
          <w:p>
            <w:pPr>
              <w:rPr>
                <w:rFonts w:ascii="宋体" w:hAnsi="宋体"/>
                <w:b/>
                <w:szCs w:val="21"/>
              </w:rPr>
            </w:pPr>
            <w:r>
              <w:rPr>
                <w:rFonts w:hint="eastAsia" w:ascii="宋体" w:hAnsi="宋体"/>
                <w:b/>
                <w:szCs w:val="21"/>
              </w:rPr>
              <w:t>条款内容</w:t>
            </w:r>
          </w:p>
        </w:tc>
        <w:tc>
          <w:tcPr>
            <w:tcW w:w="7380" w:type="dxa"/>
            <w:vAlign w:val="center"/>
          </w:tcPr>
          <w:p>
            <w:pPr>
              <w:rPr>
                <w:rFonts w:ascii="宋体" w:hAnsi="宋体"/>
                <w:b/>
                <w:szCs w:val="21"/>
              </w:rPr>
            </w:pPr>
            <w:r>
              <w:rPr>
                <w:rFonts w:hint="eastAsia" w:ascii="宋体" w:hAnsi="宋体"/>
                <w:b/>
                <w:szCs w:val="21"/>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1"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2.2.2</w:t>
            </w:r>
          </w:p>
        </w:tc>
        <w:tc>
          <w:tcPr>
            <w:tcW w:w="1214" w:type="dxa"/>
            <w:tcBorders>
              <w:top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施工组织设计（0-40分）</w:t>
            </w:r>
          </w:p>
        </w:tc>
        <w:tc>
          <w:tcPr>
            <w:tcW w:w="7380" w:type="dxa"/>
            <w:tcBorders>
              <w:top w:val="single" w:color="auto" w:sz="4" w:space="0"/>
              <w:left w:val="single" w:color="auto" w:sz="4" w:space="0"/>
              <w:bottom w:val="single" w:color="auto" w:sz="4" w:space="0"/>
            </w:tcBorders>
            <w:vAlign w:val="center"/>
          </w:tcPr>
          <w:p>
            <w:pPr>
              <w:spacing w:line="400" w:lineRule="exact"/>
              <w:rPr>
                <w:rFonts w:ascii="宋体" w:hAnsi="宋体"/>
                <w:szCs w:val="21"/>
              </w:rPr>
            </w:pPr>
            <w:r>
              <w:rPr>
                <w:rFonts w:hint="eastAsia" w:ascii="宋体" w:hAnsi="宋体"/>
                <w:szCs w:val="21"/>
              </w:rPr>
              <w:t>1、投标人应按以下要点编制施工组织设计（文字宜精炼、内容具有针对性，总体控制在30000字以内）；</w:t>
            </w:r>
          </w:p>
          <w:p>
            <w:pPr>
              <w:spacing w:line="400" w:lineRule="exact"/>
              <w:rPr>
                <w:rFonts w:ascii="宋体" w:hAnsi="宋体"/>
                <w:szCs w:val="21"/>
              </w:rPr>
            </w:pPr>
            <w:r>
              <w:rPr>
                <w:rFonts w:hint="eastAsia" w:ascii="宋体" w:hAnsi="宋体"/>
                <w:szCs w:val="21"/>
              </w:rPr>
              <w:t>（1）总体施工组织布置及规划                   0-2分</w:t>
            </w:r>
          </w:p>
          <w:p>
            <w:pPr>
              <w:spacing w:line="400" w:lineRule="exact"/>
              <w:rPr>
                <w:rFonts w:ascii="宋体" w:hAnsi="宋体"/>
                <w:szCs w:val="21"/>
              </w:rPr>
            </w:pPr>
            <w:r>
              <w:rPr>
                <w:rFonts w:hint="eastAsia" w:ascii="宋体" w:hAnsi="宋体"/>
                <w:szCs w:val="21"/>
              </w:rPr>
              <w:t>（2）主要工程项目的施工方案、方法与技术措施（尤其对重点、关键和难点工程的施工方案、方法及其措施）                  0-5分</w:t>
            </w:r>
          </w:p>
          <w:p>
            <w:pPr>
              <w:spacing w:line="400" w:lineRule="exact"/>
              <w:rPr>
                <w:rFonts w:ascii="宋体" w:hAnsi="宋体"/>
                <w:szCs w:val="21"/>
              </w:rPr>
            </w:pPr>
            <w:r>
              <w:rPr>
                <w:rFonts w:hint="eastAsia" w:ascii="宋体" w:hAnsi="宋体"/>
                <w:szCs w:val="21"/>
              </w:rPr>
              <w:t>（3）工期的保证体系及保证措施                 0-2分</w:t>
            </w:r>
          </w:p>
          <w:p>
            <w:pPr>
              <w:spacing w:line="400" w:lineRule="exact"/>
              <w:rPr>
                <w:rFonts w:ascii="宋体" w:hAnsi="宋体"/>
                <w:szCs w:val="21"/>
              </w:rPr>
            </w:pPr>
            <w:r>
              <w:rPr>
                <w:rFonts w:hint="eastAsia" w:ascii="宋体" w:hAnsi="宋体"/>
                <w:szCs w:val="21"/>
              </w:rPr>
              <w:t>（4）工程质量管理体系及保证措施               0-3分</w:t>
            </w:r>
          </w:p>
          <w:p>
            <w:pPr>
              <w:spacing w:line="400" w:lineRule="exact"/>
              <w:rPr>
                <w:rFonts w:ascii="宋体" w:hAnsi="宋体"/>
                <w:szCs w:val="21"/>
              </w:rPr>
            </w:pPr>
            <w:r>
              <w:rPr>
                <w:rFonts w:hint="eastAsia" w:ascii="宋体" w:hAnsi="宋体"/>
                <w:szCs w:val="21"/>
              </w:rPr>
              <w:t>（5）安全生产管理体系及保证措施               0-3分</w:t>
            </w:r>
          </w:p>
          <w:p>
            <w:pPr>
              <w:spacing w:line="400" w:lineRule="exact"/>
              <w:rPr>
                <w:rFonts w:ascii="宋体" w:hAnsi="宋体"/>
                <w:szCs w:val="21"/>
              </w:rPr>
            </w:pPr>
            <w:r>
              <w:rPr>
                <w:rFonts w:hint="eastAsia" w:ascii="宋体" w:hAnsi="宋体"/>
                <w:szCs w:val="21"/>
              </w:rPr>
              <w:t xml:space="preserve">（6）环境保护、水土保持保证体系及保证措施（含扬尘治理措施）                                                                  </w:t>
            </w:r>
          </w:p>
          <w:p>
            <w:pPr>
              <w:spacing w:line="400" w:lineRule="exact"/>
              <w:rPr>
                <w:rFonts w:ascii="宋体" w:hAnsi="宋体"/>
                <w:szCs w:val="21"/>
              </w:rPr>
            </w:pPr>
            <w:r>
              <w:rPr>
                <w:rFonts w:hint="eastAsia" w:ascii="宋体" w:hAnsi="宋体"/>
                <w:szCs w:val="21"/>
              </w:rPr>
              <w:t xml:space="preserve">                                              0-3分</w:t>
            </w:r>
          </w:p>
          <w:p>
            <w:pPr>
              <w:spacing w:line="400" w:lineRule="exact"/>
              <w:rPr>
                <w:rFonts w:ascii="宋体" w:hAnsi="宋体"/>
                <w:szCs w:val="21"/>
              </w:rPr>
            </w:pPr>
            <w:r>
              <w:rPr>
                <w:rFonts w:hint="eastAsia" w:ascii="宋体" w:hAnsi="宋体"/>
                <w:szCs w:val="21"/>
              </w:rPr>
              <w:t>（7）文明施工、文物保护保证体系及保证措施     0-2分</w:t>
            </w:r>
          </w:p>
          <w:p>
            <w:pPr>
              <w:spacing w:line="400" w:lineRule="exact"/>
              <w:rPr>
                <w:rFonts w:ascii="宋体" w:hAnsi="宋体"/>
                <w:szCs w:val="21"/>
              </w:rPr>
            </w:pPr>
            <w:r>
              <w:rPr>
                <w:rFonts w:hint="eastAsia" w:ascii="宋体" w:hAnsi="宋体"/>
                <w:szCs w:val="21"/>
              </w:rPr>
              <w:t>（8）项目风险预测与防范，事故应急预案         0-2分</w:t>
            </w:r>
          </w:p>
          <w:p>
            <w:pPr>
              <w:spacing w:line="400" w:lineRule="exact"/>
              <w:rPr>
                <w:rFonts w:ascii="宋体" w:hAnsi="宋体"/>
                <w:szCs w:val="21"/>
              </w:rPr>
            </w:pPr>
            <w:r>
              <w:rPr>
                <w:rFonts w:hint="eastAsia" w:ascii="宋体" w:hAnsi="宋体"/>
                <w:szCs w:val="21"/>
              </w:rPr>
              <w:t>2、施工组织设计除采用文字表述外可附下列图表，图表及格式要求附后。</w:t>
            </w:r>
          </w:p>
          <w:p>
            <w:pPr>
              <w:spacing w:line="400" w:lineRule="exact"/>
              <w:rPr>
                <w:rFonts w:ascii="宋体" w:hAnsi="宋体"/>
                <w:szCs w:val="21"/>
              </w:rPr>
            </w:pPr>
            <w:r>
              <w:rPr>
                <w:rFonts w:hint="eastAsia" w:ascii="宋体" w:hAnsi="宋体"/>
                <w:szCs w:val="21"/>
              </w:rPr>
              <w:t xml:space="preserve">   附表一  施工总体计划表                     0-2分</w:t>
            </w:r>
          </w:p>
          <w:p>
            <w:pPr>
              <w:spacing w:line="400" w:lineRule="exact"/>
              <w:rPr>
                <w:rFonts w:ascii="宋体" w:hAnsi="宋体"/>
                <w:szCs w:val="21"/>
              </w:rPr>
            </w:pPr>
            <w:r>
              <w:rPr>
                <w:rFonts w:hint="eastAsia" w:ascii="宋体" w:hAnsi="宋体"/>
                <w:szCs w:val="21"/>
              </w:rPr>
              <w:t xml:space="preserve">   附表二  分项工程进度率计划（斜率图）       0-2分 </w:t>
            </w:r>
          </w:p>
          <w:p>
            <w:pPr>
              <w:spacing w:line="400" w:lineRule="exact"/>
              <w:rPr>
                <w:rFonts w:ascii="宋体" w:hAnsi="宋体"/>
                <w:szCs w:val="21"/>
              </w:rPr>
            </w:pPr>
            <w:r>
              <w:rPr>
                <w:rFonts w:hint="eastAsia" w:ascii="宋体" w:hAnsi="宋体"/>
                <w:szCs w:val="21"/>
              </w:rPr>
              <w:t xml:space="preserve">   附表三  工程管理曲线                       0-2分</w:t>
            </w:r>
          </w:p>
          <w:p>
            <w:pPr>
              <w:spacing w:line="400" w:lineRule="exact"/>
              <w:rPr>
                <w:rFonts w:ascii="宋体" w:hAnsi="宋体"/>
                <w:szCs w:val="21"/>
              </w:rPr>
            </w:pPr>
            <w:r>
              <w:rPr>
                <w:rFonts w:hint="eastAsia" w:ascii="宋体" w:hAnsi="宋体"/>
                <w:szCs w:val="21"/>
              </w:rPr>
              <w:t xml:space="preserve">   附表四  分项工程生产率和施工周期表         0-2分</w:t>
            </w:r>
          </w:p>
          <w:p>
            <w:pPr>
              <w:spacing w:line="400" w:lineRule="exact"/>
              <w:rPr>
                <w:rFonts w:ascii="宋体" w:hAnsi="宋体"/>
                <w:szCs w:val="21"/>
              </w:rPr>
            </w:pPr>
            <w:r>
              <w:rPr>
                <w:rFonts w:hint="eastAsia" w:ascii="宋体" w:hAnsi="宋体"/>
                <w:szCs w:val="21"/>
              </w:rPr>
              <w:t xml:space="preserve">   附表五  施工总平面图                       0-2分</w:t>
            </w:r>
          </w:p>
          <w:p>
            <w:pPr>
              <w:spacing w:line="400" w:lineRule="exact"/>
              <w:rPr>
                <w:rFonts w:ascii="宋体" w:hAnsi="宋体"/>
                <w:szCs w:val="21"/>
              </w:rPr>
            </w:pPr>
            <w:r>
              <w:rPr>
                <w:rFonts w:hint="eastAsia" w:ascii="宋体" w:hAnsi="宋体"/>
                <w:szCs w:val="21"/>
              </w:rPr>
              <w:t xml:space="preserve">   附表六  劳动力计划表                       0-2分</w:t>
            </w:r>
          </w:p>
          <w:p>
            <w:pPr>
              <w:spacing w:line="400" w:lineRule="exact"/>
              <w:ind w:firstLine="315" w:firstLineChars="150"/>
              <w:rPr>
                <w:rFonts w:ascii="宋体" w:hAnsi="宋体"/>
                <w:szCs w:val="21"/>
              </w:rPr>
            </w:pPr>
            <w:r>
              <w:rPr>
                <w:rFonts w:hint="eastAsia" w:ascii="宋体" w:hAnsi="宋体"/>
                <w:szCs w:val="21"/>
              </w:rPr>
              <w:t>附表七  临时用地计划表                     0-2分</w:t>
            </w:r>
          </w:p>
          <w:p>
            <w:pPr>
              <w:spacing w:line="400" w:lineRule="exact"/>
              <w:ind w:firstLine="315" w:firstLineChars="150"/>
              <w:rPr>
                <w:rFonts w:ascii="宋体" w:hAnsi="宋体"/>
                <w:szCs w:val="21"/>
              </w:rPr>
            </w:pPr>
            <w:r>
              <w:rPr>
                <w:rFonts w:hint="eastAsia" w:ascii="宋体" w:hAnsi="宋体"/>
                <w:szCs w:val="21"/>
              </w:rPr>
              <w:t>附表八  外供电力需求计划表                 0-2分</w:t>
            </w:r>
          </w:p>
          <w:p>
            <w:pPr>
              <w:spacing w:line="400" w:lineRule="exact"/>
              <w:rPr>
                <w:rFonts w:ascii="宋体" w:hAnsi="宋体"/>
                <w:szCs w:val="21"/>
              </w:rPr>
            </w:pPr>
            <w:r>
              <w:rPr>
                <w:rFonts w:hint="eastAsia" w:ascii="宋体" w:hAnsi="宋体"/>
                <w:szCs w:val="21"/>
              </w:rPr>
              <w:t xml:space="preserve">   附表九  合同用款估算表                     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jc w:val="center"/>
        </w:trPr>
        <w:tc>
          <w:tcPr>
            <w:tcW w:w="1219" w:type="dxa"/>
            <w:tcBorders>
              <w:top w:val="single" w:color="auto" w:sz="4" w:space="0"/>
            </w:tcBorders>
            <w:vAlign w:val="center"/>
          </w:tcPr>
          <w:p>
            <w:pPr>
              <w:jc w:val="center"/>
              <w:rPr>
                <w:rFonts w:ascii="宋体" w:hAnsi="宋体"/>
                <w:szCs w:val="21"/>
              </w:rPr>
            </w:pPr>
            <w:r>
              <w:rPr>
                <w:rFonts w:hint="eastAsia" w:ascii="宋体" w:hAnsi="宋体"/>
                <w:szCs w:val="21"/>
              </w:rPr>
              <w:t>2.2.3</w:t>
            </w:r>
          </w:p>
        </w:tc>
        <w:tc>
          <w:tcPr>
            <w:tcW w:w="1214" w:type="dxa"/>
            <w:tcBorders>
              <w:top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项目管理机构（0-20分）</w:t>
            </w:r>
          </w:p>
        </w:tc>
        <w:tc>
          <w:tcPr>
            <w:tcW w:w="7380" w:type="dxa"/>
            <w:tcBorders>
              <w:top w:val="single" w:color="auto" w:sz="4" w:space="0"/>
              <w:left w:val="single" w:color="auto" w:sz="4" w:space="0"/>
            </w:tcBorders>
            <w:vAlign w:val="center"/>
          </w:tcPr>
          <w:p>
            <w:pPr>
              <w:spacing w:line="400" w:lineRule="exact"/>
              <w:rPr>
                <w:rFonts w:ascii="宋体" w:hAnsi="宋体"/>
                <w:szCs w:val="21"/>
              </w:rPr>
            </w:pPr>
            <w:r>
              <w:rPr>
                <w:rFonts w:hint="eastAsia" w:ascii="宋体" w:hAnsi="宋体"/>
                <w:szCs w:val="21"/>
              </w:rPr>
              <w:t>1.拟派项目总工中级职称者得8分，高级职称者得10分；【须提供</w:t>
            </w:r>
            <w:r>
              <w:rPr>
                <w:rFonts w:hint="eastAsia" w:ascii="宋体" w:hAnsi="宋体"/>
                <w:szCs w:val="21"/>
                <w:lang w:val="en-US" w:eastAsia="zh-CN"/>
              </w:rPr>
              <w:t>证书</w:t>
            </w:r>
            <w:r>
              <w:rPr>
                <w:rFonts w:hint="eastAsia" w:ascii="宋体" w:hAnsi="宋体"/>
                <w:szCs w:val="21"/>
              </w:rPr>
              <w:t>原件</w:t>
            </w:r>
            <w:r>
              <w:rPr>
                <w:rFonts w:hint="eastAsia" w:ascii="宋体" w:hAnsi="宋体"/>
                <w:szCs w:val="21"/>
                <w:lang w:val="en-US" w:eastAsia="zh-CN"/>
              </w:rPr>
              <w:t>扫描件（或图片）</w:t>
            </w:r>
            <w:r>
              <w:rPr>
                <w:rFonts w:hint="eastAsia" w:ascii="宋体" w:hAnsi="宋体"/>
                <w:szCs w:val="21"/>
              </w:rPr>
              <w:t>】</w:t>
            </w:r>
          </w:p>
          <w:p>
            <w:pPr>
              <w:spacing w:line="400" w:lineRule="exact"/>
              <w:rPr>
                <w:rFonts w:ascii="宋体" w:hAnsi="宋体"/>
                <w:szCs w:val="21"/>
              </w:rPr>
            </w:pPr>
            <w:r>
              <w:rPr>
                <w:rFonts w:hint="eastAsia" w:ascii="宋体" w:hAnsi="宋体"/>
                <w:szCs w:val="21"/>
              </w:rPr>
              <w:t>2.拟派项目班子中</w:t>
            </w:r>
            <w:r>
              <w:rPr>
                <w:rFonts w:hint="eastAsia" w:ascii="宋体" w:hAnsi="宋体"/>
                <w:szCs w:val="21"/>
                <w:lang w:val="en-US" w:eastAsia="zh-CN"/>
              </w:rPr>
              <w:t>主要进场人员</w:t>
            </w:r>
            <w:r>
              <w:rPr>
                <w:rFonts w:hint="eastAsia" w:ascii="宋体" w:hAnsi="宋体"/>
                <w:szCs w:val="21"/>
              </w:rPr>
              <w:t>证件齐全者得10分，缺一项</w:t>
            </w:r>
            <w:r>
              <w:rPr>
                <w:rFonts w:hint="eastAsia" w:ascii="宋体" w:hAnsi="宋体"/>
                <w:szCs w:val="21"/>
                <w:lang w:val="en-US" w:eastAsia="zh-CN"/>
              </w:rPr>
              <w:t>扣3分，扣完为止</w:t>
            </w:r>
            <w:r>
              <w:rPr>
                <w:rFonts w:hint="eastAsia" w:ascii="宋体" w:hAnsi="宋体"/>
                <w:szCs w:val="21"/>
              </w:rPr>
              <w:t>。【须提供</w:t>
            </w:r>
            <w:r>
              <w:rPr>
                <w:rFonts w:hint="eastAsia" w:ascii="宋体" w:hAnsi="宋体"/>
                <w:szCs w:val="21"/>
                <w:lang w:val="en-US" w:eastAsia="zh-CN"/>
              </w:rPr>
              <w:t>证书</w:t>
            </w:r>
            <w:r>
              <w:rPr>
                <w:rFonts w:hint="eastAsia" w:ascii="宋体" w:hAnsi="宋体"/>
                <w:szCs w:val="21"/>
              </w:rPr>
              <w:t>原件</w:t>
            </w:r>
            <w:r>
              <w:rPr>
                <w:rFonts w:hint="eastAsia" w:ascii="宋体" w:hAnsi="宋体"/>
                <w:szCs w:val="21"/>
                <w:lang w:val="en-US" w:eastAsia="zh-CN"/>
              </w:rPr>
              <w:t>扫描件（或图片）</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2.2.4</w:t>
            </w:r>
          </w:p>
        </w:tc>
        <w:tc>
          <w:tcPr>
            <w:tcW w:w="1214" w:type="dxa"/>
            <w:tcBorders>
              <w:top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技术能力</w:t>
            </w:r>
          </w:p>
          <w:p>
            <w:pPr>
              <w:rPr>
                <w:rFonts w:ascii="宋体" w:hAnsi="宋体"/>
                <w:szCs w:val="21"/>
              </w:rPr>
            </w:pPr>
            <w:r>
              <w:rPr>
                <w:rFonts w:hint="eastAsia" w:ascii="宋体" w:hAnsi="宋体"/>
                <w:szCs w:val="21"/>
              </w:rPr>
              <w:t>（0-25分）</w:t>
            </w:r>
          </w:p>
        </w:tc>
        <w:tc>
          <w:tcPr>
            <w:tcW w:w="7380" w:type="dxa"/>
            <w:tcBorders>
              <w:top w:val="single" w:color="auto" w:sz="4" w:space="0"/>
              <w:left w:val="single" w:color="auto" w:sz="4" w:space="0"/>
              <w:bottom w:val="single" w:color="auto" w:sz="4" w:space="0"/>
            </w:tcBorders>
            <w:vAlign w:val="center"/>
          </w:tcPr>
          <w:p>
            <w:pPr>
              <w:spacing w:line="400" w:lineRule="exact"/>
              <w:rPr>
                <w:rFonts w:ascii="宋体" w:hAnsi="宋体"/>
                <w:szCs w:val="21"/>
              </w:rPr>
            </w:pPr>
            <w:r>
              <w:rPr>
                <w:rFonts w:hint="eastAsia" w:ascii="宋体" w:hAnsi="宋体"/>
                <w:szCs w:val="21"/>
              </w:rPr>
              <w:t>1、企业业绩（15分）</w:t>
            </w:r>
          </w:p>
          <w:p>
            <w:pPr>
              <w:spacing w:line="400" w:lineRule="exact"/>
              <w:ind w:firstLine="420" w:firstLineChars="200"/>
              <w:rPr>
                <w:rFonts w:ascii="宋体" w:hAnsi="宋体"/>
                <w:szCs w:val="21"/>
              </w:rPr>
            </w:pPr>
            <w:r>
              <w:rPr>
                <w:rFonts w:hint="eastAsia" w:ascii="宋体" w:hAnsi="宋体"/>
                <w:szCs w:val="21"/>
              </w:rPr>
              <w:t xml:space="preserve"> 企业近年来承建过类似项目者每项得5分，本项最高得15分【须提供合同原件、中标通知书原件、工程接收证书（工程竣工验收证书）</w:t>
            </w:r>
            <w:r>
              <w:rPr>
                <w:rFonts w:hint="eastAsia" w:ascii="宋体" w:hAnsi="宋体"/>
                <w:szCs w:val="21"/>
                <w:lang w:val="en-US" w:eastAsia="zh-CN"/>
              </w:rPr>
              <w:t>的</w:t>
            </w:r>
            <w:r>
              <w:rPr>
                <w:rFonts w:hint="eastAsia" w:ascii="宋体" w:hAnsi="宋体"/>
                <w:szCs w:val="21"/>
              </w:rPr>
              <w:t>原件</w:t>
            </w:r>
            <w:r>
              <w:rPr>
                <w:rFonts w:hint="eastAsia" w:ascii="宋体" w:hAnsi="宋体"/>
                <w:szCs w:val="21"/>
                <w:lang w:val="en-US" w:eastAsia="zh-CN"/>
              </w:rPr>
              <w:t>扫描件（或图片）</w:t>
            </w:r>
            <w:r>
              <w:rPr>
                <w:rFonts w:hint="eastAsia" w:ascii="宋体" w:hAnsi="宋体"/>
                <w:szCs w:val="21"/>
              </w:rPr>
              <w:t>和中标公示网页版】。</w:t>
            </w:r>
          </w:p>
          <w:p>
            <w:pPr>
              <w:spacing w:line="400" w:lineRule="exact"/>
              <w:rPr>
                <w:rFonts w:ascii="宋体" w:hAnsi="宋体"/>
                <w:szCs w:val="21"/>
              </w:rPr>
            </w:pPr>
            <w:r>
              <w:rPr>
                <w:rFonts w:hint="eastAsia" w:ascii="宋体" w:hAnsi="宋体"/>
                <w:szCs w:val="21"/>
              </w:rPr>
              <w:t>2、项目经理业绩（10分）</w:t>
            </w:r>
          </w:p>
          <w:p>
            <w:pPr>
              <w:adjustRightInd w:val="0"/>
              <w:snapToGrid w:val="0"/>
              <w:spacing w:line="480" w:lineRule="exact"/>
              <w:ind w:firstLine="480"/>
              <w:rPr>
                <w:rFonts w:ascii="宋体" w:hAnsi="宋体"/>
                <w:b/>
                <w:bCs/>
                <w:szCs w:val="21"/>
              </w:rPr>
            </w:pPr>
            <w:r>
              <w:rPr>
                <w:rFonts w:hint="eastAsia" w:ascii="宋体" w:hAnsi="宋体"/>
                <w:szCs w:val="21"/>
              </w:rPr>
              <w:t>近年来拟派建造师承建过类似项目者每项得5分，本项最高得10分【须提供合同原件、中标通知书原件、工程接收证书（工程竣工验收证书）</w:t>
            </w:r>
            <w:r>
              <w:rPr>
                <w:rFonts w:hint="eastAsia" w:ascii="宋体" w:hAnsi="宋体"/>
                <w:szCs w:val="21"/>
                <w:lang w:val="en-US" w:eastAsia="zh-CN"/>
              </w:rPr>
              <w:t>的</w:t>
            </w:r>
            <w:r>
              <w:rPr>
                <w:rFonts w:hint="eastAsia" w:ascii="宋体" w:hAnsi="宋体"/>
                <w:szCs w:val="21"/>
              </w:rPr>
              <w:t>原件</w:t>
            </w:r>
            <w:r>
              <w:rPr>
                <w:rFonts w:hint="eastAsia" w:ascii="宋体" w:hAnsi="宋体"/>
                <w:szCs w:val="21"/>
                <w:lang w:val="en-US" w:eastAsia="zh-CN"/>
              </w:rPr>
              <w:t>扫描件（或图片）</w:t>
            </w:r>
            <w:r>
              <w:rPr>
                <w:rFonts w:hint="eastAsia" w:ascii="宋体" w:hAnsi="宋体"/>
                <w:szCs w:val="21"/>
              </w:rPr>
              <w:t>和中标公示网页版】，若上述资料不显示项目经理姓名，还须同时提供建设单位出具的相关证明文件。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9813" w:type="dxa"/>
            <w:gridSpan w:val="3"/>
            <w:tcBorders>
              <w:top w:val="single" w:color="auto" w:sz="4" w:space="0"/>
              <w:bottom w:val="single" w:color="auto" w:sz="4" w:space="0"/>
            </w:tcBorders>
            <w:vAlign w:val="center"/>
          </w:tcPr>
          <w:p>
            <w:pPr>
              <w:numPr>
                <w:ilvl w:val="0"/>
                <w:numId w:val="1"/>
              </w:numPr>
              <w:adjustRightInd w:val="0"/>
              <w:snapToGrid w:val="0"/>
              <w:spacing w:line="480" w:lineRule="exact"/>
              <w:rPr>
                <w:rFonts w:ascii="新宋体" w:hAnsi="新宋体" w:eastAsia="新宋体"/>
                <w:b/>
                <w:szCs w:val="21"/>
              </w:rPr>
            </w:pPr>
            <w:r>
              <w:rPr>
                <w:rFonts w:hint="eastAsia" w:ascii="新宋体" w:hAnsi="新宋体" w:eastAsia="新宋体"/>
                <w:b/>
                <w:szCs w:val="21"/>
              </w:rPr>
              <w:t>业绩合同以合同签订日期为准，获奖证书以发证日期为准，企业业绩和项目经理业绩不重复计分；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2.2.5</w:t>
            </w:r>
          </w:p>
        </w:tc>
        <w:tc>
          <w:tcPr>
            <w:tcW w:w="1214" w:type="dxa"/>
            <w:tcBorders>
              <w:top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履约信誉（0-15分）</w:t>
            </w:r>
          </w:p>
        </w:tc>
        <w:tc>
          <w:tcPr>
            <w:tcW w:w="7380" w:type="dxa"/>
            <w:tcBorders>
              <w:top w:val="single" w:color="auto" w:sz="4" w:space="0"/>
              <w:left w:val="single" w:color="auto" w:sz="4" w:space="0"/>
              <w:bottom w:val="single" w:color="auto" w:sz="4" w:space="0"/>
            </w:tcBorders>
            <w:vAlign w:val="center"/>
          </w:tcPr>
          <w:p>
            <w:pPr>
              <w:spacing w:line="400" w:lineRule="exact"/>
              <w:ind w:firstLine="420" w:firstLineChars="200"/>
              <w:rPr>
                <w:rFonts w:ascii="宋体" w:hAnsi="宋体"/>
                <w:szCs w:val="21"/>
              </w:rPr>
            </w:pPr>
            <w:r>
              <w:rPr>
                <w:rFonts w:hint="eastAsia" w:ascii="宋体" w:hAnsi="宋体"/>
                <w:szCs w:val="21"/>
              </w:rPr>
              <w:t>1、企业信用（4分）</w:t>
            </w:r>
          </w:p>
          <w:p>
            <w:pPr>
              <w:spacing w:line="400" w:lineRule="exact"/>
              <w:ind w:firstLine="420" w:firstLineChars="200"/>
              <w:rPr>
                <w:rFonts w:ascii="宋体" w:hAnsi="宋体"/>
                <w:szCs w:val="21"/>
              </w:rPr>
            </w:pPr>
            <w:r>
              <w:rPr>
                <w:rFonts w:ascii="宋体" w:hAnsi="宋体"/>
                <w:szCs w:val="21"/>
              </w:rPr>
              <w:t>投标人须提供工商企业信用信息公示报告（国家企业信用信息公示系统http//</w:t>
            </w:r>
            <w:r>
              <w:rPr>
                <w:rFonts w:ascii="宋体" w:hAnsi="宋体"/>
                <w:szCs w:val="21"/>
              </w:rPr>
              <w:drawing>
                <wp:inline distT="0" distB="0" distL="0" distR="0">
                  <wp:extent cx="190500" cy="1428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ascii="宋体" w:hAnsi="宋体"/>
                <w:szCs w:val="21"/>
              </w:rPr>
              <w:t>www.gsxt.got.cn，内容包含基础信息、行政许可信息、行政处罚信息、列入经营异常名录信息等）以网上截图为准。企业所在地税务主管部门出具的纳税情况证明等信用情况</w:t>
            </w:r>
            <w:r>
              <w:rPr>
                <w:rFonts w:hint="eastAsia" w:ascii="宋体" w:hAnsi="宋体"/>
                <w:szCs w:val="21"/>
              </w:rPr>
              <w:t>。</w:t>
            </w:r>
            <w:r>
              <w:rPr>
                <w:rFonts w:ascii="宋体" w:hAnsi="宋体"/>
                <w:szCs w:val="21"/>
              </w:rPr>
              <w:t>无不良信息者每项得</w:t>
            </w:r>
            <w:r>
              <w:rPr>
                <w:rFonts w:hint="eastAsia" w:ascii="宋体" w:hAnsi="宋体"/>
                <w:szCs w:val="21"/>
              </w:rPr>
              <w:t>2</w:t>
            </w:r>
            <w:r>
              <w:rPr>
                <w:rFonts w:ascii="宋体" w:hAnsi="宋体"/>
                <w:szCs w:val="21"/>
              </w:rPr>
              <w:t>分，最多得</w:t>
            </w:r>
            <w:r>
              <w:rPr>
                <w:rFonts w:hint="eastAsia" w:ascii="宋体" w:hAnsi="宋体"/>
                <w:szCs w:val="21"/>
              </w:rPr>
              <w:t>4</w:t>
            </w:r>
            <w:r>
              <w:rPr>
                <w:rFonts w:ascii="宋体" w:hAnsi="宋体"/>
                <w:szCs w:val="21"/>
              </w:rPr>
              <w:t>分，未提供或有不良信息者不得分。</w:t>
            </w:r>
          </w:p>
          <w:p>
            <w:pPr>
              <w:spacing w:line="400" w:lineRule="exact"/>
              <w:ind w:firstLine="420" w:firstLineChars="200"/>
              <w:rPr>
                <w:rFonts w:ascii="宋体" w:hAnsi="宋体"/>
                <w:szCs w:val="21"/>
              </w:rPr>
            </w:pPr>
            <w:r>
              <w:rPr>
                <w:rFonts w:hint="eastAsia" w:ascii="宋体" w:hAnsi="宋体"/>
                <w:szCs w:val="21"/>
              </w:rPr>
              <w:t>2、服务承诺（含扬尘治理等内容）（11分）</w:t>
            </w:r>
          </w:p>
          <w:p>
            <w:pPr>
              <w:adjustRightInd w:val="0"/>
              <w:snapToGrid w:val="0"/>
              <w:spacing w:line="480" w:lineRule="exact"/>
              <w:ind w:firstLine="420" w:firstLineChars="200"/>
              <w:rPr>
                <w:rFonts w:ascii="宋体" w:hAnsi="宋体"/>
                <w:szCs w:val="21"/>
              </w:rPr>
            </w:pPr>
            <w:r>
              <w:rPr>
                <w:rFonts w:hint="eastAsia" w:ascii="宋体" w:hAnsi="宋体"/>
                <w:szCs w:val="21"/>
              </w:rPr>
              <w:t xml:space="preserve"> 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9813" w:type="dxa"/>
            <w:gridSpan w:val="3"/>
            <w:tcBorders>
              <w:top w:val="single" w:color="auto" w:sz="4" w:space="0"/>
              <w:bottom w:val="single" w:color="auto" w:sz="4" w:space="0"/>
            </w:tcBorders>
            <w:vAlign w:val="center"/>
          </w:tcPr>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需要补充的其他内容：</w:t>
            </w:r>
          </w:p>
          <w:p>
            <w:pPr>
              <w:ind w:firstLine="420" w:firstLineChars="2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9813" w:type="dxa"/>
            <w:gridSpan w:val="3"/>
            <w:tcBorders>
              <w:top w:val="single" w:color="auto" w:sz="4" w:space="0"/>
            </w:tcBorders>
            <w:vAlign w:val="center"/>
          </w:tcPr>
          <w:p>
            <w:pPr>
              <w:spacing w:line="340" w:lineRule="exact"/>
              <w:rPr>
                <w:rFonts w:ascii="宋体" w:hAnsi="宋体"/>
                <w:szCs w:val="21"/>
              </w:rPr>
            </w:pPr>
            <w:r>
              <w:rPr>
                <w:rFonts w:hint="eastAsia" w:ascii="宋体" w:hAnsi="宋体"/>
                <w:szCs w:val="21"/>
              </w:rPr>
              <w:t>评标程序如下：</w:t>
            </w:r>
          </w:p>
          <w:p>
            <w:pPr>
              <w:spacing w:line="340" w:lineRule="exact"/>
              <w:rPr>
                <w:rFonts w:ascii="宋体" w:hAnsi="宋体"/>
                <w:szCs w:val="21"/>
              </w:rPr>
            </w:pPr>
            <w:r>
              <w:rPr>
                <w:rFonts w:hint="eastAsia" w:ascii="宋体" w:hAnsi="宋体"/>
                <w:szCs w:val="21"/>
              </w:rPr>
              <w:t>1、招标人按照第二章“投标人须知”第5.2.1-5.2.3项的规定对投标文件第一信封（商务及技术文件）进行开标。</w:t>
            </w:r>
          </w:p>
          <w:p>
            <w:pPr>
              <w:spacing w:line="340" w:lineRule="exact"/>
              <w:rPr>
                <w:rFonts w:ascii="宋体" w:hAnsi="宋体"/>
                <w:szCs w:val="21"/>
              </w:rPr>
            </w:pPr>
            <w:r>
              <w:rPr>
                <w:rFonts w:hint="eastAsia" w:ascii="宋体" w:hAnsi="宋体"/>
                <w:szCs w:val="21"/>
              </w:rPr>
              <w:t>2、评标委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w:t>
            </w:r>
            <w:r>
              <w:rPr>
                <w:rFonts w:hint="eastAsia" w:ascii="宋体" w:hAnsi="宋体"/>
                <w:b/>
                <w:szCs w:val="21"/>
              </w:rPr>
              <w:t>各项打分保留小数点后两位，小数点后第三位“四舍五入”。</w:t>
            </w:r>
          </w:p>
          <w:p>
            <w:pPr>
              <w:spacing w:line="340" w:lineRule="exact"/>
              <w:rPr>
                <w:rFonts w:ascii="宋体" w:hAnsi="宋体"/>
                <w:szCs w:val="21"/>
              </w:rPr>
            </w:pPr>
            <w:r>
              <w:rPr>
                <w:rFonts w:hint="eastAsia" w:ascii="宋体" w:hAnsi="宋体"/>
                <w:szCs w:val="21"/>
              </w:rPr>
              <w:t>3、招标人按照第二章“投标人须知”第5.2.4-5.2.6项的规定对投标文件第一信封（商务及技术文件）评审得分前</w:t>
            </w:r>
            <w:r>
              <w:rPr>
                <w:rFonts w:hint="eastAsia" w:ascii="宋体" w:hAnsi="宋体"/>
                <w:szCs w:val="21"/>
                <w:u w:val="single"/>
              </w:rPr>
              <w:t xml:space="preserve"> 3 </w:t>
            </w:r>
            <w:r>
              <w:rPr>
                <w:rFonts w:hint="eastAsia" w:ascii="宋体" w:hAnsi="宋体"/>
                <w:szCs w:val="21"/>
              </w:rPr>
              <w:t>名的投标文件第二个信封（投标文件）进行开启。</w:t>
            </w:r>
          </w:p>
          <w:p>
            <w:pPr>
              <w:spacing w:line="340" w:lineRule="exact"/>
              <w:rPr>
                <w:rFonts w:ascii="宋体" w:hAnsi="宋体"/>
                <w:szCs w:val="21"/>
              </w:rPr>
            </w:pPr>
            <w:r>
              <w:rPr>
                <w:rFonts w:hint="eastAsia" w:ascii="宋体" w:hAnsi="宋体"/>
                <w:szCs w:val="21"/>
              </w:rPr>
              <w:t>4、评标委员会对已开标的投标文件第二个信封（投标报价和工程量清单）进行评审，按照投标报价由低到高顺序，推荐1-3名中标候选人。当报价相等时，以技术标得分高低进行排序；若技术标得分相等时，可以通过公开随机抽取方式确定中标候选人的排序。</w:t>
            </w:r>
          </w:p>
          <w:p>
            <w:pPr>
              <w:spacing w:line="340" w:lineRule="exact"/>
              <w:rPr>
                <w:rFonts w:ascii="宋体" w:hAnsi="宋体"/>
                <w:szCs w:val="21"/>
              </w:rPr>
            </w:pPr>
            <w:r>
              <w:rPr>
                <w:rFonts w:hint="eastAsia" w:ascii="宋体" w:hAnsi="宋体"/>
                <w:b/>
                <w:szCs w:val="21"/>
              </w:rPr>
              <w:t>5、</w:t>
            </w:r>
            <w:r>
              <w:rPr>
                <w:rFonts w:hint="eastAsia" w:ascii="新宋体" w:hAnsi="新宋体" w:eastAsia="新宋体"/>
                <w:b/>
                <w:szCs w:val="21"/>
                <w:lang w:val="en-US" w:eastAsia="zh-CN"/>
              </w:rPr>
              <w:t>本</w:t>
            </w:r>
            <w:r>
              <w:rPr>
                <w:rFonts w:hint="eastAsia" w:ascii="新宋体" w:hAnsi="新宋体" w:eastAsia="新宋体"/>
                <w:b/>
                <w:szCs w:val="21"/>
              </w:rPr>
              <w:t>评标办法里涉及到的证书、证件</w:t>
            </w:r>
            <w:r>
              <w:rPr>
                <w:rFonts w:hint="eastAsia" w:ascii="新宋体" w:hAnsi="新宋体" w:eastAsia="新宋体"/>
                <w:b/>
                <w:szCs w:val="21"/>
                <w:lang w:eastAsia="zh-CN"/>
              </w:rPr>
              <w:t>、</w:t>
            </w:r>
            <w:r>
              <w:rPr>
                <w:rFonts w:hint="eastAsia" w:ascii="新宋体" w:hAnsi="新宋体" w:eastAsia="新宋体"/>
                <w:b/>
                <w:szCs w:val="21"/>
              </w:rPr>
              <w:t>业绩及</w:t>
            </w:r>
            <w:r>
              <w:rPr>
                <w:rFonts w:hint="eastAsia" w:ascii="新宋体" w:hAnsi="新宋体" w:eastAsia="新宋体"/>
                <w:b/>
                <w:szCs w:val="21"/>
                <w:lang w:val="en-US" w:eastAsia="zh-CN"/>
              </w:rPr>
              <w:t>相关文件</w:t>
            </w:r>
            <w:r>
              <w:rPr>
                <w:rFonts w:hint="eastAsia" w:ascii="新宋体" w:hAnsi="新宋体" w:eastAsia="新宋体"/>
                <w:b/>
                <w:szCs w:val="21"/>
              </w:rPr>
              <w:t>，</w:t>
            </w:r>
            <w:r>
              <w:rPr>
                <w:rFonts w:hint="eastAsia" w:ascii="新宋体" w:hAnsi="新宋体" w:eastAsia="新宋体"/>
                <w:b/>
                <w:szCs w:val="21"/>
                <w:lang w:val="en-US" w:eastAsia="zh-CN"/>
              </w:rPr>
              <w:t>评标现场不再提供原件，需在投标文件中附</w:t>
            </w:r>
            <w:r>
              <w:rPr>
                <w:rFonts w:hint="eastAsia" w:ascii="新宋体" w:hAnsi="新宋体" w:eastAsia="新宋体"/>
                <w:b/>
                <w:szCs w:val="21"/>
              </w:rPr>
              <w:t>原件</w:t>
            </w:r>
            <w:r>
              <w:rPr>
                <w:rFonts w:hint="eastAsia" w:ascii="新宋体" w:hAnsi="新宋体" w:eastAsia="新宋体"/>
                <w:b/>
                <w:szCs w:val="21"/>
                <w:lang w:val="en-US" w:eastAsia="zh-CN"/>
              </w:rPr>
              <w:t>扫描件（或图片）</w:t>
            </w:r>
            <w:r>
              <w:rPr>
                <w:rFonts w:hint="eastAsia" w:ascii="新宋体" w:hAnsi="新宋体" w:eastAsia="新宋体"/>
                <w:b/>
                <w:szCs w:val="21"/>
              </w:rPr>
              <w:t>，</w:t>
            </w:r>
            <w:r>
              <w:rPr>
                <w:rFonts w:hint="eastAsia" w:ascii="新宋体" w:hAnsi="新宋体" w:eastAsia="新宋体"/>
                <w:b/>
                <w:szCs w:val="21"/>
                <w:lang w:val="en-US" w:eastAsia="zh-CN"/>
              </w:rPr>
              <w:t>否则</w:t>
            </w:r>
            <w:r>
              <w:rPr>
                <w:rFonts w:hint="eastAsia" w:ascii="新宋体" w:hAnsi="新宋体" w:eastAsia="新宋体"/>
                <w:b/>
                <w:szCs w:val="21"/>
              </w:rPr>
              <w:t>该项得分应作0分处理。</w:t>
            </w:r>
            <w:r>
              <w:rPr>
                <w:rFonts w:hint="eastAsia" w:ascii="宋体" w:hAnsi="宋体"/>
                <w:b/>
                <w:szCs w:val="21"/>
              </w:rPr>
              <w:t>。</w:t>
            </w:r>
          </w:p>
        </w:tc>
      </w:tr>
    </w:tbl>
    <w:p>
      <w:pPr>
        <w:spacing w:line="500" w:lineRule="exact"/>
        <w:rPr>
          <w:rFonts w:ascii="宋体" w:hAnsi="宋体"/>
          <w:b/>
          <w:sz w:val="24"/>
        </w:rPr>
      </w:pPr>
      <w:r>
        <w:rPr>
          <w:rFonts w:hint="eastAsia" w:ascii="宋体" w:hAnsi="宋体"/>
          <w:b/>
          <w:sz w:val="24"/>
        </w:rPr>
        <w:t>1.评标办法</w:t>
      </w:r>
    </w:p>
    <w:p>
      <w:pPr>
        <w:spacing w:line="500" w:lineRule="exact"/>
        <w:ind w:firstLine="480" w:firstLineChars="200"/>
        <w:rPr>
          <w:rFonts w:ascii="宋体" w:hAnsi="宋体"/>
          <w:sz w:val="24"/>
        </w:rPr>
      </w:pPr>
      <w:r>
        <w:rPr>
          <w:rFonts w:hint="eastAsia" w:ascii="宋体" w:hAnsi="宋体"/>
          <w:sz w:val="24"/>
        </w:rPr>
        <w:t>本次评标采用技术评分最低标价法。评标委员会对满足招标文件实质性要求的投标文件，按照本章第2.2款规定的评分标准对投标文件第一信封（商务及技术）进行打分，按得分由高到低顺序取前三名进入第二信封（投标报价和工程量清单）评审，并按投标报价由低到高顺序推荐中标候选人，或根据招标人授权直接确定中标人，但投标报价低于其成本的除外。投标报价相等的，以技术标得分高低进行排序；若技术标得分相等时，可以通过公开随机抽取方式确定中标候选人的排序。</w:t>
      </w:r>
    </w:p>
    <w:p>
      <w:pPr>
        <w:spacing w:line="500" w:lineRule="exact"/>
        <w:rPr>
          <w:rFonts w:ascii="宋体" w:hAnsi="宋体"/>
          <w:b/>
          <w:sz w:val="24"/>
        </w:rPr>
      </w:pPr>
      <w:r>
        <w:rPr>
          <w:rFonts w:hint="eastAsia" w:ascii="宋体" w:hAnsi="宋体"/>
          <w:b/>
          <w:sz w:val="24"/>
        </w:rPr>
        <w:t>2.评审标准</w:t>
      </w:r>
    </w:p>
    <w:p>
      <w:pPr>
        <w:spacing w:line="500" w:lineRule="exact"/>
        <w:ind w:firstLine="480" w:firstLineChars="200"/>
        <w:rPr>
          <w:rFonts w:ascii="宋体" w:hAnsi="宋体"/>
          <w:sz w:val="24"/>
        </w:rPr>
      </w:pPr>
      <w:r>
        <w:rPr>
          <w:rFonts w:hint="eastAsia" w:ascii="宋体" w:hAnsi="宋体"/>
          <w:sz w:val="24"/>
        </w:rPr>
        <w:t>2.1初步评审标准</w:t>
      </w:r>
    </w:p>
    <w:p>
      <w:pPr>
        <w:spacing w:line="500" w:lineRule="exact"/>
        <w:ind w:firstLine="480" w:firstLineChars="200"/>
        <w:rPr>
          <w:rFonts w:ascii="宋体" w:hAnsi="宋体"/>
          <w:sz w:val="24"/>
        </w:rPr>
      </w:pPr>
      <w:r>
        <w:rPr>
          <w:rFonts w:hint="eastAsia" w:ascii="宋体" w:hAnsi="宋体"/>
          <w:sz w:val="24"/>
        </w:rPr>
        <w:t>2.1.1形式评审标准：见评标办法前附表。</w:t>
      </w:r>
    </w:p>
    <w:p>
      <w:pPr>
        <w:spacing w:line="500" w:lineRule="exact"/>
        <w:ind w:firstLine="480" w:firstLineChars="200"/>
        <w:rPr>
          <w:rFonts w:ascii="宋体" w:hAnsi="宋体"/>
          <w:sz w:val="24"/>
        </w:rPr>
      </w:pPr>
      <w:r>
        <w:rPr>
          <w:rFonts w:hint="eastAsia" w:ascii="宋体" w:hAnsi="宋体"/>
          <w:sz w:val="24"/>
        </w:rPr>
        <w:t>2.1.2资格评审标准：见评标办法前附表。</w:t>
      </w:r>
    </w:p>
    <w:p>
      <w:pPr>
        <w:spacing w:line="500" w:lineRule="exact"/>
        <w:ind w:firstLine="480" w:firstLineChars="200"/>
        <w:rPr>
          <w:rFonts w:ascii="宋体" w:hAnsi="宋体"/>
          <w:sz w:val="24"/>
        </w:rPr>
      </w:pPr>
      <w:r>
        <w:rPr>
          <w:rFonts w:hint="eastAsia" w:ascii="宋体" w:hAnsi="宋体"/>
          <w:sz w:val="24"/>
        </w:rPr>
        <w:t>2.1.3响应性评审标准：见评标办法前附表。</w:t>
      </w:r>
    </w:p>
    <w:p>
      <w:pPr>
        <w:spacing w:line="500" w:lineRule="exact"/>
        <w:ind w:firstLine="480" w:firstLineChars="200"/>
        <w:rPr>
          <w:rFonts w:ascii="宋体" w:hAnsi="宋体"/>
          <w:sz w:val="24"/>
        </w:rPr>
      </w:pPr>
      <w:r>
        <w:rPr>
          <w:rFonts w:hint="eastAsia" w:ascii="宋体" w:hAnsi="宋体"/>
          <w:sz w:val="24"/>
        </w:rPr>
        <w:t xml:space="preserve">2.2 分值构成与评分标准 </w:t>
      </w:r>
    </w:p>
    <w:p>
      <w:pPr>
        <w:spacing w:line="500" w:lineRule="exact"/>
        <w:ind w:firstLine="480" w:firstLineChars="200"/>
        <w:rPr>
          <w:rFonts w:ascii="宋体" w:hAnsi="宋体"/>
          <w:sz w:val="24"/>
        </w:rPr>
      </w:pPr>
      <w:r>
        <w:rPr>
          <w:rFonts w:hint="eastAsia" w:ascii="宋体" w:hAnsi="宋体"/>
          <w:sz w:val="24"/>
        </w:rPr>
        <w:t xml:space="preserve">2.2.1 分值构成 </w:t>
      </w:r>
    </w:p>
    <w:p>
      <w:pPr>
        <w:spacing w:line="500" w:lineRule="exact"/>
        <w:ind w:firstLine="480" w:firstLineChars="200"/>
        <w:rPr>
          <w:rFonts w:ascii="宋体" w:hAnsi="宋体"/>
          <w:sz w:val="24"/>
        </w:rPr>
      </w:pPr>
      <w:r>
        <w:rPr>
          <w:rFonts w:hint="eastAsia" w:ascii="宋体" w:hAnsi="宋体"/>
          <w:sz w:val="24"/>
        </w:rPr>
        <w:t>施工组织设计：见评标办法前附表。</w:t>
      </w:r>
    </w:p>
    <w:p>
      <w:pPr>
        <w:spacing w:line="500" w:lineRule="exact"/>
        <w:ind w:firstLine="480" w:firstLineChars="200"/>
        <w:rPr>
          <w:rFonts w:ascii="宋体" w:hAnsi="宋体"/>
          <w:sz w:val="24"/>
        </w:rPr>
      </w:pPr>
      <w:r>
        <w:rPr>
          <w:rFonts w:hint="eastAsia" w:ascii="宋体" w:hAnsi="宋体"/>
          <w:sz w:val="24"/>
        </w:rPr>
        <w:t>项目管理机构：见评标办法前附表。</w:t>
      </w:r>
    </w:p>
    <w:p>
      <w:pPr>
        <w:spacing w:line="500" w:lineRule="exact"/>
        <w:ind w:firstLine="480" w:firstLineChars="200"/>
        <w:rPr>
          <w:rFonts w:ascii="宋体" w:hAnsi="宋体"/>
          <w:sz w:val="24"/>
        </w:rPr>
      </w:pPr>
      <w:r>
        <w:rPr>
          <w:rFonts w:hint="eastAsia" w:ascii="宋体" w:hAnsi="宋体"/>
          <w:sz w:val="24"/>
        </w:rPr>
        <w:t>技术能力：见评标办法前附表。</w:t>
      </w:r>
    </w:p>
    <w:p>
      <w:pPr>
        <w:spacing w:line="500" w:lineRule="exact"/>
        <w:ind w:firstLine="480" w:firstLineChars="200"/>
        <w:rPr>
          <w:rFonts w:ascii="宋体" w:hAnsi="宋体"/>
          <w:sz w:val="24"/>
        </w:rPr>
      </w:pPr>
      <w:r>
        <w:rPr>
          <w:rFonts w:hint="eastAsia" w:ascii="宋体" w:hAnsi="宋体"/>
          <w:sz w:val="24"/>
        </w:rPr>
        <w:t>履约信誉：见评标办法前附表。</w:t>
      </w:r>
    </w:p>
    <w:p>
      <w:pPr>
        <w:spacing w:line="500" w:lineRule="exact"/>
        <w:ind w:firstLine="480" w:firstLineChars="200"/>
        <w:rPr>
          <w:rFonts w:ascii="宋体" w:hAnsi="宋体"/>
          <w:sz w:val="24"/>
        </w:rPr>
      </w:pPr>
      <w:r>
        <w:rPr>
          <w:rFonts w:hint="eastAsia" w:ascii="宋体" w:hAnsi="宋体"/>
          <w:sz w:val="24"/>
        </w:rPr>
        <w:t xml:space="preserve">2.2.2 施工组织设计评审标准 </w:t>
      </w:r>
    </w:p>
    <w:p>
      <w:pPr>
        <w:spacing w:line="500" w:lineRule="exact"/>
        <w:ind w:firstLine="480" w:firstLineChars="200"/>
        <w:rPr>
          <w:rFonts w:ascii="宋体" w:hAnsi="宋体"/>
          <w:sz w:val="24"/>
        </w:rPr>
      </w:pPr>
      <w:r>
        <w:rPr>
          <w:rFonts w:hint="eastAsia" w:ascii="宋体" w:hAnsi="宋体"/>
          <w:sz w:val="24"/>
        </w:rPr>
        <w:t xml:space="preserve">施工组织设计评审标准：见评标办法前附表。 </w:t>
      </w:r>
    </w:p>
    <w:p>
      <w:pPr>
        <w:spacing w:line="500" w:lineRule="exact"/>
        <w:ind w:firstLine="480" w:firstLineChars="200"/>
        <w:rPr>
          <w:rFonts w:ascii="宋体" w:hAnsi="宋体"/>
          <w:sz w:val="24"/>
        </w:rPr>
      </w:pPr>
      <w:r>
        <w:rPr>
          <w:rFonts w:hint="eastAsia" w:ascii="宋体" w:hAnsi="宋体"/>
          <w:sz w:val="24"/>
        </w:rPr>
        <w:t xml:space="preserve">2.2.3 项目管理机构评审标准 </w:t>
      </w:r>
    </w:p>
    <w:p>
      <w:pPr>
        <w:spacing w:line="500" w:lineRule="exact"/>
        <w:ind w:firstLine="480" w:firstLineChars="200"/>
        <w:rPr>
          <w:rFonts w:ascii="宋体" w:hAnsi="宋体"/>
          <w:sz w:val="24"/>
        </w:rPr>
      </w:pPr>
      <w:r>
        <w:rPr>
          <w:rFonts w:hint="eastAsia" w:ascii="宋体" w:hAnsi="宋体"/>
          <w:sz w:val="24"/>
        </w:rPr>
        <w:t xml:space="preserve">项目管理机构评审标准：见评标办法前附表。 </w:t>
      </w:r>
    </w:p>
    <w:p>
      <w:pPr>
        <w:spacing w:line="500" w:lineRule="exact"/>
        <w:ind w:firstLine="480" w:firstLineChars="200"/>
        <w:rPr>
          <w:rFonts w:ascii="宋体" w:hAnsi="宋体"/>
          <w:sz w:val="24"/>
        </w:rPr>
      </w:pPr>
      <w:r>
        <w:rPr>
          <w:rFonts w:hint="eastAsia" w:ascii="宋体" w:hAnsi="宋体"/>
          <w:sz w:val="24"/>
        </w:rPr>
        <w:t xml:space="preserve">2.2.4 技术能力评审标准 </w:t>
      </w:r>
    </w:p>
    <w:p>
      <w:pPr>
        <w:spacing w:line="500" w:lineRule="exact"/>
        <w:ind w:firstLine="480" w:firstLineChars="200"/>
        <w:rPr>
          <w:rFonts w:ascii="宋体" w:hAnsi="宋体"/>
          <w:sz w:val="24"/>
        </w:rPr>
      </w:pPr>
      <w:r>
        <w:rPr>
          <w:rFonts w:hint="eastAsia" w:ascii="宋体" w:hAnsi="宋体"/>
          <w:sz w:val="24"/>
        </w:rPr>
        <w:t>技术能力评审标准：见评标办法前附表。</w:t>
      </w:r>
    </w:p>
    <w:p>
      <w:pPr>
        <w:spacing w:line="500" w:lineRule="exact"/>
        <w:ind w:firstLine="480" w:firstLineChars="200"/>
        <w:rPr>
          <w:rFonts w:ascii="宋体" w:hAnsi="宋体"/>
          <w:sz w:val="24"/>
        </w:rPr>
      </w:pPr>
      <w:r>
        <w:rPr>
          <w:rFonts w:hint="eastAsia" w:ascii="宋体" w:hAnsi="宋体"/>
          <w:sz w:val="24"/>
        </w:rPr>
        <w:t>2.2.5履约信誉评审标准</w:t>
      </w:r>
    </w:p>
    <w:p>
      <w:pPr>
        <w:spacing w:line="500" w:lineRule="exact"/>
        <w:ind w:firstLine="480" w:firstLineChars="200"/>
        <w:rPr>
          <w:rFonts w:ascii="宋体" w:hAnsi="宋体"/>
          <w:sz w:val="24"/>
        </w:rPr>
      </w:pPr>
      <w:r>
        <w:rPr>
          <w:rFonts w:hint="eastAsia" w:ascii="宋体" w:hAnsi="宋体"/>
          <w:sz w:val="24"/>
        </w:rPr>
        <w:t xml:space="preserve">履约信誉评审标准：见评标办法前附表。 </w:t>
      </w:r>
    </w:p>
    <w:p>
      <w:pPr>
        <w:spacing w:line="500" w:lineRule="exact"/>
        <w:rPr>
          <w:rFonts w:ascii="宋体" w:hAnsi="宋体"/>
          <w:b/>
          <w:sz w:val="24"/>
        </w:rPr>
      </w:pPr>
      <w:r>
        <w:rPr>
          <w:rFonts w:hint="eastAsia" w:ascii="宋体" w:hAnsi="宋体"/>
          <w:b/>
          <w:sz w:val="24"/>
        </w:rPr>
        <w:t>3.评标程序</w:t>
      </w:r>
    </w:p>
    <w:p>
      <w:pPr>
        <w:spacing w:line="500" w:lineRule="exact"/>
        <w:rPr>
          <w:rFonts w:ascii="宋体" w:hAnsi="宋体"/>
          <w:b/>
          <w:sz w:val="24"/>
        </w:rPr>
      </w:pPr>
      <w:r>
        <w:rPr>
          <w:rFonts w:hint="eastAsia" w:ascii="宋体" w:hAnsi="宋体"/>
          <w:b/>
          <w:sz w:val="24"/>
        </w:rPr>
        <w:t>3.1初步评审</w:t>
      </w:r>
    </w:p>
    <w:p>
      <w:pPr>
        <w:spacing w:line="500" w:lineRule="exact"/>
        <w:ind w:firstLine="482" w:firstLineChars="200"/>
        <w:rPr>
          <w:rFonts w:ascii="宋体" w:hAnsi="宋体"/>
          <w:sz w:val="24"/>
        </w:rPr>
      </w:pPr>
      <w:r>
        <w:rPr>
          <w:rFonts w:hint="eastAsia" w:ascii="宋体" w:hAnsi="宋体"/>
          <w:b/>
          <w:sz w:val="24"/>
        </w:rPr>
        <w:t>3.1.1</w:t>
      </w:r>
      <w:r>
        <w:rPr>
          <w:rFonts w:hint="eastAsia" w:ascii="宋体" w:hAnsi="宋体"/>
          <w:sz w:val="24"/>
        </w:rPr>
        <w:t xml:space="preserve"> 评标委员会依据本章第 2.1.1、2.1.3 项规定的评审标准对投标文件进行形式评审与响应性评审。有一项不符合评审标准的作废标处理。然后对本章第 2.1.2 项规定的评审标准对投标文件进行资格审查。有一项不符合资格审查条件的作废标处理。通过初步评审的投标文件为有效投标文件进入下一阶段详细评审。未通过初步评审的投标文件其投标价将不予宣读。 </w:t>
      </w:r>
    </w:p>
    <w:p>
      <w:pPr>
        <w:spacing w:line="500" w:lineRule="exact"/>
        <w:ind w:firstLine="482" w:firstLineChars="200"/>
        <w:rPr>
          <w:rFonts w:ascii="宋体" w:hAnsi="宋体"/>
          <w:sz w:val="24"/>
        </w:rPr>
      </w:pPr>
      <w:r>
        <w:rPr>
          <w:rFonts w:hint="eastAsia" w:ascii="宋体" w:hAnsi="宋体"/>
          <w:b/>
          <w:sz w:val="24"/>
        </w:rPr>
        <w:t xml:space="preserve">3.1.2 </w:t>
      </w:r>
      <w:r>
        <w:rPr>
          <w:rFonts w:hint="eastAsia" w:ascii="宋体" w:hAnsi="宋体"/>
          <w:sz w:val="24"/>
        </w:rPr>
        <w:t>投标人有以下情形之一的其投标作废标处理：</w:t>
      </w:r>
    </w:p>
    <w:p>
      <w:pPr>
        <w:spacing w:line="500" w:lineRule="exact"/>
        <w:ind w:firstLine="480" w:firstLineChars="200"/>
        <w:rPr>
          <w:rFonts w:ascii="宋体" w:hAnsi="宋体"/>
          <w:sz w:val="24"/>
        </w:rPr>
      </w:pPr>
      <w:r>
        <w:rPr>
          <w:rFonts w:hint="eastAsia" w:ascii="宋体" w:hAnsi="宋体"/>
          <w:sz w:val="24"/>
        </w:rPr>
        <w:t xml:space="preserve">（1）第二章“投标人须知”第 1.4.3 项规定的任何一种情形的。 </w:t>
      </w:r>
    </w:p>
    <w:p>
      <w:pPr>
        <w:spacing w:line="500" w:lineRule="exact"/>
        <w:ind w:firstLine="480" w:firstLineChars="200"/>
        <w:rPr>
          <w:rFonts w:hint="eastAsia" w:ascii="宋体" w:hAnsi="宋体"/>
          <w:sz w:val="24"/>
        </w:rPr>
      </w:pPr>
      <w:r>
        <w:rPr>
          <w:rFonts w:hint="eastAsia" w:ascii="宋体" w:hAnsi="宋体"/>
          <w:sz w:val="24"/>
        </w:rPr>
        <w:t>（2）串通投标或弄虚作假或有其他违法行为的。</w:t>
      </w:r>
    </w:p>
    <w:p>
      <w:pPr>
        <w:spacing w:line="500" w:lineRule="exact"/>
        <w:ind w:firstLine="480" w:firstLineChars="200"/>
      </w:pPr>
      <w:r>
        <w:rPr>
          <w:rFonts w:hint="eastAsia" w:ascii="宋体" w:hAnsi="宋体"/>
          <w:b/>
          <w:bCs/>
          <w:sz w:val="24"/>
        </w:rPr>
        <w:t>（</w:t>
      </w:r>
      <w:r>
        <w:rPr>
          <w:rFonts w:hint="eastAsia" w:ascii="宋体" w:hAnsi="宋体"/>
          <w:b/>
          <w:bCs/>
          <w:sz w:val="24"/>
          <w:lang w:val="en-US" w:eastAsia="zh-CN"/>
        </w:rPr>
        <w:t>3</w:t>
      </w:r>
      <w:r>
        <w:rPr>
          <w:rFonts w:hint="eastAsia" w:ascii="宋体" w:hAnsi="宋体"/>
          <w:b/>
          <w:bCs/>
          <w:sz w:val="24"/>
        </w:rPr>
        <w:t>）.不同投标人电子投标文件制作硬件特征码（网卡MAC地址、CPU序号、硬盘序列号等）雷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p>
      <w:pPr>
        <w:spacing w:line="500" w:lineRule="exact"/>
        <w:ind w:firstLine="482" w:firstLineChars="200"/>
        <w:rPr>
          <w:rFonts w:ascii="宋体" w:hAnsi="宋体"/>
          <w:sz w:val="24"/>
        </w:rPr>
      </w:pPr>
      <w:r>
        <w:rPr>
          <w:rFonts w:hint="eastAsia" w:ascii="宋体" w:hAnsi="宋体"/>
          <w:b/>
          <w:sz w:val="24"/>
        </w:rPr>
        <w:t>3.1.3</w:t>
      </w:r>
      <w:r>
        <w:rPr>
          <w:rFonts w:hint="eastAsia" w:ascii="宋体" w:hAnsi="宋体"/>
          <w:sz w:val="24"/>
        </w:rPr>
        <w:t>投标报价有算术错误的，评标委员会按以下原则对投标报价进行修正，修正的价格经投标人书面确认后具有约束力。投标人不接受修正价格的，其投标作废标处理，并没收其投标担保。</w:t>
      </w:r>
    </w:p>
    <w:p>
      <w:pPr>
        <w:spacing w:line="500" w:lineRule="exact"/>
        <w:ind w:firstLine="480" w:firstLineChars="200"/>
        <w:rPr>
          <w:rFonts w:ascii="宋体" w:hAnsi="宋体"/>
          <w:sz w:val="24"/>
        </w:rPr>
      </w:pPr>
      <w:r>
        <w:rPr>
          <w:rFonts w:hint="eastAsia" w:ascii="宋体" w:hAnsi="宋体"/>
          <w:sz w:val="24"/>
        </w:rPr>
        <w:t>(1)投标文件中的大写金额与小写金额不一致的，以大写金额为准；</w:t>
      </w:r>
    </w:p>
    <w:p>
      <w:pPr>
        <w:spacing w:line="500" w:lineRule="exact"/>
        <w:ind w:firstLine="480" w:firstLineChars="200"/>
        <w:rPr>
          <w:rFonts w:ascii="宋体" w:hAnsi="宋体"/>
          <w:sz w:val="24"/>
        </w:rPr>
      </w:pPr>
      <w:r>
        <w:rPr>
          <w:rFonts w:hint="eastAsia" w:ascii="宋体" w:hAnsi="宋体"/>
          <w:sz w:val="24"/>
        </w:rPr>
        <w:t>(2)总价金额与依据单价计算出的结果不一致的，以单价金额为准修正总价，但单价金额小数点有明显错误的除外；</w:t>
      </w:r>
    </w:p>
    <w:p>
      <w:pPr>
        <w:spacing w:line="500" w:lineRule="exact"/>
        <w:ind w:firstLine="480" w:firstLineChars="200"/>
        <w:rPr>
          <w:rFonts w:ascii="宋体" w:hAnsi="宋体"/>
          <w:sz w:val="24"/>
        </w:rPr>
      </w:pPr>
      <w:r>
        <w:rPr>
          <w:rFonts w:hint="eastAsia" w:ascii="宋体" w:hAnsi="宋体"/>
          <w:sz w:val="24"/>
        </w:rPr>
        <w:t>(3)当单价与数量相乘不等于合价时，以单价计算为准，如果单价有明显的小数点位置差错，应以标出的合价为准，同时对单价予以修正；</w:t>
      </w:r>
    </w:p>
    <w:p>
      <w:pPr>
        <w:spacing w:line="500" w:lineRule="exact"/>
        <w:ind w:firstLine="480" w:firstLineChars="200"/>
        <w:rPr>
          <w:rFonts w:ascii="宋体" w:hAnsi="宋体"/>
          <w:sz w:val="24"/>
        </w:rPr>
      </w:pPr>
      <w:r>
        <w:rPr>
          <w:rFonts w:hint="eastAsia" w:ascii="宋体" w:hAnsi="宋体"/>
          <w:sz w:val="24"/>
        </w:rPr>
        <w:t>(4)当各子目的合价累计不等于总价时，应以各子目合价累计数为准，修正总价。</w:t>
      </w:r>
    </w:p>
    <w:p>
      <w:pPr>
        <w:spacing w:line="500" w:lineRule="exact"/>
        <w:ind w:firstLine="482" w:firstLineChars="200"/>
        <w:rPr>
          <w:rFonts w:ascii="宋体" w:hAnsi="宋体"/>
          <w:sz w:val="24"/>
        </w:rPr>
      </w:pPr>
      <w:r>
        <w:rPr>
          <w:rFonts w:hint="eastAsia" w:ascii="宋体" w:hAnsi="宋体"/>
          <w:b/>
          <w:sz w:val="24"/>
        </w:rPr>
        <w:t>3.1.4</w:t>
      </w:r>
      <w:r>
        <w:rPr>
          <w:rFonts w:hint="eastAsia" w:ascii="宋体" w:hAnsi="宋体"/>
          <w:sz w:val="24"/>
        </w:rPr>
        <w:t>工程量清单中的投标报价有其他错误的，评标委员会按以下原则对投标报价进行修正，修正的价格经投标人书面确认后具有约束力。投标人不接受修正价格的，其投标作废标处理，并没收其投标担保。</w:t>
      </w:r>
    </w:p>
    <w:p>
      <w:pPr>
        <w:spacing w:line="500" w:lineRule="exact"/>
        <w:ind w:firstLine="480" w:firstLineChars="200"/>
        <w:rPr>
          <w:rFonts w:ascii="宋体" w:hAnsi="宋体"/>
          <w:sz w:val="24"/>
        </w:rPr>
      </w:pPr>
      <w:r>
        <w:rPr>
          <w:rFonts w:hint="eastAsia" w:ascii="宋体" w:hAnsi="宋体"/>
          <w:sz w:val="24"/>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500" w:lineRule="exact"/>
        <w:ind w:firstLine="480" w:firstLineChars="200"/>
        <w:rPr>
          <w:rFonts w:ascii="宋体" w:hAnsi="宋体"/>
          <w:sz w:val="24"/>
        </w:rPr>
      </w:pPr>
      <w:r>
        <w:rPr>
          <w:rFonts w:hint="eastAsia" w:ascii="宋体" w:hAnsi="宋体"/>
          <w:sz w:val="24"/>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500" w:lineRule="exact"/>
        <w:ind w:firstLine="480" w:firstLineChars="200"/>
        <w:rPr>
          <w:rFonts w:ascii="宋体" w:hAnsi="宋体"/>
          <w:sz w:val="24"/>
        </w:rPr>
      </w:pPr>
      <w:r>
        <w:rPr>
          <w:rFonts w:hint="eastAsia" w:ascii="宋体" w:hAnsi="宋体"/>
          <w:sz w:val="24"/>
        </w:rPr>
        <w:t>(3)当单价与数量的乘积与合价(金额)虽然一致，但投标人修改了该子目的工程数量，则其合价按招标人给定的工程数量乘以投标人所报单价予以修正。</w:t>
      </w:r>
    </w:p>
    <w:p>
      <w:pPr>
        <w:spacing w:line="500" w:lineRule="exact"/>
        <w:ind w:firstLine="482" w:firstLineChars="200"/>
        <w:rPr>
          <w:rFonts w:ascii="宋体" w:hAnsi="宋体"/>
          <w:sz w:val="24"/>
        </w:rPr>
      </w:pPr>
      <w:r>
        <w:rPr>
          <w:rFonts w:hint="eastAsia" w:ascii="宋体" w:hAnsi="宋体"/>
          <w:b/>
          <w:sz w:val="24"/>
        </w:rPr>
        <w:t>3.1.5</w:t>
      </w:r>
      <w:r>
        <w:rPr>
          <w:rFonts w:hint="eastAsia" w:ascii="宋体" w:hAnsi="宋体"/>
          <w:sz w:val="24"/>
        </w:rPr>
        <w:t>修正后的最终投标报价若超过投标控制价上限(如有)，投标人的投标文件作废标处理。</w:t>
      </w:r>
    </w:p>
    <w:p>
      <w:pPr>
        <w:spacing w:line="500" w:lineRule="exact"/>
        <w:ind w:firstLine="482" w:firstLineChars="200"/>
        <w:rPr>
          <w:rFonts w:ascii="宋体" w:hAnsi="宋体"/>
          <w:sz w:val="24"/>
        </w:rPr>
      </w:pPr>
      <w:r>
        <w:rPr>
          <w:rFonts w:hint="eastAsia" w:ascii="宋体" w:hAnsi="宋体"/>
          <w:b/>
          <w:sz w:val="24"/>
        </w:rPr>
        <w:t>3.1.6</w:t>
      </w:r>
      <w:r>
        <w:rPr>
          <w:rFonts w:hint="eastAsia" w:ascii="宋体" w:hAnsi="宋体"/>
          <w:sz w:val="24"/>
        </w:rPr>
        <w:t>修正后的最终投标报价作为签订合同的一个依据，不参与评标价得分的计算。</w:t>
      </w:r>
    </w:p>
    <w:p>
      <w:pPr>
        <w:spacing w:line="500" w:lineRule="exact"/>
        <w:ind w:firstLine="482" w:firstLineChars="200"/>
        <w:rPr>
          <w:rFonts w:ascii="宋体" w:hAnsi="宋体"/>
          <w:b/>
          <w:sz w:val="24"/>
        </w:rPr>
      </w:pPr>
      <w:r>
        <w:rPr>
          <w:rFonts w:hint="eastAsia" w:ascii="宋体" w:hAnsi="宋体"/>
          <w:b/>
          <w:sz w:val="24"/>
        </w:rPr>
        <w:t xml:space="preserve">3.2 详细评审 </w:t>
      </w:r>
    </w:p>
    <w:p>
      <w:pPr>
        <w:spacing w:line="500" w:lineRule="exact"/>
        <w:ind w:firstLine="480" w:firstLineChars="200"/>
        <w:rPr>
          <w:rFonts w:ascii="宋体" w:hAnsi="宋体"/>
          <w:sz w:val="24"/>
        </w:rPr>
      </w:pPr>
      <w:r>
        <w:rPr>
          <w:rFonts w:hint="eastAsia" w:ascii="宋体" w:hAnsi="宋体"/>
          <w:sz w:val="24"/>
        </w:rPr>
        <w:t xml:space="preserve">3.2.1 评标委员会按本章第2.2款规定的量化因素和分值进行打分并计算出评标得分，按得分由高到低顺序取前三名进入第二信封（投标报价和工程量清单）评审，并按投标报价由低到高顺序推荐中标候选人。 </w:t>
      </w:r>
    </w:p>
    <w:p>
      <w:pPr>
        <w:spacing w:line="500" w:lineRule="exact"/>
        <w:ind w:firstLine="480" w:firstLineChars="200"/>
        <w:rPr>
          <w:rFonts w:ascii="宋体" w:hAnsi="宋体"/>
          <w:sz w:val="24"/>
        </w:rPr>
      </w:pPr>
      <w:r>
        <w:rPr>
          <w:rFonts w:hint="eastAsia" w:ascii="宋体" w:hAnsi="宋体"/>
          <w:sz w:val="24"/>
        </w:rPr>
        <w:t xml:space="preserve">3.2.2 评标得分计算保留小数点后两位，小数点后第三位“四舍五入”。 </w:t>
      </w:r>
    </w:p>
    <w:p>
      <w:pPr>
        <w:spacing w:line="500" w:lineRule="exact"/>
        <w:ind w:firstLine="480" w:firstLineChars="200"/>
        <w:rPr>
          <w:rFonts w:ascii="宋体" w:hAnsi="宋体"/>
          <w:sz w:val="24"/>
        </w:rPr>
      </w:pPr>
      <w:r>
        <w:rPr>
          <w:rFonts w:hint="eastAsia" w:ascii="宋体" w:hAnsi="宋体"/>
          <w:sz w:val="24"/>
        </w:rPr>
        <w:t xml:space="preserve">3.2.3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 </w:t>
      </w:r>
    </w:p>
    <w:p>
      <w:pPr>
        <w:spacing w:line="500" w:lineRule="exact"/>
        <w:ind w:firstLine="482" w:firstLineChars="200"/>
        <w:rPr>
          <w:rFonts w:ascii="宋体" w:hAnsi="宋体"/>
          <w:sz w:val="24"/>
        </w:rPr>
      </w:pPr>
      <w:r>
        <w:rPr>
          <w:rFonts w:hint="eastAsia" w:ascii="宋体" w:hAnsi="宋体"/>
          <w:b/>
          <w:sz w:val="24"/>
        </w:rPr>
        <w:t xml:space="preserve">3.3 </w:t>
      </w:r>
      <w:r>
        <w:rPr>
          <w:rFonts w:hint="eastAsia" w:ascii="宋体" w:hAnsi="宋体"/>
          <w:sz w:val="24"/>
        </w:rPr>
        <w:t xml:space="preserve">投标文件的澄清和补正 </w:t>
      </w:r>
    </w:p>
    <w:p>
      <w:pPr>
        <w:spacing w:line="500" w:lineRule="exact"/>
        <w:ind w:firstLine="480" w:firstLineChars="200"/>
        <w:rPr>
          <w:rFonts w:ascii="宋体" w:hAnsi="宋体"/>
          <w:sz w:val="24"/>
        </w:rPr>
      </w:pPr>
      <w:r>
        <w:rPr>
          <w:rFonts w:hint="eastAsia" w:ascii="宋体" w:hAnsi="宋体"/>
          <w:sz w:val="24"/>
        </w:rPr>
        <w:t xml:space="preserve">3.3.1 在评标过程中，评标委员会可以书面形式要求投标人对所提交投标文件中不明确的内容进行书面澄清或说明，或者对细微偏差进行补正。评标委员会不接受投标人主动提出的澄清、说明或补正。 </w:t>
      </w:r>
    </w:p>
    <w:p>
      <w:pPr>
        <w:spacing w:line="500" w:lineRule="exact"/>
        <w:ind w:firstLine="480" w:firstLineChars="200"/>
        <w:rPr>
          <w:rFonts w:ascii="宋体" w:hAnsi="宋体"/>
          <w:sz w:val="24"/>
        </w:rPr>
      </w:pPr>
      <w:r>
        <w:rPr>
          <w:rFonts w:hint="eastAsia" w:ascii="宋体" w:hAnsi="宋体"/>
          <w:sz w:val="24"/>
        </w:rPr>
        <w:t>3.3.2 澄清、说明和补正不得改变投标文件的实质性内容（算术性错误修正的除外）。投标人的书面澄清、说明和补正属于投标文件的组成部分。</w:t>
      </w:r>
    </w:p>
    <w:p>
      <w:pPr>
        <w:spacing w:line="500" w:lineRule="exact"/>
        <w:ind w:firstLine="480" w:firstLineChars="200"/>
        <w:rPr>
          <w:rFonts w:ascii="宋体" w:hAnsi="宋体"/>
          <w:sz w:val="24"/>
        </w:rPr>
      </w:pPr>
      <w:r>
        <w:rPr>
          <w:rFonts w:hint="eastAsia" w:ascii="宋体" w:hAnsi="宋体"/>
          <w:sz w:val="24"/>
        </w:rPr>
        <w:t>3.3.3评标委员会对投标人提交的澄清、说明或补正有疑问的，可以要求投标人进一步澄清、说明或补正，直至满足评标委员会的要求。</w:t>
      </w:r>
    </w:p>
    <w:p>
      <w:pPr>
        <w:spacing w:line="500" w:lineRule="exact"/>
        <w:ind w:firstLine="482" w:firstLineChars="200"/>
        <w:rPr>
          <w:rFonts w:ascii="宋体" w:hAnsi="宋体"/>
          <w:sz w:val="24"/>
        </w:rPr>
      </w:pPr>
      <w:r>
        <w:rPr>
          <w:rFonts w:hint="eastAsia" w:ascii="宋体" w:hAnsi="宋体"/>
          <w:b/>
          <w:sz w:val="24"/>
        </w:rPr>
        <w:t>3.3.4</w:t>
      </w:r>
      <w:r>
        <w:rPr>
          <w:rFonts w:hint="eastAsia" w:ascii="宋体" w:hAnsi="宋体"/>
          <w:sz w:val="24"/>
        </w:rPr>
        <w:t>凡超出招标文件规定的或给发包人带来未曾要求的利益的变化、偏差或其他因素在评标时不予考虑。</w:t>
      </w:r>
    </w:p>
    <w:p>
      <w:pPr>
        <w:spacing w:line="500" w:lineRule="exact"/>
        <w:rPr>
          <w:rFonts w:ascii="宋体" w:hAnsi="宋体"/>
          <w:b/>
          <w:sz w:val="24"/>
        </w:rPr>
      </w:pPr>
      <w:r>
        <w:rPr>
          <w:rFonts w:hint="eastAsia" w:ascii="宋体" w:hAnsi="宋体"/>
          <w:b/>
          <w:sz w:val="24"/>
        </w:rPr>
        <w:t>3.4评标结果</w:t>
      </w:r>
    </w:p>
    <w:p>
      <w:pPr>
        <w:spacing w:line="500" w:lineRule="exact"/>
        <w:ind w:firstLine="480" w:firstLineChars="200"/>
        <w:rPr>
          <w:rFonts w:ascii="宋体" w:hAnsi="宋体"/>
          <w:sz w:val="24"/>
        </w:rPr>
      </w:pPr>
      <w:r>
        <w:rPr>
          <w:rFonts w:hint="eastAsia" w:ascii="宋体" w:hAnsi="宋体"/>
          <w:sz w:val="24"/>
        </w:rPr>
        <w:t xml:space="preserve">3.4.1评标委员会按照通过投标文件第一信封（商务及技术文件）评审的前三名投标报价由低到高的顺序推荐中标候选人。 </w:t>
      </w:r>
    </w:p>
    <w:p>
      <w:pPr>
        <w:spacing w:line="500" w:lineRule="exact"/>
        <w:ind w:firstLine="480" w:firstLineChars="200"/>
        <w:rPr>
          <w:rFonts w:ascii="宋体" w:hAnsi="宋体"/>
          <w:sz w:val="24"/>
        </w:rPr>
      </w:pPr>
      <w:r>
        <w:rPr>
          <w:rFonts w:hint="eastAsia" w:ascii="宋体" w:hAnsi="宋体"/>
          <w:sz w:val="24"/>
        </w:rPr>
        <w:t>3.4.2 评标委员会完成评标后，应当向招标人提交书面评标报告。</w:t>
      </w:r>
    </w:p>
    <w:p>
      <w:pPr>
        <w:spacing w:line="500" w:lineRule="exact"/>
        <w:ind w:firstLine="482" w:firstLineChars="200"/>
        <w:rPr>
          <w:rFonts w:ascii="宋体" w:hAnsi="宋体"/>
          <w:b/>
          <w:bCs/>
          <w:sz w:val="24"/>
        </w:rPr>
      </w:pPr>
      <w:r>
        <w:rPr>
          <w:rFonts w:hint="eastAsia" w:ascii="宋体" w:hAnsi="宋体"/>
          <w:b/>
          <w:bCs/>
          <w:sz w:val="24"/>
        </w:rPr>
        <w:t>需要注意的问题：</w:t>
      </w:r>
    </w:p>
    <w:p>
      <w:pPr>
        <w:spacing w:line="500" w:lineRule="exact"/>
        <w:ind w:firstLine="482" w:firstLineChars="200"/>
        <w:rPr>
          <w:rFonts w:ascii="宋体" w:hAnsi="宋体"/>
          <w:b/>
          <w:bCs/>
          <w:sz w:val="24"/>
        </w:rPr>
      </w:pPr>
      <w:r>
        <w:rPr>
          <w:rFonts w:hint="eastAsia" w:ascii="宋体" w:hAnsi="宋体"/>
          <w:b/>
          <w:bCs/>
          <w:sz w:val="24"/>
        </w:rPr>
        <w:t>投标文件第一个信封(商务及技术文件)不得出现有关投标报价的内容，否则评标委员会将对投标文件第一个信封(商务及技术文件)作废标处理。</w:t>
      </w:r>
    </w:p>
    <w:p>
      <w:pPr>
        <w:adjustRightInd w:val="0"/>
        <w:snapToGrid w:val="0"/>
        <w:spacing w:line="360" w:lineRule="auto"/>
        <w:ind w:firstLine="480" w:firstLineChars="200"/>
        <w:jc w:val="center"/>
        <w:rPr>
          <w:rFonts w:ascii="宋体" w:hAnsi="宋体"/>
          <w:sz w:val="24"/>
        </w:rPr>
      </w:pPr>
    </w:p>
    <w:p>
      <w:pPr>
        <w:pStyle w:val="2"/>
        <w:ind w:firstLine="210"/>
      </w:pPr>
    </w:p>
    <w:p>
      <w:pPr>
        <w:pStyle w:val="2"/>
        <w:ind w:firstLine="210"/>
      </w:pPr>
    </w:p>
    <w:p>
      <w:pPr>
        <w:adjustRightInd w:val="0"/>
        <w:snapToGrid w:val="0"/>
        <w:spacing w:line="360" w:lineRule="auto"/>
        <w:jc w:val="center"/>
        <w:outlineLvl w:val="0"/>
        <w:rPr>
          <w:rFonts w:hint="eastAsia" w:ascii="黑体" w:eastAsia="黑体"/>
          <w:sz w:val="44"/>
          <w:szCs w:val="44"/>
        </w:rPr>
      </w:pPr>
      <w:r>
        <w:rPr>
          <w:rFonts w:hint="eastAsia" w:ascii="黑体" w:eastAsia="黑体"/>
          <w:sz w:val="44"/>
          <w:szCs w:val="44"/>
        </w:rPr>
        <w:br w:type="page"/>
      </w:r>
    </w:p>
    <w:p>
      <w:pPr>
        <w:adjustRightInd w:val="0"/>
        <w:snapToGrid w:val="0"/>
        <w:spacing w:line="360" w:lineRule="auto"/>
        <w:jc w:val="center"/>
        <w:outlineLvl w:val="0"/>
        <w:rPr>
          <w:rFonts w:ascii="黑体" w:eastAsia="黑体"/>
          <w:sz w:val="44"/>
          <w:szCs w:val="44"/>
        </w:rPr>
      </w:pPr>
      <w:r>
        <w:rPr>
          <w:rFonts w:hint="eastAsia" w:ascii="黑体" w:eastAsia="黑体"/>
          <w:sz w:val="44"/>
          <w:szCs w:val="44"/>
        </w:rPr>
        <w:t>第四章 合同条款及格式</w:t>
      </w:r>
    </w:p>
    <w:p>
      <w:pPr>
        <w:adjustRightInd w:val="0"/>
        <w:snapToGrid w:val="0"/>
        <w:spacing w:line="360" w:lineRule="auto"/>
        <w:jc w:val="center"/>
        <w:outlineLvl w:val="0"/>
        <w:rPr>
          <w:rFonts w:ascii="黑体" w:eastAsia="黑体"/>
          <w:bCs/>
          <w:sz w:val="36"/>
          <w:szCs w:val="36"/>
        </w:rPr>
      </w:pPr>
      <w:bookmarkStart w:id="206" w:name="_Toc9501"/>
      <w:r>
        <w:rPr>
          <w:rFonts w:hint="eastAsia" w:ascii="黑体" w:eastAsia="黑体"/>
          <w:bCs/>
          <w:sz w:val="36"/>
          <w:szCs w:val="36"/>
        </w:rPr>
        <w:t>第一节 通用合同条款</w:t>
      </w:r>
      <w:bookmarkEnd w:id="206"/>
    </w:p>
    <w:p>
      <w:pPr>
        <w:adjustRightInd w:val="0"/>
        <w:snapToGrid w:val="0"/>
        <w:spacing w:line="360" w:lineRule="auto"/>
        <w:jc w:val="center"/>
        <w:rPr>
          <w:rFonts w:ascii="仿宋_GB2312" w:eastAsia="仿宋_GB2312"/>
          <w:sz w:val="24"/>
        </w:rPr>
      </w:pPr>
    </w:p>
    <w:p>
      <w:pPr>
        <w:adjustRightInd w:val="0"/>
        <w:snapToGrid w:val="0"/>
        <w:spacing w:line="360" w:lineRule="auto"/>
        <w:jc w:val="center"/>
        <w:rPr>
          <w:rFonts w:ascii="黑体" w:eastAsia="黑体"/>
          <w:b/>
          <w:sz w:val="44"/>
          <w:szCs w:val="44"/>
        </w:rPr>
      </w:pPr>
      <w:r>
        <w:rPr>
          <w:rFonts w:hint="eastAsia" w:ascii="仿宋_GB2312" w:eastAsia="仿宋_GB2312"/>
          <w:sz w:val="24"/>
        </w:rPr>
        <w:t>参见中华人民共和国《标准施工招标文件》（2007年版）</w:t>
      </w: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widowControl/>
        <w:jc w:val="left"/>
      </w:pPr>
      <w:r>
        <w:rPr>
          <w:rFonts w:ascii="宋体" w:hAnsi="宋体" w:cs="宋体"/>
          <w:kern w:val="0"/>
          <w:sz w:val="24"/>
        </w:rPr>
        <w:pict>
          <v:shape id="_x0000_i1025" o:spt="75" type="#_x0000_t75" style="height:24pt;width:24pt;" filled="f" o:preferrelative="t" stroked="f" coordsize="21600,21600">
            <v:path/>
            <v:fill on="f" focussize="0,0"/>
            <v:stroke on="f" joinstyle="miter"/>
            <v:imagedata o:title=""/>
            <o:lock v:ext="edit" aspectratio="t"/>
            <w10:wrap type="none"/>
            <w10:anchorlock/>
          </v:shape>
        </w:pict>
      </w: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pageBreakBefore/>
        <w:tabs>
          <w:tab w:val="left" w:pos="4500"/>
        </w:tabs>
        <w:spacing w:line="520" w:lineRule="exact"/>
        <w:jc w:val="center"/>
        <w:rPr>
          <w:rFonts w:ascii="黑体" w:eastAsia="黑体"/>
          <w:bCs/>
          <w:sz w:val="36"/>
          <w:szCs w:val="36"/>
        </w:rPr>
      </w:pPr>
      <w:r>
        <w:rPr>
          <w:rFonts w:hint="eastAsia" w:ascii="黑体" w:eastAsia="黑体"/>
          <w:bCs/>
          <w:sz w:val="36"/>
          <w:szCs w:val="36"/>
        </w:rPr>
        <w:t>第二节 专用合同条款</w:t>
      </w:r>
    </w:p>
    <w:p>
      <w:pPr>
        <w:tabs>
          <w:tab w:val="left" w:pos="4500"/>
        </w:tabs>
        <w:spacing w:line="520" w:lineRule="exact"/>
        <w:rPr>
          <w:rFonts w:hAnsi="宋体"/>
          <w:bCs/>
          <w:sz w:val="24"/>
          <w:szCs w:val="28"/>
        </w:rPr>
      </w:pPr>
    </w:p>
    <w:p>
      <w:pPr>
        <w:adjustRightInd w:val="0"/>
        <w:snapToGrid w:val="0"/>
        <w:spacing w:beforeLines="100" w:afterLines="100" w:line="360" w:lineRule="auto"/>
        <w:jc w:val="center"/>
        <w:rPr>
          <w:rFonts w:eastAsia="黑体"/>
          <w:sz w:val="32"/>
          <w:szCs w:val="32"/>
        </w:rPr>
      </w:pPr>
      <w:bookmarkStart w:id="207" w:name="_Toc132601562"/>
      <w:r>
        <w:rPr>
          <w:rFonts w:eastAsia="黑体"/>
          <w:sz w:val="32"/>
          <w:szCs w:val="32"/>
        </w:rPr>
        <w:t>A．公路行业标准专用合同条款</w:t>
      </w:r>
    </w:p>
    <w:p>
      <w:pPr>
        <w:adjustRightInd w:val="0"/>
        <w:snapToGrid w:val="0"/>
        <w:spacing w:line="360" w:lineRule="auto"/>
        <w:rPr>
          <w:rFonts w:eastAsia="黑体"/>
          <w:sz w:val="24"/>
        </w:rPr>
      </w:pPr>
      <w:r>
        <w:rPr>
          <w:rFonts w:eastAsia="黑体"/>
          <w:sz w:val="24"/>
        </w:rPr>
        <w:t>1．一般约定</w:t>
      </w:r>
    </w:p>
    <w:p>
      <w:pPr>
        <w:adjustRightInd w:val="0"/>
        <w:snapToGrid w:val="0"/>
        <w:spacing w:line="360" w:lineRule="auto"/>
        <w:rPr>
          <w:rFonts w:eastAsia="黑体"/>
          <w:sz w:val="24"/>
        </w:rPr>
      </w:pPr>
      <w:r>
        <w:rPr>
          <w:rFonts w:eastAsia="黑体"/>
          <w:sz w:val="24"/>
        </w:rPr>
        <w:t>1.1词语定义</w:t>
      </w:r>
    </w:p>
    <w:p>
      <w:pPr>
        <w:adjustRightInd w:val="0"/>
        <w:snapToGrid w:val="0"/>
        <w:spacing w:line="360" w:lineRule="auto"/>
        <w:ind w:firstLine="480" w:firstLineChars="200"/>
        <w:rPr>
          <w:rFonts w:eastAsia="黑体"/>
          <w:sz w:val="24"/>
        </w:rPr>
      </w:pPr>
      <w:r>
        <w:rPr>
          <w:rFonts w:eastAsia="黑体"/>
          <w:sz w:val="24"/>
        </w:rPr>
        <w:t>1.1.1合同</w:t>
      </w:r>
    </w:p>
    <w:p>
      <w:pPr>
        <w:adjustRightInd w:val="0"/>
        <w:snapToGrid w:val="0"/>
        <w:spacing w:line="360" w:lineRule="auto"/>
        <w:ind w:firstLine="720" w:firstLineChars="300"/>
        <w:rPr>
          <w:sz w:val="24"/>
        </w:rPr>
      </w:pPr>
      <w:r>
        <w:rPr>
          <w:sz w:val="24"/>
        </w:rPr>
        <w:t>1.1.1.6技术规范：为本合同所约定的</w:t>
      </w:r>
      <w:r>
        <w:rPr>
          <w:rFonts w:ascii="宋体" w:hAnsi="宋体"/>
          <w:sz w:val="24"/>
        </w:rPr>
        <w:t>技</w:t>
      </w:r>
      <w:r>
        <w:rPr>
          <w:sz w:val="24"/>
        </w:rPr>
        <w:t>术标准和要求。</w:t>
      </w:r>
    </w:p>
    <w:p>
      <w:pPr>
        <w:adjustRightInd w:val="0"/>
        <w:snapToGrid w:val="0"/>
        <w:spacing w:line="360" w:lineRule="auto"/>
        <w:ind w:firstLine="720" w:firstLineChars="300"/>
        <w:rPr>
          <w:sz w:val="24"/>
        </w:rPr>
      </w:pPr>
      <w:r>
        <w:rPr>
          <w:sz w:val="24"/>
        </w:rPr>
        <w:t>1.1.1.8已标价工程量清单：指构成合同文件组成部分的已标明价格、经算术性修正且承包人已确认的最终的工程量清单。</w:t>
      </w:r>
    </w:p>
    <w:p>
      <w:pPr>
        <w:adjustRightInd w:val="0"/>
        <w:snapToGrid w:val="0"/>
        <w:spacing w:line="360" w:lineRule="auto"/>
        <w:ind w:firstLine="480" w:firstLineChars="200"/>
        <w:rPr>
          <w:sz w:val="24"/>
        </w:rPr>
      </w:pPr>
      <w:r>
        <w:rPr>
          <w:sz w:val="24"/>
        </w:rPr>
        <w:t>本项增加第1</w:t>
      </w:r>
      <w:r>
        <w:rPr>
          <w:rFonts w:hint="eastAsia"/>
          <w:sz w:val="24"/>
        </w:rPr>
        <w:t>.</w:t>
      </w:r>
      <w:r>
        <w:rPr>
          <w:sz w:val="24"/>
        </w:rPr>
        <w:t>1</w:t>
      </w:r>
      <w:r>
        <w:rPr>
          <w:rFonts w:hint="eastAsia"/>
          <w:sz w:val="24"/>
        </w:rPr>
        <w:t>.</w:t>
      </w:r>
      <w:r>
        <w:rPr>
          <w:sz w:val="24"/>
        </w:rPr>
        <w:t>1</w:t>
      </w:r>
      <w:r>
        <w:rPr>
          <w:rFonts w:hint="eastAsia"/>
          <w:sz w:val="24"/>
        </w:rPr>
        <w:t>.</w:t>
      </w:r>
      <w:r>
        <w:rPr>
          <w:sz w:val="24"/>
        </w:rPr>
        <w:t>10目：</w:t>
      </w:r>
    </w:p>
    <w:p>
      <w:pPr>
        <w:adjustRightInd w:val="0"/>
        <w:snapToGrid w:val="0"/>
        <w:spacing w:line="360" w:lineRule="auto"/>
        <w:ind w:firstLine="720" w:firstLineChars="300"/>
        <w:rPr>
          <w:sz w:val="24"/>
        </w:rPr>
      </w:pPr>
      <w:r>
        <w:rPr>
          <w:sz w:val="24"/>
        </w:rPr>
        <w:t>1.1.1.10补遗书：指发出招标文件之后由招标人向已取得招标文件的投标人发出的、编号的补充或修改书，是招标文件的组成部分。</w:t>
      </w:r>
    </w:p>
    <w:p>
      <w:pPr>
        <w:adjustRightInd w:val="0"/>
        <w:snapToGrid w:val="0"/>
        <w:spacing w:line="360" w:lineRule="auto"/>
        <w:ind w:firstLine="480" w:firstLineChars="200"/>
        <w:rPr>
          <w:rFonts w:eastAsia="黑体"/>
          <w:sz w:val="24"/>
        </w:rPr>
      </w:pPr>
      <w:r>
        <w:rPr>
          <w:rFonts w:eastAsia="黑体"/>
          <w:sz w:val="24"/>
        </w:rPr>
        <w:t>1.1.2合同当事人和人员</w:t>
      </w:r>
    </w:p>
    <w:p>
      <w:pPr>
        <w:adjustRightInd w:val="0"/>
        <w:snapToGrid w:val="0"/>
        <w:spacing w:line="360" w:lineRule="auto"/>
        <w:ind w:firstLine="720" w:firstLineChars="300"/>
        <w:rPr>
          <w:sz w:val="24"/>
          <w:u w:val="single"/>
        </w:rPr>
      </w:pPr>
      <w:r>
        <w:rPr>
          <w:sz w:val="24"/>
        </w:rPr>
        <w:t>1</w:t>
      </w:r>
      <w:r>
        <w:rPr>
          <w:rFonts w:hint="eastAsia"/>
          <w:sz w:val="24"/>
        </w:rPr>
        <w:t>.</w:t>
      </w:r>
      <w:r>
        <w:rPr>
          <w:sz w:val="24"/>
        </w:rPr>
        <w:t>1.2.2发包人：</w:t>
      </w:r>
      <w:r>
        <w:rPr>
          <w:rFonts w:hint="eastAsia"/>
          <w:sz w:val="24"/>
          <w:u w:val="single"/>
        </w:rPr>
        <w:t xml:space="preserve">  （在项目专用条款数据表中予以规定）  </w:t>
      </w:r>
    </w:p>
    <w:p>
      <w:pPr>
        <w:adjustRightInd w:val="0"/>
        <w:snapToGrid w:val="0"/>
        <w:spacing w:line="360" w:lineRule="auto"/>
        <w:ind w:firstLine="720" w:firstLineChars="300"/>
        <w:rPr>
          <w:sz w:val="24"/>
        </w:rPr>
      </w:pPr>
      <w:r>
        <w:rPr>
          <w:rFonts w:hint="eastAsia"/>
          <w:sz w:val="24"/>
        </w:rPr>
        <w:t>1.1</w:t>
      </w:r>
      <w:r>
        <w:rPr>
          <w:sz w:val="24"/>
        </w:rPr>
        <w:t>.2.6监理人</w:t>
      </w:r>
      <w:r>
        <w:rPr>
          <w:rFonts w:hint="eastAsia"/>
          <w:sz w:val="24"/>
        </w:rPr>
        <w:t>：</w:t>
      </w:r>
      <w:r>
        <w:rPr>
          <w:rFonts w:hint="eastAsia"/>
          <w:sz w:val="24"/>
          <w:u w:val="single"/>
        </w:rPr>
        <w:t xml:space="preserve">  （在项目专用条款数据表中予以规定）  </w:t>
      </w:r>
    </w:p>
    <w:p>
      <w:pPr>
        <w:adjustRightInd w:val="0"/>
        <w:snapToGrid w:val="0"/>
        <w:spacing w:line="360" w:lineRule="auto"/>
        <w:ind w:firstLine="720" w:firstLineChars="300"/>
        <w:rPr>
          <w:sz w:val="24"/>
        </w:rPr>
      </w:pPr>
      <w:r>
        <w:rPr>
          <w:sz w:val="24"/>
        </w:rPr>
        <w:t>本项增加第1</w:t>
      </w:r>
      <w:r>
        <w:rPr>
          <w:rFonts w:hint="eastAsia"/>
          <w:sz w:val="24"/>
        </w:rPr>
        <w:t>.</w:t>
      </w:r>
      <w:r>
        <w:rPr>
          <w:sz w:val="24"/>
        </w:rPr>
        <w:t>1.2.8目：</w:t>
      </w:r>
    </w:p>
    <w:p>
      <w:pPr>
        <w:adjustRightInd w:val="0"/>
        <w:snapToGrid w:val="0"/>
        <w:spacing w:line="360" w:lineRule="auto"/>
        <w:ind w:firstLine="720" w:firstLineChars="300"/>
        <w:rPr>
          <w:sz w:val="24"/>
        </w:rPr>
      </w:pPr>
      <w:r>
        <w:rPr>
          <w:sz w:val="24"/>
        </w:rPr>
        <w:t>1.1.2.8技术负责人：指由承包人书面委派常驻现场负责管理本合同工程的总工程师或技术总负责人。</w:t>
      </w:r>
    </w:p>
    <w:p>
      <w:pPr>
        <w:adjustRightInd w:val="0"/>
        <w:snapToGrid w:val="0"/>
        <w:spacing w:line="360" w:lineRule="auto"/>
        <w:ind w:firstLine="480" w:firstLineChars="200"/>
        <w:rPr>
          <w:rFonts w:eastAsia="黑体"/>
          <w:sz w:val="24"/>
        </w:rPr>
      </w:pPr>
      <w:r>
        <w:rPr>
          <w:rFonts w:eastAsia="黑体"/>
          <w:sz w:val="24"/>
        </w:rPr>
        <w:t>1</w:t>
      </w:r>
      <w:r>
        <w:rPr>
          <w:rFonts w:hint="eastAsia" w:eastAsia="黑体"/>
          <w:sz w:val="24"/>
        </w:rPr>
        <w:t>.</w:t>
      </w:r>
      <w:r>
        <w:rPr>
          <w:rFonts w:eastAsia="黑体"/>
          <w:sz w:val="24"/>
        </w:rPr>
        <w:t>1</w:t>
      </w:r>
      <w:r>
        <w:rPr>
          <w:rFonts w:hint="eastAsia" w:eastAsia="黑体"/>
          <w:sz w:val="24"/>
        </w:rPr>
        <w:t>.</w:t>
      </w:r>
      <w:r>
        <w:rPr>
          <w:rFonts w:eastAsia="黑体"/>
          <w:sz w:val="24"/>
        </w:rPr>
        <w:t>3工程和设备</w:t>
      </w:r>
    </w:p>
    <w:p>
      <w:pPr>
        <w:adjustRightInd w:val="0"/>
        <w:snapToGrid w:val="0"/>
        <w:spacing w:line="360" w:lineRule="auto"/>
        <w:ind w:firstLine="720" w:firstLineChars="300"/>
        <w:rPr>
          <w:sz w:val="24"/>
        </w:rPr>
      </w:pPr>
      <w:r>
        <w:rPr>
          <w:sz w:val="24"/>
        </w:rPr>
        <w:t>1.1.3.4单位工程：指在建设项目中，根据签订的合同，具有独立施工条件的工程。</w:t>
      </w:r>
    </w:p>
    <w:p>
      <w:pPr>
        <w:adjustRightInd w:val="0"/>
        <w:snapToGrid w:val="0"/>
        <w:spacing w:line="360" w:lineRule="auto"/>
        <w:ind w:firstLine="720" w:firstLineChars="300"/>
        <w:rPr>
          <w:sz w:val="24"/>
        </w:rPr>
      </w:pPr>
      <w:r>
        <w:rPr>
          <w:sz w:val="24"/>
        </w:rPr>
        <w:t>1.1.3.10永久占地：指为实施本合同工程而需要的一切永久占用的土地，包括公路两侧路权范围内的用地。</w:t>
      </w:r>
    </w:p>
    <w:p>
      <w:pPr>
        <w:adjustRightInd w:val="0"/>
        <w:snapToGrid w:val="0"/>
        <w:spacing w:line="360" w:lineRule="auto"/>
        <w:ind w:firstLine="720" w:firstLineChars="300"/>
        <w:rPr>
          <w:sz w:val="24"/>
        </w:rPr>
      </w:pPr>
      <w:r>
        <w:rPr>
          <w:sz w:val="24"/>
        </w:rPr>
        <w:t>1.1.3.11临时占地：指为实施本合同工程而需要的一切临时占用的土地，包括施工所用的临时支线、便道、便桥和现场的临时出入通道，以及生产（办公）、生活等临时设施用地等。</w:t>
      </w:r>
    </w:p>
    <w:p>
      <w:pPr>
        <w:adjustRightInd w:val="0"/>
        <w:snapToGrid w:val="0"/>
        <w:spacing w:line="360" w:lineRule="auto"/>
        <w:ind w:firstLine="720" w:firstLineChars="300"/>
        <w:rPr>
          <w:sz w:val="24"/>
        </w:rPr>
      </w:pPr>
      <w:r>
        <w:rPr>
          <w:sz w:val="24"/>
        </w:rPr>
        <w:t>本项增加第1．1.3．12、1．1.3．13目：</w:t>
      </w:r>
    </w:p>
    <w:p>
      <w:pPr>
        <w:adjustRightInd w:val="0"/>
        <w:snapToGrid w:val="0"/>
        <w:spacing w:line="360" w:lineRule="auto"/>
        <w:ind w:firstLine="720" w:firstLineChars="300"/>
        <w:rPr>
          <w:sz w:val="24"/>
        </w:rPr>
      </w:pPr>
      <w:r>
        <w:rPr>
          <w:sz w:val="24"/>
        </w:rPr>
        <w:t>1</w:t>
      </w:r>
      <w:r>
        <w:rPr>
          <w:rFonts w:hint="eastAsia"/>
          <w:sz w:val="24"/>
        </w:rPr>
        <w:t>.</w:t>
      </w:r>
      <w:r>
        <w:rPr>
          <w:sz w:val="24"/>
        </w:rPr>
        <w:t>1.3.12分部工程：指在单位工程中，按结构部位、路段长度及施工特点或施工任务划分的若干个工程。</w:t>
      </w:r>
    </w:p>
    <w:p>
      <w:pPr>
        <w:adjustRightInd w:val="0"/>
        <w:snapToGrid w:val="0"/>
        <w:spacing w:line="360" w:lineRule="auto"/>
        <w:ind w:firstLine="720" w:firstLineChars="300"/>
        <w:rPr>
          <w:sz w:val="24"/>
        </w:rPr>
      </w:pPr>
      <w:r>
        <w:rPr>
          <w:sz w:val="24"/>
        </w:rPr>
        <w:t>1.1.3.13分项工程：指在分部工程中，按不同的施工方法、材料、工序及路段长度等划分的若干个工程。</w:t>
      </w:r>
    </w:p>
    <w:p>
      <w:pPr>
        <w:adjustRightInd w:val="0"/>
        <w:snapToGrid w:val="0"/>
        <w:spacing w:line="360" w:lineRule="auto"/>
        <w:ind w:firstLine="480" w:firstLineChars="200"/>
        <w:rPr>
          <w:rFonts w:eastAsia="黑体"/>
          <w:sz w:val="24"/>
        </w:rPr>
      </w:pPr>
      <w:r>
        <w:rPr>
          <w:rFonts w:eastAsia="黑体"/>
          <w:sz w:val="24"/>
        </w:rPr>
        <w:t>1.1.4日期</w:t>
      </w:r>
    </w:p>
    <w:p>
      <w:pPr>
        <w:adjustRightInd w:val="0"/>
        <w:snapToGrid w:val="0"/>
        <w:spacing w:line="360" w:lineRule="auto"/>
        <w:ind w:firstLine="720" w:firstLineChars="300"/>
        <w:rPr>
          <w:sz w:val="24"/>
        </w:rPr>
      </w:pPr>
      <w:r>
        <w:rPr>
          <w:sz w:val="24"/>
        </w:rPr>
        <w:t>1.1.4.5缺陷责任期：自实际竣工日期起计算</w:t>
      </w:r>
      <w:r>
        <w:rPr>
          <w:rFonts w:hint="eastAsia"/>
          <w:sz w:val="24"/>
        </w:rPr>
        <w:t>1</w:t>
      </w:r>
      <w:r>
        <w:rPr>
          <w:sz w:val="24"/>
        </w:rPr>
        <w:t>年。</w:t>
      </w:r>
    </w:p>
    <w:p>
      <w:pPr>
        <w:adjustRightInd w:val="0"/>
        <w:snapToGrid w:val="0"/>
        <w:spacing w:line="360" w:lineRule="auto"/>
        <w:ind w:firstLine="480" w:firstLineChars="200"/>
        <w:rPr>
          <w:rFonts w:eastAsia="黑体"/>
          <w:sz w:val="24"/>
        </w:rPr>
      </w:pPr>
      <w:r>
        <w:rPr>
          <w:rFonts w:eastAsia="黑体"/>
          <w:sz w:val="24"/>
        </w:rPr>
        <w:t>1</w:t>
      </w:r>
      <w:r>
        <w:rPr>
          <w:rFonts w:hint="eastAsia" w:eastAsia="黑体"/>
          <w:sz w:val="24"/>
        </w:rPr>
        <w:t>.</w:t>
      </w:r>
      <w:r>
        <w:rPr>
          <w:rFonts w:eastAsia="黑体"/>
          <w:sz w:val="24"/>
        </w:rPr>
        <w:t>1.6其他</w:t>
      </w:r>
    </w:p>
    <w:p>
      <w:pPr>
        <w:adjustRightInd w:val="0"/>
        <w:snapToGrid w:val="0"/>
        <w:spacing w:line="360" w:lineRule="auto"/>
        <w:ind w:firstLine="720" w:firstLineChars="300"/>
        <w:rPr>
          <w:sz w:val="24"/>
        </w:rPr>
      </w:pPr>
      <w:r>
        <w:rPr>
          <w:sz w:val="24"/>
        </w:rPr>
        <w:t>本项增加第1．1.6.2至1．1.6.5目：</w:t>
      </w:r>
    </w:p>
    <w:p>
      <w:pPr>
        <w:adjustRightInd w:val="0"/>
        <w:snapToGrid w:val="0"/>
        <w:spacing w:line="360" w:lineRule="auto"/>
        <w:ind w:firstLine="720" w:firstLineChars="300"/>
        <w:rPr>
          <w:sz w:val="24"/>
        </w:rPr>
      </w:pPr>
      <w:r>
        <w:rPr>
          <w:sz w:val="24"/>
        </w:rPr>
        <w:t>1.1.6.2转包：凡承包人违反法律和不履行合同规定的责任和义务，将中标工程全部委托、或以专业分包的名义将中标工程肢解后全部委托给其它施工企业施工的行为。</w:t>
      </w:r>
    </w:p>
    <w:p>
      <w:pPr>
        <w:adjustRightInd w:val="0"/>
        <w:snapToGrid w:val="0"/>
        <w:spacing w:line="360" w:lineRule="auto"/>
        <w:ind w:firstLine="720" w:firstLineChars="300"/>
        <w:rPr>
          <w:sz w:val="24"/>
        </w:rPr>
      </w:pPr>
      <w:r>
        <w:rPr>
          <w:sz w:val="24"/>
        </w:rPr>
        <w:t>1.1.6.3专业分包：凡承包人与分包人签有专业分包合同，分包人承担承包人委托的分部工程或分项工程、或适合专业化队伍施工的其它工程，整体结算，并能独立控制工程质量、施工进度、材料采购、生产安全的施工行为。</w:t>
      </w:r>
    </w:p>
    <w:p>
      <w:pPr>
        <w:adjustRightInd w:val="0"/>
        <w:snapToGrid w:val="0"/>
        <w:spacing w:line="360" w:lineRule="auto"/>
        <w:ind w:firstLine="720" w:firstLineChars="300"/>
        <w:rPr>
          <w:sz w:val="24"/>
        </w:rPr>
      </w:pPr>
      <w:r>
        <w:rPr>
          <w:sz w:val="24"/>
        </w:rPr>
        <w:t>1.1.6.4劳务分包：凡承包人与具有劳务资质的劳务企业签订劳务分包合同，由劳务企业提供劳务人员及机具、由承包人统一组织施工，统一控制工程质量、施工进度、材料采购、生产安全的施工行为。．</w:t>
      </w:r>
    </w:p>
    <w:p>
      <w:pPr>
        <w:adjustRightInd w:val="0"/>
        <w:snapToGrid w:val="0"/>
        <w:spacing w:line="360" w:lineRule="auto"/>
        <w:ind w:firstLine="720" w:firstLineChars="300"/>
        <w:rPr>
          <w:sz w:val="24"/>
        </w:rPr>
      </w:pPr>
      <w:r>
        <w:rPr>
          <w:sz w:val="24"/>
        </w:rPr>
        <w:t>1.1.6.5聘用职工：凡承包人与具有相应劳动能力的自然人签订劳动合同，由承包人统一组织管理，从事分项工程施工或配套工程施工的行为。</w:t>
      </w:r>
    </w:p>
    <w:p>
      <w:pPr>
        <w:adjustRightInd w:val="0"/>
        <w:snapToGrid w:val="0"/>
        <w:spacing w:beforeLines="100" w:line="360" w:lineRule="auto"/>
        <w:rPr>
          <w:rFonts w:eastAsia="黑体"/>
          <w:sz w:val="24"/>
        </w:rPr>
      </w:pPr>
      <w:r>
        <w:rPr>
          <w:rFonts w:eastAsia="黑体"/>
          <w:sz w:val="24"/>
        </w:rPr>
        <w:t>1.4合同文件的优先顺序</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组成合同的各项文件应互相解释，互为说明。除项目专用合同条款另有约定外，解释合同文件的优先顺序如下：</w:t>
      </w:r>
    </w:p>
    <w:p>
      <w:pPr>
        <w:adjustRightInd w:val="0"/>
        <w:snapToGrid w:val="0"/>
        <w:spacing w:line="360" w:lineRule="auto"/>
        <w:ind w:firstLine="480" w:firstLineChars="200"/>
        <w:rPr>
          <w:sz w:val="24"/>
        </w:rPr>
      </w:pPr>
      <w:r>
        <w:rPr>
          <w:sz w:val="24"/>
        </w:rPr>
        <w:t>（1</w:t>
      </w:r>
      <w:r>
        <w:rPr>
          <w:rFonts w:hint="eastAsia"/>
          <w:sz w:val="24"/>
        </w:rPr>
        <w:t>）</w:t>
      </w:r>
      <w:r>
        <w:rPr>
          <w:sz w:val="24"/>
        </w:rPr>
        <w:t>合同协议书及各种合同附件（含评标期间和合同谈判过程中的澄清文件和补充资料）；</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中标通知书；</w:t>
      </w:r>
    </w:p>
    <w:p>
      <w:pPr>
        <w:adjustRightInd w:val="0"/>
        <w:snapToGrid w:val="0"/>
        <w:spacing w:line="360" w:lineRule="auto"/>
        <w:ind w:firstLine="480" w:firstLineChars="200"/>
        <w:rPr>
          <w:sz w:val="24"/>
        </w:rPr>
      </w:pPr>
      <w:r>
        <w:rPr>
          <w:sz w:val="24"/>
        </w:rPr>
        <w:t>（3</w:t>
      </w:r>
      <w:r>
        <w:rPr>
          <w:rFonts w:hint="eastAsia"/>
          <w:sz w:val="24"/>
        </w:rPr>
        <w:t>）</w:t>
      </w:r>
      <w:r>
        <w:rPr>
          <w:sz w:val="24"/>
        </w:rPr>
        <w:t>补遗书；</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投标函及投标函附录；</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项目专用合同条款；</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公路行业标准专用合同条款；</w:t>
      </w:r>
    </w:p>
    <w:p>
      <w:pPr>
        <w:adjustRightInd w:val="0"/>
        <w:snapToGrid w:val="0"/>
        <w:spacing w:line="360" w:lineRule="auto"/>
        <w:ind w:firstLine="480" w:firstLineChars="200"/>
        <w:rPr>
          <w:sz w:val="24"/>
        </w:rPr>
      </w:pPr>
      <w:r>
        <w:rPr>
          <w:rFonts w:hint="eastAsia"/>
          <w:sz w:val="24"/>
        </w:rPr>
        <w:t>（</w:t>
      </w:r>
      <w:r>
        <w:rPr>
          <w:sz w:val="24"/>
        </w:rPr>
        <w:t>7</w:t>
      </w:r>
      <w:r>
        <w:rPr>
          <w:rFonts w:hint="eastAsia"/>
          <w:sz w:val="24"/>
        </w:rPr>
        <w:t>）</w:t>
      </w:r>
      <w:r>
        <w:rPr>
          <w:sz w:val="24"/>
        </w:rPr>
        <w:t>通用合同条款；</w:t>
      </w:r>
    </w:p>
    <w:p>
      <w:pPr>
        <w:adjustRightInd w:val="0"/>
        <w:snapToGrid w:val="0"/>
        <w:spacing w:line="360" w:lineRule="auto"/>
        <w:ind w:firstLine="480" w:firstLineChars="200"/>
        <w:rPr>
          <w:sz w:val="24"/>
        </w:rPr>
      </w:pPr>
      <w:r>
        <w:rPr>
          <w:sz w:val="24"/>
        </w:rPr>
        <w:t>（8）技术规范；</w:t>
      </w:r>
    </w:p>
    <w:p>
      <w:pPr>
        <w:adjustRightInd w:val="0"/>
        <w:snapToGrid w:val="0"/>
        <w:spacing w:line="360" w:lineRule="auto"/>
        <w:ind w:firstLine="480" w:firstLineChars="200"/>
        <w:rPr>
          <w:sz w:val="24"/>
        </w:rPr>
      </w:pPr>
      <w:r>
        <w:rPr>
          <w:sz w:val="24"/>
        </w:rPr>
        <w:t>（9）图纸；</w:t>
      </w:r>
    </w:p>
    <w:p>
      <w:pPr>
        <w:adjustRightInd w:val="0"/>
        <w:snapToGrid w:val="0"/>
        <w:spacing w:line="360" w:lineRule="auto"/>
        <w:ind w:firstLine="480" w:firstLineChars="200"/>
        <w:rPr>
          <w:sz w:val="24"/>
        </w:rPr>
      </w:pPr>
      <w:r>
        <w:rPr>
          <w:sz w:val="24"/>
        </w:rPr>
        <w:t>（10）已标价工程量清单；</w:t>
      </w:r>
    </w:p>
    <w:p>
      <w:pPr>
        <w:adjustRightInd w:val="0"/>
        <w:snapToGrid w:val="0"/>
        <w:spacing w:line="360" w:lineRule="auto"/>
        <w:ind w:firstLine="480" w:firstLineChars="20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pPr>
        <w:adjustRightInd w:val="0"/>
        <w:snapToGrid w:val="0"/>
        <w:spacing w:line="360" w:lineRule="auto"/>
        <w:ind w:firstLine="480" w:firstLineChars="200"/>
        <w:rPr>
          <w:sz w:val="24"/>
        </w:rPr>
      </w:pPr>
      <w:r>
        <w:rPr>
          <w:rFonts w:hint="eastAsia"/>
          <w:sz w:val="24"/>
        </w:rPr>
        <w:t>（12）根据承诺提供的详细人员、设备清单；</w:t>
      </w:r>
    </w:p>
    <w:p>
      <w:pPr>
        <w:adjustRightInd w:val="0"/>
        <w:snapToGrid w:val="0"/>
        <w:spacing w:line="360" w:lineRule="auto"/>
        <w:ind w:firstLine="480" w:firstLineChars="200"/>
        <w:rPr>
          <w:sz w:val="24"/>
        </w:rPr>
      </w:pPr>
      <w:r>
        <w:rPr>
          <w:sz w:val="24"/>
        </w:rPr>
        <w:t>（1</w:t>
      </w:r>
      <w:r>
        <w:rPr>
          <w:rFonts w:hint="eastAsia"/>
          <w:sz w:val="24"/>
        </w:rPr>
        <w:t>3</w:t>
      </w:r>
      <w:r>
        <w:rPr>
          <w:sz w:val="24"/>
        </w:rPr>
        <w:t>）其他合同文件。</w:t>
      </w:r>
    </w:p>
    <w:p>
      <w:pPr>
        <w:adjustRightInd w:val="0"/>
        <w:snapToGrid w:val="0"/>
        <w:spacing w:beforeLines="100" w:line="360" w:lineRule="auto"/>
        <w:rPr>
          <w:rFonts w:eastAsia="黑体"/>
          <w:sz w:val="24"/>
        </w:rPr>
      </w:pPr>
      <w:r>
        <w:rPr>
          <w:rFonts w:eastAsia="黑体"/>
          <w:sz w:val="24"/>
        </w:rPr>
        <w:t>1.5合同协议书</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制备本合同文件的费用由发包人承担。在合同协议书签订并生效之前，投标函和中标通知书将约束双方。</w:t>
      </w:r>
    </w:p>
    <w:p>
      <w:pPr>
        <w:adjustRightInd w:val="0"/>
        <w:snapToGrid w:val="0"/>
        <w:spacing w:beforeLines="100" w:line="360" w:lineRule="auto"/>
        <w:rPr>
          <w:rFonts w:eastAsia="黑体"/>
          <w:sz w:val="24"/>
        </w:rPr>
      </w:pPr>
      <w:r>
        <w:rPr>
          <w:rFonts w:eastAsia="黑体"/>
          <w:sz w:val="24"/>
        </w:rPr>
        <w:t>1.6图纸和承包人文件</w:t>
      </w:r>
    </w:p>
    <w:p>
      <w:pPr>
        <w:adjustRightInd w:val="0"/>
        <w:snapToGrid w:val="0"/>
        <w:spacing w:line="360" w:lineRule="auto"/>
        <w:ind w:firstLine="480" w:firstLineChars="200"/>
        <w:rPr>
          <w:rFonts w:eastAsia="黑体"/>
          <w:sz w:val="24"/>
        </w:rPr>
      </w:pPr>
      <w:r>
        <w:rPr>
          <w:rFonts w:eastAsia="黑体"/>
          <w:sz w:val="24"/>
        </w:rPr>
        <w:t>1.6.1图纸的提供</w:t>
      </w:r>
    </w:p>
    <w:p>
      <w:pPr>
        <w:adjustRightInd w:val="0"/>
        <w:snapToGrid w:val="0"/>
        <w:spacing w:line="360" w:lineRule="auto"/>
        <w:ind w:firstLine="480" w:firstLineChars="200"/>
        <w:rPr>
          <w:sz w:val="24"/>
        </w:rPr>
      </w:pPr>
      <w:r>
        <w:rPr>
          <w:rFonts w:hint="eastAsia"/>
          <w:sz w:val="24"/>
        </w:rPr>
        <w:t>本项细化为：</w:t>
      </w:r>
    </w:p>
    <w:p>
      <w:pPr>
        <w:adjustRightInd w:val="0"/>
        <w:snapToGrid w:val="0"/>
        <w:spacing w:line="360" w:lineRule="auto"/>
        <w:ind w:firstLine="480" w:firstLineChars="200"/>
        <w:rPr>
          <w:sz w:val="24"/>
        </w:rPr>
      </w:pPr>
      <w:r>
        <w:rPr>
          <w:sz w:val="24"/>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11.3款的约定办理。</w:t>
      </w:r>
    </w:p>
    <w:p>
      <w:pPr>
        <w:adjustRightInd w:val="0"/>
        <w:snapToGrid w:val="0"/>
        <w:spacing w:line="360" w:lineRule="auto"/>
        <w:ind w:firstLine="480" w:firstLineChars="200"/>
        <w:rPr>
          <w:rFonts w:eastAsia="黑体"/>
          <w:sz w:val="24"/>
        </w:rPr>
      </w:pPr>
      <w:r>
        <w:rPr>
          <w:rFonts w:eastAsia="黑体"/>
          <w:sz w:val="24"/>
        </w:rPr>
        <w:t>1.6.2承包人提供的文件</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为使1.6.1款所述的施工图纸适合于经施工测量后的纵、横断面或现场具体地形或因尺寸与位置变化而引起局部变更，或因合同要求与施工需要，承包人应免费向监理人提交该部分工程的施工图纸3份，并附必要的计算书、技术资料、或施工工艺图、设备安装图及安装设备的使用和维护手册各2份供监理人批准。此类图纸应按监理人规定的格式和图幅绘制。监理人在收到由承包人绘制的上述工程、工艺图纸、计算书和有关技术资料后14天内应予批准或提出修改要求，承包人应按监理人提出的要求做出修改，重新向监理人提交，监理人应在7天内批准或提出进一步的修改意见。</w:t>
      </w:r>
    </w:p>
    <w:p>
      <w:pPr>
        <w:adjustRightInd w:val="0"/>
        <w:snapToGrid w:val="0"/>
        <w:spacing w:line="360" w:lineRule="auto"/>
        <w:ind w:firstLine="480" w:firstLineChars="200"/>
        <w:rPr>
          <w:rFonts w:eastAsia="黑体"/>
          <w:sz w:val="24"/>
        </w:rPr>
      </w:pPr>
      <w:r>
        <w:rPr>
          <w:rFonts w:eastAsia="黑体"/>
          <w:sz w:val="24"/>
        </w:rPr>
        <w:t>1.6.3图纸的修改</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图纸需要修改和补充的，应由监理人取得发包人同意后，在该工程或工程相应部位施工前天（在项目专用条款数据表中予以规定）签发图纸修改图给承包人。承包人应按修改后的图纸施工。</w:t>
      </w:r>
    </w:p>
    <w:p>
      <w:pPr>
        <w:adjustRightInd w:val="0"/>
        <w:snapToGrid w:val="0"/>
        <w:spacing w:line="360" w:lineRule="auto"/>
        <w:ind w:firstLine="480" w:firstLineChars="200"/>
        <w:rPr>
          <w:rFonts w:eastAsia="黑体"/>
          <w:sz w:val="24"/>
        </w:rPr>
      </w:pPr>
      <w:r>
        <w:rPr>
          <w:rFonts w:eastAsia="黑体"/>
          <w:sz w:val="24"/>
        </w:rPr>
        <w:t>1.6.4图纸的错误</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pPr>
        <w:adjustRightInd w:val="0"/>
        <w:snapToGrid w:val="0"/>
        <w:spacing w:beforeLines="100" w:line="360" w:lineRule="auto"/>
        <w:rPr>
          <w:rFonts w:eastAsia="黑体"/>
          <w:sz w:val="24"/>
        </w:rPr>
      </w:pPr>
      <w:r>
        <w:rPr>
          <w:rFonts w:eastAsia="黑体"/>
          <w:sz w:val="24"/>
        </w:rPr>
        <w:t>1.7联络</w:t>
      </w:r>
    </w:p>
    <w:p>
      <w:pPr>
        <w:adjustRightInd w:val="0"/>
        <w:snapToGrid w:val="0"/>
        <w:spacing w:line="360" w:lineRule="auto"/>
        <w:ind w:firstLine="480" w:firstLineChars="200"/>
        <w:rPr>
          <w:rFonts w:eastAsia="黑体"/>
          <w:sz w:val="24"/>
        </w:rPr>
      </w:pPr>
      <w:r>
        <w:rPr>
          <w:rFonts w:eastAsia="黑体"/>
          <w:sz w:val="24"/>
        </w:rPr>
        <w:t>1.7.2来往函件送达的期限：</w:t>
      </w:r>
      <w:r>
        <w:rPr>
          <w:rFonts w:hint="eastAsia" w:eastAsia="黑体"/>
          <w:sz w:val="24"/>
          <w:u w:val="single"/>
        </w:rPr>
        <w:t xml:space="preserve">  （见项目专用合同条款）  </w:t>
      </w:r>
    </w:p>
    <w:p>
      <w:pPr>
        <w:adjustRightInd w:val="0"/>
        <w:snapToGrid w:val="0"/>
        <w:spacing w:beforeLines="100" w:line="360" w:lineRule="auto"/>
        <w:rPr>
          <w:rFonts w:eastAsia="黑体"/>
          <w:sz w:val="24"/>
        </w:rPr>
      </w:pPr>
      <w:r>
        <w:rPr>
          <w:rFonts w:eastAsia="黑体"/>
          <w:sz w:val="24"/>
        </w:rPr>
        <w:t>1.9严禁贿赔</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在合同执行过程中，发包人和承包人应严格履行《廉政合同》约定的双方在廉政建设方面的权利和义务以及应承担的违约责任。承包人如果用行贿、送礼或其他不正当手段企图影响或己经影响了发包人或监理人员行为和（或）欲获得或己获得超出合同规定以外的额外费用，则发包人除应按有关法纪严肃处理当事人（含发包人人员和监理人员）外，因承包人的上述行为造成的工程损害、发包人的经济损失等，承包人应负一切责任，并予赔偿。情节严重者，发包人有权终止承包人在本合同项下的承包，因而本合同条款第22.1款的各项规定将随之适用。</w:t>
      </w:r>
    </w:p>
    <w:p>
      <w:pPr>
        <w:adjustRightInd w:val="0"/>
        <w:snapToGrid w:val="0"/>
        <w:spacing w:beforeLines="100" w:line="360" w:lineRule="auto"/>
        <w:rPr>
          <w:rFonts w:eastAsia="黑体"/>
          <w:sz w:val="24"/>
        </w:rPr>
      </w:pPr>
      <w:r>
        <w:rPr>
          <w:rFonts w:eastAsia="黑体"/>
          <w:sz w:val="24"/>
        </w:rPr>
        <w:t>2</w:t>
      </w:r>
      <w:r>
        <w:rPr>
          <w:rFonts w:hint="eastAsia" w:eastAsia="黑体"/>
          <w:sz w:val="24"/>
        </w:rPr>
        <w:t>．</w:t>
      </w:r>
      <w:r>
        <w:rPr>
          <w:rFonts w:eastAsia="黑体"/>
          <w:sz w:val="24"/>
        </w:rPr>
        <w:t>发包人义务</w:t>
      </w:r>
    </w:p>
    <w:p>
      <w:pPr>
        <w:adjustRightInd w:val="0"/>
        <w:snapToGrid w:val="0"/>
        <w:spacing w:line="360" w:lineRule="auto"/>
        <w:rPr>
          <w:rFonts w:eastAsia="黑体"/>
          <w:sz w:val="24"/>
        </w:rPr>
      </w:pPr>
      <w:r>
        <w:rPr>
          <w:rFonts w:eastAsia="黑体"/>
          <w:sz w:val="24"/>
        </w:rPr>
        <w:t>2.3提供施工场地</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2.3.1提供永久占地</w:t>
      </w:r>
    </w:p>
    <w:p>
      <w:pPr>
        <w:adjustRightInd w:val="0"/>
        <w:snapToGrid w:val="0"/>
        <w:spacing w:line="360" w:lineRule="auto"/>
        <w:ind w:firstLine="480" w:firstLineChars="200"/>
        <w:rPr>
          <w:sz w:val="24"/>
        </w:rPr>
      </w:pPr>
      <w:r>
        <w:rPr>
          <w:sz w:val="24"/>
        </w:rPr>
        <w:t>（1</w:t>
      </w:r>
      <w:r>
        <w:rPr>
          <w:rFonts w:hint="eastAsia"/>
          <w:sz w:val="24"/>
        </w:rPr>
        <w:t>）</w:t>
      </w:r>
      <w:r>
        <w:rPr>
          <w:sz w:val="24"/>
        </w:rPr>
        <w:t>承包人在按第10条规定提交施工进度计划的同时，应向监理人提交一份按施工先后次序所需的永久占地计划。监理人应在收到此计划后的14天内审核并转报发包人核备。发包人应在监理人发出本工程或分部工程开工令之前，对承包人开工所需的永久占地办妥征用手续和青苗、树木、房屋建筑、管线设施等的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永久占地的征用以及与之有关的拆迁赔偿手续均由发包人负责办理并承担其费用。如果由于承包人施工考虑不周或措施不当等原因而造成的超计划占地或拆迁等所发生的征用和赔偿费用，应由承包人承担，但是，由于监理人按第15.3款作出的变更而引起的超占除外。</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如果由于发包人未能按照本项规定办妥永久占地征用手续，影响承包人及时使用，由此导致费用增加和（或）工期延误由发包人承担。</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如果由于承包人未能按照本项规定提交占地计划，因而影响发包人办理永久占地征用手续而导致延误工期或增加费用，则应由承包人自行负责。</w:t>
      </w:r>
    </w:p>
    <w:p>
      <w:pPr>
        <w:adjustRightInd w:val="0"/>
        <w:snapToGrid w:val="0"/>
        <w:spacing w:line="360" w:lineRule="auto"/>
        <w:ind w:firstLine="480" w:firstLineChars="200"/>
        <w:rPr>
          <w:sz w:val="24"/>
        </w:rPr>
      </w:pPr>
      <w:r>
        <w:rPr>
          <w:sz w:val="24"/>
        </w:rPr>
        <w:t>2.3.2提供临时占地</w:t>
      </w:r>
    </w:p>
    <w:p>
      <w:pPr>
        <w:adjustRightInd w:val="0"/>
        <w:snapToGrid w:val="0"/>
        <w:spacing w:line="360" w:lineRule="auto"/>
        <w:ind w:firstLine="480" w:firstLineChars="200"/>
        <w:rPr>
          <w:sz w:val="24"/>
        </w:rPr>
      </w:pPr>
      <w:r>
        <w:rPr>
          <w:sz w:val="24"/>
        </w:rPr>
        <w:t>临时工程用地范围包括承包人驻地的办公室、食堂、宿舍、道路和机械设备停放场、材料堆放场地、弃土场、预制场、拌和场、仓库、进场临时道路、临时便道、便桥等。承包人在递交投标文件的同时，应本着少占耕地的原则，按招标文件规定的格式填写一份《临时用地计划表》，中标后应在此表范围内按实际需要与先后次序，提出具体计划报监理人同意，并报发包人。表中应标明承包人的临时工程用地位置、数量和使用期限。租地费用列入工程量清单100章中由承包人报价。临时用地最长使用期为＿年，用地费承包人应按每亩元计（在项目专用条款数据表中予以规定）。临时用地中如有地面附着物（电力、电信、房屋、坟墓除外），其拆迁补偿费用计入工程量清单各有关项目单价内，不另支付。</w:t>
      </w:r>
    </w:p>
    <w:p>
      <w:pPr>
        <w:adjustRightInd w:val="0"/>
        <w:snapToGrid w:val="0"/>
        <w:spacing w:line="360" w:lineRule="auto"/>
        <w:ind w:firstLine="480" w:firstLineChars="200"/>
        <w:rPr>
          <w:sz w:val="24"/>
        </w:rPr>
      </w:pPr>
      <w:r>
        <w:rPr>
          <w:sz w:val="24"/>
        </w:rPr>
        <w:t>临时用地由承包人向当地政府土地管理部门申请，并办理租用手续，承包人按有关规定直接支付其费用，发包人对此将予以协调。临时用地退还前，承包人应自费恢复到临时用地使用前的状况。如因承包人撤离后未按要求对临时用地进行恢复或虽进行了恢复但未达到使用标准的，将申发包人委托第三方对其恢复，所发生的费用将从应付给承包人的任何款项内扣除。超出《临时用地计划表》的临时用地由承包人自行办理并自付费用。</w:t>
      </w:r>
    </w:p>
    <w:p>
      <w:pPr>
        <w:adjustRightInd w:val="0"/>
        <w:snapToGrid w:val="0"/>
        <w:spacing w:beforeLines="100" w:line="360" w:lineRule="auto"/>
        <w:rPr>
          <w:rFonts w:eastAsia="黑体"/>
          <w:sz w:val="24"/>
        </w:rPr>
      </w:pPr>
      <w:r>
        <w:rPr>
          <w:rFonts w:eastAsia="黑体"/>
          <w:sz w:val="24"/>
        </w:rPr>
        <w:t>2.8其他义务</w:t>
      </w:r>
    </w:p>
    <w:p>
      <w:pPr>
        <w:adjustRightInd w:val="0"/>
        <w:snapToGrid w:val="0"/>
        <w:spacing w:line="360" w:lineRule="auto"/>
        <w:ind w:firstLine="480" w:firstLineChars="200"/>
        <w:rPr>
          <w:sz w:val="24"/>
          <w:u w:val="single"/>
        </w:rPr>
      </w:pPr>
      <w:r>
        <w:rPr>
          <w:sz w:val="24"/>
        </w:rPr>
        <w:t>发包人应履行的其他义务</w:t>
      </w:r>
      <w:r>
        <w:rPr>
          <w:rFonts w:hint="eastAsia"/>
          <w:sz w:val="24"/>
        </w:rPr>
        <w:t>：</w:t>
      </w:r>
      <w:r>
        <w:rPr>
          <w:rFonts w:hint="eastAsia"/>
          <w:sz w:val="24"/>
          <w:u w:val="single"/>
        </w:rPr>
        <w:t xml:space="preserve">  （见项目专用合同条款）  </w:t>
      </w:r>
    </w:p>
    <w:p>
      <w:pPr>
        <w:adjustRightInd w:val="0"/>
        <w:snapToGrid w:val="0"/>
        <w:spacing w:beforeLines="100" w:line="360" w:lineRule="auto"/>
        <w:rPr>
          <w:rFonts w:eastAsia="黑体"/>
          <w:sz w:val="24"/>
        </w:rPr>
      </w:pPr>
      <w:r>
        <w:rPr>
          <w:rFonts w:eastAsia="黑体"/>
          <w:sz w:val="24"/>
        </w:rPr>
        <w:t>3</w:t>
      </w:r>
      <w:r>
        <w:rPr>
          <w:rFonts w:hint="eastAsia" w:eastAsia="黑体"/>
          <w:sz w:val="24"/>
        </w:rPr>
        <w:t>．</w:t>
      </w:r>
      <w:r>
        <w:rPr>
          <w:rFonts w:eastAsia="黑体"/>
          <w:sz w:val="24"/>
        </w:rPr>
        <w:t>监理人</w:t>
      </w:r>
    </w:p>
    <w:p>
      <w:pPr>
        <w:adjustRightInd w:val="0"/>
        <w:snapToGrid w:val="0"/>
        <w:spacing w:line="360" w:lineRule="auto"/>
        <w:rPr>
          <w:rFonts w:eastAsia="黑体"/>
          <w:sz w:val="24"/>
        </w:rPr>
      </w:pPr>
      <w:r>
        <w:rPr>
          <w:rFonts w:eastAsia="黑体"/>
          <w:sz w:val="24"/>
        </w:rPr>
        <w:t>3.1监理人的职责和权力</w:t>
      </w:r>
    </w:p>
    <w:p>
      <w:pPr>
        <w:adjustRightInd w:val="0"/>
        <w:snapToGrid w:val="0"/>
        <w:spacing w:line="360" w:lineRule="auto"/>
        <w:ind w:firstLine="480" w:firstLineChars="200"/>
        <w:rPr>
          <w:sz w:val="24"/>
        </w:rPr>
      </w:pPr>
      <w:r>
        <w:rPr>
          <w:sz w:val="24"/>
        </w:rPr>
        <w:t>3.1</w:t>
      </w:r>
      <w:r>
        <w:rPr>
          <w:rFonts w:hint="eastAsia"/>
          <w:sz w:val="24"/>
        </w:rPr>
        <w:t>.</w:t>
      </w:r>
      <w:r>
        <w:rPr>
          <w:sz w:val="24"/>
        </w:rPr>
        <w:t>1项补充：</w:t>
      </w:r>
    </w:p>
    <w:p>
      <w:pPr>
        <w:adjustRightInd w:val="0"/>
        <w:snapToGrid w:val="0"/>
        <w:spacing w:line="360" w:lineRule="auto"/>
        <w:ind w:firstLine="480" w:firstLineChars="200"/>
        <w:rPr>
          <w:sz w:val="24"/>
        </w:rPr>
      </w:pPr>
      <w:r>
        <w:rPr>
          <w:sz w:val="24"/>
        </w:rPr>
        <w:t>监理人在行使下列权力前需要经发包人事先批准：</w:t>
      </w:r>
    </w:p>
    <w:p>
      <w:pPr>
        <w:adjustRightInd w:val="0"/>
        <w:snapToGrid w:val="0"/>
        <w:spacing w:line="360" w:lineRule="auto"/>
        <w:ind w:firstLine="480" w:firstLineChars="200"/>
        <w:rPr>
          <w:sz w:val="24"/>
        </w:rPr>
      </w:pPr>
      <w:r>
        <w:rPr>
          <w:sz w:val="24"/>
        </w:rPr>
        <w:t>（1</w:t>
      </w:r>
      <w:r>
        <w:rPr>
          <w:rFonts w:hint="eastAsia"/>
          <w:sz w:val="24"/>
        </w:rPr>
        <w:t>）</w:t>
      </w:r>
      <w:r>
        <w:rPr>
          <w:sz w:val="24"/>
        </w:rPr>
        <w:t>根据第4.3款，同意分包本工程的某非主体和关键性工作；</w:t>
      </w:r>
    </w:p>
    <w:p>
      <w:pPr>
        <w:adjustRightInd w:val="0"/>
        <w:snapToGrid w:val="0"/>
        <w:spacing w:line="360" w:lineRule="auto"/>
        <w:ind w:firstLine="480" w:firstLineChars="200"/>
        <w:rPr>
          <w:sz w:val="24"/>
        </w:rPr>
      </w:pPr>
      <w:r>
        <w:rPr>
          <w:sz w:val="24"/>
        </w:rPr>
        <w:t>（2）确定第4.11款下产生的费用增加额；</w:t>
      </w:r>
    </w:p>
    <w:p>
      <w:pPr>
        <w:adjustRightInd w:val="0"/>
        <w:snapToGrid w:val="0"/>
        <w:spacing w:line="360" w:lineRule="auto"/>
        <w:ind w:firstLine="480" w:firstLineChars="200"/>
        <w:rPr>
          <w:sz w:val="24"/>
        </w:rPr>
      </w:pPr>
      <w:r>
        <w:rPr>
          <w:rFonts w:hint="eastAsia"/>
          <w:sz w:val="24"/>
        </w:rPr>
        <w:t>（</w:t>
      </w:r>
      <w:r>
        <w:rPr>
          <w:sz w:val="24"/>
        </w:rPr>
        <w:t>3）根据第11</w:t>
      </w:r>
      <w:r>
        <w:rPr>
          <w:rFonts w:hint="eastAsia"/>
          <w:sz w:val="24"/>
        </w:rPr>
        <w:t>.</w:t>
      </w:r>
      <w:r>
        <w:rPr>
          <w:sz w:val="24"/>
        </w:rPr>
        <w:t>1款、12.3款、12.4款发布开工通知、暂停施工指示或复工通矢日；</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决定第11.3款、11.4款下的工期延长；</w:t>
      </w:r>
    </w:p>
    <w:p>
      <w:pPr>
        <w:adjustRightInd w:val="0"/>
        <w:snapToGrid w:val="0"/>
        <w:spacing w:line="360" w:lineRule="auto"/>
        <w:ind w:firstLine="480" w:firstLineChars="200"/>
        <w:rPr>
          <w:sz w:val="24"/>
        </w:rPr>
      </w:pPr>
      <w:r>
        <w:rPr>
          <w:sz w:val="24"/>
        </w:rPr>
        <w:t>（5</w:t>
      </w:r>
      <w:r>
        <w:rPr>
          <w:rFonts w:hint="eastAsia"/>
          <w:sz w:val="24"/>
        </w:rPr>
        <w:t>）</w:t>
      </w:r>
      <w:r>
        <w:rPr>
          <w:sz w:val="24"/>
        </w:rPr>
        <w:t>审查批准技术规范或设计的变更；</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根据第15.3款发出的变更指令，其单项工程变更涉及的金额超过了该单项工程原合同价的％或累计变更超过了原总合同价的％（在项目专用条款数据表中予以规定）；</w:t>
      </w:r>
    </w:p>
    <w:p>
      <w:pPr>
        <w:adjustRightInd w:val="0"/>
        <w:snapToGrid w:val="0"/>
        <w:spacing w:line="360" w:lineRule="auto"/>
        <w:ind w:firstLine="480" w:firstLineChars="200"/>
        <w:rPr>
          <w:sz w:val="24"/>
        </w:rPr>
      </w:pPr>
      <w:r>
        <w:rPr>
          <w:sz w:val="24"/>
        </w:rPr>
        <w:t>（7）确定第23.1款项下的索赔额；</w:t>
      </w:r>
    </w:p>
    <w:p>
      <w:pPr>
        <w:adjustRightInd w:val="0"/>
        <w:snapToGrid w:val="0"/>
        <w:spacing w:line="360" w:lineRule="auto"/>
        <w:ind w:firstLine="480" w:firstLineChars="200"/>
        <w:rPr>
          <w:sz w:val="24"/>
        </w:rPr>
      </w:pPr>
      <w:r>
        <w:rPr>
          <w:sz w:val="24"/>
        </w:rPr>
        <w:t>（8</w:t>
      </w:r>
      <w:r>
        <w:rPr>
          <w:rFonts w:hint="eastAsia"/>
          <w:sz w:val="24"/>
        </w:rPr>
        <w:t>）</w:t>
      </w:r>
      <w:r>
        <w:rPr>
          <w:sz w:val="24"/>
        </w:rPr>
        <w:t>按照第15.6款决定有关暂列金额的使用；</w:t>
      </w:r>
    </w:p>
    <w:p>
      <w:pPr>
        <w:adjustRightInd w:val="0"/>
        <w:snapToGrid w:val="0"/>
        <w:spacing w:line="360" w:lineRule="auto"/>
        <w:ind w:firstLine="480" w:firstLineChars="200"/>
        <w:rPr>
          <w:sz w:val="24"/>
        </w:rPr>
      </w:pPr>
      <w:r>
        <w:rPr>
          <w:sz w:val="24"/>
        </w:rPr>
        <w:t>（9</w:t>
      </w:r>
      <w:r>
        <w:rPr>
          <w:rFonts w:hint="eastAsia"/>
          <w:sz w:val="24"/>
        </w:rPr>
        <w:t>）</w:t>
      </w:r>
      <w:r>
        <w:rPr>
          <w:sz w:val="24"/>
        </w:rPr>
        <w:t>确定第15.8款项下的暂估价金额；</w:t>
      </w:r>
    </w:p>
    <w:p>
      <w:pPr>
        <w:adjustRightInd w:val="0"/>
        <w:snapToGrid w:val="0"/>
        <w:spacing w:line="360" w:lineRule="auto"/>
        <w:ind w:firstLine="480" w:firstLineChars="200"/>
        <w:rPr>
          <w:sz w:val="24"/>
        </w:rPr>
      </w:pPr>
      <w:r>
        <w:rPr>
          <w:sz w:val="24"/>
        </w:rPr>
        <w:t>（10</w:t>
      </w:r>
      <w:r>
        <w:rPr>
          <w:rFonts w:hint="eastAsia"/>
          <w:sz w:val="24"/>
        </w:rPr>
        <w:t>）</w:t>
      </w:r>
      <w:r>
        <w:rPr>
          <w:sz w:val="24"/>
        </w:rPr>
        <w:t>确定第15.4款下变更工作的单价。</w:t>
      </w:r>
    </w:p>
    <w:p>
      <w:pPr>
        <w:adjustRightInd w:val="0"/>
        <w:snapToGrid w:val="0"/>
        <w:spacing w:line="360" w:lineRule="auto"/>
        <w:ind w:firstLine="480" w:firstLineChars="200"/>
        <w:rPr>
          <w:sz w:val="24"/>
        </w:rPr>
      </w:pPr>
      <w:r>
        <w:rPr>
          <w:sz w:val="24"/>
        </w:rPr>
        <w:t>如果发生紧急情况，监理人认为将造成人员伤亡，或危及本工程或邻近的财产需立即采取行动，监理人有权在未征得发包人的批准的情况下发布处理紧急情况所必需的指令，承包人应予执行。监理人应按第3.5款商定或确定因上述指令产生的合同价格的增加额。</w:t>
      </w:r>
    </w:p>
    <w:p>
      <w:pPr>
        <w:adjustRightInd w:val="0"/>
        <w:snapToGrid w:val="0"/>
        <w:spacing w:beforeLines="100" w:line="360" w:lineRule="auto"/>
        <w:rPr>
          <w:rFonts w:eastAsia="黑体"/>
          <w:sz w:val="24"/>
        </w:rPr>
      </w:pPr>
      <w:r>
        <w:rPr>
          <w:rFonts w:eastAsia="黑体"/>
          <w:sz w:val="24"/>
        </w:rPr>
        <w:t>3.5商定或确定</w:t>
      </w:r>
    </w:p>
    <w:p>
      <w:pPr>
        <w:adjustRightInd w:val="0"/>
        <w:snapToGrid w:val="0"/>
        <w:spacing w:line="360" w:lineRule="auto"/>
        <w:ind w:firstLine="480" w:firstLineChars="200"/>
        <w:rPr>
          <w:rFonts w:eastAsia="黑体"/>
          <w:sz w:val="24"/>
        </w:rPr>
      </w:pPr>
      <w:r>
        <w:rPr>
          <w:rFonts w:eastAsia="黑体"/>
          <w:sz w:val="24"/>
        </w:rPr>
        <w:t>3.5</w:t>
      </w:r>
      <w:r>
        <w:rPr>
          <w:rFonts w:hint="eastAsia" w:eastAsia="黑体"/>
          <w:sz w:val="24"/>
        </w:rPr>
        <w:t>.</w:t>
      </w:r>
      <w:r>
        <w:rPr>
          <w:rFonts w:eastAsia="黑体"/>
          <w:sz w:val="24"/>
        </w:rPr>
        <w:t>1项补充：</w:t>
      </w:r>
    </w:p>
    <w:p>
      <w:pPr>
        <w:adjustRightInd w:val="0"/>
        <w:snapToGrid w:val="0"/>
        <w:spacing w:line="360" w:lineRule="auto"/>
        <w:ind w:firstLine="480" w:firstLineChars="200"/>
        <w:rPr>
          <w:sz w:val="24"/>
        </w:rPr>
      </w:pPr>
      <w:r>
        <w:rPr>
          <w:sz w:val="24"/>
        </w:rPr>
        <w:t>如果这项商定或确定导致费用增加和（或）工期延长，或者涉及确定变更工程的价格，则总监理工程师在发出通知前，应征得发包人的同意。</w:t>
      </w:r>
    </w:p>
    <w:p>
      <w:pPr>
        <w:adjustRightInd w:val="0"/>
        <w:snapToGrid w:val="0"/>
        <w:spacing w:beforeLines="100" w:line="360" w:lineRule="auto"/>
        <w:rPr>
          <w:rFonts w:eastAsia="黑体"/>
          <w:sz w:val="24"/>
        </w:rPr>
      </w:pPr>
      <w:r>
        <w:rPr>
          <w:rFonts w:eastAsia="黑体"/>
          <w:sz w:val="24"/>
        </w:rPr>
        <w:t>4</w:t>
      </w:r>
      <w:r>
        <w:rPr>
          <w:rFonts w:hint="eastAsia" w:eastAsia="黑体"/>
          <w:sz w:val="24"/>
        </w:rPr>
        <w:t>．</w:t>
      </w:r>
      <w:r>
        <w:rPr>
          <w:rFonts w:eastAsia="黑体"/>
          <w:sz w:val="24"/>
        </w:rPr>
        <w:t>承包人</w:t>
      </w:r>
    </w:p>
    <w:p>
      <w:pPr>
        <w:adjustRightInd w:val="0"/>
        <w:snapToGrid w:val="0"/>
        <w:spacing w:line="360" w:lineRule="auto"/>
        <w:rPr>
          <w:rFonts w:eastAsia="黑体"/>
          <w:sz w:val="24"/>
        </w:rPr>
      </w:pPr>
      <w:r>
        <w:rPr>
          <w:rFonts w:eastAsia="黑体"/>
          <w:sz w:val="24"/>
        </w:rPr>
        <w:t>4.1承包人的一般义务</w:t>
      </w:r>
    </w:p>
    <w:p>
      <w:pPr>
        <w:adjustRightInd w:val="0"/>
        <w:snapToGrid w:val="0"/>
        <w:spacing w:line="360" w:lineRule="auto"/>
        <w:ind w:firstLine="480" w:firstLineChars="200"/>
        <w:rPr>
          <w:rFonts w:eastAsia="黑体"/>
          <w:sz w:val="24"/>
        </w:rPr>
      </w:pPr>
      <w:r>
        <w:rPr>
          <w:rFonts w:eastAsia="黑体"/>
          <w:sz w:val="24"/>
        </w:rPr>
        <w:t>4</w:t>
      </w:r>
      <w:r>
        <w:rPr>
          <w:rFonts w:hint="eastAsia" w:eastAsia="黑体"/>
          <w:sz w:val="24"/>
        </w:rPr>
        <w:t>.</w:t>
      </w:r>
      <w:r>
        <w:rPr>
          <w:rFonts w:eastAsia="黑体"/>
          <w:sz w:val="24"/>
        </w:rPr>
        <w:t>1.2依法纳税</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承包人应按有关法律规定纳税。应缴纳的税费应按项目专用合同条款的约定：</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包括在工程量清单第100章相应的支付子目中；或</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分摊在工程量清单各工程子目的单价或总额价内。</w:t>
      </w:r>
    </w:p>
    <w:p>
      <w:pPr>
        <w:adjustRightInd w:val="0"/>
        <w:snapToGrid w:val="0"/>
        <w:spacing w:line="360" w:lineRule="auto"/>
        <w:ind w:firstLine="480" w:firstLineChars="200"/>
        <w:rPr>
          <w:rFonts w:eastAsia="黑体"/>
          <w:sz w:val="24"/>
        </w:rPr>
      </w:pPr>
      <w:r>
        <w:rPr>
          <w:rFonts w:eastAsia="黑体"/>
          <w:sz w:val="24"/>
        </w:rPr>
        <w:t>4.1.8为他人提供方便</w:t>
      </w:r>
    </w:p>
    <w:p>
      <w:pPr>
        <w:adjustRightInd w:val="0"/>
        <w:snapToGrid w:val="0"/>
        <w:spacing w:line="360" w:lineRule="auto"/>
        <w:ind w:firstLine="480" w:firstLineChars="200"/>
        <w:rPr>
          <w:sz w:val="24"/>
        </w:rPr>
      </w:pPr>
      <w:r>
        <w:rPr>
          <w:sz w:val="24"/>
        </w:rPr>
        <w:t>承包人为他人提供条件的内容：</w:t>
      </w:r>
      <w:r>
        <w:rPr>
          <w:rFonts w:hint="eastAsia" w:ascii="宋体" w:hAnsi="宋体"/>
          <w:sz w:val="24"/>
          <w:u w:val="single"/>
        </w:rPr>
        <w:t xml:space="preserve">  （见项目专用合同条款）  </w:t>
      </w:r>
    </w:p>
    <w:p>
      <w:pPr>
        <w:adjustRightInd w:val="0"/>
        <w:snapToGrid w:val="0"/>
        <w:spacing w:line="360" w:lineRule="auto"/>
        <w:ind w:firstLine="480" w:firstLineChars="200"/>
        <w:rPr>
          <w:rFonts w:eastAsia="黑体"/>
          <w:sz w:val="24"/>
          <w:u w:val="single"/>
        </w:rPr>
      </w:pPr>
      <w:r>
        <w:rPr>
          <w:sz w:val="24"/>
        </w:rPr>
        <w:t>承包人为他人提供条件可能发生费用的处理方法：</w:t>
      </w:r>
      <w:r>
        <w:rPr>
          <w:rFonts w:hint="eastAsia" w:ascii="宋体" w:hAnsi="宋体"/>
          <w:sz w:val="24"/>
          <w:u w:val="single"/>
        </w:rPr>
        <w:t xml:space="preserve">  （见项目专用合同条款）</w:t>
      </w:r>
    </w:p>
    <w:p>
      <w:pPr>
        <w:adjustRightInd w:val="0"/>
        <w:snapToGrid w:val="0"/>
        <w:spacing w:line="360" w:lineRule="auto"/>
        <w:ind w:firstLine="480" w:firstLineChars="200"/>
        <w:rPr>
          <w:rFonts w:eastAsia="黑体"/>
          <w:sz w:val="24"/>
        </w:rPr>
      </w:pPr>
      <w:r>
        <w:rPr>
          <w:rFonts w:eastAsia="黑体"/>
          <w:sz w:val="24"/>
        </w:rPr>
        <w:t>4.1.9工程的维护和照管</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（1</w:t>
      </w:r>
      <w:r>
        <w:rPr>
          <w:rFonts w:hint="eastAsia"/>
          <w:sz w:val="24"/>
        </w:rPr>
        <w:t>）</w:t>
      </w:r>
      <w:r>
        <w:rPr>
          <w:sz w:val="24"/>
        </w:rPr>
        <w:t>工程接收证书颁发前，承包人应负责照管和维护工程及将用于或安装在本工程中的材料、设备。工程接收证书颁发时尚有部分未竣工工程的，承包人还应负责该未竣工工程、材料、设备的照管和维护工作，直至竣工后移交给发包人为止。</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在承包人负责照管与维护期间，如果本工程或材料、设备等发生损失或损害，除不可抗力原因之外，承包人均应自费弥补，并达到合同要求。承包人还应对按19条规定而实施作业的过程中由承包人造成的对工程的任何损失或损害负责。</w:t>
      </w:r>
    </w:p>
    <w:p>
      <w:pPr>
        <w:adjustRightInd w:val="0"/>
        <w:snapToGrid w:val="0"/>
        <w:spacing w:line="360" w:lineRule="auto"/>
        <w:ind w:firstLine="480" w:firstLineChars="200"/>
        <w:rPr>
          <w:rFonts w:eastAsia="黑体"/>
          <w:sz w:val="24"/>
        </w:rPr>
      </w:pPr>
      <w:r>
        <w:rPr>
          <w:rFonts w:eastAsia="黑体"/>
          <w:sz w:val="24"/>
        </w:rPr>
        <w:t>4.1</w:t>
      </w:r>
      <w:r>
        <w:rPr>
          <w:rFonts w:hint="eastAsia" w:eastAsia="黑体"/>
          <w:sz w:val="24"/>
        </w:rPr>
        <w:t>.</w:t>
      </w:r>
      <w:r>
        <w:rPr>
          <w:rFonts w:eastAsia="黑体"/>
          <w:sz w:val="24"/>
        </w:rPr>
        <w:t>10其他义务</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（1</w:t>
      </w:r>
      <w:r>
        <w:rPr>
          <w:rFonts w:hint="eastAsia"/>
          <w:sz w:val="24"/>
        </w:rPr>
        <w:t>）</w:t>
      </w:r>
      <w:r>
        <w:rPr>
          <w:sz w:val="24"/>
        </w:rPr>
        <w:t>承包人应向发包人授权进行本合同工程开户银行工程资金的查询。发包人支付的预付款、工程进度款应为本工程的专款专用资金，不得转移或用于其他工程。发包人的进度支付款将转入承包人指定并经发包人批准的银行所设的专门帐户，发包人及其派出机构有权不定期对承包人工程资金使用情况进行检查，发现问题及时责令承包人限期改正，否则，将终止月支付，直至承包人改正为止。</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除项目专用条款另有规定外，承包人应承担并支付为获得本合同工程所需的石料、砂、砾石、粘土或其他当地材料等所发生的料场使用费及其他开支或补偿费。发包人应尽可能协助承包人办理料场租用手续及解决使用过程中的有关问题。</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承包人应严格遵守国家有关解决拖欠工程款和民工工资的法律、法规，及时支付工程中的材料、设备货款及民工工资等费用。承包人不得以任何借口拖欠材料、设备货款及民工工资等费用，如果出现此种现象，经查实后，一律通报批评并责令承包人自行组织资金迅速偿还欠款，在必要时，发包人有权从应付给承包人的工程款中代为支付其拖欠的材料、设备货款及民工工资。对恶意拖欠和拒不按计划支付的，记入信用档案。</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承包人的项目经理部是民工工资支付行为的主体，承包人的项目经理或授权的项目副经理是民工工资支付的责任人。项目经理部要建立全体民工花名册和工资支付表，确保将工资直接发放给民工本人，或委托银行发放民工工资，严禁发放给“包工头”或其他不具备用工主体资格的组织和个人。</w:t>
      </w:r>
    </w:p>
    <w:p>
      <w:pPr>
        <w:adjustRightInd w:val="0"/>
        <w:snapToGrid w:val="0"/>
        <w:spacing w:line="360" w:lineRule="auto"/>
        <w:ind w:firstLine="480" w:firstLineChars="200"/>
        <w:rPr>
          <w:sz w:val="24"/>
        </w:rPr>
      </w:pPr>
      <w:r>
        <w:rPr>
          <w:rFonts w:hint="eastAsia"/>
          <w:sz w:val="24"/>
        </w:rPr>
        <w:t>工</w:t>
      </w:r>
      <w:r>
        <w:rPr>
          <w:sz w:val="24"/>
        </w:rPr>
        <w:t>资支付表应如实记录支付单位、支付时间、支付对象、支付数额、支付对象的身份证号和签字等工资支付情况。民工花名册和工资支付表报监理人备查。</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承包人应履行项目专用合同条款约定的其他义务。</w:t>
      </w:r>
    </w:p>
    <w:p>
      <w:pPr>
        <w:adjustRightInd w:val="0"/>
        <w:snapToGrid w:val="0"/>
        <w:spacing w:beforeLines="100" w:line="360" w:lineRule="auto"/>
        <w:rPr>
          <w:rFonts w:eastAsia="黑体"/>
          <w:sz w:val="24"/>
        </w:rPr>
      </w:pPr>
      <w:r>
        <w:rPr>
          <w:rFonts w:eastAsia="黑体"/>
          <w:sz w:val="24"/>
        </w:rPr>
        <w:t>4.2履约担保</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（1</w:t>
      </w:r>
      <w:r>
        <w:rPr>
          <w:rFonts w:hint="eastAsia"/>
          <w:sz w:val="24"/>
        </w:rPr>
        <w:t>）</w:t>
      </w:r>
      <w:r>
        <w:rPr>
          <w:sz w:val="24"/>
        </w:rPr>
        <w:t>承包人应在签订合同协议书之前向发包人提交履约担保，同时通知监理人。担保金额在投标函附录中写明。履约担保应按项目专用合同条款的规定，采用银行保函或现金形式。保函应采用招标文件所附的或发包人事先同意的格式，由承包人在符合规定的银行开具（银行级别在项目专用条款数据中说明），并保证其有效。保函的正本由发包人保存。执行本条各项要求所需的费用由承包人承担。</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联合体的履约担保应由联合体牵头人提交，其金额应达到投标函附录中规定的金额。</w:t>
      </w:r>
    </w:p>
    <w:p>
      <w:pPr>
        <w:adjustRightInd w:val="0"/>
        <w:snapToGrid w:val="0"/>
        <w:spacing w:beforeLines="100" w:line="360" w:lineRule="auto"/>
        <w:rPr>
          <w:rFonts w:eastAsia="黑体"/>
          <w:sz w:val="24"/>
        </w:rPr>
      </w:pPr>
      <w:r>
        <w:rPr>
          <w:rFonts w:eastAsia="黑体"/>
          <w:sz w:val="24"/>
        </w:rPr>
        <w:t>4.3分包</w:t>
      </w:r>
    </w:p>
    <w:p>
      <w:pPr>
        <w:adjustRightInd w:val="0"/>
        <w:snapToGrid w:val="0"/>
        <w:spacing w:line="360" w:lineRule="auto"/>
        <w:ind w:firstLine="480" w:firstLineChars="200"/>
        <w:rPr>
          <w:rFonts w:eastAsia="黑体"/>
          <w:sz w:val="24"/>
        </w:rPr>
      </w:pPr>
      <w:r>
        <w:rPr>
          <w:rFonts w:eastAsia="黑体"/>
          <w:sz w:val="24"/>
        </w:rPr>
        <w:t>4.3.2项细化为：</w:t>
      </w:r>
    </w:p>
    <w:p>
      <w:pPr>
        <w:adjustRightInd w:val="0"/>
        <w:snapToGrid w:val="0"/>
        <w:spacing w:line="360" w:lineRule="auto"/>
        <w:ind w:firstLine="480" w:firstLineChars="200"/>
        <w:rPr>
          <w:sz w:val="24"/>
        </w:rPr>
      </w:pPr>
      <w:r>
        <w:rPr>
          <w:sz w:val="24"/>
        </w:rPr>
        <w:t>承包人不得将工程主体、关键性工作分包给第三人。经发包人同意，承包人可将工程的其他部分或工作分包给第三人。分包包括专业分包和劳务分包。</w:t>
      </w:r>
    </w:p>
    <w:p>
      <w:pPr>
        <w:adjustRightInd w:val="0"/>
        <w:snapToGrid w:val="0"/>
        <w:spacing w:line="360" w:lineRule="auto"/>
        <w:ind w:firstLine="480" w:firstLineChars="200"/>
        <w:rPr>
          <w:rFonts w:eastAsia="黑体"/>
          <w:sz w:val="24"/>
        </w:rPr>
      </w:pPr>
      <w:r>
        <w:rPr>
          <w:rFonts w:eastAsia="黑体"/>
          <w:sz w:val="24"/>
        </w:rPr>
        <w:t>4.3.3项至4.3.5项细化为：</w:t>
      </w:r>
    </w:p>
    <w:p>
      <w:pPr>
        <w:adjustRightInd w:val="0"/>
        <w:snapToGrid w:val="0"/>
        <w:spacing w:line="360" w:lineRule="auto"/>
        <w:ind w:firstLine="480" w:firstLineChars="200"/>
        <w:rPr>
          <w:rFonts w:eastAsia="黑体"/>
          <w:sz w:val="24"/>
        </w:rPr>
      </w:pPr>
      <w:r>
        <w:rPr>
          <w:rFonts w:eastAsia="黑体"/>
          <w:sz w:val="24"/>
        </w:rPr>
        <w:t>4.3.3专业分包</w:t>
      </w:r>
    </w:p>
    <w:p>
      <w:pPr>
        <w:adjustRightInd w:val="0"/>
        <w:snapToGrid w:val="0"/>
        <w:spacing w:line="360" w:lineRule="auto"/>
        <w:ind w:firstLine="480" w:firstLineChars="200"/>
        <w:rPr>
          <w:sz w:val="24"/>
        </w:rPr>
      </w:pPr>
      <w:r>
        <w:rPr>
          <w:sz w:val="24"/>
        </w:rPr>
        <w:t>在工程施工过程中，承包人如有专业分包计划，则必须遵守以下规定：</w:t>
      </w:r>
    </w:p>
    <w:p>
      <w:pPr>
        <w:adjustRightInd w:val="0"/>
        <w:snapToGrid w:val="0"/>
        <w:spacing w:line="360" w:lineRule="auto"/>
        <w:ind w:firstLine="480" w:firstLineChars="200"/>
        <w:rPr>
          <w:sz w:val="24"/>
        </w:rPr>
      </w:pPr>
      <w:r>
        <w:rPr>
          <w:sz w:val="24"/>
        </w:rPr>
        <w:t>（1</w:t>
      </w:r>
      <w:r>
        <w:rPr>
          <w:rFonts w:hint="eastAsia"/>
          <w:sz w:val="24"/>
        </w:rPr>
        <w:t>）</w:t>
      </w:r>
      <w:r>
        <w:rPr>
          <w:sz w:val="24"/>
        </w:rPr>
        <w:t>允许专业分包的工程范围仅限于分部工程或分项工程、适合专业化队伍施工的工程，专业分包的工程量不得超过总工程量的30%</w:t>
      </w:r>
      <w:r>
        <w:rPr>
          <w:rFonts w:hint="eastAsia"/>
          <w:sz w:val="24"/>
        </w:rPr>
        <w:t>；</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专业分包人的资格能力（含安全生产能力）应与其分包工程的标准和规模相适应，具备相应的专业承包资质；</w:t>
      </w:r>
    </w:p>
    <w:p>
      <w:pPr>
        <w:adjustRightInd w:val="0"/>
        <w:snapToGrid w:val="0"/>
        <w:spacing w:line="360" w:lineRule="auto"/>
        <w:ind w:firstLine="480" w:firstLineChars="200"/>
        <w:rPr>
          <w:sz w:val="24"/>
        </w:rPr>
      </w:pPr>
      <w:r>
        <w:rPr>
          <w:sz w:val="24"/>
        </w:rPr>
        <w:t>（3</w:t>
      </w:r>
      <w:r>
        <w:rPr>
          <w:rFonts w:hint="eastAsia"/>
          <w:sz w:val="24"/>
        </w:rPr>
        <w:t>）</w:t>
      </w:r>
      <w:r>
        <w:rPr>
          <w:sz w:val="24"/>
        </w:rPr>
        <w:t>专业分包工程不得再次分包或转包；</w:t>
      </w:r>
    </w:p>
    <w:p>
      <w:pPr>
        <w:adjustRightInd w:val="0"/>
        <w:snapToGrid w:val="0"/>
        <w:spacing w:line="360" w:lineRule="auto"/>
        <w:ind w:firstLine="480" w:firstLineChars="200"/>
        <w:rPr>
          <w:sz w:val="24"/>
        </w:rPr>
      </w:pPr>
      <w:r>
        <w:rPr>
          <w:sz w:val="24"/>
        </w:rPr>
        <w:t>（4）承包人应对专业分包工程的工程质量及专业分包人职工的行为、违约和疏忽承担责任；</w:t>
      </w:r>
    </w:p>
    <w:p>
      <w:pPr>
        <w:adjustRightInd w:val="0"/>
        <w:snapToGrid w:val="0"/>
        <w:spacing w:line="360" w:lineRule="auto"/>
        <w:ind w:firstLine="480" w:firstLineChars="200"/>
        <w:rPr>
          <w:sz w:val="24"/>
        </w:rPr>
      </w:pPr>
      <w:r>
        <w:rPr>
          <w:sz w:val="24"/>
        </w:rPr>
        <w:t>（5</w:t>
      </w:r>
      <w:r>
        <w:rPr>
          <w:rFonts w:hint="eastAsia"/>
          <w:sz w:val="24"/>
        </w:rPr>
        <w:t>）</w:t>
      </w:r>
      <w:r>
        <w:rPr>
          <w:sz w:val="24"/>
        </w:rPr>
        <w:t>承包人和专业分包人应当依法签订专业分包合同，并按照合同履行约定的义务。专业分包合同必须明确约定工程款支付条款、结算方式以及保证按期支付的相应措施，确保工程款的支付：</w:t>
      </w:r>
    </w:p>
    <w:p>
      <w:pPr>
        <w:adjustRightInd w:val="0"/>
        <w:snapToGrid w:val="0"/>
        <w:spacing w:line="360" w:lineRule="auto"/>
        <w:ind w:firstLine="480" w:firstLineChars="200"/>
        <w:rPr>
          <w:sz w:val="24"/>
        </w:rPr>
      </w:pPr>
      <w:r>
        <w:rPr>
          <w:sz w:val="24"/>
        </w:rPr>
        <w:t>（6</w:t>
      </w:r>
      <w:r>
        <w:rPr>
          <w:rFonts w:hint="eastAsia"/>
          <w:sz w:val="24"/>
        </w:rPr>
        <w:t>）</w:t>
      </w:r>
      <w:r>
        <w:rPr>
          <w:sz w:val="24"/>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adjustRightInd w:val="0"/>
        <w:snapToGrid w:val="0"/>
        <w:spacing w:line="360" w:lineRule="auto"/>
        <w:ind w:firstLine="480" w:firstLineChars="200"/>
        <w:rPr>
          <w:sz w:val="24"/>
        </w:rPr>
      </w:pPr>
      <w:r>
        <w:rPr>
          <w:sz w:val="24"/>
        </w:rPr>
        <w:t>（7</w:t>
      </w:r>
      <w:r>
        <w:rPr>
          <w:rFonts w:hint="eastAsia"/>
          <w:sz w:val="24"/>
        </w:rPr>
        <w:t>）</w:t>
      </w:r>
      <w:r>
        <w:rPr>
          <w:sz w:val="24"/>
        </w:rPr>
        <w:t>所有专</w:t>
      </w:r>
      <w:r>
        <w:rPr>
          <w:rFonts w:hint="eastAsia"/>
          <w:sz w:val="24"/>
        </w:rPr>
        <w:t>业</w:t>
      </w:r>
      <w:r>
        <w:rPr>
          <w:sz w:val="24"/>
        </w:rPr>
        <w:t>分包计划，专业分包合同（或专业分包协议）和专业分包工程量清单和单价须报监理人审批，并报发包人核备。监理人审批专业分包并不解除合同规定的承包人的任何责任或义务。发包人对承包人与分包人之间的法律与经济纠纷不承担任何责任和义务。</w:t>
      </w:r>
    </w:p>
    <w:p>
      <w:pPr>
        <w:adjustRightInd w:val="0"/>
        <w:snapToGrid w:val="0"/>
        <w:spacing w:line="360" w:lineRule="auto"/>
        <w:ind w:firstLine="480" w:firstLineChars="200"/>
        <w:rPr>
          <w:sz w:val="24"/>
        </w:rPr>
      </w:pPr>
      <w:r>
        <w:rPr>
          <w:sz w:val="24"/>
        </w:rPr>
        <w:t>违反上述规定之一者属违规分包。</w:t>
      </w:r>
    </w:p>
    <w:p>
      <w:pPr>
        <w:adjustRightInd w:val="0"/>
        <w:snapToGrid w:val="0"/>
        <w:spacing w:line="360" w:lineRule="auto"/>
        <w:ind w:firstLine="480" w:firstLineChars="200"/>
        <w:rPr>
          <w:rFonts w:eastAsia="黑体"/>
          <w:sz w:val="24"/>
        </w:rPr>
      </w:pPr>
      <w:r>
        <w:rPr>
          <w:rFonts w:eastAsia="黑体"/>
          <w:sz w:val="24"/>
        </w:rPr>
        <w:t>4.3.4劳务分包</w:t>
      </w:r>
    </w:p>
    <w:p>
      <w:pPr>
        <w:adjustRightInd w:val="0"/>
        <w:snapToGrid w:val="0"/>
        <w:spacing w:line="360" w:lineRule="auto"/>
        <w:ind w:firstLine="480" w:firstLineChars="200"/>
        <w:rPr>
          <w:sz w:val="24"/>
        </w:rPr>
      </w:pPr>
      <w:r>
        <w:rPr>
          <w:sz w:val="24"/>
        </w:rPr>
        <w:t>在工程施工过程中，承包人如有劳务分包计划，则必须遵守以下规定：</w:t>
      </w:r>
    </w:p>
    <w:p>
      <w:pPr>
        <w:adjustRightInd w:val="0"/>
        <w:snapToGrid w:val="0"/>
        <w:spacing w:line="360" w:lineRule="auto"/>
        <w:ind w:firstLine="480" w:firstLineChars="200"/>
        <w:rPr>
          <w:sz w:val="24"/>
        </w:rPr>
      </w:pPr>
      <w:r>
        <w:rPr>
          <w:sz w:val="24"/>
        </w:rPr>
        <w:t>（1</w:t>
      </w:r>
      <w:r>
        <w:rPr>
          <w:rFonts w:hint="eastAsia"/>
          <w:sz w:val="24"/>
        </w:rPr>
        <w:t>）</w:t>
      </w:r>
      <w:r>
        <w:rPr>
          <w:sz w:val="24"/>
        </w:rPr>
        <w:t>承包人可以将劳务作业发包给具有劳务资质的劳务分包人。劳务分包应当依法签订劳务合同，劳务合同必须由承包人或其授权的代表与劳务分包人直接签订，不得由他人代签。承包人的工程项目部、项目经理、施工作业班组等不具备用工主体资格，不能与劳务分包人签订劳务合同。劳务合同要报项目所在地劳动保障部门和监理人备查；</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承包人雇用的劳务作业应加入到承包人的施工班组统一管理。有关施工质量、施工安全、施工进度、环境保护、技术方案、试验检测、材料保管与供应、机械设备等都必须由承包人管理与调配，不得以包代管；</w:t>
      </w:r>
    </w:p>
    <w:p>
      <w:pPr>
        <w:adjustRightInd w:val="0"/>
        <w:snapToGrid w:val="0"/>
        <w:spacing w:line="360" w:lineRule="auto"/>
        <w:ind w:firstLine="480" w:firstLineChars="200"/>
        <w:rPr>
          <w:sz w:val="24"/>
        </w:rPr>
      </w:pPr>
      <w:r>
        <w:rPr>
          <w:sz w:val="24"/>
        </w:rPr>
        <w:t>（3</w:t>
      </w:r>
      <w:r>
        <w:rPr>
          <w:rFonts w:hint="eastAsia"/>
          <w:sz w:val="24"/>
        </w:rPr>
        <w:t>）</w:t>
      </w:r>
      <w:r>
        <w:rPr>
          <w:sz w:val="24"/>
        </w:rPr>
        <w:t>承包人应当对劳务分包人员进行安全培训和管理，劳务分包人不得将其分包的劳务作业再次分包或转包；</w:t>
      </w:r>
    </w:p>
    <w:p>
      <w:pPr>
        <w:adjustRightInd w:val="0"/>
        <w:snapToGrid w:val="0"/>
        <w:spacing w:line="360" w:lineRule="auto"/>
        <w:ind w:firstLine="480" w:firstLineChars="200"/>
        <w:rPr>
          <w:sz w:val="24"/>
        </w:rPr>
      </w:pPr>
      <w:r>
        <w:rPr>
          <w:sz w:val="24"/>
        </w:rPr>
        <w:t>（4）承包人应对劳务分包人职工的行为、违约和疏忽所造成的后果负完全连带责任。</w:t>
      </w:r>
    </w:p>
    <w:p>
      <w:pPr>
        <w:adjustRightInd w:val="0"/>
        <w:snapToGrid w:val="0"/>
        <w:spacing w:line="360" w:lineRule="auto"/>
        <w:ind w:firstLine="480" w:firstLineChars="200"/>
        <w:rPr>
          <w:sz w:val="24"/>
        </w:rPr>
      </w:pPr>
      <w:r>
        <w:rPr>
          <w:sz w:val="24"/>
        </w:rPr>
        <w:t>违反上述规定之一者属违规分包。</w:t>
      </w:r>
    </w:p>
    <w:p>
      <w:pPr>
        <w:adjustRightInd w:val="0"/>
        <w:snapToGrid w:val="0"/>
        <w:spacing w:beforeLines="100" w:line="360" w:lineRule="auto"/>
        <w:rPr>
          <w:rFonts w:eastAsia="黑体"/>
          <w:sz w:val="24"/>
        </w:rPr>
      </w:pPr>
      <w:r>
        <w:rPr>
          <w:rFonts w:eastAsia="黑体"/>
          <w:sz w:val="24"/>
        </w:rPr>
        <w:t>4.4联合体</w:t>
      </w:r>
    </w:p>
    <w:p>
      <w:pPr>
        <w:adjustRightInd w:val="0"/>
        <w:snapToGrid w:val="0"/>
        <w:spacing w:line="360" w:lineRule="auto"/>
        <w:ind w:firstLine="480" w:firstLineChars="200"/>
        <w:rPr>
          <w:sz w:val="24"/>
        </w:rPr>
      </w:pPr>
      <w:r>
        <w:rPr>
          <w:sz w:val="24"/>
        </w:rPr>
        <w:t>本款增加第4.4.4项：</w:t>
      </w:r>
    </w:p>
    <w:p>
      <w:pPr>
        <w:adjustRightInd w:val="0"/>
        <w:snapToGrid w:val="0"/>
        <w:spacing w:line="360" w:lineRule="auto"/>
        <w:ind w:firstLine="480" w:firstLineChars="200"/>
        <w:rPr>
          <w:sz w:val="24"/>
        </w:rPr>
      </w:pPr>
      <w:r>
        <w:rPr>
          <w:sz w:val="24"/>
        </w:rPr>
        <w:t>4.4.4未经发包人事先同意，联合体的组成与结构不得变动。</w:t>
      </w:r>
    </w:p>
    <w:p>
      <w:pPr>
        <w:adjustRightInd w:val="0"/>
        <w:snapToGrid w:val="0"/>
        <w:spacing w:beforeLines="100" w:line="360" w:lineRule="auto"/>
        <w:rPr>
          <w:rFonts w:eastAsia="黑体"/>
          <w:sz w:val="24"/>
        </w:rPr>
      </w:pPr>
      <w:r>
        <w:rPr>
          <w:rFonts w:eastAsia="黑体"/>
          <w:sz w:val="24"/>
        </w:rPr>
        <w:t>4.6承包人人员的管理</w:t>
      </w:r>
    </w:p>
    <w:p>
      <w:pPr>
        <w:adjustRightInd w:val="0"/>
        <w:snapToGrid w:val="0"/>
        <w:spacing w:line="360" w:lineRule="auto"/>
        <w:ind w:firstLine="480" w:firstLineChars="200"/>
        <w:rPr>
          <w:rFonts w:eastAsia="黑体"/>
          <w:sz w:val="24"/>
        </w:rPr>
      </w:pPr>
      <w:r>
        <w:rPr>
          <w:rFonts w:eastAsia="黑体"/>
          <w:sz w:val="24"/>
        </w:rPr>
        <w:t>4.6.3项细化为：</w:t>
      </w:r>
    </w:p>
    <w:p>
      <w:pPr>
        <w:adjustRightInd w:val="0"/>
        <w:snapToGrid w:val="0"/>
        <w:spacing w:line="360" w:lineRule="auto"/>
        <w:ind w:firstLine="480" w:firstLineChars="200"/>
        <w:rPr>
          <w:sz w:val="24"/>
        </w:rPr>
      </w:pPr>
      <w:r>
        <w:rPr>
          <w:sz w:val="24"/>
        </w:rPr>
        <w:t>承包人安排在施工场地的主要管理人员和技术骨干应与投标文件（如承包人未奎投标阶段对人员进行新增或更新，则以资格预审申请文件为准）所承诺的名单</w:t>
      </w:r>
      <w:r>
        <w:rPr>
          <w:rFonts w:hint="eastAsia"/>
          <w:sz w:val="24"/>
        </w:rPr>
        <w:t>一致，</w:t>
      </w:r>
      <w:r>
        <w:rPr>
          <w:sz w:val="24"/>
        </w:rPr>
        <w:t>并保持相对稳定。未经监理人批准，上述人员不应无故不到位或被替换；若确</w:t>
      </w:r>
      <w:r>
        <w:rPr>
          <w:rFonts w:hint="eastAsia"/>
          <w:sz w:val="24"/>
        </w:rPr>
        <w:t>实无</w:t>
      </w:r>
      <w:r>
        <w:rPr>
          <w:sz w:val="24"/>
        </w:rPr>
        <w:t>法到位或需替换，需经监理人审核并报发包人批准后，用同等资质和</w:t>
      </w:r>
      <w:r>
        <w:rPr>
          <w:rFonts w:hint="eastAsia"/>
          <w:sz w:val="24"/>
        </w:rPr>
        <w:t>经历的人</w:t>
      </w:r>
      <w:r>
        <w:rPr>
          <w:sz w:val="24"/>
        </w:rPr>
        <w:t>员替换。</w:t>
      </w:r>
    </w:p>
    <w:p>
      <w:pPr>
        <w:adjustRightInd w:val="0"/>
        <w:snapToGrid w:val="0"/>
        <w:spacing w:line="360" w:lineRule="auto"/>
        <w:ind w:firstLine="480" w:firstLineChars="200"/>
        <w:rPr>
          <w:sz w:val="24"/>
        </w:rPr>
      </w:pPr>
      <w:r>
        <w:rPr>
          <w:sz w:val="24"/>
        </w:rPr>
        <w:t>本款增加第4.6.5项：</w:t>
      </w:r>
    </w:p>
    <w:p>
      <w:pPr>
        <w:adjustRightInd w:val="0"/>
        <w:snapToGrid w:val="0"/>
        <w:spacing w:line="360" w:lineRule="auto"/>
        <w:ind w:firstLine="480" w:firstLineChars="200"/>
        <w:rPr>
          <w:sz w:val="24"/>
        </w:rPr>
      </w:pPr>
      <w:r>
        <w:rPr>
          <w:sz w:val="24"/>
        </w:rPr>
        <w:t>4.6.5尽管承包人</w:t>
      </w:r>
      <w:r>
        <w:rPr>
          <w:rFonts w:hint="eastAsia"/>
          <w:sz w:val="24"/>
        </w:rPr>
        <w:t>已</w:t>
      </w:r>
      <w:r>
        <w:rPr>
          <w:sz w:val="24"/>
        </w:rPr>
        <w:t>按投标文件（如承包人未在投标阶段对人员进行新增或更新，则以</w:t>
      </w:r>
      <w:r>
        <w:rPr>
          <w:rFonts w:hint="eastAsia"/>
          <w:sz w:val="24"/>
        </w:rPr>
        <w:t>资</w:t>
      </w:r>
      <w:r>
        <w:rPr>
          <w:sz w:val="24"/>
        </w:rPr>
        <w:t>格预</w:t>
      </w:r>
      <w:r>
        <w:rPr>
          <w:rFonts w:hint="eastAsia"/>
          <w:sz w:val="24"/>
        </w:rPr>
        <w:t>审</w:t>
      </w:r>
      <w:r>
        <w:rPr>
          <w:sz w:val="24"/>
        </w:rPr>
        <w:t>申请文件为准）中所</w:t>
      </w:r>
      <w:r>
        <w:rPr>
          <w:rFonts w:hint="eastAsia"/>
          <w:sz w:val="24"/>
        </w:rPr>
        <w:t>列</w:t>
      </w:r>
      <w:r>
        <w:rPr>
          <w:sz w:val="24"/>
        </w:rPr>
        <w:t>的数量派遣了上述各类人员，但若监</w:t>
      </w:r>
      <w:r>
        <w:rPr>
          <w:rFonts w:hint="eastAsia"/>
          <w:sz w:val="24"/>
        </w:rPr>
        <w:t>理人</w:t>
      </w:r>
      <w:r>
        <w:rPr>
          <w:sz w:val="24"/>
        </w:rPr>
        <w:t>认为这些人员仍不足以适应现场施工的需要且不能保证工程质量时，监理人有权要参承包人继续增派或雇用这类人员，并书面通知承包人和抄送发包人。承包人</w:t>
      </w:r>
      <w:r>
        <w:rPr>
          <w:rFonts w:hint="eastAsia"/>
          <w:sz w:val="24"/>
        </w:rPr>
        <w:t>在接到</w:t>
      </w:r>
      <w:r>
        <w:rPr>
          <w:sz w:val="24"/>
        </w:rPr>
        <w:t>上述通</w:t>
      </w:r>
      <w:r>
        <w:rPr>
          <w:rFonts w:hint="eastAsia"/>
          <w:sz w:val="24"/>
        </w:rPr>
        <w:t>知</w:t>
      </w:r>
      <w:r>
        <w:rPr>
          <w:sz w:val="24"/>
        </w:rPr>
        <w:t>后应立即执行监理人的上述指示，不得无故拖延，监理人应考虑承包</w:t>
      </w:r>
      <w:r>
        <w:rPr>
          <w:rFonts w:hint="eastAsia"/>
          <w:sz w:val="24"/>
        </w:rPr>
        <w:t>人</w:t>
      </w:r>
      <w:r>
        <w:rPr>
          <w:sz w:val="24"/>
        </w:rPr>
        <w:t>因此增加的费用。</w:t>
      </w:r>
    </w:p>
    <w:p>
      <w:pPr>
        <w:adjustRightInd w:val="0"/>
        <w:snapToGrid w:val="0"/>
        <w:spacing w:beforeLines="100" w:line="360" w:lineRule="auto"/>
        <w:rPr>
          <w:rFonts w:eastAsia="黑体"/>
          <w:sz w:val="24"/>
        </w:rPr>
      </w:pPr>
      <w:r>
        <w:rPr>
          <w:rFonts w:eastAsia="黑体"/>
          <w:sz w:val="24"/>
        </w:rPr>
        <w:t>4.7撤换承包人项目经理和其他人员</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承包人应对其项目经理和其他人员进行有效管理。监理人要求撤换不能胜任本职工作、行为不端或玩忽职守的承包人项目经理和其他人员的，承包人应予以撤</w:t>
      </w:r>
      <w:r>
        <w:rPr>
          <w:rFonts w:hint="eastAsia"/>
          <w:sz w:val="24"/>
        </w:rPr>
        <w:t>换，</w:t>
      </w:r>
      <w:r>
        <w:rPr>
          <w:sz w:val="24"/>
        </w:rPr>
        <w:t>同时委派经发包人与监理人同意的新的项目经理和其他人员。</w:t>
      </w:r>
    </w:p>
    <w:p>
      <w:pPr>
        <w:adjustRightInd w:val="0"/>
        <w:snapToGrid w:val="0"/>
        <w:spacing w:beforeLines="100" w:line="360" w:lineRule="auto"/>
        <w:rPr>
          <w:rFonts w:eastAsia="黑体"/>
          <w:sz w:val="24"/>
        </w:rPr>
      </w:pPr>
      <w:r>
        <w:rPr>
          <w:rFonts w:eastAsia="黑体"/>
          <w:sz w:val="24"/>
        </w:rPr>
        <w:t>4.8保障承包人人员的合法权益</w:t>
      </w:r>
    </w:p>
    <w:p>
      <w:pPr>
        <w:adjustRightInd w:val="0"/>
        <w:snapToGrid w:val="0"/>
        <w:spacing w:line="360" w:lineRule="auto"/>
        <w:ind w:firstLine="480" w:firstLineChars="200"/>
        <w:rPr>
          <w:sz w:val="24"/>
        </w:rPr>
      </w:pPr>
      <w:r>
        <w:rPr>
          <w:sz w:val="24"/>
        </w:rPr>
        <w:t>本款增加第4.8.7项：</w:t>
      </w:r>
    </w:p>
    <w:p>
      <w:pPr>
        <w:adjustRightInd w:val="0"/>
        <w:snapToGrid w:val="0"/>
        <w:spacing w:line="360" w:lineRule="auto"/>
        <w:ind w:firstLine="480" w:firstLineChars="200"/>
        <w:rPr>
          <w:sz w:val="24"/>
        </w:rPr>
      </w:pPr>
      <w:r>
        <w:rPr>
          <w:sz w:val="24"/>
        </w:rPr>
        <w:t>4.8.7承包人应自费采取必须的卫生防护措施，经常保持现场及其驻地整洁和</w:t>
      </w:r>
      <w:r>
        <w:rPr>
          <w:rFonts w:hint="eastAsia"/>
          <w:sz w:val="24"/>
        </w:rPr>
        <w:t>卫</w:t>
      </w:r>
      <w:r>
        <w:rPr>
          <w:sz w:val="24"/>
        </w:rPr>
        <w:t>生，以保护职员和工人的健康，并应与当地卫生部门合作，根据要求在整个合同</w:t>
      </w:r>
      <w:r>
        <w:rPr>
          <w:rFonts w:hint="eastAsia"/>
          <w:sz w:val="24"/>
        </w:rPr>
        <w:t>执</w:t>
      </w:r>
      <w:r>
        <w:rPr>
          <w:sz w:val="24"/>
        </w:rPr>
        <w:t>行期间配备医务人员，防止传染病和准备常用的急救药物。在炎热的高温条件下施工时，承包人应注意采取防暑降温措施。</w:t>
      </w:r>
    </w:p>
    <w:p>
      <w:pPr>
        <w:adjustRightInd w:val="0"/>
        <w:snapToGrid w:val="0"/>
        <w:spacing w:beforeLines="100" w:line="360" w:lineRule="auto"/>
        <w:rPr>
          <w:rFonts w:eastAsia="黑体"/>
          <w:sz w:val="24"/>
        </w:rPr>
      </w:pPr>
      <w:r>
        <w:rPr>
          <w:rFonts w:eastAsia="黑体"/>
          <w:sz w:val="24"/>
        </w:rPr>
        <w:t>4.10承包人现场查勘</w:t>
      </w:r>
    </w:p>
    <w:p>
      <w:pPr>
        <w:adjustRightInd w:val="0"/>
        <w:snapToGrid w:val="0"/>
        <w:spacing w:line="360" w:lineRule="auto"/>
        <w:ind w:firstLine="480" w:firstLineChars="200"/>
        <w:rPr>
          <w:sz w:val="24"/>
        </w:rPr>
      </w:pPr>
      <w:r>
        <w:rPr>
          <w:sz w:val="24"/>
        </w:rPr>
        <w:t>4.10.1项补充：</w:t>
      </w:r>
    </w:p>
    <w:p>
      <w:pPr>
        <w:adjustRightInd w:val="0"/>
        <w:snapToGrid w:val="0"/>
        <w:spacing w:line="360" w:lineRule="auto"/>
        <w:ind w:firstLine="480" w:firstLineChars="200"/>
        <w:rPr>
          <w:sz w:val="24"/>
        </w:rPr>
      </w:pPr>
      <w:r>
        <w:rPr>
          <w:sz w:val="24"/>
        </w:rPr>
        <w:t>发包人提供的本合同工程的水文、地质、气象和料场分布、取土场、弃土场位置等资料均属于参考资料，并不构成合同文件的组成部分，承包人应对他自己就上述资料的解释、推论和应用负责，发包人不承担任何责任。</w:t>
      </w:r>
    </w:p>
    <w:p>
      <w:pPr>
        <w:adjustRightInd w:val="0"/>
        <w:snapToGrid w:val="0"/>
        <w:spacing w:beforeLines="100" w:line="360" w:lineRule="auto"/>
        <w:rPr>
          <w:rFonts w:eastAsia="黑体"/>
          <w:sz w:val="24"/>
        </w:rPr>
      </w:pPr>
      <w:r>
        <w:rPr>
          <w:rFonts w:eastAsia="黑体"/>
          <w:sz w:val="24"/>
        </w:rPr>
        <w:t>4.11不利物质条件</w:t>
      </w:r>
    </w:p>
    <w:p>
      <w:pPr>
        <w:adjustRightInd w:val="0"/>
        <w:snapToGrid w:val="0"/>
        <w:spacing w:line="360" w:lineRule="auto"/>
        <w:ind w:firstLine="480" w:firstLineChars="200"/>
        <w:rPr>
          <w:sz w:val="24"/>
        </w:rPr>
      </w:pPr>
      <w:r>
        <w:rPr>
          <w:sz w:val="24"/>
        </w:rPr>
        <w:t>4.11.1不利物质条件的范围：</w:t>
      </w:r>
      <w:r>
        <w:rPr>
          <w:sz w:val="24"/>
          <w:u w:val="single"/>
        </w:rPr>
        <w:t>（见项目专用合同条</w:t>
      </w:r>
      <w:r>
        <w:rPr>
          <w:rFonts w:hint="eastAsia"/>
          <w:sz w:val="24"/>
          <w:u w:val="single"/>
        </w:rPr>
        <w:t xml:space="preserve">款）  </w:t>
      </w:r>
    </w:p>
    <w:p>
      <w:pPr>
        <w:adjustRightInd w:val="0"/>
        <w:snapToGrid w:val="0"/>
        <w:spacing w:line="360" w:lineRule="auto"/>
        <w:ind w:firstLine="480" w:firstLineChars="200"/>
        <w:rPr>
          <w:sz w:val="24"/>
        </w:rPr>
      </w:pPr>
      <w:r>
        <w:rPr>
          <w:sz w:val="24"/>
        </w:rPr>
        <w:t>本款增加第4.11.3项：</w:t>
      </w:r>
    </w:p>
    <w:p>
      <w:pPr>
        <w:adjustRightInd w:val="0"/>
        <w:snapToGrid w:val="0"/>
        <w:spacing w:line="360" w:lineRule="auto"/>
        <w:ind w:firstLine="480" w:firstLineChars="200"/>
        <w:rPr>
          <w:sz w:val="24"/>
        </w:rPr>
      </w:pPr>
      <w:r>
        <w:rPr>
          <w:sz w:val="24"/>
        </w:rPr>
        <w:t>4.11.3可预见的不利物质条件</w:t>
      </w:r>
    </w:p>
    <w:p>
      <w:pPr>
        <w:adjustRightInd w:val="0"/>
        <w:snapToGrid w:val="0"/>
        <w:spacing w:line="360" w:lineRule="auto"/>
        <w:ind w:firstLine="480" w:firstLineChars="200"/>
        <w:rPr>
          <w:sz w:val="24"/>
        </w:rPr>
      </w:pPr>
      <w:r>
        <w:rPr>
          <w:sz w:val="24"/>
        </w:rPr>
        <w:t>（1</w:t>
      </w:r>
      <w:r>
        <w:rPr>
          <w:rFonts w:hint="eastAsia"/>
          <w:sz w:val="24"/>
        </w:rPr>
        <w:t>）</w:t>
      </w:r>
      <w:r>
        <w:rPr>
          <w:sz w:val="24"/>
        </w:rPr>
        <w:t>对于合同中己经明确指出的不利物质条件无论承包人是否有其经历和经验均视为承包人在接受合同时已预见其影响，并已在签约合同价中计入其影响而可能发生的一切费用。</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对于合同未明确指出，但是在不利物质条件发生之前，监理人已经指示承包人有可能发生，但承包人未能及时采取有效措施，而导致的损失和后果均由承包人承担。</w:t>
      </w:r>
    </w:p>
    <w:p>
      <w:pPr>
        <w:adjustRightInd w:val="0"/>
        <w:snapToGrid w:val="0"/>
        <w:spacing w:line="360" w:lineRule="auto"/>
        <w:ind w:firstLine="480" w:firstLineChars="200"/>
        <w:rPr>
          <w:sz w:val="24"/>
        </w:rPr>
      </w:pPr>
      <w:r>
        <w:rPr>
          <w:sz w:val="24"/>
        </w:rPr>
        <w:t>（3</w:t>
      </w:r>
      <w:r>
        <w:rPr>
          <w:rFonts w:hint="eastAsia"/>
          <w:sz w:val="24"/>
        </w:rPr>
        <w:t>）</w:t>
      </w:r>
      <w:r>
        <w:rPr>
          <w:sz w:val="24"/>
        </w:rPr>
        <w:t>对于在没有监理人具体指令情况下，承包人已经及时采取了合理而恰当的措施，并事后为监理人接受，监理人应适当考虑承包人因此增加的费用和（或）工期延误。</w:t>
      </w:r>
    </w:p>
    <w:p>
      <w:pPr>
        <w:adjustRightInd w:val="0"/>
        <w:snapToGrid w:val="0"/>
        <w:spacing w:line="360" w:lineRule="auto"/>
        <w:ind w:firstLine="480" w:firstLineChars="200"/>
        <w:rPr>
          <w:sz w:val="24"/>
        </w:rPr>
      </w:pPr>
    </w:p>
    <w:p>
      <w:pPr>
        <w:adjustRightInd w:val="0"/>
        <w:snapToGrid w:val="0"/>
        <w:spacing w:line="360" w:lineRule="auto"/>
        <w:rPr>
          <w:sz w:val="24"/>
        </w:rPr>
      </w:pPr>
      <w:r>
        <w:rPr>
          <w:sz w:val="24"/>
        </w:rPr>
        <w:t>增加第4.12款：</w:t>
      </w:r>
    </w:p>
    <w:p>
      <w:pPr>
        <w:adjustRightInd w:val="0"/>
        <w:snapToGrid w:val="0"/>
        <w:spacing w:line="360" w:lineRule="auto"/>
        <w:rPr>
          <w:rFonts w:eastAsia="黑体"/>
          <w:sz w:val="24"/>
        </w:rPr>
      </w:pPr>
      <w:r>
        <w:rPr>
          <w:rFonts w:eastAsia="黑体"/>
          <w:sz w:val="24"/>
        </w:rPr>
        <w:t>4.12投标文件的完备性</w:t>
      </w:r>
    </w:p>
    <w:p>
      <w:pPr>
        <w:adjustRightInd w:val="0"/>
        <w:snapToGrid w:val="0"/>
        <w:spacing w:line="360" w:lineRule="auto"/>
        <w:ind w:firstLine="480" w:firstLineChars="200"/>
        <w:rPr>
          <w:sz w:val="24"/>
        </w:rPr>
      </w:pPr>
      <w:r>
        <w:rPr>
          <w:sz w:val="24"/>
        </w:rPr>
        <w:t>合同双方一致认为，承包人在递交投标文件前，对本合同工程的投标文件和已标价工程量清单中开列的单价和总额价</w:t>
      </w:r>
      <w:r>
        <w:rPr>
          <w:rFonts w:hint="eastAsia"/>
          <w:sz w:val="24"/>
        </w:rPr>
        <w:t>已</w:t>
      </w:r>
      <w:r>
        <w:rPr>
          <w:sz w:val="24"/>
        </w:rPr>
        <w:t>查明是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pPr>
        <w:adjustRightInd w:val="0"/>
        <w:snapToGrid w:val="0"/>
        <w:spacing w:beforeLines="100" w:line="360" w:lineRule="auto"/>
        <w:rPr>
          <w:rFonts w:eastAsia="黑体"/>
          <w:sz w:val="24"/>
        </w:rPr>
      </w:pPr>
      <w:r>
        <w:rPr>
          <w:rFonts w:eastAsia="黑体"/>
          <w:sz w:val="24"/>
        </w:rPr>
        <w:t>5</w:t>
      </w:r>
      <w:r>
        <w:rPr>
          <w:rFonts w:hint="eastAsia" w:eastAsia="黑体"/>
          <w:sz w:val="24"/>
        </w:rPr>
        <w:t>．</w:t>
      </w:r>
      <w:r>
        <w:rPr>
          <w:rFonts w:eastAsia="黑体"/>
          <w:sz w:val="24"/>
        </w:rPr>
        <w:t>材料和工程设备</w:t>
      </w:r>
    </w:p>
    <w:p>
      <w:pPr>
        <w:adjustRightInd w:val="0"/>
        <w:snapToGrid w:val="0"/>
        <w:spacing w:line="360" w:lineRule="auto"/>
        <w:rPr>
          <w:rFonts w:eastAsia="黑体"/>
          <w:sz w:val="24"/>
        </w:rPr>
      </w:pPr>
      <w:r>
        <w:rPr>
          <w:rFonts w:eastAsia="黑体"/>
          <w:sz w:val="24"/>
        </w:rPr>
        <w:t>5.2发包人提供的材料和工程设备</w:t>
      </w:r>
    </w:p>
    <w:p>
      <w:pPr>
        <w:adjustRightInd w:val="0"/>
        <w:snapToGrid w:val="0"/>
        <w:spacing w:line="360" w:lineRule="auto"/>
        <w:ind w:firstLine="480" w:firstLineChars="200"/>
        <w:rPr>
          <w:sz w:val="24"/>
        </w:rPr>
      </w:pPr>
      <w:r>
        <w:rPr>
          <w:sz w:val="24"/>
        </w:rPr>
        <w:t>5.2.3项补充：</w:t>
      </w:r>
    </w:p>
    <w:p>
      <w:pPr>
        <w:adjustRightInd w:val="0"/>
        <w:snapToGrid w:val="0"/>
        <w:spacing w:line="360" w:lineRule="auto"/>
        <w:ind w:firstLine="480" w:firstLineChars="200"/>
        <w:rPr>
          <w:sz w:val="24"/>
        </w:rPr>
      </w:pPr>
      <w:r>
        <w:rPr>
          <w:sz w:val="24"/>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发生丢失、损坏或进度拖延，由承包人承担相应责任。</w:t>
      </w:r>
    </w:p>
    <w:p>
      <w:pPr>
        <w:adjustRightInd w:val="0"/>
        <w:snapToGrid w:val="0"/>
        <w:spacing w:beforeLines="100" w:line="360" w:lineRule="auto"/>
        <w:rPr>
          <w:rFonts w:eastAsia="黑体"/>
          <w:sz w:val="24"/>
        </w:rPr>
      </w:pPr>
      <w:r>
        <w:rPr>
          <w:rFonts w:eastAsia="黑体"/>
          <w:sz w:val="24"/>
        </w:rPr>
        <w:t>6</w:t>
      </w:r>
      <w:r>
        <w:rPr>
          <w:rFonts w:hint="eastAsia" w:eastAsia="黑体"/>
          <w:sz w:val="24"/>
        </w:rPr>
        <w:t>．</w:t>
      </w:r>
      <w:r>
        <w:rPr>
          <w:rFonts w:eastAsia="黑体"/>
          <w:sz w:val="24"/>
        </w:rPr>
        <w:t>施工设备和临时设施</w:t>
      </w:r>
    </w:p>
    <w:p>
      <w:pPr>
        <w:adjustRightInd w:val="0"/>
        <w:snapToGrid w:val="0"/>
        <w:spacing w:line="360" w:lineRule="auto"/>
        <w:rPr>
          <w:rFonts w:eastAsia="黑体"/>
          <w:sz w:val="24"/>
        </w:rPr>
      </w:pPr>
      <w:r>
        <w:rPr>
          <w:rFonts w:eastAsia="黑体"/>
          <w:sz w:val="24"/>
        </w:rPr>
        <w:t>6.2发包人提供的施工设备和临时设施</w:t>
      </w:r>
    </w:p>
    <w:p>
      <w:pPr>
        <w:adjustRightInd w:val="0"/>
        <w:snapToGrid w:val="0"/>
        <w:spacing w:line="360" w:lineRule="auto"/>
        <w:ind w:firstLine="480" w:firstLineChars="200"/>
        <w:rPr>
          <w:sz w:val="24"/>
        </w:rPr>
      </w:pPr>
      <w:r>
        <w:rPr>
          <w:sz w:val="24"/>
        </w:rPr>
        <w:t>发包人是否提供施工设备或临时设施：</w:t>
      </w:r>
      <w:r>
        <w:rPr>
          <w:sz w:val="24"/>
          <w:u w:val="single"/>
        </w:rPr>
        <w:t>（见项目专用合同条</w:t>
      </w:r>
      <w:r>
        <w:rPr>
          <w:rFonts w:hint="eastAsia"/>
          <w:sz w:val="24"/>
          <w:u w:val="single"/>
        </w:rPr>
        <w:t xml:space="preserve">款）  </w:t>
      </w:r>
    </w:p>
    <w:p>
      <w:pPr>
        <w:adjustRightInd w:val="0"/>
        <w:snapToGrid w:val="0"/>
        <w:spacing w:line="360" w:lineRule="auto"/>
        <w:ind w:firstLine="480" w:firstLineChars="200"/>
        <w:rPr>
          <w:sz w:val="24"/>
        </w:rPr>
      </w:pPr>
      <w:r>
        <w:rPr>
          <w:sz w:val="24"/>
        </w:rPr>
        <w:t>（如发包人负责提供部分施工设备或临时设施，请在项目专用合同条款中约定提供的具体内容、提供时间、所需费用等）。</w:t>
      </w:r>
    </w:p>
    <w:p>
      <w:pPr>
        <w:adjustRightInd w:val="0"/>
        <w:snapToGrid w:val="0"/>
        <w:spacing w:beforeLines="100" w:line="360" w:lineRule="auto"/>
        <w:rPr>
          <w:rFonts w:eastAsia="黑体"/>
          <w:sz w:val="24"/>
        </w:rPr>
      </w:pPr>
      <w:r>
        <w:rPr>
          <w:rFonts w:eastAsia="黑体"/>
          <w:sz w:val="24"/>
        </w:rPr>
        <w:t>6.3要求承包人增加或更换施工设备</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承包人必须使投标文件（如承包人未在投标阶段对施工设备进行新增或更新，则以资格预审申请文件为准）承诺的施工设备按时到达现场，不得拖延、缺</w:t>
      </w:r>
      <w:r>
        <w:rPr>
          <w:rFonts w:hint="eastAsia"/>
          <w:sz w:val="24"/>
        </w:rPr>
        <w:t>少</w:t>
      </w:r>
      <w:r>
        <w:rPr>
          <w:sz w:val="24"/>
        </w:rPr>
        <w:t>或任意更换。尽管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pPr>
        <w:adjustRightInd w:val="0"/>
        <w:snapToGrid w:val="0"/>
        <w:spacing w:beforeLines="100" w:line="360" w:lineRule="auto"/>
        <w:rPr>
          <w:rFonts w:eastAsia="黑体"/>
          <w:sz w:val="24"/>
        </w:rPr>
      </w:pPr>
      <w:r>
        <w:rPr>
          <w:rFonts w:eastAsia="黑体"/>
          <w:sz w:val="24"/>
        </w:rPr>
        <w:t>7．交通运输</w:t>
      </w:r>
    </w:p>
    <w:p>
      <w:pPr>
        <w:adjustRightInd w:val="0"/>
        <w:snapToGrid w:val="0"/>
        <w:spacing w:line="360" w:lineRule="auto"/>
        <w:rPr>
          <w:rFonts w:eastAsia="黑体"/>
          <w:sz w:val="24"/>
        </w:rPr>
      </w:pPr>
      <w:r>
        <w:rPr>
          <w:rFonts w:eastAsia="黑体"/>
          <w:sz w:val="24"/>
        </w:rPr>
        <w:t>7.1道路通行权和场外设施</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道路通行权由承包人办理并承担费用，需要发包人协调时，发包人应协助承包人办理相关手续。</w:t>
      </w:r>
    </w:p>
    <w:p>
      <w:pPr>
        <w:adjustRightInd w:val="0"/>
        <w:snapToGrid w:val="0"/>
        <w:spacing w:beforeLines="100" w:line="360" w:lineRule="auto"/>
        <w:rPr>
          <w:rFonts w:eastAsia="黑体"/>
          <w:sz w:val="24"/>
        </w:rPr>
      </w:pPr>
      <w:r>
        <w:rPr>
          <w:rFonts w:eastAsia="黑体"/>
          <w:sz w:val="24"/>
        </w:rPr>
        <w:t>8</w:t>
      </w:r>
      <w:r>
        <w:rPr>
          <w:rFonts w:hint="eastAsia" w:eastAsia="黑体"/>
          <w:sz w:val="24"/>
        </w:rPr>
        <w:t>．</w:t>
      </w:r>
      <w:r>
        <w:rPr>
          <w:rFonts w:eastAsia="黑体"/>
          <w:sz w:val="24"/>
        </w:rPr>
        <w:t>测量放线</w:t>
      </w:r>
    </w:p>
    <w:p>
      <w:pPr>
        <w:adjustRightInd w:val="0"/>
        <w:snapToGrid w:val="0"/>
        <w:spacing w:line="360" w:lineRule="auto"/>
        <w:rPr>
          <w:rFonts w:eastAsia="黑体"/>
          <w:sz w:val="24"/>
        </w:rPr>
      </w:pPr>
      <w:r>
        <w:rPr>
          <w:rFonts w:eastAsia="黑体"/>
          <w:sz w:val="24"/>
        </w:rPr>
        <w:t>8.1施工控制网</w:t>
      </w:r>
    </w:p>
    <w:p>
      <w:pPr>
        <w:adjustRightInd w:val="0"/>
        <w:snapToGrid w:val="0"/>
        <w:spacing w:line="360" w:lineRule="auto"/>
        <w:ind w:firstLine="480" w:firstLineChars="200"/>
        <w:rPr>
          <w:sz w:val="24"/>
        </w:rPr>
      </w:pPr>
      <w:r>
        <w:rPr>
          <w:sz w:val="24"/>
        </w:rPr>
        <w:t>8.1．1项约定为：</w:t>
      </w:r>
    </w:p>
    <w:p>
      <w:pPr>
        <w:adjustRightInd w:val="0"/>
        <w:snapToGrid w:val="0"/>
        <w:spacing w:line="360" w:lineRule="auto"/>
        <w:ind w:firstLine="480" w:firstLineChars="200"/>
        <w:rPr>
          <w:sz w:val="24"/>
        </w:rPr>
      </w:pPr>
      <w:r>
        <w:rPr>
          <w:sz w:val="24"/>
        </w:rPr>
        <w:t>发包人向承包人提供测量基准点、基准线和水准点及其书面资料的时间</w:t>
      </w:r>
      <w:r>
        <w:rPr>
          <w:rFonts w:hint="eastAsia"/>
          <w:sz w:val="24"/>
        </w:rPr>
        <w:t>：</w:t>
      </w:r>
      <w:r>
        <w:rPr>
          <w:sz w:val="24"/>
          <w:u w:val="single"/>
        </w:rPr>
        <w:t>（见项目专用合同条</w:t>
      </w:r>
      <w:r>
        <w:rPr>
          <w:rFonts w:hint="eastAsia"/>
          <w:sz w:val="24"/>
          <w:u w:val="single"/>
        </w:rPr>
        <w:t>款）</w:t>
      </w:r>
      <w:r>
        <w:rPr>
          <w:sz w:val="24"/>
        </w:rPr>
        <w:t>。承包人向监理人报送施工控制网资料的时间：</w:t>
      </w:r>
      <w:r>
        <w:rPr>
          <w:sz w:val="24"/>
          <w:u w:val="single"/>
        </w:rPr>
        <w:t>（见项目专用合同条</w:t>
      </w:r>
      <w:r>
        <w:rPr>
          <w:rFonts w:hint="eastAsia"/>
          <w:sz w:val="24"/>
          <w:u w:val="single"/>
        </w:rPr>
        <w:t>款）</w:t>
      </w:r>
      <w:r>
        <w:rPr>
          <w:sz w:val="24"/>
        </w:rPr>
        <w:t>。</w:t>
      </w:r>
    </w:p>
    <w:p>
      <w:pPr>
        <w:adjustRightInd w:val="0"/>
        <w:snapToGrid w:val="0"/>
        <w:spacing w:line="360" w:lineRule="auto"/>
        <w:ind w:firstLine="480" w:firstLineChars="200"/>
        <w:rPr>
          <w:sz w:val="24"/>
        </w:rPr>
      </w:pPr>
      <w:r>
        <w:rPr>
          <w:sz w:val="24"/>
        </w:rPr>
        <w:t>承包人应对发包人提供的测量基准点、基准线和水准点进行复测，并将有关复测资料报监理人批准后，方可用于工程施工定线与放样。</w:t>
      </w:r>
    </w:p>
    <w:p>
      <w:pPr>
        <w:adjustRightInd w:val="0"/>
        <w:snapToGrid w:val="0"/>
        <w:spacing w:beforeLines="100" w:line="360" w:lineRule="auto"/>
        <w:rPr>
          <w:rFonts w:eastAsia="黑体"/>
          <w:sz w:val="24"/>
        </w:rPr>
      </w:pPr>
      <w:r>
        <w:rPr>
          <w:rFonts w:eastAsia="黑体"/>
          <w:sz w:val="24"/>
        </w:rPr>
        <w:t>8.2施工测量</w:t>
      </w:r>
    </w:p>
    <w:p>
      <w:pPr>
        <w:adjustRightInd w:val="0"/>
        <w:snapToGrid w:val="0"/>
        <w:spacing w:line="360" w:lineRule="auto"/>
        <w:ind w:firstLine="480" w:firstLineChars="200"/>
        <w:rPr>
          <w:sz w:val="24"/>
        </w:rPr>
      </w:pPr>
      <w:r>
        <w:rPr>
          <w:sz w:val="24"/>
        </w:rPr>
        <w:t>8.2.1项补充：</w:t>
      </w:r>
    </w:p>
    <w:p>
      <w:pPr>
        <w:adjustRightInd w:val="0"/>
        <w:snapToGrid w:val="0"/>
        <w:spacing w:line="360" w:lineRule="auto"/>
        <w:ind w:firstLine="480" w:firstLineChars="200"/>
        <w:rPr>
          <w:sz w:val="24"/>
        </w:rPr>
      </w:pPr>
      <w:r>
        <w:rPr>
          <w:sz w:val="24"/>
        </w:rPr>
        <w:t>承包人应负责施工测量放线工作的准确性。</w:t>
      </w:r>
    </w:p>
    <w:p>
      <w:pPr>
        <w:adjustRightInd w:val="0"/>
        <w:snapToGrid w:val="0"/>
        <w:spacing w:beforeLines="100" w:line="360" w:lineRule="auto"/>
        <w:rPr>
          <w:rFonts w:eastAsia="黑体"/>
          <w:sz w:val="24"/>
        </w:rPr>
      </w:pPr>
      <w:r>
        <w:rPr>
          <w:rFonts w:eastAsia="黑体"/>
          <w:sz w:val="24"/>
        </w:rPr>
        <w:t>8.3基准资料错误的责任</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承包人应对发包人提供的基准资料进行核实，发现错误，应及时通知监理人和发包人，否则应承担相应责任。</w:t>
      </w:r>
    </w:p>
    <w:p>
      <w:pPr>
        <w:adjustRightInd w:val="0"/>
        <w:snapToGrid w:val="0"/>
        <w:spacing w:beforeLines="100" w:line="360" w:lineRule="auto"/>
        <w:rPr>
          <w:rFonts w:eastAsia="黑体"/>
          <w:sz w:val="24"/>
        </w:rPr>
      </w:pPr>
      <w:r>
        <w:rPr>
          <w:rFonts w:eastAsia="黑体"/>
          <w:sz w:val="24"/>
        </w:rPr>
        <w:t>8.4监理人使用施工控制网</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经监理人批准，其他相关承包人也可免费使用施工控制网。</w:t>
      </w:r>
    </w:p>
    <w:p>
      <w:pPr>
        <w:adjustRightInd w:val="0"/>
        <w:snapToGrid w:val="0"/>
        <w:spacing w:beforeLines="100" w:line="360" w:lineRule="auto"/>
        <w:rPr>
          <w:rFonts w:eastAsia="黑体"/>
          <w:sz w:val="24"/>
        </w:rPr>
      </w:pPr>
      <w:r>
        <w:rPr>
          <w:rFonts w:eastAsia="黑体"/>
          <w:sz w:val="24"/>
        </w:rPr>
        <w:t>9</w:t>
      </w:r>
      <w:r>
        <w:rPr>
          <w:rFonts w:hint="eastAsia" w:eastAsia="黑体"/>
          <w:sz w:val="24"/>
        </w:rPr>
        <w:t>．</w:t>
      </w:r>
      <w:r>
        <w:rPr>
          <w:rFonts w:eastAsia="黑体"/>
          <w:sz w:val="24"/>
        </w:rPr>
        <w:t>施工安全、治安保卫和环境保护</w:t>
      </w:r>
    </w:p>
    <w:p>
      <w:pPr>
        <w:adjustRightInd w:val="0"/>
        <w:snapToGrid w:val="0"/>
        <w:spacing w:line="360" w:lineRule="auto"/>
        <w:rPr>
          <w:rFonts w:eastAsia="黑体"/>
          <w:sz w:val="24"/>
        </w:rPr>
      </w:pPr>
      <w:r>
        <w:rPr>
          <w:rFonts w:eastAsia="黑体"/>
          <w:sz w:val="24"/>
        </w:rPr>
        <w:t>9.1发包人的施工安全责任</w:t>
      </w:r>
    </w:p>
    <w:p>
      <w:pPr>
        <w:adjustRightInd w:val="0"/>
        <w:snapToGrid w:val="0"/>
        <w:spacing w:line="360" w:lineRule="auto"/>
        <w:ind w:firstLine="480" w:firstLineChars="200"/>
        <w:rPr>
          <w:sz w:val="24"/>
        </w:rPr>
      </w:pPr>
      <w:r>
        <w:rPr>
          <w:sz w:val="24"/>
        </w:rPr>
        <w:t>9.1.3项补充：</w:t>
      </w:r>
    </w:p>
    <w:p>
      <w:pPr>
        <w:adjustRightInd w:val="0"/>
        <w:snapToGrid w:val="0"/>
        <w:spacing w:line="360" w:lineRule="auto"/>
        <w:ind w:firstLine="480" w:firstLineChars="200"/>
        <w:rPr>
          <w:sz w:val="24"/>
        </w:rPr>
      </w:pPr>
      <w:r>
        <w:rPr>
          <w:sz w:val="24"/>
        </w:rPr>
        <w:t>如果承包人或其雇员也对上述人身伤亡或财产损失负有部分责任时，承包人也应承担相应赔偿责任。</w:t>
      </w:r>
    </w:p>
    <w:p>
      <w:pPr>
        <w:adjustRightInd w:val="0"/>
        <w:snapToGrid w:val="0"/>
        <w:spacing w:beforeLines="100" w:line="360" w:lineRule="auto"/>
        <w:rPr>
          <w:rFonts w:eastAsia="黑体"/>
          <w:sz w:val="24"/>
        </w:rPr>
      </w:pPr>
      <w:r>
        <w:rPr>
          <w:rFonts w:eastAsia="黑体"/>
          <w:sz w:val="24"/>
        </w:rPr>
        <w:t>9.2承包人的施工安全责任</w:t>
      </w:r>
    </w:p>
    <w:p>
      <w:pPr>
        <w:adjustRightInd w:val="0"/>
        <w:snapToGrid w:val="0"/>
        <w:spacing w:line="360" w:lineRule="auto"/>
        <w:ind w:firstLine="480" w:firstLineChars="200"/>
        <w:rPr>
          <w:sz w:val="24"/>
        </w:rPr>
      </w:pPr>
      <w:r>
        <w:rPr>
          <w:sz w:val="24"/>
        </w:rPr>
        <w:t>9.2.1项细化为：</w:t>
      </w:r>
    </w:p>
    <w:p>
      <w:pPr>
        <w:adjustRightInd w:val="0"/>
        <w:snapToGrid w:val="0"/>
        <w:spacing w:line="360" w:lineRule="auto"/>
        <w:ind w:firstLine="480" w:firstLineChars="200"/>
        <w:rPr>
          <w:sz w:val="24"/>
        </w:rPr>
      </w:pPr>
      <w:r>
        <w:rPr>
          <w:sz w:val="24"/>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adjustRightInd w:val="0"/>
        <w:snapToGrid w:val="0"/>
        <w:spacing w:line="360" w:lineRule="auto"/>
        <w:ind w:firstLine="480" w:firstLineChars="200"/>
        <w:rPr>
          <w:sz w:val="24"/>
        </w:rPr>
      </w:pPr>
      <w:r>
        <w:rPr>
          <w:sz w:val="24"/>
        </w:rPr>
        <w:t>承包人应根据本工程的实际安全施工要求，编制本工程的实施性施工安全组织设计，报监理人和发包人批准。该施组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技术负责人签字并报监理人和发包人批准后实施，由专职安全生产管理人员进行现场监督。</w:t>
      </w:r>
    </w:p>
    <w:p>
      <w:pPr>
        <w:adjustRightInd w:val="0"/>
        <w:snapToGrid w:val="0"/>
        <w:spacing w:line="360" w:lineRule="auto"/>
        <w:ind w:firstLine="480" w:firstLineChars="200"/>
        <w:rPr>
          <w:sz w:val="24"/>
        </w:rPr>
      </w:pPr>
      <w:r>
        <w:rPr>
          <w:sz w:val="24"/>
        </w:rPr>
        <w:t>本项目需要编制专项施工方案的工程包括但不限于以下内容：</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不良地质条件下有潜在危险性的土方、石方开挖；</w:t>
      </w:r>
    </w:p>
    <w:p>
      <w:pPr>
        <w:adjustRightInd w:val="0"/>
        <w:snapToGrid w:val="0"/>
        <w:spacing w:line="360" w:lineRule="auto"/>
        <w:ind w:firstLine="480" w:firstLineChars="200"/>
        <w:rPr>
          <w:sz w:val="24"/>
        </w:rPr>
      </w:pPr>
      <w:r>
        <w:rPr>
          <w:rFonts w:hint="eastAsia"/>
          <w:sz w:val="24"/>
        </w:rPr>
        <w:t>（</w:t>
      </w:r>
      <w:r>
        <w:rPr>
          <w:sz w:val="24"/>
        </w:rPr>
        <w:t>2）滑坡和高边坡处理；</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桩基础、挡墙基础、深水基础及围堰工程；</w:t>
      </w:r>
    </w:p>
    <w:p>
      <w:pPr>
        <w:adjustRightInd w:val="0"/>
        <w:snapToGrid w:val="0"/>
        <w:spacing w:line="360" w:lineRule="auto"/>
        <w:ind w:firstLine="480" w:firstLineChars="200"/>
        <w:rPr>
          <w:sz w:val="24"/>
        </w:rPr>
      </w:pPr>
      <w:r>
        <w:rPr>
          <w:rFonts w:hint="eastAsia"/>
          <w:sz w:val="24"/>
        </w:rPr>
        <w:t>（</w:t>
      </w:r>
      <w:r>
        <w:rPr>
          <w:sz w:val="24"/>
        </w:rPr>
        <w:t>4）桥梁工程中的梁、拱、柱等构件施工等；</w:t>
      </w:r>
    </w:p>
    <w:p>
      <w:pPr>
        <w:adjustRightInd w:val="0"/>
        <w:snapToGrid w:val="0"/>
        <w:spacing w:line="360" w:lineRule="auto"/>
        <w:ind w:firstLine="480" w:firstLineChars="200"/>
        <w:rPr>
          <w:sz w:val="24"/>
        </w:rPr>
      </w:pPr>
      <w:r>
        <w:rPr>
          <w:rFonts w:hint="eastAsia"/>
          <w:sz w:val="24"/>
        </w:rPr>
        <w:t>（</w:t>
      </w:r>
      <w:r>
        <w:rPr>
          <w:sz w:val="24"/>
        </w:rPr>
        <w:t>5）隧道工程中的不良地质隧道、高瓦斯隧道等；</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）水</w:t>
      </w:r>
      <w:r>
        <w:rPr>
          <w:sz w:val="24"/>
        </w:rPr>
        <w:t>上工程中的打桩船作业、施工船作业、外海孤岛作业、边通航边施工作业等；</w:t>
      </w:r>
    </w:p>
    <w:p>
      <w:pPr>
        <w:adjustRightInd w:val="0"/>
        <w:snapToGrid w:val="0"/>
        <w:spacing w:line="360" w:lineRule="auto"/>
        <w:ind w:firstLine="480" w:firstLineChars="200"/>
        <w:rPr>
          <w:sz w:val="24"/>
        </w:rPr>
      </w:pPr>
      <w:r>
        <w:rPr>
          <w:sz w:val="24"/>
        </w:rPr>
        <w:t>（7）水下工程中的水下焊接、混凝土浇注、爆破工程等；</w:t>
      </w:r>
    </w:p>
    <w:p>
      <w:pPr>
        <w:adjustRightInd w:val="0"/>
        <w:snapToGrid w:val="0"/>
        <w:spacing w:line="360" w:lineRule="auto"/>
        <w:ind w:firstLine="480" w:firstLineChars="200"/>
        <w:rPr>
          <w:sz w:val="24"/>
        </w:rPr>
      </w:pPr>
      <w:r>
        <w:rPr>
          <w:rFonts w:hint="eastAsia"/>
          <w:sz w:val="24"/>
        </w:rPr>
        <w:t>（</w:t>
      </w:r>
      <w:r>
        <w:rPr>
          <w:sz w:val="24"/>
        </w:rPr>
        <w:t>8</w:t>
      </w:r>
      <w:r>
        <w:rPr>
          <w:rFonts w:hint="eastAsia"/>
          <w:sz w:val="24"/>
        </w:rPr>
        <w:t>）</w:t>
      </w:r>
      <w:r>
        <w:rPr>
          <w:sz w:val="24"/>
        </w:rPr>
        <w:t>爆破工程；</w:t>
      </w:r>
    </w:p>
    <w:p>
      <w:pPr>
        <w:adjustRightInd w:val="0"/>
        <w:snapToGrid w:val="0"/>
        <w:spacing w:line="360" w:lineRule="auto"/>
        <w:ind w:firstLine="480" w:firstLineChars="200"/>
        <w:rPr>
          <w:sz w:val="24"/>
        </w:rPr>
      </w:pPr>
      <w:r>
        <w:rPr>
          <w:rFonts w:hint="eastAsia"/>
          <w:sz w:val="24"/>
        </w:rPr>
        <w:t>（</w:t>
      </w:r>
      <w:r>
        <w:rPr>
          <w:sz w:val="24"/>
        </w:rPr>
        <w:t>9）大型临时工程中的大型支架、模板、便桥的架设与拆除；桥梁、码头的加固与拆除；</w:t>
      </w:r>
    </w:p>
    <w:p>
      <w:pPr>
        <w:adjustRightInd w:val="0"/>
        <w:snapToGrid w:val="0"/>
        <w:spacing w:line="360" w:lineRule="auto"/>
        <w:ind w:firstLine="480" w:firstLineChars="200"/>
        <w:rPr>
          <w:sz w:val="24"/>
        </w:rPr>
      </w:pPr>
      <w:r>
        <w:rPr>
          <w:rFonts w:hint="eastAsia"/>
          <w:sz w:val="24"/>
        </w:rPr>
        <w:t>（10）</w:t>
      </w:r>
      <w:r>
        <w:rPr>
          <w:sz w:val="24"/>
        </w:rPr>
        <w:t>其他危险性较大的工程。</w:t>
      </w:r>
    </w:p>
    <w:p>
      <w:pPr>
        <w:adjustRightInd w:val="0"/>
        <w:snapToGrid w:val="0"/>
        <w:spacing w:line="360" w:lineRule="auto"/>
        <w:ind w:firstLine="480" w:firstLineChars="200"/>
        <w:rPr>
          <w:sz w:val="24"/>
        </w:rPr>
      </w:pPr>
      <w:r>
        <w:rPr>
          <w:sz w:val="24"/>
        </w:rPr>
        <w:t>监理人和发包人在检查中．发现有安全问题或有违反安全管理规章制度的情况时，可视其情节轻重，分别给予承包人通报批评、警告、责令停工等处罚，也可并处项目专用合同条款规定的违约金。</w:t>
      </w:r>
    </w:p>
    <w:p>
      <w:pPr>
        <w:adjustRightInd w:val="0"/>
        <w:snapToGrid w:val="0"/>
        <w:spacing w:line="360" w:lineRule="auto"/>
        <w:ind w:firstLine="480" w:firstLineChars="200"/>
        <w:rPr>
          <w:sz w:val="24"/>
        </w:rPr>
      </w:pPr>
      <w:r>
        <w:rPr>
          <w:sz w:val="24"/>
        </w:rPr>
        <w:t>本款增加第9.2.8至9.2.11项：</w:t>
      </w:r>
    </w:p>
    <w:p>
      <w:pPr>
        <w:adjustRightInd w:val="0"/>
        <w:snapToGrid w:val="0"/>
        <w:spacing w:line="360" w:lineRule="auto"/>
        <w:ind w:firstLine="480" w:firstLineChars="200"/>
        <w:rPr>
          <w:sz w:val="24"/>
        </w:rPr>
      </w:pPr>
      <w:r>
        <w:rPr>
          <w:sz w:val="24"/>
        </w:rPr>
        <w:t>9.2.8承包人应充分关注和保障所有在现场工作的人员的安全，采取有效措施，使现场和本合同工程的实施保持有条不紊，以免使上述人员的安全受到威胁：</w:t>
      </w:r>
    </w:p>
    <w:p>
      <w:pPr>
        <w:adjustRightInd w:val="0"/>
        <w:snapToGrid w:val="0"/>
        <w:spacing w:line="360" w:lineRule="auto"/>
        <w:ind w:firstLine="480" w:firstLineChars="200"/>
        <w:rPr>
          <w:sz w:val="24"/>
        </w:rPr>
      </w:pPr>
      <w:r>
        <w:rPr>
          <w:sz w:val="24"/>
        </w:rPr>
        <w:t>（1</w:t>
      </w:r>
      <w:r>
        <w:rPr>
          <w:rFonts w:hint="eastAsia"/>
          <w:sz w:val="24"/>
        </w:rPr>
        <w:t>）</w:t>
      </w:r>
      <w:r>
        <w:rPr>
          <w:sz w:val="24"/>
        </w:rPr>
        <w:t>按《公路水运工程安全生产监督管理办法》规定的最低数量和资质条件配备专职安全生产管理人员；</w:t>
      </w:r>
    </w:p>
    <w:p>
      <w:pPr>
        <w:adjustRightInd w:val="0"/>
        <w:snapToGrid w:val="0"/>
        <w:spacing w:line="360" w:lineRule="auto"/>
        <w:ind w:firstLine="480" w:firstLineChars="200"/>
        <w:rPr>
          <w:sz w:val="24"/>
        </w:rPr>
      </w:pPr>
      <w:r>
        <w:rPr>
          <w:rFonts w:hint="eastAsia"/>
          <w:sz w:val="24"/>
        </w:rPr>
        <w:t>（</w:t>
      </w:r>
      <w:r>
        <w:rPr>
          <w:sz w:val="24"/>
        </w:rPr>
        <w:t>2）特殊工种（电工、电梯工、起重工、电焊工、车船驾驶员、爆破工、潜水工、瓦斯检验员等）应经过专业培训，并持有专业主管部门签发的合格证上岗；</w:t>
      </w:r>
    </w:p>
    <w:p>
      <w:pPr>
        <w:adjustRightInd w:val="0"/>
        <w:snapToGrid w:val="0"/>
        <w:spacing w:line="360" w:lineRule="auto"/>
        <w:ind w:firstLine="480" w:firstLineChars="200"/>
        <w:rPr>
          <w:sz w:val="24"/>
        </w:rPr>
      </w:pPr>
      <w:r>
        <w:rPr>
          <w:sz w:val="24"/>
        </w:rPr>
        <w:t>（3</w:t>
      </w:r>
      <w:r>
        <w:rPr>
          <w:rFonts w:hint="eastAsia"/>
          <w:sz w:val="24"/>
        </w:rPr>
        <w:t>）</w:t>
      </w:r>
      <w:r>
        <w:rPr>
          <w:sz w:val="24"/>
        </w:rPr>
        <w:t>对于易燃易爆的材料除应专门妥善保管之外，还应配备有足够的消防设备，所有施工人员都应熟悉消防设备的性能和使用方法；</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所有施工机具设备和高空作业设备均应定期检查，并有安全员的签字记录；</w:t>
      </w:r>
    </w:p>
    <w:p>
      <w:pPr>
        <w:adjustRightInd w:val="0"/>
        <w:snapToGrid w:val="0"/>
        <w:spacing w:line="360" w:lineRule="auto"/>
        <w:ind w:firstLine="480" w:firstLineChars="200"/>
        <w:rPr>
          <w:sz w:val="24"/>
        </w:rPr>
      </w:pPr>
      <w:r>
        <w:rPr>
          <w:sz w:val="24"/>
        </w:rPr>
        <w:t>（5</w:t>
      </w:r>
      <w:r>
        <w:rPr>
          <w:rFonts w:hint="eastAsia"/>
          <w:sz w:val="24"/>
        </w:rPr>
        <w:t>）</w:t>
      </w:r>
      <w:r>
        <w:rPr>
          <w:sz w:val="24"/>
        </w:rPr>
        <w:t>根据本合同各单位工程的施工特点，严格执行《公路水运工程安全生产监督管理办法》、《公路工程施工安全技术规程》与《公路筑养路机械操作规程》的具体规定。</w:t>
      </w:r>
    </w:p>
    <w:p>
      <w:pPr>
        <w:adjustRightInd w:val="0"/>
        <w:snapToGrid w:val="0"/>
        <w:spacing w:line="360" w:lineRule="auto"/>
        <w:ind w:firstLine="480" w:firstLineChars="200"/>
        <w:rPr>
          <w:sz w:val="24"/>
        </w:rPr>
      </w:pPr>
      <w:r>
        <w:rPr>
          <w:sz w:val="24"/>
        </w:rPr>
        <w:t>9.2.9为了保护本合同工程免遭损坏，或为了现场附近和过往群众的安全与方便，在确有必要的时候和地方，或当监理人或有关主管部门要求时，承包人应自费提供照明、警卫、护栅、警告标志等安全防护设施。</w:t>
      </w:r>
    </w:p>
    <w:p>
      <w:pPr>
        <w:adjustRightInd w:val="0"/>
        <w:snapToGrid w:val="0"/>
        <w:spacing w:line="360" w:lineRule="auto"/>
        <w:ind w:firstLine="480" w:firstLineChars="200"/>
        <w:rPr>
          <w:sz w:val="24"/>
        </w:rPr>
      </w:pPr>
      <w:r>
        <w:rPr>
          <w:sz w:val="24"/>
        </w:rPr>
        <w:t>9.2.10在通航水域施工时，承包人应与地方当局取得联系，设置必要的导航标志，及时发布航行通告，确保施工水域安全。</w:t>
      </w:r>
    </w:p>
    <w:p>
      <w:pPr>
        <w:adjustRightInd w:val="0"/>
        <w:snapToGrid w:val="0"/>
        <w:spacing w:line="360" w:lineRule="auto"/>
        <w:ind w:firstLine="480" w:firstLineChars="200"/>
        <w:rPr>
          <w:sz w:val="24"/>
        </w:rPr>
      </w:pPr>
      <w:r>
        <w:rPr>
          <w:sz w:val="24"/>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beforeLines="100" w:line="360" w:lineRule="auto"/>
        <w:rPr>
          <w:rFonts w:eastAsia="黑体"/>
          <w:sz w:val="24"/>
        </w:rPr>
      </w:pPr>
      <w:r>
        <w:rPr>
          <w:rFonts w:eastAsia="黑体"/>
          <w:sz w:val="24"/>
        </w:rPr>
        <w:t>9.4环境保护</w:t>
      </w:r>
    </w:p>
    <w:p>
      <w:pPr>
        <w:adjustRightInd w:val="0"/>
        <w:snapToGrid w:val="0"/>
        <w:spacing w:line="360" w:lineRule="auto"/>
        <w:ind w:firstLine="480" w:firstLineChars="200"/>
        <w:rPr>
          <w:sz w:val="24"/>
        </w:rPr>
      </w:pPr>
      <w:r>
        <w:rPr>
          <w:sz w:val="24"/>
        </w:rPr>
        <w:t>本款增加第9.4.7至9.4.9项：</w:t>
      </w:r>
    </w:p>
    <w:p>
      <w:pPr>
        <w:adjustRightInd w:val="0"/>
        <w:snapToGrid w:val="0"/>
        <w:spacing w:line="360" w:lineRule="auto"/>
        <w:ind w:firstLine="480" w:firstLineChars="200"/>
        <w:rPr>
          <w:sz w:val="24"/>
        </w:rPr>
      </w:pPr>
      <w:r>
        <w:rPr>
          <w:sz w:val="24"/>
        </w:rPr>
        <w:t>9.4.7承包人应切实执行技术规范中有关环境保护方面的条款和规定。</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对于公路施工中粉尘污染的主要污染源—灰土拌和、施工车辆和筑路机械运行及运输产生的扬尘，应采取有效措施减轻施工现场的大气污染，保护人民健康，如：</w:t>
      </w:r>
    </w:p>
    <w:p>
      <w:pPr>
        <w:adjustRightInd w:val="0"/>
        <w:snapToGrid w:val="0"/>
        <w:spacing w:line="360" w:lineRule="auto"/>
        <w:ind w:firstLine="480" w:firstLineChars="200"/>
        <w:rPr>
          <w:sz w:val="24"/>
        </w:rPr>
      </w:pPr>
      <w:r>
        <w:rPr>
          <w:sz w:val="24"/>
        </w:rPr>
        <w:t>a</w:t>
      </w:r>
      <w:r>
        <w:rPr>
          <w:rFonts w:hint="eastAsia"/>
          <w:sz w:val="24"/>
        </w:rPr>
        <w:t>．</w:t>
      </w:r>
      <w:r>
        <w:rPr>
          <w:sz w:val="24"/>
        </w:rPr>
        <w:t>拌和设备应有较好的密封，或有防尘设备。</w:t>
      </w:r>
    </w:p>
    <w:p>
      <w:pPr>
        <w:adjustRightInd w:val="0"/>
        <w:snapToGrid w:val="0"/>
        <w:spacing w:line="360" w:lineRule="auto"/>
        <w:ind w:firstLine="480" w:firstLineChars="200"/>
        <w:rPr>
          <w:sz w:val="24"/>
        </w:rPr>
      </w:pPr>
      <w:r>
        <w:rPr>
          <w:sz w:val="24"/>
        </w:rPr>
        <w:t>b</w:t>
      </w:r>
      <w:r>
        <w:rPr>
          <w:rFonts w:hint="eastAsia"/>
          <w:sz w:val="24"/>
        </w:rPr>
        <w:t>．</w:t>
      </w:r>
      <w:r>
        <w:rPr>
          <w:sz w:val="24"/>
        </w:rPr>
        <w:t>施工通道、沥青混凝土拌和站及灰土拌和站应经常进行洒水降尘。</w:t>
      </w:r>
    </w:p>
    <w:p>
      <w:pPr>
        <w:adjustRightInd w:val="0"/>
        <w:snapToGrid w:val="0"/>
        <w:spacing w:line="360" w:lineRule="auto"/>
        <w:ind w:firstLine="480" w:firstLineChars="200"/>
        <w:rPr>
          <w:sz w:val="24"/>
        </w:rPr>
      </w:pPr>
      <w:r>
        <w:rPr>
          <w:sz w:val="24"/>
        </w:rPr>
        <w:t>c．路面施工应注意保持水份，以免扬尘。</w:t>
      </w:r>
    </w:p>
    <w:p>
      <w:pPr>
        <w:adjustRightInd w:val="0"/>
        <w:snapToGrid w:val="0"/>
        <w:spacing w:line="360" w:lineRule="auto"/>
        <w:ind w:firstLine="480" w:firstLineChars="200"/>
        <w:rPr>
          <w:sz w:val="24"/>
        </w:rPr>
      </w:pPr>
      <w:r>
        <w:rPr>
          <w:sz w:val="24"/>
        </w:rPr>
        <w:t>d</w:t>
      </w:r>
      <w:r>
        <w:rPr>
          <w:rFonts w:hint="eastAsia"/>
          <w:sz w:val="24"/>
        </w:rPr>
        <w:t>．</w:t>
      </w:r>
      <w:r>
        <w:rPr>
          <w:sz w:val="24"/>
        </w:rPr>
        <w:t>隧道出渣和桥梁钻孔灌注桩施工时排除的泥浆要进行妥善处理，严禁向河流或农田排放。</w:t>
      </w:r>
    </w:p>
    <w:p>
      <w:pPr>
        <w:adjustRightInd w:val="0"/>
        <w:snapToGrid w:val="0"/>
        <w:spacing w:line="360" w:lineRule="auto"/>
        <w:ind w:firstLine="480" w:firstLineChars="200"/>
        <w:rPr>
          <w:sz w:val="24"/>
        </w:rPr>
      </w:pPr>
      <w:r>
        <w:rPr>
          <w:sz w:val="24"/>
        </w:rPr>
        <w:t>（3</w:t>
      </w:r>
      <w:r>
        <w:rPr>
          <w:rFonts w:hint="eastAsia"/>
          <w:sz w:val="24"/>
        </w:rPr>
        <w:t>）</w:t>
      </w:r>
      <w:r>
        <w:rPr>
          <w:sz w:val="24"/>
        </w:rPr>
        <w:t>采取可靠措施保证原有交通的正常通行，维持沿线村镇的居民饮水、农田灌溉、生产生活用电及通讯等管线的正常使用。</w:t>
      </w:r>
    </w:p>
    <w:p>
      <w:pPr>
        <w:adjustRightInd w:val="0"/>
        <w:snapToGrid w:val="0"/>
        <w:spacing w:line="360" w:lineRule="auto"/>
        <w:ind w:firstLine="480" w:firstLineChars="200"/>
        <w:rPr>
          <w:sz w:val="24"/>
        </w:rPr>
      </w:pPr>
      <w:r>
        <w:rPr>
          <w:sz w:val="24"/>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line="360" w:lineRule="auto"/>
        <w:ind w:firstLine="480" w:firstLineChars="200"/>
        <w:rPr>
          <w:sz w:val="24"/>
        </w:rPr>
      </w:pPr>
      <w:r>
        <w:rPr>
          <w:sz w:val="24"/>
        </w:rPr>
        <w:t>9.4.9在施工期间，承包人应随时保持现场整洁，施工设备和材料、工程设备应整齐妥善存放和贮存，废料与垃圾及不再需要的临时设施应及时从现场清除、拆除并运走。</w:t>
      </w:r>
    </w:p>
    <w:p>
      <w:pPr>
        <w:adjustRightInd w:val="0"/>
        <w:snapToGrid w:val="0"/>
        <w:spacing w:beforeLines="100" w:line="360" w:lineRule="auto"/>
        <w:rPr>
          <w:rFonts w:eastAsia="黑体"/>
          <w:sz w:val="24"/>
        </w:rPr>
      </w:pPr>
      <w:r>
        <w:rPr>
          <w:rFonts w:eastAsia="黑体"/>
          <w:sz w:val="24"/>
        </w:rPr>
        <w:t>10</w:t>
      </w:r>
      <w:r>
        <w:rPr>
          <w:rFonts w:hint="eastAsia" w:eastAsia="黑体"/>
          <w:sz w:val="24"/>
        </w:rPr>
        <w:t>．</w:t>
      </w:r>
      <w:r>
        <w:rPr>
          <w:rFonts w:eastAsia="黑体"/>
          <w:sz w:val="24"/>
        </w:rPr>
        <w:t>进度计划</w:t>
      </w:r>
    </w:p>
    <w:p>
      <w:pPr>
        <w:adjustRightInd w:val="0"/>
        <w:snapToGrid w:val="0"/>
        <w:spacing w:line="360" w:lineRule="auto"/>
        <w:rPr>
          <w:rFonts w:eastAsia="黑体"/>
          <w:sz w:val="24"/>
        </w:rPr>
      </w:pPr>
      <w:r>
        <w:rPr>
          <w:rFonts w:eastAsia="黑体"/>
          <w:sz w:val="24"/>
        </w:rPr>
        <w:t>10.1合同进度计划</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承包人编制施工方案的内容：</w:t>
      </w:r>
      <w:r>
        <w:rPr>
          <w:sz w:val="24"/>
          <w:u w:val="single"/>
        </w:rPr>
        <w:t>（见项目专用合同条款）</w:t>
      </w:r>
    </w:p>
    <w:p>
      <w:pPr>
        <w:adjustRightInd w:val="0"/>
        <w:snapToGrid w:val="0"/>
        <w:spacing w:line="360" w:lineRule="auto"/>
        <w:ind w:firstLine="480" w:firstLineChars="200"/>
        <w:rPr>
          <w:sz w:val="24"/>
        </w:rPr>
      </w:pPr>
      <w:r>
        <w:rPr>
          <w:sz w:val="24"/>
        </w:rPr>
        <w:t>承包人向监理人报送施工进度计划和施工方案说明的期限：</w:t>
      </w:r>
      <w:r>
        <w:rPr>
          <w:rFonts w:hint="eastAsia"/>
          <w:sz w:val="24"/>
          <w:u w:val="single"/>
        </w:rPr>
        <w:t>签订合同协议书后</w:t>
      </w:r>
      <w:r>
        <w:rPr>
          <w:sz w:val="24"/>
          <w:u w:val="single"/>
        </w:rPr>
        <w:t>28天之内</w:t>
      </w:r>
      <w:r>
        <w:rPr>
          <w:sz w:val="24"/>
        </w:rPr>
        <w:t>。</w:t>
      </w:r>
    </w:p>
    <w:p>
      <w:pPr>
        <w:adjustRightInd w:val="0"/>
        <w:snapToGrid w:val="0"/>
        <w:spacing w:line="360" w:lineRule="auto"/>
        <w:ind w:firstLine="480" w:firstLineChars="200"/>
        <w:rPr>
          <w:sz w:val="24"/>
        </w:rPr>
      </w:pPr>
      <w:r>
        <w:rPr>
          <w:sz w:val="24"/>
        </w:rPr>
        <w:t>监理人应在</w:t>
      </w:r>
      <w:r>
        <w:rPr>
          <w:rFonts w:hint="eastAsia"/>
          <w:sz w:val="24"/>
          <w:u w:val="single"/>
        </w:rPr>
        <w:t>14</w:t>
      </w:r>
      <w:r>
        <w:rPr>
          <w:sz w:val="24"/>
        </w:rPr>
        <w:t>天内对承包人施工进度计划和施工方案说明予以批复或提出修改意见。</w:t>
      </w:r>
    </w:p>
    <w:p>
      <w:pPr>
        <w:adjustRightInd w:val="0"/>
        <w:snapToGrid w:val="0"/>
        <w:spacing w:line="360" w:lineRule="auto"/>
        <w:ind w:firstLine="480" w:firstLineChars="200"/>
        <w:rPr>
          <w:sz w:val="24"/>
        </w:rPr>
      </w:pPr>
      <w:r>
        <w:rPr>
          <w:sz w:val="24"/>
        </w:rPr>
        <w:t>合同进度计划应按照关键线路网络图和主要工作横道图两种形式分别编绘，并应包括每月预计完成的工作量和形象进度。</w:t>
      </w:r>
    </w:p>
    <w:p>
      <w:pPr>
        <w:adjustRightInd w:val="0"/>
        <w:snapToGrid w:val="0"/>
        <w:spacing w:beforeLines="100" w:line="360" w:lineRule="auto"/>
        <w:rPr>
          <w:rFonts w:eastAsia="黑体"/>
          <w:sz w:val="24"/>
        </w:rPr>
      </w:pPr>
      <w:r>
        <w:rPr>
          <w:rFonts w:eastAsia="黑体"/>
          <w:sz w:val="24"/>
        </w:rPr>
        <w:t>10.2合同进度计划的修订</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承包人提交合同进度计划修订申请报告，并附有关措施和相关资料的期限：</w:t>
      </w:r>
      <w:r>
        <w:rPr>
          <w:sz w:val="24"/>
          <w:u w:val="single"/>
        </w:rPr>
        <w:t>实际进度发生滞后的当月25日前</w:t>
      </w:r>
      <w:r>
        <w:rPr>
          <w:sz w:val="24"/>
        </w:rPr>
        <w:t>。</w:t>
      </w:r>
    </w:p>
    <w:p>
      <w:pPr>
        <w:adjustRightInd w:val="0"/>
        <w:snapToGrid w:val="0"/>
        <w:spacing w:line="360" w:lineRule="auto"/>
        <w:ind w:firstLine="480" w:firstLineChars="200"/>
        <w:rPr>
          <w:sz w:val="24"/>
        </w:rPr>
      </w:pPr>
      <w:r>
        <w:rPr>
          <w:sz w:val="24"/>
        </w:rPr>
        <w:t>监理人批复修订合同进度计划的期限：</w:t>
      </w:r>
      <w:r>
        <w:rPr>
          <w:rFonts w:hint="eastAsia"/>
          <w:sz w:val="24"/>
          <w:u w:val="single"/>
        </w:rPr>
        <w:t>收到修订合同进度计划后14天内</w:t>
      </w:r>
      <w:r>
        <w:rPr>
          <w:sz w:val="24"/>
        </w:rPr>
        <w:t>。</w:t>
      </w:r>
    </w:p>
    <w:p>
      <w:pPr>
        <w:adjustRightInd w:val="0"/>
        <w:snapToGrid w:val="0"/>
        <w:spacing w:line="360" w:lineRule="auto"/>
        <w:rPr>
          <w:sz w:val="24"/>
        </w:rPr>
      </w:pPr>
      <w:r>
        <w:rPr>
          <w:sz w:val="24"/>
        </w:rPr>
        <w:t>增加第10.3、10.4款：</w:t>
      </w:r>
    </w:p>
    <w:p>
      <w:pPr>
        <w:adjustRightInd w:val="0"/>
        <w:snapToGrid w:val="0"/>
        <w:spacing w:beforeLines="100" w:line="360" w:lineRule="auto"/>
        <w:rPr>
          <w:rFonts w:eastAsia="黑体"/>
          <w:sz w:val="24"/>
        </w:rPr>
      </w:pPr>
      <w:r>
        <w:rPr>
          <w:rFonts w:eastAsia="黑体"/>
          <w:sz w:val="24"/>
        </w:rPr>
        <w:t>10.3年度施工计划</w:t>
      </w:r>
    </w:p>
    <w:p>
      <w:pPr>
        <w:adjustRightInd w:val="0"/>
        <w:snapToGrid w:val="0"/>
        <w:spacing w:line="360" w:lineRule="auto"/>
        <w:ind w:firstLine="480" w:firstLineChars="200"/>
        <w:rPr>
          <w:sz w:val="24"/>
        </w:rPr>
      </w:pPr>
      <w:r>
        <w:rPr>
          <w:sz w:val="24"/>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pPr>
        <w:adjustRightInd w:val="0"/>
        <w:snapToGrid w:val="0"/>
        <w:spacing w:beforeLines="100" w:line="360" w:lineRule="auto"/>
        <w:rPr>
          <w:rFonts w:eastAsia="黑体"/>
          <w:sz w:val="24"/>
        </w:rPr>
      </w:pPr>
      <w:r>
        <w:rPr>
          <w:rFonts w:eastAsia="黑体"/>
          <w:sz w:val="24"/>
        </w:rPr>
        <w:t>10.4合同用款计划</w:t>
      </w:r>
    </w:p>
    <w:p>
      <w:pPr>
        <w:adjustRightInd w:val="0"/>
        <w:snapToGrid w:val="0"/>
        <w:spacing w:line="360" w:lineRule="auto"/>
        <w:ind w:firstLine="480" w:firstLineChars="200"/>
        <w:rPr>
          <w:sz w:val="24"/>
        </w:rPr>
      </w:pPr>
      <w:r>
        <w:rPr>
          <w:sz w:val="24"/>
        </w:rPr>
        <w:t>承包人应在签订本合同协议书后28天之内，按招标文件中规定的格式，向监理人提交2份按合同规定承包人有权得到支付的详细的季度合同用款计划，以备监理人查阅。如果监理人提出要求，承包人还应按季度提交修订的合同用款计划。</w:t>
      </w:r>
    </w:p>
    <w:p>
      <w:pPr>
        <w:adjustRightInd w:val="0"/>
        <w:snapToGrid w:val="0"/>
        <w:spacing w:beforeLines="100" w:line="360" w:lineRule="auto"/>
        <w:rPr>
          <w:rFonts w:eastAsia="黑体"/>
          <w:sz w:val="24"/>
        </w:rPr>
      </w:pPr>
      <w:r>
        <w:rPr>
          <w:rFonts w:eastAsia="黑体"/>
          <w:sz w:val="24"/>
        </w:rPr>
        <w:t>11．开工和竣工</w:t>
      </w:r>
    </w:p>
    <w:p>
      <w:pPr>
        <w:adjustRightInd w:val="0"/>
        <w:snapToGrid w:val="0"/>
        <w:spacing w:line="360" w:lineRule="auto"/>
        <w:rPr>
          <w:rFonts w:eastAsia="黑体"/>
          <w:sz w:val="24"/>
        </w:rPr>
      </w:pPr>
      <w:r>
        <w:rPr>
          <w:rFonts w:eastAsia="黑体"/>
          <w:sz w:val="24"/>
        </w:rPr>
        <w:t>11.1开工</w:t>
      </w:r>
    </w:p>
    <w:p>
      <w:pPr>
        <w:adjustRightInd w:val="0"/>
        <w:snapToGrid w:val="0"/>
        <w:spacing w:line="360" w:lineRule="auto"/>
        <w:ind w:firstLine="480" w:firstLineChars="200"/>
        <w:rPr>
          <w:sz w:val="24"/>
        </w:rPr>
      </w:pPr>
      <w:r>
        <w:rPr>
          <w:sz w:val="24"/>
        </w:rPr>
        <w:t>11</w:t>
      </w:r>
      <w:r>
        <w:rPr>
          <w:rFonts w:hint="eastAsia"/>
          <w:sz w:val="24"/>
        </w:rPr>
        <w:t>.</w:t>
      </w:r>
      <w:r>
        <w:rPr>
          <w:sz w:val="24"/>
        </w:rPr>
        <w:t>1.2项补充：</w:t>
      </w:r>
    </w:p>
    <w:p>
      <w:pPr>
        <w:adjustRightInd w:val="0"/>
        <w:snapToGrid w:val="0"/>
        <w:spacing w:line="360" w:lineRule="auto"/>
        <w:ind w:firstLine="480" w:firstLineChars="200"/>
        <w:rPr>
          <w:sz w:val="24"/>
        </w:rPr>
      </w:pPr>
      <w:r>
        <w:rPr>
          <w:sz w:val="24"/>
        </w:rPr>
        <w:t>承包人应在分部工程开工前14天向监理人提交分部工程开工报告，若承包人的开工准备、工作计划和质量控制方法是可接受的且已获得批准，则经监理人书面同意，分部工程才能开工。</w:t>
      </w:r>
    </w:p>
    <w:p>
      <w:pPr>
        <w:adjustRightInd w:val="0"/>
        <w:snapToGrid w:val="0"/>
        <w:spacing w:beforeLines="100" w:line="360" w:lineRule="auto"/>
        <w:rPr>
          <w:rFonts w:eastAsia="黑体"/>
          <w:sz w:val="24"/>
        </w:rPr>
      </w:pPr>
      <w:r>
        <w:rPr>
          <w:rFonts w:eastAsia="黑体"/>
          <w:sz w:val="24"/>
        </w:rPr>
        <w:t>11.3发包人的工期延误</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即使由于上述原因造成工期延误，如果受影响的工程并非处在工程施工进度网络计划的关键线路上，承包人亦无权要求延长总工期。</w:t>
      </w:r>
    </w:p>
    <w:p>
      <w:pPr>
        <w:adjustRightInd w:val="0"/>
        <w:snapToGrid w:val="0"/>
        <w:spacing w:beforeLines="100" w:line="360" w:lineRule="auto"/>
        <w:rPr>
          <w:rFonts w:eastAsia="黑体"/>
          <w:sz w:val="24"/>
        </w:rPr>
      </w:pPr>
      <w:r>
        <w:rPr>
          <w:rFonts w:eastAsia="黑体"/>
          <w:sz w:val="24"/>
        </w:rPr>
        <w:t>11.4异常恶劣的气候条件</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异常恶劣的气候条件包括：台风、龙卷风、暴雨（雪）、大风（沙尘暴）、冰雹和项目专用合同条款可能规定的其他气候条件。</w:t>
      </w:r>
    </w:p>
    <w:p>
      <w:pPr>
        <w:adjustRightInd w:val="0"/>
        <w:snapToGrid w:val="0"/>
        <w:spacing w:beforeLines="100" w:line="360" w:lineRule="auto"/>
        <w:rPr>
          <w:rFonts w:eastAsia="黑体"/>
          <w:sz w:val="24"/>
        </w:rPr>
      </w:pPr>
      <w:r>
        <w:rPr>
          <w:rFonts w:eastAsia="黑体"/>
          <w:sz w:val="24"/>
        </w:rPr>
        <w:t>11.5承包人的工期延误</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（1</w:t>
      </w:r>
      <w:r>
        <w:rPr>
          <w:rFonts w:hint="eastAsia"/>
          <w:sz w:val="24"/>
        </w:rPr>
        <w:t>）</w:t>
      </w:r>
      <w:r>
        <w:rPr>
          <w:sz w:val="24"/>
        </w:rPr>
        <w:t>承包人应严格执行监理人批准的合同进度计划，对工作量计划和形象进度计划分别控制。除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如果承包人在接到监理人通知后的14天内，未能采取加快工程进度的措施，致使实际工程进度进一步滞后，或承包人虽采取了一些措施，仍无法按预计工期竣工时，监理人应立即通知发包人。发包人在向承包人发出书面警告通知14天后，发包人可按22.1款终止对承包人的雇用，也可将本合同工程中的一部分工作交由其他承包人或特殊分包人完成。在不解除本合同规定的承包人责任和义务的同时，承包人应承担因此所增加的一切费用。</w:t>
      </w:r>
    </w:p>
    <w:p>
      <w:pPr>
        <w:adjustRightInd w:val="0"/>
        <w:snapToGrid w:val="0"/>
        <w:spacing w:line="360" w:lineRule="auto"/>
        <w:ind w:firstLine="480" w:firstLineChars="200"/>
        <w:rPr>
          <w:sz w:val="24"/>
        </w:rPr>
      </w:pPr>
      <w:r>
        <w:rPr>
          <w:sz w:val="24"/>
        </w:rPr>
        <w:t>（3</w:t>
      </w:r>
      <w:r>
        <w:rPr>
          <w:rFonts w:hint="eastAsia"/>
          <w:sz w:val="24"/>
        </w:rPr>
        <w:t>）</w:t>
      </w:r>
      <w:r>
        <w:rPr>
          <w:sz w:val="24"/>
        </w:rPr>
        <w:t>由于承包人原因造成工期延误，承包人应支付逾期竣工违约金。逾期竣工违约金的计算方法为：每逾期一天支付＿元人民币（在项目专用合同条款中约定），时间自预定的竣工日期起到工程接收证书中写明的实际竣工日期止（扣除已批准的延长工期），按天计算。逾期竣工违约金累计金额最高不超过签约合同价的</w:t>
      </w:r>
      <w:r>
        <w:rPr>
          <w:rFonts w:hint="eastAsia"/>
          <w:sz w:val="24"/>
        </w:rPr>
        <w:t>10</w:t>
      </w:r>
      <w:r>
        <w:rPr>
          <w:sz w:val="24"/>
        </w:rPr>
        <w:t>％。发包人可以从应付或到期应付给承包人的任何款项中或采用其他方法扣除此违约金。</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承包人支付逾期竣工违约金，不免除承包人完成工程及修补缺陷的义务。</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如果在合同工程完工之前，己对合同工程内按时完工的单位工程签发了工程接收证书，则合同工程的逾期竣工违约金，应按</w:t>
      </w:r>
      <w:r>
        <w:rPr>
          <w:rFonts w:hint="eastAsia"/>
          <w:sz w:val="24"/>
        </w:rPr>
        <w:t>已</w:t>
      </w:r>
      <w:r>
        <w:rPr>
          <w:sz w:val="24"/>
        </w:rPr>
        <w:t>签发工程接收证书的单位工程的价值占合同工程价值的比例予以减少，但本规定不应影响逾期竣工违约金的规定限额。</w:t>
      </w:r>
    </w:p>
    <w:p>
      <w:pPr>
        <w:adjustRightInd w:val="0"/>
        <w:snapToGrid w:val="0"/>
        <w:spacing w:beforeLines="100" w:line="360" w:lineRule="auto"/>
        <w:rPr>
          <w:rFonts w:eastAsia="黑体"/>
          <w:sz w:val="24"/>
        </w:rPr>
      </w:pPr>
      <w:r>
        <w:rPr>
          <w:rFonts w:eastAsia="黑体"/>
          <w:sz w:val="24"/>
        </w:rPr>
        <w:t>11.6工期提前</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64" w:firstLineChars="200"/>
        <w:rPr>
          <w:spacing w:val="-4"/>
          <w:sz w:val="24"/>
        </w:rPr>
      </w:pPr>
      <w:r>
        <w:rPr>
          <w:spacing w:val="-4"/>
          <w:sz w:val="24"/>
        </w:rPr>
        <w:t>如果承包人提前竣工，发包人支付奖金的计算方法为：每提前一天支付元人民币（在项目专用合同条款中约定），时间自工程接收证书中写明的实际竣工日期起至预定的竣工日期止，按天计算。但奖金最高限额不超过签约合同价的％（在项目专用合同条款中约定）。</w:t>
      </w:r>
    </w:p>
    <w:p>
      <w:pPr>
        <w:adjustRightInd w:val="0"/>
        <w:snapToGrid w:val="0"/>
        <w:spacing w:line="360" w:lineRule="auto"/>
        <w:rPr>
          <w:sz w:val="24"/>
        </w:rPr>
      </w:pPr>
      <w:r>
        <w:rPr>
          <w:sz w:val="24"/>
        </w:rPr>
        <w:t>增加第11.7款：</w:t>
      </w:r>
    </w:p>
    <w:p>
      <w:pPr>
        <w:adjustRightInd w:val="0"/>
        <w:snapToGrid w:val="0"/>
        <w:spacing w:beforeLines="100" w:line="360" w:lineRule="auto"/>
        <w:rPr>
          <w:rFonts w:eastAsia="黑体"/>
          <w:sz w:val="24"/>
        </w:rPr>
      </w:pPr>
      <w:r>
        <w:rPr>
          <w:rFonts w:eastAsia="黑体"/>
          <w:sz w:val="24"/>
        </w:rPr>
        <w:t>11.7</w:t>
      </w:r>
      <w:r>
        <w:rPr>
          <w:rFonts w:hint="eastAsia" w:eastAsia="黑体"/>
          <w:sz w:val="24"/>
        </w:rPr>
        <w:t>工</w:t>
      </w:r>
      <w:r>
        <w:rPr>
          <w:rFonts w:eastAsia="黑体"/>
          <w:sz w:val="24"/>
        </w:rPr>
        <w:t>作时</w:t>
      </w:r>
      <w:r>
        <w:rPr>
          <w:rFonts w:hint="eastAsia" w:eastAsia="黑体"/>
          <w:sz w:val="24"/>
        </w:rPr>
        <w:t>间</w:t>
      </w:r>
      <w:r>
        <w:rPr>
          <w:rFonts w:eastAsia="黑体"/>
          <w:sz w:val="24"/>
        </w:rPr>
        <w:t>的限制</w:t>
      </w:r>
    </w:p>
    <w:p>
      <w:pPr>
        <w:adjustRightInd w:val="0"/>
        <w:snapToGrid w:val="0"/>
        <w:spacing w:line="360" w:lineRule="auto"/>
        <w:ind w:firstLine="480" w:firstLineChars="200"/>
        <w:rPr>
          <w:sz w:val="24"/>
        </w:rPr>
      </w:pPr>
      <w:r>
        <w:rPr>
          <w:sz w:val="24"/>
        </w:rPr>
        <w:t>承包人在夜间或国家规定的节假日进行永久工程的施工，应向监理人报告，以便监理人履行监理职责和义务。</w:t>
      </w:r>
    </w:p>
    <w:p>
      <w:pPr>
        <w:adjustRightInd w:val="0"/>
        <w:snapToGrid w:val="0"/>
        <w:spacing w:line="360" w:lineRule="auto"/>
        <w:ind w:firstLine="480" w:firstLineChars="200"/>
        <w:rPr>
          <w:sz w:val="24"/>
        </w:rPr>
      </w:pPr>
      <w:r>
        <w:rPr>
          <w:sz w:val="24"/>
        </w:rPr>
        <w:t>但是，为了抢救生命或保护财产，或为了工程的安全、质量而不可避免地短暂作业，则不必事先向监理人报告。但承包人应在事后立即向监理人报告。</w:t>
      </w:r>
    </w:p>
    <w:p>
      <w:pPr>
        <w:adjustRightInd w:val="0"/>
        <w:snapToGrid w:val="0"/>
        <w:spacing w:line="360" w:lineRule="auto"/>
        <w:ind w:firstLine="480" w:firstLineChars="200"/>
        <w:rPr>
          <w:sz w:val="24"/>
        </w:rPr>
      </w:pPr>
      <w:r>
        <w:rPr>
          <w:sz w:val="24"/>
        </w:rPr>
        <w:t>本款规定不适用于习惯上或施工本身要求实行连续生产的作业。</w:t>
      </w:r>
    </w:p>
    <w:p>
      <w:pPr>
        <w:adjustRightInd w:val="0"/>
        <w:snapToGrid w:val="0"/>
        <w:spacing w:beforeLines="100" w:line="360" w:lineRule="auto"/>
        <w:rPr>
          <w:rFonts w:eastAsia="黑体"/>
          <w:sz w:val="24"/>
        </w:rPr>
      </w:pPr>
      <w:r>
        <w:rPr>
          <w:rFonts w:eastAsia="黑体"/>
          <w:sz w:val="24"/>
        </w:rPr>
        <w:t>12</w:t>
      </w:r>
      <w:r>
        <w:rPr>
          <w:rFonts w:hint="eastAsia" w:eastAsia="黑体"/>
          <w:sz w:val="24"/>
        </w:rPr>
        <w:t>．</w:t>
      </w:r>
      <w:r>
        <w:rPr>
          <w:rFonts w:eastAsia="黑体"/>
          <w:sz w:val="24"/>
        </w:rPr>
        <w:t>暂停施工</w:t>
      </w:r>
    </w:p>
    <w:p>
      <w:pPr>
        <w:adjustRightInd w:val="0"/>
        <w:snapToGrid w:val="0"/>
        <w:spacing w:line="360" w:lineRule="auto"/>
        <w:ind w:firstLine="480" w:firstLineChars="200"/>
        <w:rPr>
          <w:sz w:val="24"/>
        </w:rPr>
      </w:pPr>
      <w:r>
        <w:rPr>
          <w:sz w:val="24"/>
        </w:rPr>
        <w:t>12.1承包人暂停施工的责任</w:t>
      </w:r>
    </w:p>
    <w:p>
      <w:pPr>
        <w:adjustRightInd w:val="0"/>
        <w:snapToGrid w:val="0"/>
        <w:spacing w:line="360" w:lineRule="auto"/>
        <w:ind w:firstLine="480" w:firstLineChars="200"/>
        <w:rPr>
          <w:sz w:val="24"/>
        </w:rPr>
      </w:pPr>
      <w:r>
        <w:rPr>
          <w:sz w:val="24"/>
        </w:rPr>
        <w:t>12.1（5</w:t>
      </w:r>
      <w:r>
        <w:rPr>
          <w:rFonts w:hint="eastAsia"/>
          <w:sz w:val="24"/>
        </w:rPr>
        <w:t>）</w:t>
      </w:r>
      <w:r>
        <w:rPr>
          <w:sz w:val="24"/>
        </w:rPr>
        <w:t>项补充：</w:t>
      </w:r>
    </w:p>
    <w:p>
      <w:pPr>
        <w:adjustRightInd w:val="0"/>
        <w:snapToGrid w:val="0"/>
        <w:spacing w:line="360" w:lineRule="auto"/>
        <w:ind w:firstLine="480" w:firstLineChars="200"/>
        <w:rPr>
          <w:sz w:val="24"/>
        </w:rPr>
      </w:pPr>
      <w:r>
        <w:rPr>
          <w:sz w:val="24"/>
        </w:rPr>
        <w:t>（5</w:t>
      </w:r>
      <w:r>
        <w:rPr>
          <w:rFonts w:hint="eastAsia"/>
          <w:sz w:val="24"/>
        </w:rPr>
        <w:t>）</w:t>
      </w:r>
      <w:r>
        <w:rPr>
          <w:sz w:val="24"/>
        </w:rPr>
        <w:t>现场气候条件导致的必要停工（第11.4款规定的异常恶劣的气候条件除外）；</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项目专用合同条款约定由承包人承担的其他暂停施工。</w:t>
      </w:r>
    </w:p>
    <w:p>
      <w:pPr>
        <w:adjustRightInd w:val="0"/>
        <w:snapToGrid w:val="0"/>
        <w:spacing w:beforeLines="100" w:line="360" w:lineRule="auto"/>
        <w:rPr>
          <w:rFonts w:eastAsia="黑体"/>
          <w:sz w:val="24"/>
        </w:rPr>
      </w:pPr>
      <w:r>
        <w:rPr>
          <w:rFonts w:eastAsia="黑体"/>
          <w:sz w:val="24"/>
        </w:rPr>
        <w:t>13．工程质量</w:t>
      </w:r>
    </w:p>
    <w:p>
      <w:pPr>
        <w:adjustRightInd w:val="0"/>
        <w:snapToGrid w:val="0"/>
        <w:spacing w:line="360" w:lineRule="auto"/>
        <w:rPr>
          <w:rFonts w:eastAsia="黑体"/>
          <w:sz w:val="24"/>
        </w:rPr>
      </w:pPr>
      <w:r>
        <w:rPr>
          <w:rFonts w:eastAsia="黑体"/>
          <w:sz w:val="24"/>
        </w:rPr>
        <w:t>13.1工程质量要求</w:t>
      </w:r>
    </w:p>
    <w:p>
      <w:pPr>
        <w:adjustRightInd w:val="0"/>
        <w:snapToGrid w:val="0"/>
        <w:spacing w:line="360" w:lineRule="auto"/>
        <w:ind w:firstLine="480" w:firstLineChars="200"/>
        <w:rPr>
          <w:sz w:val="24"/>
        </w:rPr>
      </w:pPr>
      <w:r>
        <w:rPr>
          <w:sz w:val="24"/>
        </w:rPr>
        <w:t>13.1</w:t>
      </w:r>
      <w:r>
        <w:rPr>
          <w:rFonts w:hint="eastAsia"/>
          <w:sz w:val="24"/>
        </w:rPr>
        <w:t>.</w:t>
      </w:r>
      <w:r>
        <w:rPr>
          <w:sz w:val="24"/>
        </w:rPr>
        <w:t>1项约定为：</w:t>
      </w:r>
    </w:p>
    <w:p>
      <w:pPr>
        <w:adjustRightInd w:val="0"/>
        <w:snapToGrid w:val="0"/>
        <w:spacing w:line="360" w:lineRule="auto"/>
        <w:ind w:firstLine="480" w:firstLineChars="200"/>
        <w:rPr>
          <w:sz w:val="24"/>
        </w:rPr>
      </w:pPr>
      <w:r>
        <w:rPr>
          <w:sz w:val="24"/>
        </w:rPr>
        <w:t>工程质量验收按技术规范及交通部《公路工程质量验收评定标准》执行。本款增加第13．1.4至13．1.6项：</w:t>
      </w:r>
    </w:p>
    <w:p>
      <w:pPr>
        <w:adjustRightInd w:val="0"/>
        <w:snapToGrid w:val="0"/>
        <w:spacing w:line="360" w:lineRule="auto"/>
        <w:ind w:firstLine="480" w:firstLineChars="200"/>
        <w:rPr>
          <w:sz w:val="24"/>
        </w:rPr>
      </w:pPr>
      <w:r>
        <w:rPr>
          <w:sz w:val="24"/>
        </w:rPr>
        <w:t>13.1.4承包人对工程质量终身负责。</w:t>
      </w:r>
    </w:p>
    <w:p>
      <w:pPr>
        <w:adjustRightInd w:val="0"/>
        <w:snapToGrid w:val="0"/>
        <w:spacing w:line="360" w:lineRule="auto"/>
        <w:ind w:firstLine="480" w:firstLineChars="200"/>
        <w:rPr>
          <w:sz w:val="24"/>
        </w:rPr>
      </w:pPr>
      <w:r>
        <w:rPr>
          <w:sz w:val="24"/>
        </w:rPr>
        <w:t>13</w:t>
      </w:r>
      <w:r>
        <w:rPr>
          <w:rFonts w:hint="eastAsia"/>
          <w:sz w:val="24"/>
        </w:rPr>
        <w:t>.</w:t>
      </w:r>
      <w:r>
        <w:rPr>
          <w:sz w:val="24"/>
        </w:rPr>
        <w:t>1.5发包人应对工程质量、安全和环境保护、水土保持等建设全过程进行管理，对检查中发现的技术、质量和其他问题，应责令承包人返工或整改；对存在的隐患，有权责令承包人予以解决。</w:t>
      </w:r>
    </w:p>
    <w:p>
      <w:pPr>
        <w:adjustRightInd w:val="0"/>
        <w:snapToGrid w:val="0"/>
        <w:spacing w:line="360" w:lineRule="auto"/>
        <w:ind w:firstLine="480" w:firstLineChars="200"/>
        <w:rPr>
          <w:sz w:val="24"/>
        </w:rPr>
      </w:pPr>
      <w:r>
        <w:rPr>
          <w:sz w:val="24"/>
        </w:rPr>
        <w:t>13.1.6发包人对存在质量问题或质量隐患的工程有权直接发布或授权监理人发布停工令、复工令。</w:t>
      </w:r>
    </w:p>
    <w:p>
      <w:pPr>
        <w:adjustRightInd w:val="0"/>
        <w:snapToGrid w:val="0"/>
        <w:spacing w:beforeLines="100" w:line="360" w:lineRule="auto"/>
        <w:rPr>
          <w:rFonts w:eastAsia="黑体"/>
          <w:sz w:val="24"/>
        </w:rPr>
      </w:pPr>
      <w:r>
        <w:rPr>
          <w:rFonts w:eastAsia="黑体"/>
          <w:sz w:val="24"/>
        </w:rPr>
        <w:t>13.2承包人的质量管理</w:t>
      </w:r>
    </w:p>
    <w:p>
      <w:pPr>
        <w:adjustRightInd w:val="0"/>
        <w:snapToGrid w:val="0"/>
        <w:spacing w:line="360" w:lineRule="auto"/>
        <w:ind w:firstLine="480" w:firstLineChars="200"/>
        <w:rPr>
          <w:sz w:val="24"/>
        </w:rPr>
      </w:pPr>
      <w:r>
        <w:rPr>
          <w:sz w:val="24"/>
        </w:rPr>
        <w:t>13.2.1项补充：</w:t>
      </w:r>
    </w:p>
    <w:p>
      <w:pPr>
        <w:adjustRightInd w:val="0"/>
        <w:snapToGrid w:val="0"/>
        <w:spacing w:line="360" w:lineRule="auto"/>
        <w:ind w:firstLine="480" w:firstLineChars="200"/>
        <w:rPr>
          <w:sz w:val="24"/>
        </w:rPr>
      </w:pPr>
      <w:r>
        <w:rPr>
          <w:sz w:val="24"/>
        </w:rPr>
        <w:t>承包人提交工程质量保证措施文件的期限：</w:t>
      </w:r>
      <w:r>
        <w:rPr>
          <w:sz w:val="24"/>
          <w:u w:val="single"/>
        </w:rPr>
        <w:t>签订合同协议书后28天之内</w:t>
      </w:r>
      <w:r>
        <w:rPr>
          <w:sz w:val="24"/>
        </w:rPr>
        <w:t>。</w:t>
      </w:r>
    </w:p>
    <w:p>
      <w:pPr>
        <w:adjustRightInd w:val="0"/>
        <w:snapToGrid w:val="0"/>
        <w:spacing w:line="360" w:lineRule="auto"/>
        <w:ind w:firstLine="480" w:firstLineChars="200"/>
        <w:rPr>
          <w:sz w:val="24"/>
        </w:rPr>
      </w:pPr>
      <w:r>
        <w:rPr>
          <w:sz w:val="24"/>
        </w:rPr>
        <w:t>本款增加第13.2.3至13.2.5项：</w:t>
      </w:r>
    </w:p>
    <w:p>
      <w:pPr>
        <w:adjustRightInd w:val="0"/>
        <w:snapToGrid w:val="0"/>
        <w:spacing w:line="360" w:lineRule="auto"/>
        <w:ind w:firstLine="480" w:firstLineChars="200"/>
        <w:rPr>
          <w:sz w:val="24"/>
        </w:rPr>
      </w:pPr>
      <w:r>
        <w:rPr>
          <w:sz w:val="24"/>
        </w:rPr>
        <w:t>13.2.3承包人应加强质量监控，确保规范规定的检验、抽检频率，现场质检的原始资料必须真实、准确、可靠，不得追记，接受质量检查时必须出示原始资料。</w:t>
      </w:r>
    </w:p>
    <w:p>
      <w:pPr>
        <w:adjustRightInd w:val="0"/>
        <w:snapToGrid w:val="0"/>
        <w:spacing w:line="360" w:lineRule="auto"/>
        <w:ind w:firstLine="480" w:firstLineChars="200"/>
        <w:rPr>
          <w:sz w:val="24"/>
        </w:rPr>
      </w:pPr>
      <w:r>
        <w:rPr>
          <w:sz w:val="24"/>
        </w:rPr>
        <w:t>13.2.4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pPr>
        <w:adjustRightInd w:val="0"/>
        <w:snapToGrid w:val="0"/>
        <w:spacing w:line="360" w:lineRule="auto"/>
        <w:ind w:firstLine="480" w:firstLineChars="200"/>
        <w:rPr>
          <w:sz w:val="24"/>
        </w:rPr>
      </w:pPr>
      <w:r>
        <w:rPr>
          <w:sz w:val="24"/>
        </w:rPr>
        <w:t>13.2.5承包人应建立质量奖罚制度，对质量事故要严肃处理，坚持三不放过：事故原因不明不放过，不分清责任不放过，没有改进措施不放过。</w:t>
      </w:r>
    </w:p>
    <w:p>
      <w:pPr>
        <w:adjustRightInd w:val="0"/>
        <w:snapToGrid w:val="0"/>
        <w:spacing w:beforeLines="100" w:line="360" w:lineRule="auto"/>
        <w:rPr>
          <w:rFonts w:eastAsia="黑体"/>
          <w:sz w:val="24"/>
        </w:rPr>
      </w:pPr>
      <w:r>
        <w:rPr>
          <w:rFonts w:eastAsia="黑体"/>
          <w:sz w:val="24"/>
        </w:rPr>
        <w:t>13.4监理人的质量检查</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监理人及其委派的检验人员，应能进入工程现场，以及材料或工程设备的制造、加工或制配的车间和场所，包括不属于承包人的车间或场所进行检查，承包人应为此提供便利和协助。</w:t>
      </w:r>
    </w:p>
    <w:p>
      <w:pPr>
        <w:adjustRightInd w:val="0"/>
        <w:snapToGrid w:val="0"/>
        <w:spacing w:line="360" w:lineRule="auto"/>
        <w:ind w:firstLine="480" w:firstLineChars="200"/>
        <w:rPr>
          <w:sz w:val="24"/>
        </w:rPr>
      </w:pPr>
      <w:r>
        <w:rPr>
          <w:sz w:val="24"/>
        </w:rPr>
        <w:t>监理人可以将材料或工程设备的检查和检验委托给一家独立的检验单位。该独立检验单位的检验结果应视为监理人完成的。监理人应将这种委托的通知书不少于7天前交给承包人。</w:t>
      </w:r>
    </w:p>
    <w:p>
      <w:pPr>
        <w:adjustRightInd w:val="0"/>
        <w:snapToGrid w:val="0"/>
        <w:spacing w:beforeLines="100" w:line="360" w:lineRule="auto"/>
        <w:rPr>
          <w:rFonts w:eastAsia="黑体"/>
          <w:sz w:val="24"/>
        </w:rPr>
      </w:pPr>
      <w:r>
        <w:rPr>
          <w:rFonts w:eastAsia="黑体"/>
          <w:sz w:val="24"/>
        </w:rPr>
        <w:t>13.5工程隐蔽部位覆盖前的检查</w:t>
      </w:r>
    </w:p>
    <w:p>
      <w:pPr>
        <w:adjustRightInd w:val="0"/>
        <w:snapToGrid w:val="0"/>
        <w:spacing w:line="360" w:lineRule="auto"/>
        <w:ind w:firstLine="480" w:firstLineChars="200"/>
        <w:rPr>
          <w:sz w:val="24"/>
        </w:rPr>
      </w:pPr>
      <w:r>
        <w:rPr>
          <w:sz w:val="24"/>
        </w:rPr>
        <w:t>13.5.1通知监理人检查</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没有监理人的批准，任何工程均不得覆盖或掩蔽。当监理人有指令时，承包人应对重要隐蔽工程进行拍摄或照相并应保证监理人有充分的机会对将要覆盖或掩蔽的工程进行检查和量测，特别是在基础以上的任一部分工程修筑之前，对该基础进行检查。</w:t>
      </w:r>
    </w:p>
    <w:p>
      <w:pPr>
        <w:adjustRightInd w:val="0"/>
        <w:snapToGrid w:val="0"/>
        <w:spacing w:beforeLines="100" w:line="360" w:lineRule="auto"/>
        <w:rPr>
          <w:rFonts w:eastAsia="黑体"/>
          <w:sz w:val="24"/>
        </w:rPr>
      </w:pPr>
      <w:r>
        <w:rPr>
          <w:rFonts w:eastAsia="黑体"/>
          <w:sz w:val="24"/>
        </w:rPr>
        <w:t>13.6清除不合格工程</w:t>
      </w:r>
    </w:p>
    <w:p>
      <w:pPr>
        <w:adjustRightInd w:val="0"/>
        <w:snapToGrid w:val="0"/>
        <w:spacing w:line="360" w:lineRule="auto"/>
        <w:ind w:firstLine="480" w:firstLineChars="200"/>
        <w:rPr>
          <w:sz w:val="24"/>
        </w:rPr>
      </w:pPr>
      <w:r>
        <w:rPr>
          <w:sz w:val="24"/>
        </w:rPr>
        <w:t>13.6.1项细化为：</w:t>
      </w:r>
    </w:p>
    <w:p>
      <w:pPr>
        <w:adjustRightInd w:val="0"/>
        <w:snapToGrid w:val="0"/>
        <w:spacing w:line="360" w:lineRule="auto"/>
        <w:ind w:firstLine="480" w:firstLineChars="200"/>
        <w:rPr>
          <w:sz w:val="24"/>
        </w:rPr>
      </w:pPr>
      <w:r>
        <w:rPr>
          <w:sz w:val="24"/>
        </w:rPr>
        <w:t>（1</w:t>
      </w:r>
      <w:r>
        <w:rPr>
          <w:rFonts w:hint="eastAsia"/>
          <w:sz w:val="24"/>
        </w:rPr>
        <w:t>）</w:t>
      </w:r>
      <w:r>
        <w:rPr>
          <w:sz w:val="24"/>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如果承包人未在规定时间内执行监理人的指示，发包人有权雇用他人执行，并向其支付有关费用。所有由此造成的或伴随产生的费用，由承包人负责承担。</w:t>
      </w:r>
    </w:p>
    <w:p>
      <w:pPr>
        <w:adjustRightInd w:val="0"/>
        <w:snapToGrid w:val="0"/>
        <w:spacing w:beforeLines="100" w:line="360" w:lineRule="auto"/>
        <w:rPr>
          <w:rFonts w:eastAsia="黑体"/>
          <w:sz w:val="24"/>
        </w:rPr>
      </w:pPr>
      <w:r>
        <w:rPr>
          <w:rFonts w:eastAsia="黑体"/>
          <w:sz w:val="24"/>
        </w:rPr>
        <w:t>14</w:t>
      </w:r>
      <w:r>
        <w:rPr>
          <w:rFonts w:hint="eastAsia" w:eastAsia="黑体"/>
          <w:sz w:val="24"/>
        </w:rPr>
        <w:t>．</w:t>
      </w:r>
      <w:r>
        <w:rPr>
          <w:rFonts w:eastAsia="黑体"/>
          <w:sz w:val="24"/>
        </w:rPr>
        <w:t>试验和检验</w:t>
      </w:r>
    </w:p>
    <w:p>
      <w:pPr>
        <w:adjustRightInd w:val="0"/>
        <w:snapToGrid w:val="0"/>
        <w:spacing w:line="360" w:lineRule="auto"/>
        <w:rPr>
          <w:sz w:val="24"/>
        </w:rPr>
      </w:pPr>
      <w:r>
        <w:rPr>
          <w:rFonts w:hAnsi="宋体"/>
          <w:sz w:val="24"/>
        </w:rPr>
        <w:t>增加第</w:t>
      </w:r>
      <w:r>
        <w:rPr>
          <w:sz w:val="24"/>
        </w:rPr>
        <w:t>14.4</w:t>
      </w:r>
      <w:r>
        <w:rPr>
          <w:rFonts w:hAnsi="宋体"/>
          <w:sz w:val="24"/>
        </w:rPr>
        <w:t>款：</w:t>
      </w:r>
    </w:p>
    <w:p>
      <w:pPr>
        <w:adjustRightInd w:val="0"/>
        <w:snapToGrid w:val="0"/>
        <w:spacing w:line="360" w:lineRule="auto"/>
        <w:rPr>
          <w:rFonts w:eastAsia="黑体"/>
          <w:sz w:val="24"/>
        </w:rPr>
      </w:pPr>
      <w:r>
        <w:rPr>
          <w:rFonts w:eastAsia="黑体"/>
          <w:sz w:val="24"/>
        </w:rPr>
        <w:t>14.4试验和检验费用</w:t>
      </w:r>
    </w:p>
    <w:p>
      <w:pPr>
        <w:adjustRightInd w:val="0"/>
        <w:snapToGrid w:val="0"/>
        <w:spacing w:line="360" w:lineRule="auto"/>
        <w:ind w:firstLine="480" w:firstLineChars="200"/>
        <w:rPr>
          <w:sz w:val="24"/>
        </w:rPr>
      </w:pPr>
      <w:r>
        <w:rPr>
          <w:sz w:val="24"/>
        </w:rPr>
        <w:t>（1</w:t>
      </w:r>
      <w:r>
        <w:rPr>
          <w:rFonts w:hint="eastAsia"/>
          <w:sz w:val="24"/>
        </w:rPr>
        <w:t>）</w:t>
      </w:r>
      <w:r>
        <w:rPr>
          <w:sz w:val="24"/>
        </w:rPr>
        <w:t>承包人应负责提供进行试验和检验所需的全部样品，并承担其费用。</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在合同中明确规定的或在合同中列有可供报价的检（试）验子目或专项检（试）验子目，其试验和检验的费用由承包人负担。</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如果监理人所要求做的检（试）验为合同未规定的或没有如上列出子目的，或是在该材料或工程设备的制造、加工、制配场地以外的场所进行的，则检验结束后，如表明操作工艺或材料、工程设备未能符合合同规定，其费用应由承包人承担，否则，由发包人另行支付。</w:t>
      </w:r>
    </w:p>
    <w:p>
      <w:pPr>
        <w:adjustRightInd w:val="0"/>
        <w:snapToGrid w:val="0"/>
        <w:spacing w:beforeLines="100" w:line="360" w:lineRule="auto"/>
        <w:rPr>
          <w:rFonts w:eastAsia="黑体"/>
          <w:sz w:val="24"/>
        </w:rPr>
      </w:pPr>
      <w:r>
        <w:rPr>
          <w:rFonts w:eastAsia="黑体"/>
          <w:sz w:val="24"/>
        </w:rPr>
        <w:t>15</w:t>
      </w:r>
      <w:r>
        <w:rPr>
          <w:rFonts w:hint="eastAsia" w:eastAsia="黑体"/>
          <w:sz w:val="24"/>
        </w:rPr>
        <w:t>．</w:t>
      </w:r>
      <w:r>
        <w:rPr>
          <w:rFonts w:eastAsia="黑体"/>
          <w:sz w:val="24"/>
        </w:rPr>
        <w:t>变更</w:t>
      </w:r>
    </w:p>
    <w:p>
      <w:pPr>
        <w:adjustRightInd w:val="0"/>
        <w:snapToGrid w:val="0"/>
        <w:spacing w:line="360" w:lineRule="auto"/>
        <w:rPr>
          <w:rFonts w:eastAsia="黑体"/>
          <w:sz w:val="24"/>
        </w:rPr>
      </w:pPr>
      <w:r>
        <w:rPr>
          <w:rFonts w:eastAsia="黑体"/>
          <w:sz w:val="24"/>
        </w:rPr>
        <w:t>15.1变更的范围和内容</w:t>
      </w:r>
    </w:p>
    <w:p>
      <w:pPr>
        <w:adjustRightInd w:val="0"/>
        <w:snapToGrid w:val="0"/>
        <w:spacing w:line="360" w:lineRule="auto"/>
        <w:ind w:firstLine="480" w:firstLineChars="200"/>
        <w:rPr>
          <w:sz w:val="24"/>
        </w:rPr>
      </w:pPr>
      <w:r>
        <w:rPr>
          <w:sz w:val="24"/>
        </w:rPr>
        <w:t>15.1（1）项细化为：</w:t>
      </w:r>
    </w:p>
    <w:p>
      <w:pPr>
        <w:adjustRightInd w:val="0"/>
        <w:snapToGrid w:val="0"/>
        <w:spacing w:line="360" w:lineRule="auto"/>
        <w:ind w:firstLine="480" w:firstLineChars="200"/>
        <w:rPr>
          <w:sz w:val="24"/>
        </w:rPr>
      </w:pPr>
      <w:r>
        <w:rPr>
          <w:sz w:val="24"/>
        </w:rPr>
        <w:t>（1</w:t>
      </w:r>
      <w:r>
        <w:rPr>
          <w:rFonts w:hint="eastAsia"/>
          <w:sz w:val="24"/>
        </w:rPr>
        <w:t>）</w:t>
      </w:r>
      <w:r>
        <w:rPr>
          <w:sz w:val="24"/>
        </w:rPr>
        <w:t>取消合同中任何一项工作，但被取消的工作不能转由发包人或其他人实施，由于承包人违约造成的情况除外；</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设计变更程序应执行交通部《公路工程设计变更管理办法》的相关规定。</w:t>
      </w:r>
    </w:p>
    <w:p>
      <w:pPr>
        <w:adjustRightInd w:val="0"/>
        <w:snapToGrid w:val="0"/>
        <w:spacing w:beforeLines="100" w:line="360" w:lineRule="auto"/>
        <w:rPr>
          <w:rFonts w:eastAsia="黑体"/>
          <w:sz w:val="24"/>
        </w:rPr>
      </w:pPr>
      <w:r>
        <w:rPr>
          <w:rFonts w:eastAsia="黑体"/>
          <w:sz w:val="24"/>
        </w:rPr>
        <w:t>15.4变更的估价原则</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除项目专用合同条款另有约定外，因变更引起的价格调整按照本款约定处理。</w:t>
      </w:r>
    </w:p>
    <w:p>
      <w:pPr>
        <w:adjustRightInd w:val="0"/>
        <w:snapToGrid w:val="0"/>
        <w:spacing w:line="360" w:lineRule="auto"/>
        <w:ind w:firstLine="480" w:firstLineChars="200"/>
        <w:rPr>
          <w:sz w:val="24"/>
        </w:rPr>
      </w:pPr>
      <w:r>
        <w:rPr>
          <w:sz w:val="24"/>
        </w:rPr>
        <w:t>15.4.1如果取消某项工作，则该项工作的总额价不予支付；</w:t>
      </w:r>
    </w:p>
    <w:p>
      <w:pPr>
        <w:adjustRightInd w:val="0"/>
        <w:snapToGrid w:val="0"/>
        <w:spacing w:line="360" w:lineRule="auto"/>
        <w:ind w:firstLine="480" w:firstLineChars="200"/>
        <w:rPr>
          <w:sz w:val="24"/>
        </w:rPr>
      </w:pPr>
      <w:r>
        <w:rPr>
          <w:sz w:val="24"/>
        </w:rPr>
        <w:t>15.4.2已标价工程量清单中有适用于变更工作的子目的，采用该子目的单价。</w:t>
      </w:r>
    </w:p>
    <w:p>
      <w:pPr>
        <w:adjustRightInd w:val="0"/>
        <w:snapToGrid w:val="0"/>
        <w:spacing w:line="360" w:lineRule="auto"/>
        <w:ind w:firstLine="480" w:firstLineChars="200"/>
        <w:rPr>
          <w:sz w:val="24"/>
        </w:rPr>
      </w:pPr>
      <w:r>
        <w:rPr>
          <w:sz w:val="24"/>
        </w:rPr>
        <w:t>15.4.3已标价工程量清单中无适用于变更工作的子目，但有类似子目的，可在合理范围内参照类似子目的单价，由监理人按第3.5款商定或确定变更工作的单价。</w:t>
      </w:r>
    </w:p>
    <w:p>
      <w:pPr>
        <w:adjustRightInd w:val="0"/>
        <w:snapToGrid w:val="0"/>
        <w:spacing w:line="360" w:lineRule="auto"/>
        <w:ind w:firstLine="480" w:firstLineChars="200"/>
        <w:rPr>
          <w:sz w:val="24"/>
        </w:rPr>
      </w:pPr>
      <w:r>
        <w:rPr>
          <w:sz w:val="24"/>
        </w:rPr>
        <w:t>15.4.4已标价工程量清单中无适用或类似子目的单价，可在综合考虑承包人在投标时所提供的单价分析表和单价组成表的基础上，由监理人按第3.5款商定或确定变更工作的单价：</w:t>
      </w:r>
    </w:p>
    <w:p>
      <w:pPr>
        <w:adjustRightInd w:val="0"/>
        <w:snapToGrid w:val="0"/>
        <w:spacing w:line="360" w:lineRule="auto"/>
        <w:ind w:firstLine="480" w:firstLineChars="200"/>
        <w:rPr>
          <w:sz w:val="24"/>
        </w:rPr>
      </w:pPr>
      <w:r>
        <w:rPr>
          <w:sz w:val="24"/>
        </w:rPr>
        <w:t>15.4.5如果本工程的变更指示是因承包人过错、承包人违反合同或承包人责任造成的，则这种违约引起的任何额外费用应由承包人承担。</w:t>
      </w:r>
    </w:p>
    <w:p>
      <w:pPr>
        <w:adjustRightInd w:val="0"/>
        <w:snapToGrid w:val="0"/>
        <w:spacing w:beforeLines="100" w:line="360" w:lineRule="auto"/>
        <w:rPr>
          <w:rFonts w:eastAsia="黑体"/>
          <w:sz w:val="24"/>
        </w:rPr>
      </w:pPr>
      <w:r>
        <w:rPr>
          <w:rFonts w:eastAsia="黑体"/>
          <w:sz w:val="24"/>
        </w:rPr>
        <w:t>15.5承包人的合理化建议</w:t>
      </w:r>
    </w:p>
    <w:p>
      <w:pPr>
        <w:adjustRightInd w:val="0"/>
        <w:snapToGrid w:val="0"/>
        <w:spacing w:line="360" w:lineRule="auto"/>
        <w:ind w:firstLine="480" w:firstLineChars="200"/>
        <w:rPr>
          <w:sz w:val="24"/>
        </w:rPr>
      </w:pPr>
      <w:r>
        <w:rPr>
          <w:sz w:val="24"/>
        </w:rPr>
        <w:t>15.5.2项约定为：</w:t>
      </w:r>
    </w:p>
    <w:p>
      <w:pPr>
        <w:adjustRightInd w:val="0"/>
        <w:snapToGrid w:val="0"/>
        <w:spacing w:line="360" w:lineRule="auto"/>
        <w:ind w:firstLine="480" w:firstLineChars="200"/>
        <w:rPr>
          <w:sz w:val="24"/>
        </w:rPr>
      </w:pPr>
      <w:r>
        <w:rPr>
          <w:sz w:val="24"/>
        </w:rPr>
        <w:t>承包人提出的合理化建议缩短了工期，发包人按专用合同条款第11.6款的规定给予奖励。</w:t>
      </w:r>
    </w:p>
    <w:p>
      <w:pPr>
        <w:adjustRightInd w:val="0"/>
        <w:snapToGrid w:val="0"/>
        <w:spacing w:line="360" w:lineRule="auto"/>
        <w:ind w:firstLine="480" w:firstLineChars="200"/>
        <w:rPr>
          <w:sz w:val="24"/>
        </w:rPr>
      </w:pPr>
      <w:r>
        <w:rPr>
          <w:sz w:val="24"/>
        </w:rPr>
        <w:t>承包人提出的合理化建议降低了合同价格或者提高了工程经济效益的，发包人按所节约成本或增加收益的</w:t>
      </w:r>
      <w:r>
        <w:rPr>
          <w:rFonts w:hint="eastAsia"/>
          <w:sz w:val="24"/>
        </w:rPr>
        <w:t>%</w:t>
      </w:r>
      <w:r>
        <w:rPr>
          <w:sz w:val="24"/>
        </w:rPr>
        <w:t>（在项目专用条款数据表中约定）给予奖励。</w:t>
      </w:r>
    </w:p>
    <w:p>
      <w:pPr>
        <w:adjustRightInd w:val="0"/>
        <w:snapToGrid w:val="0"/>
        <w:spacing w:line="360" w:lineRule="auto"/>
        <w:ind w:firstLine="480" w:firstLineChars="200"/>
        <w:rPr>
          <w:sz w:val="24"/>
        </w:rPr>
      </w:pPr>
      <w:r>
        <w:rPr>
          <w:sz w:val="24"/>
        </w:rPr>
        <w:t>15.6暂列金额</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15.6.1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pPr>
        <w:adjustRightInd w:val="0"/>
        <w:snapToGrid w:val="0"/>
        <w:spacing w:line="360" w:lineRule="auto"/>
        <w:ind w:firstLine="480" w:firstLineChars="200"/>
        <w:rPr>
          <w:sz w:val="24"/>
        </w:rPr>
      </w:pPr>
      <w:r>
        <w:rPr>
          <w:sz w:val="24"/>
        </w:rPr>
        <w:t>15.6.2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pPr>
        <w:adjustRightInd w:val="0"/>
        <w:snapToGrid w:val="0"/>
        <w:spacing w:line="360" w:lineRule="auto"/>
        <w:ind w:firstLine="480" w:firstLineChars="200"/>
        <w:rPr>
          <w:sz w:val="24"/>
        </w:rPr>
      </w:pPr>
      <w:r>
        <w:rPr>
          <w:sz w:val="24"/>
        </w:rPr>
        <w:t>15.6.3当监理人提出要求时，承包人应提供有关暂列金额支出的所有报价单、发票、凭证和账单或收据，除非该工作是根据已标价工程量清单列明的单价或总额价进行的估价。</w:t>
      </w:r>
    </w:p>
    <w:p>
      <w:pPr>
        <w:adjustRightInd w:val="0"/>
        <w:snapToGrid w:val="0"/>
        <w:spacing w:beforeLines="100" w:line="360" w:lineRule="auto"/>
        <w:rPr>
          <w:rFonts w:eastAsia="黑体"/>
          <w:sz w:val="24"/>
        </w:rPr>
      </w:pPr>
      <w:r>
        <w:rPr>
          <w:rFonts w:eastAsia="黑体"/>
          <w:sz w:val="24"/>
        </w:rPr>
        <w:t>15.8暂估价</w:t>
      </w:r>
    </w:p>
    <w:p>
      <w:pPr>
        <w:adjustRightInd w:val="0"/>
        <w:snapToGrid w:val="0"/>
        <w:spacing w:line="360" w:lineRule="auto"/>
        <w:ind w:firstLine="480" w:firstLineChars="200"/>
        <w:rPr>
          <w:sz w:val="24"/>
        </w:rPr>
      </w:pPr>
      <w:r>
        <w:rPr>
          <w:sz w:val="24"/>
        </w:rPr>
        <w:t>15.8.1项补充：</w:t>
      </w:r>
    </w:p>
    <w:p>
      <w:pPr>
        <w:adjustRightInd w:val="0"/>
        <w:snapToGrid w:val="0"/>
        <w:spacing w:line="360" w:lineRule="auto"/>
        <w:ind w:firstLine="480" w:firstLineChars="200"/>
        <w:rPr>
          <w:sz w:val="24"/>
        </w:rPr>
      </w:pPr>
      <w:r>
        <w:rPr>
          <w:sz w:val="24"/>
        </w:rPr>
        <w:t>按照本项规定由发包人和承包人以共同招标的方式选择的分包人或供应商，视为发包人的特殊分包人或供应商，发包人、承包人、特殊分包人（或供应商）三方之间的权利义务关系约定如下：</w:t>
      </w:r>
    </w:p>
    <w:p>
      <w:pPr>
        <w:adjustRightInd w:val="0"/>
        <w:snapToGrid w:val="0"/>
        <w:spacing w:line="360" w:lineRule="auto"/>
        <w:ind w:firstLine="480" w:firstLineChars="200"/>
        <w:rPr>
          <w:sz w:val="24"/>
        </w:rPr>
      </w:pPr>
      <w:r>
        <w:rPr>
          <w:sz w:val="24"/>
        </w:rPr>
        <w:t>（1</w:t>
      </w:r>
      <w:r>
        <w:rPr>
          <w:rFonts w:hint="eastAsia"/>
          <w:sz w:val="24"/>
        </w:rPr>
        <w:t>）</w:t>
      </w:r>
      <w:r>
        <w:rPr>
          <w:sz w:val="24"/>
        </w:rPr>
        <w:t>承包人应与特殊分包人或供应商签订分包合同。</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有关特殊分包的合同中，特殊分包人（或供应商）应独立地承担其合同责任和义务，不使承包人对发包人承担的合同责任和义务受到损害，也不使承包人承担因特殊分包人（或供应商）未能履行责任、义务而引起的索赔、赔偿、诉讼费用及其他开支。承包人对于特殊分包人（或供应商）及其职工的过失而造成的损失不承担任何责任；此外，特殊分包人（或供应商）对承包人的临时工程不能随意使用。</w:t>
      </w:r>
    </w:p>
    <w:p>
      <w:pPr>
        <w:adjustRightInd w:val="0"/>
        <w:snapToGrid w:val="0"/>
        <w:spacing w:line="360" w:lineRule="auto"/>
        <w:ind w:firstLine="480" w:firstLineChars="200"/>
        <w:rPr>
          <w:sz w:val="24"/>
        </w:rPr>
      </w:pPr>
      <w:r>
        <w:rPr>
          <w:sz w:val="24"/>
        </w:rPr>
        <w:t>如果特殊分包合同中含有与上述规定有悖的条款，承包人有权拒绝与此特殊分包人（或供应商）签订合同。</w:t>
      </w:r>
    </w:p>
    <w:p>
      <w:pPr>
        <w:adjustRightInd w:val="0"/>
        <w:snapToGrid w:val="0"/>
        <w:spacing w:line="360" w:lineRule="auto"/>
        <w:ind w:firstLine="480" w:firstLineChars="200"/>
        <w:rPr>
          <w:sz w:val="24"/>
        </w:rPr>
      </w:pPr>
      <w:r>
        <w:rPr>
          <w:sz w:val="24"/>
        </w:rPr>
        <w:t>（3</w:t>
      </w:r>
      <w:r>
        <w:rPr>
          <w:rFonts w:hint="eastAsia"/>
          <w:sz w:val="24"/>
        </w:rPr>
        <w:t>）</w:t>
      </w:r>
      <w:r>
        <w:rPr>
          <w:sz w:val="24"/>
        </w:rPr>
        <w:t>如果要求特殊分包人为本工程或工程中设备提供设计或规范，则这种要求应在特殊的分包合同中写明，并明确：对于提供上述设计与编制规范的特殊分包人的设计错误或失职及引起的一切索赔、诉讼、赔偿，承包人概不负责。</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对于特殊分包人或供应商已完成的工程或已提供的货物、材料、设备，承包人应有权得到下述款项：</w:t>
      </w:r>
    </w:p>
    <w:p>
      <w:pPr>
        <w:adjustRightInd w:val="0"/>
        <w:snapToGrid w:val="0"/>
        <w:spacing w:line="360" w:lineRule="auto"/>
        <w:ind w:firstLine="480" w:firstLineChars="200"/>
        <w:rPr>
          <w:sz w:val="24"/>
        </w:rPr>
      </w:pPr>
      <w:r>
        <w:rPr>
          <w:sz w:val="24"/>
        </w:rPr>
        <w:t>a</w:t>
      </w:r>
      <w:r>
        <w:rPr>
          <w:rFonts w:hint="eastAsia"/>
          <w:sz w:val="24"/>
        </w:rPr>
        <w:t>．</w:t>
      </w:r>
      <w:r>
        <w:rPr>
          <w:sz w:val="24"/>
        </w:rPr>
        <w:t>按照监理人的指令，并根据特殊分包合同的约定，由承包人己支付或应支付的实际价款；</w:t>
      </w:r>
    </w:p>
    <w:p>
      <w:pPr>
        <w:adjustRightInd w:val="0"/>
        <w:snapToGrid w:val="0"/>
        <w:spacing w:line="360" w:lineRule="auto"/>
        <w:ind w:firstLine="480" w:firstLineChars="200"/>
        <w:rPr>
          <w:sz w:val="24"/>
        </w:rPr>
      </w:pPr>
      <w:r>
        <w:rPr>
          <w:sz w:val="24"/>
        </w:rPr>
        <w:t>b</w:t>
      </w:r>
      <w:r>
        <w:rPr>
          <w:rFonts w:hint="eastAsia"/>
          <w:sz w:val="24"/>
        </w:rPr>
        <w:t>．</w:t>
      </w:r>
      <w:r>
        <w:rPr>
          <w:sz w:val="24"/>
        </w:rPr>
        <w:t>承包人向特殊分包人已提供的劳务费用，以及承包人对特殊分包人应收取的手续费、利润提成，其金额应按已支付或应支付给特殊分包人的实际价款的某一百分率计算。该百分率在特殊分包合同中由承包人与特殊分包人协商确定，并经监理人和发包人认可。</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对于特殊分包人或供应商己完成的工程或已提供的货物、材料或设备款额的支付，监理人在签发进度付款证书之前应要求承包人提供证明，确认先期的付款证书中包含的该特殊分包人的有关费用已由承包人支付；如果承包人未提供这样的证明，发包人亨权根据监理人签发的证书，直接向特殊分包人支付分包合同内规定而承包人未支付的一切款项（扣除质量保证金），并从应付给承包人的款项中将上述款额扣回。监理人在发给承包人下一期的进度付款证书时，应从该证书的支付款额中扣除已由发包人直接支付的款额。</w:t>
      </w:r>
    </w:p>
    <w:p>
      <w:pPr>
        <w:adjustRightInd w:val="0"/>
        <w:snapToGrid w:val="0"/>
        <w:spacing w:beforeLines="100" w:line="360" w:lineRule="auto"/>
        <w:rPr>
          <w:rFonts w:eastAsia="黑体"/>
          <w:sz w:val="24"/>
        </w:rPr>
      </w:pPr>
      <w:r>
        <w:rPr>
          <w:rFonts w:eastAsia="黑体"/>
          <w:sz w:val="24"/>
        </w:rPr>
        <w:t>16</w:t>
      </w:r>
      <w:r>
        <w:rPr>
          <w:rFonts w:hint="eastAsia" w:eastAsia="黑体"/>
          <w:sz w:val="24"/>
        </w:rPr>
        <w:t>．</w:t>
      </w:r>
      <w:r>
        <w:rPr>
          <w:rFonts w:eastAsia="黑体"/>
          <w:sz w:val="24"/>
        </w:rPr>
        <w:t>价格调整</w:t>
      </w:r>
    </w:p>
    <w:p>
      <w:pPr>
        <w:adjustRightInd w:val="0"/>
        <w:snapToGrid w:val="0"/>
        <w:spacing w:line="360" w:lineRule="auto"/>
        <w:rPr>
          <w:rFonts w:eastAsia="黑体"/>
          <w:sz w:val="24"/>
        </w:rPr>
      </w:pPr>
      <w:r>
        <w:rPr>
          <w:rFonts w:eastAsia="黑体"/>
          <w:sz w:val="24"/>
        </w:rPr>
        <w:t>16.1物价波动引起的价格调整</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（1</w:t>
      </w:r>
      <w:r>
        <w:rPr>
          <w:rFonts w:hint="eastAsia"/>
          <w:sz w:val="24"/>
        </w:rPr>
        <w:t>）</w:t>
      </w:r>
      <w:r>
        <w:rPr>
          <w:sz w:val="24"/>
        </w:rPr>
        <w:t>因物价波动引起的价格调整按照</w:t>
      </w:r>
      <w:r>
        <w:rPr>
          <w:rFonts w:hint="eastAsia"/>
          <w:sz w:val="24"/>
          <w:u w:val="single"/>
        </w:rPr>
        <w:t xml:space="preserve">  第16.1.1或16.1.2项  </w:t>
      </w:r>
      <w:r>
        <w:rPr>
          <w:sz w:val="24"/>
        </w:rPr>
        <w:t>约定的原则处理；或者</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承包人在合同在执行期间（包括工期拖延期间）人工、材料和设备价格的上涨而引起工程施工成本增加</w:t>
      </w:r>
      <w:r>
        <w:rPr>
          <w:rFonts w:hint="eastAsia"/>
          <w:sz w:val="24"/>
        </w:rPr>
        <w:t>或减少</w:t>
      </w:r>
      <w:r>
        <w:rPr>
          <w:sz w:val="24"/>
        </w:rPr>
        <w:t>的风险，</w:t>
      </w:r>
      <w:r>
        <w:rPr>
          <w:rFonts w:hint="eastAsia"/>
          <w:sz w:val="24"/>
        </w:rPr>
        <w:t>由业主和承包商协商解决</w:t>
      </w:r>
      <w:r>
        <w:rPr>
          <w:sz w:val="24"/>
        </w:rPr>
        <w:t>。</w:t>
      </w:r>
    </w:p>
    <w:p>
      <w:pPr>
        <w:adjustRightInd w:val="0"/>
        <w:snapToGrid w:val="0"/>
        <w:spacing w:line="360" w:lineRule="auto"/>
        <w:ind w:firstLine="480" w:firstLineChars="200"/>
        <w:rPr>
          <w:sz w:val="24"/>
        </w:rPr>
      </w:pPr>
      <w:r>
        <w:rPr>
          <w:sz w:val="24"/>
        </w:rPr>
        <w:t>16.1.1采用价格指数调整价格差额</w:t>
      </w:r>
    </w:p>
    <w:p>
      <w:pPr>
        <w:adjustRightInd w:val="0"/>
        <w:snapToGrid w:val="0"/>
        <w:spacing w:line="360" w:lineRule="auto"/>
        <w:ind w:firstLine="480" w:firstLineChars="200"/>
        <w:rPr>
          <w:sz w:val="24"/>
        </w:rPr>
      </w:pPr>
      <w:r>
        <w:rPr>
          <w:sz w:val="24"/>
        </w:rPr>
        <w:t>16.1</w:t>
      </w:r>
      <w:r>
        <w:rPr>
          <w:rFonts w:hint="eastAsia"/>
          <w:sz w:val="24"/>
        </w:rPr>
        <w:t>.</w:t>
      </w:r>
      <w:r>
        <w:rPr>
          <w:sz w:val="24"/>
        </w:rPr>
        <w:t>1</w:t>
      </w:r>
      <w:r>
        <w:rPr>
          <w:rFonts w:hint="eastAsia"/>
          <w:sz w:val="24"/>
        </w:rPr>
        <w:t>.</w:t>
      </w:r>
      <w:r>
        <w:rPr>
          <w:sz w:val="24"/>
        </w:rPr>
        <w:t>1价格调整公式</w:t>
      </w:r>
    </w:p>
    <w:p>
      <w:pPr>
        <w:adjustRightInd w:val="0"/>
        <w:snapToGrid w:val="0"/>
        <w:spacing w:line="360" w:lineRule="auto"/>
        <w:ind w:firstLine="480" w:firstLineChars="200"/>
        <w:rPr>
          <w:sz w:val="24"/>
        </w:rPr>
      </w:pPr>
      <w:r>
        <w:rPr>
          <w:sz w:val="24"/>
        </w:rPr>
        <w:t>本目细化为：</w:t>
      </w:r>
    </w:p>
    <w:p>
      <w:pPr>
        <w:adjustRightInd w:val="0"/>
        <w:snapToGrid w:val="0"/>
        <w:spacing w:line="360" w:lineRule="auto"/>
        <w:ind w:firstLine="480" w:firstLineChars="200"/>
        <w:rPr>
          <w:sz w:val="24"/>
        </w:rPr>
      </w:pPr>
      <w:r>
        <w:rPr>
          <w:sz w:val="24"/>
        </w:rPr>
        <w:t>因人工、材料和设备等价格波动影响合同价格时，根据投标函附录中的价格指数和权重表约定的数据，按以下公式计算差额并调整合同价格。</w:t>
      </w:r>
    </w:p>
    <w:p>
      <w:pPr>
        <w:adjustRightInd w:val="0"/>
        <w:snapToGrid w:val="0"/>
        <w:spacing w:line="312" w:lineRule="auto"/>
        <w:ind w:firstLine="340" w:firstLineChars="100"/>
        <w:rPr>
          <w:rFonts w:ascii="黑体" w:eastAsia="黑体"/>
          <w:sz w:val="40"/>
        </w:rPr>
      </w:pPr>
      <w:r>
        <w:rPr>
          <w:rFonts w:hint="eastAsia" w:ascii="黑体" w:eastAsia="黑体"/>
          <w:sz w:val="34"/>
        </w:rPr>
        <w:t>△</w:t>
      </w:r>
      <w:r>
        <w:rPr>
          <w:rFonts w:eastAsia="黑体"/>
          <w:i/>
          <w:sz w:val="34"/>
        </w:rPr>
        <w:t>P</w:t>
      </w:r>
      <w:r>
        <w:rPr>
          <w:rFonts w:hint="eastAsia" w:ascii="黑体" w:eastAsia="黑体"/>
          <w:sz w:val="40"/>
        </w:rPr>
        <w:t>=</w:t>
      </w:r>
      <w:r>
        <w:rPr>
          <w:rFonts w:eastAsia="黑体"/>
          <w:i/>
          <w:sz w:val="32"/>
        </w:rPr>
        <w:t>P</w:t>
      </w:r>
      <w:r>
        <w:rPr>
          <w:rFonts w:eastAsia="黑体"/>
          <w:sz w:val="32"/>
          <w:vertAlign w:val="subscript"/>
        </w:rPr>
        <w:t>0</w:t>
      </w:r>
      <w:r>
        <w:rPr>
          <w:rFonts w:ascii="黑体" w:eastAsia="黑体"/>
          <w:position w:val="-34"/>
          <w:sz w:val="40"/>
        </w:rPr>
        <w:object>
          <v:shape id="_x0000_i1026" o:spt="75" type="#_x0000_t75" style="height:39.75pt;width:277.5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5" r:id="rId15">
            <o:LockedField>false</o:LockedField>
          </o:OLEObject>
        </w:object>
      </w:r>
    </w:p>
    <w:p>
      <w:pPr>
        <w:adjustRightInd w:val="0"/>
        <w:snapToGrid w:val="0"/>
        <w:spacing w:line="360" w:lineRule="auto"/>
        <w:ind w:firstLine="480" w:firstLineChars="200"/>
        <w:rPr>
          <w:sz w:val="24"/>
        </w:rPr>
      </w:pPr>
      <w:r>
        <w:rPr>
          <w:sz w:val="24"/>
        </w:rPr>
        <w:t>式中：</w:t>
      </w:r>
      <w:r>
        <w:rPr>
          <w:rFonts w:hint="eastAsia" w:ascii="黑体" w:eastAsia="黑体"/>
          <w:sz w:val="28"/>
          <w:szCs w:val="28"/>
        </w:rPr>
        <w:t>△</w:t>
      </w:r>
      <w:r>
        <w:rPr>
          <w:rFonts w:eastAsia="黑体"/>
          <w:i/>
          <w:sz w:val="28"/>
          <w:szCs w:val="28"/>
        </w:rPr>
        <w:t>P</w:t>
      </w:r>
      <w:r>
        <w:rPr>
          <w:sz w:val="24"/>
        </w:rPr>
        <w:t>一需调整的价格差额；</w:t>
      </w:r>
    </w:p>
    <w:p>
      <w:pPr>
        <w:adjustRightInd w:val="0"/>
        <w:snapToGrid w:val="0"/>
        <w:spacing w:line="360" w:lineRule="auto"/>
        <w:ind w:firstLine="480" w:firstLineChars="200"/>
        <w:rPr>
          <w:sz w:val="24"/>
        </w:rPr>
      </w:pPr>
      <w:r>
        <w:rPr>
          <w:sz w:val="24"/>
        </w:rPr>
        <w:t>P。一第17.3.3项、第17.5.2项和第17.6.2项约定的付款证书中承包人应得到的</w:t>
      </w:r>
      <w:r>
        <w:rPr>
          <w:rFonts w:hint="eastAsia"/>
          <w:sz w:val="24"/>
        </w:rPr>
        <w:t>已</w:t>
      </w:r>
      <w:r>
        <w:rPr>
          <w:sz w:val="24"/>
        </w:rPr>
        <w:t>完成工程量的金额。此项金额应不包括价格调整、不计质量保证金的扣留和支付、预付款的支付和扣回。第15条约定的变更及其他金额己按现行价格计价的，也不计在内；</w:t>
      </w:r>
    </w:p>
    <w:p>
      <w:pPr>
        <w:adjustRightInd w:val="0"/>
        <w:snapToGrid w:val="0"/>
        <w:spacing w:line="360" w:lineRule="auto"/>
        <w:ind w:firstLine="480" w:firstLineChars="200"/>
        <w:rPr>
          <w:sz w:val="24"/>
        </w:rPr>
      </w:pPr>
      <w:r>
        <w:rPr>
          <w:sz w:val="24"/>
        </w:rPr>
        <w:t>A</w:t>
      </w:r>
      <w:r>
        <w:rPr>
          <w:rFonts w:hint="eastAsia"/>
          <w:sz w:val="24"/>
        </w:rPr>
        <w:t>--</w:t>
      </w:r>
      <w:r>
        <w:rPr>
          <w:sz w:val="24"/>
        </w:rPr>
        <w:t>定值权重（即不调部分的权重）；</w:t>
      </w:r>
    </w:p>
    <w:p>
      <w:pPr>
        <w:adjustRightInd w:val="0"/>
        <w:snapToGrid w:val="0"/>
        <w:spacing w:line="360" w:lineRule="auto"/>
        <w:ind w:firstLine="480" w:firstLineChars="200"/>
        <w:rPr>
          <w:sz w:val="24"/>
        </w:rPr>
      </w:pPr>
      <w:r>
        <w:rPr>
          <w:sz w:val="24"/>
        </w:rPr>
        <w:t>B</w:t>
      </w:r>
      <w:r>
        <w:rPr>
          <w:sz w:val="24"/>
          <w:vertAlign w:val="subscript"/>
        </w:rPr>
        <w:t>1</w:t>
      </w:r>
      <w:r>
        <w:rPr>
          <w:rFonts w:hint="eastAsia"/>
          <w:sz w:val="24"/>
        </w:rPr>
        <w:t>；</w:t>
      </w:r>
      <w:r>
        <w:rPr>
          <w:sz w:val="24"/>
        </w:rPr>
        <w:t>B</w:t>
      </w:r>
      <w:r>
        <w:rPr>
          <w:rFonts w:hint="eastAsia"/>
          <w:sz w:val="24"/>
          <w:vertAlign w:val="subscript"/>
        </w:rPr>
        <w:t>2</w:t>
      </w:r>
      <w:r>
        <w:rPr>
          <w:rFonts w:hint="eastAsia"/>
          <w:sz w:val="24"/>
        </w:rPr>
        <w:t>；</w:t>
      </w:r>
      <w:r>
        <w:rPr>
          <w:sz w:val="24"/>
        </w:rPr>
        <w:t>B</w:t>
      </w:r>
      <w:r>
        <w:rPr>
          <w:rFonts w:hint="eastAsia"/>
          <w:sz w:val="24"/>
          <w:vertAlign w:val="subscript"/>
        </w:rPr>
        <w:t>3</w:t>
      </w:r>
      <w:r>
        <w:rPr>
          <w:sz w:val="24"/>
        </w:rPr>
        <w:t>...... B</w:t>
      </w:r>
      <w:r>
        <w:rPr>
          <w:rFonts w:hint="eastAsia"/>
          <w:sz w:val="24"/>
          <w:vertAlign w:val="subscript"/>
        </w:rPr>
        <w:t>n</w:t>
      </w:r>
      <w:r>
        <w:rPr>
          <w:rFonts w:hint="eastAsia"/>
          <w:sz w:val="24"/>
        </w:rPr>
        <w:t>--</w:t>
      </w:r>
      <w:r>
        <w:rPr>
          <w:sz w:val="24"/>
        </w:rPr>
        <w:t>各可调因子的变值权重（即可调部分的权重）为各可调因子在投标函投标总报价中所占的比例；</w:t>
      </w:r>
    </w:p>
    <w:p>
      <w:pPr>
        <w:adjustRightInd w:val="0"/>
        <w:snapToGrid w:val="0"/>
        <w:spacing w:line="360" w:lineRule="auto"/>
        <w:ind w:firstLine="480" w:firstLineChars="200"/>
        <w:rPr>
          <w:sz w:val="24"/>
        </w:rPr>
      </w:pPr>
      <w:r>
        <w:rPr>
          <w:sz w:val="24"/>
        </w:rPr>
        <w:t>A=1</w:t>
      </w:r>
      <w:r>
        <w:rPr>
          <w:rFonts w:hint="eastAsia"/>
          <w:sz w:val="24"/>
        </w:rPr>
        <w:t>－</w:t>
      </w:r>
      <w:r>
        <w:rPr>
          <w:sz w:val="24"/>
        </w:rPr>
        <w:t>（B</w:t>
      </w:r>
      <w:r>
        <w:rPr>
          <w:sz w:val="24"/>
          <w:vertAlign w:val="subscript"/>
        </w:rPr>
        <w:t>1</w:t>
      </w:r>
      <w:r>
        <w:rPr>
          <w:sz w:val="24"/>
        </w:rPr>
        <w:t>＋B</w:t>
      </w:r>
      <w:r>
        <w:rPr>
          <w:rFonts w:hint="eastAsia"/>
          <w:sz w:val="24"/>
          <w:vertAlign w:val="subscript"/>
        </w:rPr>
        <w:t>2</w:t>
      </w:r>
      <w:r>
        <w:rPr>
          <w:sz w:val="24"/>
        </w:rPr>
        <w:t>＋B</w:t>
      </w:r>
      <w:r>
        <w:rPr>
          <w:rFonts w:hint="eastAsia"/>
          <w:sz w:val="24"/>
          <w:vertAlign w:val="subscript"/>
        </w:rPr>
        <w:t>3</w:t>
      </w:r>
      <w:r>
        <w:rPr>
          <w:sz w:val="24"/>
        </w:rPr>
        <w:t>＋……＋B</w:t>
      </w:r>
      <w:r>
        <w:rPr>
          <w:rFonts w:hint="eastAsia"/>
          <w:sz w:val="24"/>
          <w:vertAlign w:val="subscript"/>
        </w:rPr>
        <w:t>n</w:t>
      </w:r>
      <w:r>
        <w:rPr>
          <w:sz w:val="24"/>
        </w:rPr>
        <w:t>）；</w:t>
      </w:r>
    </w:p>
    <w:p>
      <w:pPr>
        <w:adjustRightInd w:val="0"/>
        <w:snapToGrid w:val="0"/>
        <w:spacing w:line="360" w:lineRule="auto"/>
        <w:ind w:firstLine="480" w:firstLineChars="200"/>
        <w:rPr>
          <w:sz w:val="24"/>
        </w:rPr>
      </w:pPr>
      <w:r>
        <w:rPr>
          <w:sz w:val="24"/>
        </w:rPr>
        <w:t>F</w:t>
      </w:r>
      <w:r>
        <w:rPr>
          <w:sz w:val="24"/>
          <w:vertAlign w:val="subscript"/>
        </w:rPr>
        <w:t>tl</w:t>
      </w:r>
      <w:r>
        <w:rPr>
          <w:rFonts w:hint="eastAsia"/>
          <w:sz w:val="24"/>
        </w:rPr>
        <w:t>；</w:t>
      </w:r>
      <w:r>
        <w:rPr>
          <w:sz w:val="24"/>
        </w:rPr>
        <w:t>F</w:t>
      </w:r>
      <w:r>
        <w:rPr>
          <w:sz w:val="24"/>
          <w:vertAlign w:val="subscript"/>
        </w:rPr>
        <w:t>t2</w:t>
      </w:r>
      <w:r>
        <w:rPr>
          <w:rFonts w:hint="eastAsia"/>
          <w:sz w:val="24"/>
        </w:rPr>
        <w:t>；</w:t>
      </w:r>
      <w:r>
        <w:rPr>
          <w:sz w:val="24"/>
        </w:rPr>
        <w:t>F</w:t>
      </w:r>
      <w:r>
        <w:rPr>
          <w:sz w:val="24"/>
          <w:vertAlign w:val="subscript"/>
        </w:rPr>
        <w:t>t3</w:t>
      </w:r>
      <w:r>
        <w:rPr>
          <w:sz w:val="24"/>
        </w:rPr>
        <w:t>...... F</w:t>
      </w:r>
      <w:r>
        <w:rPr>
          <w:sz w:val="24"/>
          <w:vertAlign w:val="subscript"/>
        </w:rPr>
        <w:t>tn</w:t>
      </w:r>
      <w:r>
        <w:rPr>
          <w:rFonts w:hint="eastAsia"/>
          <w:sz w:val="24"/>
        </w:rPr>
        <w:t>--</w:t>
      </w:r>
      <w:r>
        <w:rPr>
          <w:sz w:val="24"/>
        </w:rPr>
        <w:t>各可调因子的现行价格指数，指第17.3.3项、第17.5.2项和第17.6.2项约定的付款证书相关周期最后一天的前42天的各可调因子的价格指数；</w:t>
      </w:r>
    </w:p>
    <w:p>
      <w:pPr>
        <w:adjustRightInd w:val="0"/>
        <w:snapToGrid w:val="0"/>
        <w:spacing w:line="360" w:lineRule="auto"/>
        <w:ind w:firstLine="480" w:firstLineChars="200"/>
        <w:rPr>
          <w:sz w:val="24"/>
        </w:rPr>
      </w:pPr>
      <w:r>
        <w:rPr>
          <w:sz w:val="24"/>
        </w:rPr>
        <w:t>F</w:t>
      </w:r>
      <w:r>
        <w:rPr>
          <w:sz w:val="24"/>
          <w:vertAlign w:val="subscript"/>
        </w:rPr>
        <w:t>ol</w:t>
      </w:r>
      <w:r>
        <w:rPr>
          <w:sz w:val="24"/>
        </w:rPr>
        <w:t>；F</w:t>
      </w:r>
      <w:r>
        <w:rPr>
          <w:sz w:val="24"/>
          <w:vertAlign w:val="subscript"/>
        </w:rPr>
        <w:t>o</w:t>
      </w:r>
      <w:r>
        <w:rPr>
          <w:rFonts w:hint="eastAsia"/>
          <w:sz w:val="24"/>
          <w:vertAlign w:val="subscript"/>
        </w:rPr>
        <w:t>2</w:t>
      </w:r>
      <w:r>
        <w:rPr>
          <w:sz w:val="24"/>
        </w:rPr>
        <w:t>；F</w:t>
      </w:r>
      <w:r>
        <w:rPr>
          <w:sz w:val="24"/>
          <w:vertAlign w:val="subscript"/>
        </w:rPr>
        <w:t>o3</w:t>
      </w:r>
      <w:r>
        <w:rPr>
          <w:sz w:val="24"/>
        </w:rPr>
        <w:t>...... F</w:t>
      </w:r>
      <w:r>
        <w:rPr>
          <w:sz w:val="24"/>
          <w:vertAlign w:val="subscript"/>
        </w:rPr>
        <w:t>on</w:t>
      </w:r>
      <w:r>
        <w:rPr>
          <w:rFonts w:hint="eastAsia"/>
          <w:sz w:val="24"/>
        </w:rPr>
        <w:t>--</w:t>
      </w:r>
      <w:r>
        <w:rPr>
          <w:sz w:val="24"/>
        </w:rPr>
        <w:t>各可调因子的基本价格指数，指基准日期的各可调因子的价格指数。</w:t>
      </w:r>
    </w:p>
    <w:p>
      <w:pPr>
        <w:adjustRightInd w:val="0"/>
        <w:snapToGrid w:val="0"/>
        <w:spacing w:line="360" w:lineRule="auto"/>
        <w:ind w:firstLine="480" w:firstLineChars="200"/>
        <w:rPr>
          <w:sz w:val="24"/>
        </w:rPr>
      </w:pPr>
      <w:r>
        <w:rPr>
          <w:sz w:val="24"/>
        </w:rPr>
        <w:t>在采用价格调整公式进行调价时，还应遵守以下规定：</w:t>
      </w:r>
    </w:p>
    <w:p>
      <w:pPr>
        <w:adjustRightInd w:val="0"/>
        <w:snapToGrid w:val="0"/>
        <w:spacing w:line="360" w:lineRule="auto"/>
        <w:ind w:firstLine="480" w:firstLineChars="200"/>
        <w:rPr>
          <w:sz w:val="24"/>
        </w:rPr>
      </w:pPr>
      <w:r>
        <w:rPr>
          <w:sz w:val="24"/>
        </w:rPr>
        <w:t>（1</w:t>
      </w:r>
      <w:r>
        <w:rPr>
          <w:rFonts w:hint="eastAsia"/>
          <w:sz w:val="24"/>
        </w:rPr>
        <w:t>）</w:t>
      </w:r>
      <w:r>
        <w:rPr>
          <w:sz w:val="24"/>
        </w:rPr>
        <w:t>合同价格在投标所在年份不作调整，此后每年按价格调整公式调整一次。</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价格调整公式中的变值权重，由发包人根据项目实际情况测算确定范围，并在招标文件发出前填写；承包人应在投标时在此范围内填写各可调因子的权重，合同实施期间将按此权重进行调价。</w:t>
      </w:r>
    </w:p>
    <w:p>
      <w:pPr>
        <w:adjustRightInd w:val="0"/>
        <w:snapToGrid w:val="0"/>
        <w:spacing w:line="360" w:lineRule="auto"/>
        <w:ind w:firstLine="480" w:firstLineChars="200"/>
        <w:rPr>
          <w:sz w:val="24"/>
        </w:rPr>
      </w:pPr>
      <w:r>
        <w:rPr>
          <w:sz w:val="24"/>
        </w:rPr>
        <w:t>16.1.1.4承包人工期延误后的价格调整</w:t>
      </w:r>
    </w:p>
    <w:p>
      <w:pPr>
        <w:adjustRightInd w:val="0"/>
        <w:snapToGrid w:val="0"/>
        <w:spacing w:line="360" w:lineRule="auto"/>
        <w:ind w:firstLine="480" w:firstLineChars="200"/>
        <w:rPr>
          <w:sz w:val="24"/>
        </w:rPr>
      </w:pPr>
      <w:r>
        <w:rPr>
          <w:sz w:val="24"/>
        </w:rPr>
        <w:t>本目补充：</w:t>
      </w:r>
    </w:p>
    <w:p>
      <w:pPr>
        <w:adjustRightInd w:val="0"/>
        <w:snapToGrid w:val="0"/>
        <w:spacing w:line="360" w:lineRule="auto"/>
        <w:ind w:firstLine="480" w:firstLineChars="200"/>
        <w:rPr>
          <w:sz w:val="24"/>
        </w:rPr>
      </w:pPr>
      <w:r>
        <w:rPr>
          <w:sz w:val="24"/>
        </w:rPr>
        <w:t>但是，对于符合合同条款第11.3款和11．4款规定的合理工期延误，在约定竣工日期到期以后施工的工程，其价格调整计算应采用实际竣工日期所在年份的价格指数作为现行价格指数。</w:t>
      </w:r>
    </w:p>
    <w:p>
      <w:pPr>
        <w:adjustRightInd w:val="0"/>
        <w:snapToGrid w:val="0"/>
        <w:spacing w:beforeLines="100" w:line="360" w:lineRule="auto"/>
        <w:rPr>
          <w:rFonts w:eastAsia="黑体"/>
          <w:sz w:val="24"/>
        </w:rPr>
      </w:pPr>
      <w:r>
        <w:rPr>
          <w:rFonts w:eastAsia="黑体"/>
          <w:sz w:val="24"/>
        </w:rPr>
        <w:t>17</w:t>
      </w:r>
      <w:r>
        <w:rPr>
          <w:rFonts w:hint="eastAsia" w:eastAsia="黑体"/>
          <w:sz w:val="24"/>
        </w:rPr>
        <w:t>．</w:t>
      </w:r>
      <w:r>
        <w:rPr>
          <w:rFonts w:eastAsia="黑体"/>
          <w:sz w:val="24"/>
        </w:rPr>
        <w:t>计量与支付</w:t>
      </w:r>
    </w:p>
    <w:p>
      <w:pPr>
        <w:adjustRightInd w:val="0"/>
        <w:snapToGrid w:val="0"/>
        <w:spacing w:line="360" w:lineRule="auto"/>
        <w:rPr>
          <w:rFonts w:eastAsia="黑体"/>
          <w:sz w:val="24"/>
        </w:rPr>
      </w:pPr>
      <w:r>
        <w:rPr>
          <w:rFonts w:eastAsia="黑体"/>
          <w:sz w:val="24"/>
        </w:rPr>
        <w:t>17</w:t>
      </w:r>
      <w:r>
        <w:rPr>
          <w:rFonts w:hint="eastAsia" w:eastAsia="黑体"/>
          <w:sz w:val="24"/>
        </w:rPr>
        <w:t>.</w:t>
      </w:r>
      <w:r>
        <w:rPr>
          <w:rFonts w:eastAsia="黑体"/>
          <w:sz w:val="24"/>
        </w:rPr>
        <w:t>1计量</w:t>
      </w:r>
    </w:p>
    <w:p>
      <w:pPr>
        <w:adjustRightInd w:val="0"/>
        <w:snapToGrid w:val="0"/>
        <w:spacing w:line="360" w:lineRule="auto"/>
        <w:ind w:firstLine="480" w:firstLineChars="200"/>
        <w:rPr>
          <w:sz w:val="24"/>
        </w:rPr>
      </w:pPr>
      <w:r>
        <w:rPr>
          <w:sz w:val="24"/>
        </w:rPr>
        <w:t>17.1.2计量方法</w:t>
      </w:r>
    </w:p>
    <w:p>
      <w:pPr>
        <w:adjustRightInd w:val="0"/>
        <w:snapToGrid w:val="0"/>
        <w:spacing w:line="360" w:lineRule="auto"/>
        <w:ind w:firstLine="480" w:firstLineChars="200"/>
        <w:rPr>
          <w:sz w:val="24"/>
        </w:rPr>
      </w:pPr>
      <w:r>
        <w:rPr>
          <w:sz w:val="24"/>
        </w:rPr>
        <w:t>本项约定为：</w:t>
      </w:r>
    </w:p>
    <w:p>
      <w:pPr>
        <w:adjustRightInd w:val="0"/>
        <w:snapToGrid w:val="0"/>
        <w:spacing w:line="360" w:lineRule="auto"/>
        <w:ind w:firstLine="480" w:firstLineChars="200"/>
        <w:rPr>
          <w:sz w:val="24"/>
        </w:rPr>
      </w:pPr>
      <w:r>
        <w:rPr>
          <w:sz w:val="24"/>
        </w:rPr>
        <w:t>工程的计量应以净值为准，除非本合同另有约定。工程量清单中各个子目的具体计量方法按本合同文件技术标准与要求中的规定执行。</w:t>
      </w:r>
    </w:p>
    <w:p>
      <w:pPr>
        <w:adjustRightInd w:val="0"/>
        <w:snapToGrid w:val="0"/>
        <w:spacing w:line="360" w:lineRule="auto"/>
        <w:ind w:firstLine="480" w:firstLineChars="200"/>
        <w:rPr>
          <w:sz w:val="24"/>
        </w:rPr>
      </w:pPr>
      <w:r>
        <w:rPr>
          <w:sz w:val="24"/>
        </w:rPr>
        <w:t>17.1.4单价子目的计量</w:t>
      </w:r>
    </w:p>
    <w:p>
      <w:pPr>
        <w:adjustRightInd w:val="0"/>
        <w:snapToGrid w:val="0"/>
        <w:spacing w:line="360" w:lineRule="auto"/>
        <w:ind w:firstLine="480" w:firstLineChars="200"/>
        <w:rPr>
          <w:sz w:val="24"/>
        </w:rPr>
      </w:pPr>
      <w:r>
        <w:rPr>
          <w:sz w:val="24"/>
        </w:rPr>
        <w:t>本目补充：</w:t>
      </w:r>
    </w:p>
    <w:p>
      <w:pPr>
        <w:adjustRightInd w:val="0"/>
        <w:snapToGrid w:val="0"/>
        <w:spacing w:line="360" w:lineRule="auto"/>
        <w:ind w:firstLine="480" w:firstLineChars="200"/>
        <w:rPr>
          <w:sz w:val="24"/>
        </w:rPr>
      </w:pPr>
      <w:r>
        <w:rPr>
          <w:rFonts w:hint="eastAsia"/>
          <w:sz w:val="24"/>
        </w:rPr>
        <w:t>（</w:t>
      </w:r>
      <w:r>
        <w:rPr>
          <w:sz w:val="24"/>
        </w:rPr>
        <w:t>7</w:t>
      </w:r>
      <w:r>
        <w:rPr>
          <w:rFonts w:hint="eastAsia"/>
          <w:sz w:val="24"/>
        </w:rPr>
        <w:t>）</w:t>
      </w:r>
      <w:r>
        <w:rPr>
          <w:sz w:val="24"/>
        </w:rPr>
        <w:t>承包人未在已标价工程量清单中填入单价或总额价的工程子目，将被认为其己包含在本合同的其他子目的单价和总额价中，发包人将不另行支付。</w:t>
      </w:r>
    </w:p>
    <w:p>
      <w:pPr>
        <w:adjustRightInd w:val="0"/>
        <w:snapToGrid w:val="0"/>
        <w:spacing w:line="360" w:lineRule="auto"/>
        <w:ind w:firstLine="480" w:firstLineChars="200"/>
        <w:rPr>
          <w:sz w:val="24"/>
        </w:rPr>
      </w:pPr>
      <w:r>
        <w:rPr>
          <w:rFonts w:hint="eastAsia"/>
          <w:sz w:val="24"/>
        </w:rPr>
        <w:t>17.1.6 路面养护期计量方法</w:t>
      </w:r>
    </w:p>
    <w:p>
      <w:pPr>
        <w:adjustRightInd w:val="0"/>
        <w:snapToGrid w:val="0"/>
        <w:spacing w:line="360" w:lineRule="auto"/>
        <w:ind w:firstLine="480" w:firstLineChars="200"/>
        <w:rPr>
          <w:sz w:val="24"/>
        </w:rPr>
      </w:pPr>
      <w:r>
        <w:rPr>
          <w:rFonts w:hint="eastAsia"/>
          <w:sz w:val="24"/>
        </w:rPr>
        <w:t>（一）路面养护所有工作内容包含在综合报价中，不单独计量支付。</w:t>
      </w:r>
    </w:p>
    <w:p>
      <w:pPr>
        <w:adjustRightInd w:val="0"/>
        <w:snapToGrid w:val="0"/>
        <w:spacing w:line="360" w:lineRule="auto"/>
        <w:ind w:firstLine="480" w:firstLineChars="200"/>
        <w:rPr>
          <w:sz w:val="24"/>
        </w:rPr>
      </w:pPr>
      <w:r>
        <w:rPr>
          <w:rFonts w:hint="eastAsia"/>
          <w:sz w:val="24"/>
        </w:rPr>
        <w:t>（二</w:t>
      </w:r>
      <w:r>
        <w:rPr>
          <w:sz w:val="24"/>
        </w:rPr>
        <w:t>）</w:t>
      </w:r>
      <w:r>
        <w:rPr>
          <w:rFonts w:hint="eastAsia"/>
          <w:sz w:val="24"/>
        </w:rPr>
        <w:t>招标人将通过国际平整度指数（IRI）指标和综合养护指数（包括路面状况和日常管理状况）对承包人的养护施工行为进行控制（即“双控”）。自承包人进场之日起，每十二个月为一养护年度，每六个月为一计量周期。</w:t>
      </w:r>
    </w:p>
    <w:p>
      <w:pPr>
        <w:adjustRightInd w:val="0"/>
        <w:snapToGrid w:val="0"/>
        <w:spacing w:line="360" w:lineRule="auto"/>
        <w:ind w:firstLine="480" w:firstLineChars="200"/>
        <w:rPr>
          <w:sz w:val="24"/>
        </w:rPr>
      </w:pPr>
      <w:r>
        <w:rPr>
          <w:rFonts w:hint="eastAsia"/>
          <w:sz w:val="24"/>
        </w:rPr>
        <w:t>（1）除了合同另有规定外，所有计量单位均为公制；</w:t>
      </w:r>
    </w:p>
    <w:p>
      <w:pPr>
        <w:adjustRightInd w:val="0"/>
        <w:snapToGrid w:val="0"/>
        <w:spacing w:line="360" w:lineRule="auto"/>
        <w:ind w:firstLine="480" w:firstLineChars="200"/>
        <w:rPr>
          <w:sz w:val="24"/>
        </w:rPr>
      </w:pPr>
      <w:r>
        <w:rPr>
          <w:rFonts w:hint="eastAsia"/>
          <w:sz w:val="24"/>
        </w:rPr>
        <w:t>（2）工程的计量按计量周期进行支付，业主将按照合同规定对承包人标段的养护工作进行检评，检查评分标准及养护指标评定按照业主和监理工程师根据合同文件制订的细则执行；</w:t>
      </w:r>
    </w:p>
    <w:p>
      <w:pPr>
        <w:adjustRightInd w:val="0"/>
        <w:snapToGrid w:val="0"/>
        <w:spacing w:line="360" w:lineRule="auto"/>
        <w:ind w:firstLine="480" w:firstLineChars="200"/>
        <w:rPr>
          <w:sz w:val="24"/>
        </w:rPr>
      </w:pPr>
      <w:r>
        <w:rPr>
          <w:rFonts w:hint="eastAsia"/>
          <w:sz w:val="24"/>
        </w:rPr>
        <w:t>（3）每次计量支付基数为年度养护费用的百分比值，分别按照养护年度第一次计量40%，第二次计量60%；</w:t>
      </w:r>
    </w:p>
    <w:p>
      <w:pPr>
        <w:adjustRightInd w:val="0"/>
        <w:snapToGrid w:val="0"/>
        <w:spacing w:line="360" w:lineRule="auto"/>
        <w:ind w:firstLine="480" w:firstLineChars="200"/>
        <w:rPr>
          <w:sz w:val="24"/>
        </w:rPr>
      </w:pPr>
      <w:r>
        <w:rPr>
          <w:rFonts w:hint="eastAsia"/>
          <w:sz w:val="24"/>
        </w:rPr>
        <w:t>（4）按照有关规定，IRI指数每年检测两次，每次检测的IRI指数指标值作为本期和上期计量的控制指标，具体如下：（应该根据实际情况测算和预测，以下举例说明）</w:t>
      </w:r>
    </w:p>
    <w:p>
      <w:pPr>
        <w:adjustRightInd w:val="0"/>
        <w:snapToGrid w:val="0"/>
        <w:spacing w:line="360" w:lineRule="auto"/>
        <w:ind w:firstLine="480" w:firstLineChars="200"/>
        <w:rPr>
          <w:sz w:val="24"/>
        </w:rPr>
      </w:pPr>
      <w:r>
        <w:rPr>
          <w:rFonts w:hint="eastAsia"/>
          <w:sz w:val="24"/>
        </w:rPr>
        <w:t>第一养护年度，IRI指数须达到：IRI≤1.3</w:t>
      </w:r>
    </w:p>
    <w:p>
      <w:pPr>
        <w:adjustRightInd w:val="0"/>
        <w:snapToGrid w:val="0"/>
        <w:spacing w:line="360" w:lineRule="auto"/>
        <w:ind w:firstLine="480" w:firstLineChars="200"/>
        <w:rPr>
          <w:sz w:val="24"/>
        </w:rPr>
      </w:pPr>
      <w:r>
        <w:rPr>
          <w:rFonts w:hint="eastAsia"/>
          <w:sz w:val="24"/>
        </w:rPr>
        <w:t>a.当1.3＜IRI≤1.4时，扣除该期计量的10%；</w:t>
      </w:r>
    </w:p>
    <w:p>
      <w:pPr>
        <w:adjustRightInd w:val="0"/>
        <w:snapToGrid w:val="0"/>
        <w:spacing w:line="360" w:lineRule="auto"/>
        <w:ind w:firstLine="480" w:firstLineChars="200"/>
        <w:rPr>
          <w:sz w:val="24"/>
        </w:rPr>
      </w:pPr>
      <w:r>
        <w:rPr>
          <w:rFonts w:hint="eastAsia"/>
          <w:sz w:val="24"/>
        </w:rPr>
        <w:t>b.当1.4＜IRI≤1.5时，以1.4为基数，再扣除该期计量的10%，责令承包人更换技术和质量负责人，并向其公司通报；</w:t>
      </w:r>
    </w:p>
    <w:p>
      <w:pPr>
        <w:adjustRightInd w:val="0"/>
        <w:snapToGrid w:val="0"/>
        <w:spacing w:line="360" w:lineRule="auto"/>
        <w:ind w:firstLine="480" w:firstLineChars="200"/>
        <w:rPr>
          <w:sz w:val="24"/>
        </w:rPr>
      </w:pPr>
      <w:r>
        <w:rPr>
          <w:rFonts w:hint="eastAsia"/>
          <w:sz w:val="24"/>
        </w:rPr>
        <w:t>c.当IRI＞1.5时，将视为承包人违约，扣除该期计量，解除合同，并追究承包人的违约责任。</w:t>
      </w:r>
    </w:p>
    <w:p>
      <w:pPr>
        <w:adjustRightInd w:val="0"/>
        <w:snapToGrid w:val="0"/>
        <w:spacing w:line="360" w:lineRule="auto"/>
        <w:ind w:firstLine="480" w:firstLineChars="200"/>
        <w:rPr>
          <w:sz w:val="24"/>
        </w:rPr>
      </w:pPr>
      <w:r>
        <w:rPr>
          <w:rFonts w:hint="eastAsia"/>
          <w:sz w:val="24"/>
        </w:rPr>
        <w:t>第二养护年度，IRI指数须≤1.4</w:t>
      </w:r>
    </w:p>
    <w:p>
      <w:pPr>
        <w:adjustRightInd w:val="0"/>
        <w:snapToGrid w:val="0"/>
        <w:spacing w:line="360" w:lineRule="auto"/>
        <w:ind w:firstLine="480" w:firstLineChars="200"/>
        <w:rPr>
          <w:sz w:val="24"/>
        </w:rPr>
      </w:pPr>
      <w:r>
        <w:rPr>
          <w:rFonts w:hint="eastAsia"/>
          <w:sz w:val="24"/>
        </w:rPr>
        <w:t>a.当1.4＜IRI≤1.5时，扣除该期计量的10%；</w:t>
      </w:r>
    </w:p>
    <w:p>
      <w:pPr>
        <w:adjustRightInd w:val="0"/>
        <w:snapToGrid w:val="0"/>
        <w:spacing w:line="360" w:lineRule="auto"/>
        <w:ind w:firstLine="480" w:firstLineChars="200"/>
        <w:rPr>
          <w:sz w:val="24"/>
        </w:rPr>
      </w:pPr>
      <w:r>
        <w:rPr>
          <w:rFonts w:hint="eastAsia"/>
          <w:sz w:val="24"/>
        </w:rPr>
        <w:t>b.当1.5＜IRI≤1.6时，以1.5为基数，再扣除该期计量的10%，责令承包人更换技术和质量负责人，并向其公司通报；</w:t>
      </w:r>
    </w:p>
    <w:p>
      <w:pPr>
        <w:adjustRightInd w:val="0"/>
        <w:snapToGrid w:val="0"/>
        <w:spacing w:line="360" w:lineRule="auto"/>
        <w:ind w:firstLine="480" w:firstLineChars="200"/>
        <w:rPr>
          <w:sz w:val="24"/>
        </w:rPr>
      </w:pPr>
      <w:r>
        <w:rPr>
          <w:rFonts w:hint="eastAsia"/>
          <w:sz w:val="24"/>
        </w:rPr>
        <w:t>c.当IRI＞1.6时，将视为承包人违约，扣除该期计量，解除合同，并追究承包人的违约责任。</w:t>
      </w:r>
    </w:p>
    <w:p>
      <w:pPr>
        <w:adjustRightInd w:val="0"/>
        <w:snapToGrid w:val="0"/>
        <w:spacing w:line="360" w:lineRule="auto"/>
        <w:ind w:firstLine="480" w:firstLineChars="200"/>
        <w:rPr>
          <w:sz w:val="24"/>
        </w:rPr>
      </w:pPr>
      <w:r>
        <w:rPr>
          <w:rFonts w:hint="eastAsia"/>
          <w:sz w:val="24"/>
        </w:rPr>
        <w:t>第三养护年度，IRI指数须达到：IRI≤1.5</w:t>
      </w:r>
    </w:p>
    <w:p>
      <w:pPr>
        <w:adjustRightInd w:val="0"/>
        <w:snapToGrid w:val="0"/>
        <w:spacing w:line="360" w:lineRule="auto"/>
        <w:ind w:firstLine="480" w:firstLineChars="200"/>
        <w:rPr>
          <w:sz w:val="24"/>
        </w:rPr>
      </w:pPr>
      <w:r>
        <w:rPr>
          <w:rFonts w:hint="eastAsia"/>
          <w:sz w:val="24"/>
        </w:rPr>
        <w:t>a.当1.5＜IRI≤1.6时，扣除该期计量的10%；</w:t>
      </w:r>
    </w:p>
    <w:p>
      <w:pPr>
        <w:adjustRightInd w:val="0"/>
        <w:snapToGrid w:val="0"/>
        <w:spacing w:line="360" w:lineRule="auto"/>
        <w:ind w:firstLine="480" w:firstLineChars="200"/>
        <w:rPr>
          <w:sz w:val="24"/>
        </w:rPr>
      </w:pPr>
      <w:r>
        <w:rPr>
          <w:rFonts w:hint="eastAsia"/>
          <w:sz w:val="24"/>
        </w:rPr>
        <w:t>b.当1.6＜IRI≤1.7时，以1.6为基数，再扣除该期计量的10%，责令承包人更换技术和质量负责人，并向其公司通报；</w:t>
      </w:r>
    </w:p>
    <w:p>
      <w:pPr>
        <w:adjustRightInd w:val="0"/>
        <w:snapToGrid w:val="0"/>
        <w:spacing w:line="360" w:lineRule="auto"/>
        <w:ind w:firstLine="480" w:firstLineChars="200"/>
        <w:rPr>
          <w:sz w:val="24"/>
        </w:rPr>
      </w:pPr>
      <w:r>
        <w:rPr>
          <w:rFonts w:hint="eastAsia"/>
          <w:sz w:val="24"/>
        </w:rPr>
        <w:t>c.当IRI＞1.7时，将视为承包人违约，扣除该期计量，解除合同，并追究承包人的违约责任。</w:t>
      </w:r>
    </w:p>
    <w:p>
      <w:pPr>
        <w:spacing w:line="360" w:lineRule="auto"/>
        <w:ind w:firstLine="470" w:firstLineChars="196"/>
        <w:rPr>
          <w:sz w:val="24"/>
        </w:rPr>
      </w:pPr>
      <w:r>
        <w:rPr>
          <w:rFonts w:hint="eastAsia"/>
          <w:sz w:val="24"/>
        </w:rPr>
        <w:t>每次检测IRI值小于规定值的，给予全额计量。</w:t>
      </w:r>
    </w:p>
    <w:p>
      <w:pPr>
        <w:spacing w:line="360" w:lineRule="auto"/>
        <w:ind w:firstLine="470" w:firstLineChars="196"/>
        <w:rPr>
          <w:sz w:val="24"/>
        </w:rPr>
      </w:pPr>
      <w:r>
        <w:rPr>
          <w:rFonts w:hint="eastAsia"/>
          <w:sz w:val="24"/>
        </w:rPr>
        <w:t>（5）在一个计量周期内，每一季度综合养护指数值均不低于96分的，给予全额计量；一个计量周期内，两次季度平均综合养护指数值低于96分的：</w:t>
      </w:r>
    </w:p>
    <w:p>
      <w:pPr>
        <w:spacing w:line="360" w:lineRule="auto"/>
        <w:ind w:firstLine="470" w:firstLineChars="196"/>
        <w:rPr>
          <w:sz w:val="24"/>
        </w:rPr>
      </w:pPr>
      <w:r>
        <w:rPr>
          <w:rFonts w:hint="eastAsia"/>
          <w:sz w:val="24"/>
        </w:rPr>
        <w:t>当96.0＞综合养护指数值≥94.0时，每降低0.5分，扣除当期计量的5％；</w:t>
      </w:r>
    </w:p>
    <w:p>
      <w:pPr>
        <w:spacing w:line="360" w:lineRule="auto"/>
        <w:ind w:firstLine="470" w:firstLineChars="196"/>
        <w:rPr>
          <w:sz w:val="24"/>
        </w:rPr>
      </w:pPr>
      <w:r>
        <w:rPr>
          <w:rFonts w:hint="eastAsia"/>
          <w:sz w:val="24"/>
        </w:rPr>
        <w:t>当94.0＞综合养护指数值≥92.0时，以94分为基数，每降低0.5分，再扣除当期计量的10％，并要求承包商在规定的时间内更换项目经理和技术负责人；</w:t>
      </w:r>
    </w:p>
    <w:p>
      <w:pPr>
        <w:spacing w:line="360" w:lineRule="auto"/>
        <w:ind w:firstLine="470" w:firstLineChars="196"/>
        <w:rPr>
          <w:sz w:val="24"/>
        </w:rPr>
      </w:pPr>
      <w:r>
        <w:rPr>
          <w:rFonts w:hint="eastAsia"/>
          <w:sz w:val="24"/>
        </w:rPr>
        <w:t>当任一季度综合养护指数值≤92时，将视为承包商违约，业主将扣除承包商本期所有计量，并予以解除合同。</w:t>
      </w:r>
    </w:p>
    <w:p>
      <w:pPr>
        <w:spacing w:line="360" w:lineRule="auto"/>
        <w:ind w:firstLine="470" w:firstLineChars="196"/>
        <w:rPr>
          <w:sz w:val="24"/>
        </w:rPr>
      </w:pPr>
      <w:r>
        <w:rPr>
          <w:rFonts w:hint="eastAsia"/>
          <w:sz w:val="24"/>
        </w:rPr>
        <w:t>（6）以上国际平整度指数（IRI</w:t>
      </w:r>
      <w:r>
        <w:rPr>
          <w:sz w:val="24"/>
        </w:rPr>
        <w:t>）</w:t>
      </w:r>
      <w:r>
        <w:rPr>
          <w:rFonts w:hint="eastAsia"/>
          <w:sz w:val="24"/>
        </w:rPr>
        <w:t>和综合养护指数实行双控，任一指标低于规定值，均按照上述要求处罚，并且实行以上处罚时不免除合同规定的其它处罚。</w:t>
      </w:r>
    </w:p>
    <w:p>
      <w:pPr>
        <w:spacing w:line="360" w:lineRule="auto"/>
        <w:ind w:firstLine="470" w:firstLineChars="196"/>
        <w:rPr>
          <w:sz w:val="24"/>
        </w:rPr>
      </w:pPr>
      <w:r>
        <w:rPr>
          <w:rFonts w:hint="eastAsia"/>
          <w:sz w:val="24"/>
        </w:rPr>
        <w:t>（7</w:t>
      </w:r>
      <w:r>
        <w:rPr>
          <w:sz w:val="24"/>
        </w:rPr>
        <w:t>）</w:t>
      </w:r>
      <w:r>
        <w:rPr>
          <w:rFonts w:hint="eastAsia"/>
          <w:sz w:val="24"/>
        </w:rPr>
        <w:t>以上国际平整度指数（IRI）以检测单位检测的数据为准，综合养护指数以业主和监理工程师按照合同规定汇总计算的数值为准。</w:t>
      </w:r>
    </w:p>
    <w:p>
      <w:pPr>
        <w:adjustRightInd w:val="0"/>
        <w:snapToGrid w:val="0"/>
        <w:spacing w:beforeLines="100" w:line="360" w:lineRule="auto"/>
        <w:rPr>
          <w:rFonts w:eastAsia="黑体"/>
          <w:sz w:val="24"/>
        </w:rPr>
      </w:pPr>
      <w:r>
        <w:rPr>
          <w:rFonts w:eastAsia="黑体"/>
          <w:sz w:val="24"/>
        </w:rPr>
        <w:t>17.2预付款</w:t>
      </w:r>
    </w:p>
    <w:p>
      <w:pPr>
        <w:adjustRightInd w:val="0"/>
        <w:snapToGrid w:val="0"/>
        <w:spacing w:line="360" w:lineRule="auto"/>
        <w:ind w:firstLine="480" w:firstLineChars="200"/>
        <w:rPr>
          <w:sz w:val="24"/>
        </w:rPr>
      </w:pPr>
      <w:r>
        <w:rPr>
          <w:sz w:val="24"/>
        </w:rPr>
        <w:t>17.2.1预付款</w:t>
      </w:r>
    </w:p>
    <w:p>
      <w:pPr>
        <w:adjustRightInd w:val="0"/>
        <w:snapToGrid w:val="0"/>
        <w:spacing w:line="360" w:lineRule="auto"/>
        <w:ind w:firstLine="480" w:firstLineChars="200"/>
        <w:rPr>
          <w:sz w:val="24"/>
        </w:rPr>
      </w:pPr>
      <w:r>
        <w:rPr>
          <w:sz w:val="24"/>
        </w:rPr>
        <w:t>本项约定的预付款包括开工预付款和材料、设备预付款。具体额度和预付办法如下：</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开工预付款的额度为签约合同价的</w:t>
      </w:r>
      <w:r>
        <w:rPr>
          <w:rFonts w:hint="eastAsia"/>
          <w:sz w:val="24"/>
          <w:u w:val="single"/>
        </w:rPr>
        <w:t xml:space="preserve"> 10 </w:t>
      </w:r>
      <w:r>
        <w:rPr>
          <w:sz w:val="24"/>
        </w:rPr>
        <w:t>％（在项目专用合同条款中约定）。在承包人签订了合同协议书并提交了开工预付款保函后，监理人应在当期进度付款证书中向承包人支付开工预付款的70%的价款；在投标文件载明的主要设备进场后，再支付预付款30%。</w:t>
      </w:r>
    </w:p>
    <w:p>
      <w:pPr>
        <w:adjustRightInd w:val="0"/>
        <w:snapToGrid w:val="0"/>
        <w:spacing w:line="360" w:lineRule="auto"/>
        <w:ind w:firstLine="480" w:firstLineChars="200"/>
        <w:rPr>
          <w:sz w:val="24"/>
        </w:rPr>
      </w:pPr>
      <w:r>
        <w:rPr>
          <w:sz w:val="24"/>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材料、设备预付款的额度为项目专用合同条款中所列主要材料、设备单据费用（进口的材料、设备为到岸价，国内采购的为出厂价或销售价，地方材料为堆场价）的</w:t>
      </w:r>
      <w:r>
        <w:rPr>
          <w:rFonts w:hint="eastAsia"/>
          <w:sz w:val="24"/>
          <w:u w:val="single"/>
        </w:rPr>
        <w:t xml:space="preserve"> 10  </w:t>
      </w:r>
      <w:r>
        <w:rPr>
          <w:sz w:val="24"/>
        </w:rPr>
        <w:t>％（在项目专用条款数据表中约定）。其预付条件为：</w:t>
      </w:r>
    </w:p>
    <w:p>
      <w:pPr>
        <w:adjustRightInd w:val="0"/>
        <w:snapToGrid w:val="0"/>
        <w:spacing w:line="360" w:lineRule="auto"/>
        <w:ind w:firstLine="480" w:firstLineChars="200"/>
        <w:rPr>
          <w:sz w:val="24"/>
        </w:rPr>
      </w:pPr>
      <w:r>
        <w:rPr>
          <w:sz w:val="24"/>
        </w:rPr>
        <w:t>a</w:t>
      </w:r>
      <w:r>
        <w:rPr>
          <w:rFonts w:hint="eastAsia"/>
          <w:sz w:val="24"/>
        </w:rPr>
        <w:t>．</w:t>
      </w:r>
      <w:r>
        <w:rPr>
          <w:sz w:val="24"/>
        </w:rPr>
        <w:t>材料、设备符合规范要求并经监理人认可；</w:t>
      </w:r>
    </w:p>
    <w:p>
      <w:pPr>
        <w:adjustRightInd w:val="0"/>
        <w:snapToGrid w:val="0"/>
        <w:spacing w:line="360" w:lineRule="auto"/>
        <w:ind w:firstLine="480" w:firstLineChars="200"/>
        <w:rPr>
          <w:sz w:val="24"/>
        </w:rPr>
      </w:pPr>
      <w:r>
        <w:rPr>
          <w:sz w:val="24"/>
        </w:rPr>
        <w:t>b</w:t>
      </w:r>
      <w:r>
        <w:rPr>
          <w:rFonts w:hint="eastAsia"/>
          <w:sz w:val="24"/>
        </w:rPr>
        <w:t>．</w:t>
      </w:r>
      <w:r>
        <w:rPr>
          <w:sz w:val="24"/>
        </w:rPr>
        <w:t>承包人已出具材料、设备费用凭证或支付单据；以及</w:t>
      </w:r>
    </w:p>
    <w:p>
      <w:pPr>
        <w:adjustRightInd w:val="0"/>
        <w:snapToGrid w:val="0"/>
        <w:spacing w:line="360" w:lineRule="auto"/>
        <w:ind w:firstLine="480" w:firstLineChars="200"/>
        <w:rPr>
          <w:sz w:val="24"/>
        </w:rPr>
      </w:pPr>
      <w:r>
        <w:rPr>
          <w:sz w:val="24"/>
        </w:rPr>
        <w:t>c</w:t>
      </w:r>
      <w:r>
        <w:rPr>
          <w:rFonts w:hint="eastAsia"/>
          <w:sz w:val="24"/>
        </w:rPr>
        <w:t>．</w:t>
      </w:r>
      <w:r>
        <w:rPr>
          <w:sz w:val="24"/>
        </w:rPr>
        <w:t>材料、设备已在现场交货，且存储良好，监理人认为材料、设备的存储方法符合要求。</w:t>
      </w:r>
    </w:p>
    <w:p>
      <w:pPr>
        <w:adjustRightInd w:val="0"/>
        <w:snapToGrid w:val="0"/>
        <w:spacing w:line="360" w:lineRule="auto"/>
        <w:ind w:firstLine="480" w:firstLineChars="200"/>
        <w:rPr>
          <w:sz w:val="24"/>
        </w:rPr>
      </w:pPr>
      <w:r>
        <w:rPr>
          <w:sz w:val="24"/>
        </w:rPr>
        <w:t>则监理人应将此项金额作为材料、设备预付款计入下一次的进度付款证书中。在预计竣工前3个月，将不再支付材料、设备预付款。</w:t>
      </w:r>
    </w:p>
    <w:p>
      <w:pPr>
        <w:adjustRightInd w:val="0"/>
        <w:snapToGrid w:val="0"/>
        <w:spacing w:line="360" w:lineRule="auto"/>
        <w:ind w:firstLine="480" w:firstLineChars="200"/>
        <w:rPr>
          <w:sz w:val="24"/>
        </w:rPr>
      </w:pPr>
      <w:r>
        <w:rPr>
          <w:sz w:val="24"/>
        </w:rPr>
        <w:t>17.2.2预付款保函</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除项目专用合同条款另有约定外，承包人应在收到开工预付款前向发包人提交开工预付款保函，开工预付款保函的担保金额应与开工预付款金额相同。出具保函的银行须与前述第4.2款的要求相同，所需费用由承包人承担。银行保函的正本由发包人保存，该保函在发包人将开工预付款全部扣回之前一直有效，担保金额可根据开工预付款扣回的金额相应递减。</w:t>
      </w:r>
    </w:p>
    <w:p>
      <w:pPr>
        <w:adjustRightInd w:val="0"/>
        <w:snapToGrid w:val="0"/>
        <w:spacing w:line="360" w:lineRule="auto"/>
        <w:ind w:firstLine="480" w:firstLineChars="200"/>
        <w:rPr>
          <w:sz w:val="24"/>
        </w:rPr>
      </w:pPr>
      <w:r>
        <w:rPr>
          <w:sz w:val="24"/>
        </w:rPr>
        <w:t>17:2.3预付款的扣回与还清本项约定为：</w:t>
      </w:r>
    </w:p>
    <w:p>
      <w:pPr>
        <w:adjustRightInd w:val="0"/>
        <w:snapToGrid w:val="0"/>
        <w:spacing w:line="360" w:lineRule="auto"/>
        <w:ind w:firstLine="480" w:firstLineChars="200"/>
        <w:rPr>
          <w:sz w:val="24"/>
        </w:rPr>
      </w:pPr>
      <w:r>
        <w:rPr>
          <w:sz w:val="24"/>
        </w:rPr>
        <w:t>（1</w:t>
      </w:r>
      <w:r>
        <w:rPr>
          <w:rFonts w:hint="eastAsia"/>
          <w:sz w:val="24"/>
        </w:rPr>
        <w:t>）</w:t>
      </w:r>
      <w:r>
        <w:rPr>
          <w:sz w:val="24"/>
        </w:rPr>
        <w:t>开工预付款在进度付款证书的累计金额未达到合同价格的30%之前不予扣回，在达到合同价格30%之后，开始按工程进度以固定比例（即每完成合同价格的1％，扣回开工预付款的2%）分期从各月的进度付款证书中扣回，全部金额在进度付款证书的累计金额达到合同价格的80%时扣完。</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当材料、设备已用于或安装在永久工程之中时，材料、设备预付款应从进度付款证书中扣回，扣回期不超过3个月。己经支付材料、设备预付款的材料、设备的所有权应属于发包人，工程竣工时所有剩余的材料、设备的所有权应属承包人。</w:t>
      </w:r>
    </w:p>
    <w:p>
      <w:pPr>
        <w:adjustRightInd w:val="0"/>
        <w:snapToGrid w:val="0"/>
        <w:spacing w:beforeLines="100" w:line="360" w:lineRule="auto"/>
        <w:rPr>
          <w:rFonts w:eastAsia="黑体"/>
          <w:sz w:val="24"/>
        </w:rPr>
      </w:pPr>
      <w:r>
        <w:rPr>
          <w:rFonts w:eastAsia="黑体"/>
          <w:sz w:val="24"/>
        </w:rPr>
        <w:t>17.3工程进度付款</w:t>
      </w:r>
    </w:p>
    <w:p>
      <w:pPr>
        <w:adjustRightInd w:val="0"/>
        <w:snapToGrid w:val="0"/>
        <w:spacing w:line="360" w:lineRule="auto"/>
        <w:ind w:firstLine="480" w:firstLineChars="200"/>
        <w:rPr>
          <w:sz w:val="24"/>
        </w:rPr>
      </w:pPr>
      <w:r>
        <w:rPr>
          <w:sz w:val="24"/>
        </w:rPr>
        <w:t>17.3.2进度付款申请单</w:t>
      </w:r>
    </w:p>
    <w:p>
      <w:pPr>
        <w:adjustRightInd w:val="0"/>
        <w:snapToGrid w:val="0"/>
        <w:spacing w:line="360" w:lineRule="auto"/>
        <w:ind w:firstLine="480" w:firstLineChars="200"/>
        <w:rPr>
          <w:sz w:val="24"/>
        </w:rPr>
      </w:pPr>
      <w:r>
        <w:rPr>
          <w:sz w:val="24"/>
        </w:rPr>
        <w:t>本项约定为：</w:t>
      </w:r>
    </w:p>
    <w:p>
      <w:pPr>
        <w:adjustRightInd w:val="0"/>
        <w:snapToGrid w:val="0"/>
        <w:spacing w:line="360" w:lineRule="auto"/>
        <w:ind w:firstLine="480" w:firstLineChars="200"/>
        <w:rPr>
          <w:sz w:val="24"/>
        </w:rPr>
      </w:pPr>
      <w:r>
        <w:rPr>
          <w:sz w:val="24"/>
        </w:rPr>
        <w:t>承包人在每个付款周期末，向监理人提交进度付款申请单的份数：份（在项目专用条款数据表中约定）。</w:t>
      </w:r>
    </w:p>
    <w:p>
      <w:pPr>
        <w:adjustRightInd w:val="0"/>
        <w:snapToGrid w:val="0"/>
        <w:spacing w:line="360" w:lineRule="auto"/>
        <w:ind w:firstLine="480" w:firstLineChars="200"/>
        <w:rPr>
          <w:sz w:val="24"/>
        </w:rPr>
      </w:pPr>
      <w:r>
        <w:rPr>
          <w:sz w:val="24"/>
        </w:rPr>
        <w:t>本项（6）目细化为：</w:t>
      </w:r>
    </w:p>
    <w:p>
      <w:pPr>
        <w:adjustRightInd w:val="0"/>
        <w:snapToGrid w:val="0"/>
        <w:spacing w:line="360" w:lineRule="auto"/>
        <w:ind w:firstLine="480" w:firstLineChars="200"/>
        <w:rPr>
          <w:sz w:val="24"/>
        </w:rPr>
      </w:pPr>
      <w:r>
        <w:rPr>
          <w:sz w:val="24"/>
        </w:rPr>
        <w:t>（6）根据第16条应增加和扣减的价格调整金额；</w:t>
      </w:r>
    </w:p>
    <w:p>
      <w:pPr>
        <w:adjustRightInd w:val="0"/>
        <w:snapToGrid w:val="0"/>
        <w:spacing w:line="360" w:lineRule="auto"/>
        <w:ind w:firstLine="480" w:firstLineChars="200"/>
        <w:rPr>
          <w:sz w:val="24"/>
        </w:rPr>
      </w:pPr>
      <w:r>
        <w:rPr>
          <w:rFonts w:hint="eastAsia"/>
          <w:sz w:val="24"/>
        </w:rPr>
        <w:t>（</w:t>
      </w:r>
      <w:r>
        <w:rPr>
          <w:sz w:val="24"/>
        </w:rPr>
        <w:t>7）根据合同应增加和扣减的其他金额。</w:t>
      </w:r>
    </w:p>
    <w:p>
      <w:pPr>
        <w:adjustRightInd w:val="0"/>
        <w:snapToGrid w:val="0"/>
        <w:spacing w:line="360" w:lineRule="auto"/>
        <w:ind w:firstLine="480" w:firstLineChars="200"/>
        <w:rPr>
          <w:sz w:val="24"/>
        </w:rPr>
      </w:pPr>
      <w:r>
        <w:rPr>
          <w:sz w:val="24"/>
        </w:rPr>
        <w:t>17.3.3进度付款证书和支付时间</w:t>
      </w:r>
    </w:p>
    <w:p>
      <w:pPr>
        <w:adjustRightInd w:val="0"/>
        <w:snapToGrid w:val="0"/>
        <w:spacing w:line="360" w:lineRule="auto"/>
        <w:ind w:firstLine="480" w:firstLineChars="200"/>
        <w:rPr>
          <w:sz w:val="24"/>
        </w:rPr>
      </w:pPr>
      <w:r>
        <w:rPr>
          <w:sz w:val="24"/>
        </w:rPr>
        <w:t>本项（1</w:t>
      </w:r>
      <w:r>
        <w:rPr>
          <w:rFonts w:hint="eastAsia"/>
          <w:sz w:val="24"/>
        </w:rPr>
        <w:t>）</w:t>
      </w:r>
      <w:r>
        <w:rPr>
          <w:sz w:val="24"/>
        </w:rPr>
        <w:t>目补充：</w:t>
      </w:r>
    </w:p>
    <w:p>
      <w:pPr>
        <w:adjustRightInd w:val="0"/>
        <w:snapToGrid w:val="0"/>
        <w:spacing w:line="360" w:lineRule="auto"/>
        <w:ind w:firstLine="480" w:firstLineChars="200"/>
        <w:rPr>
          <w:sz w:val="24"/>
        </w:rPr>
      </w:pPr>
      <w:r>
        <w:rPr>
          <w:sz w:val="24"/>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pPr>
        <w:adjustRightInd w:val="0"/>
        <w:snapToGrid w:val="0"/>
        <w:spacing w:line="360" w:lineRule="auto"/>
        <w:ind w:firstLine="480" w:firstLineChars="200"/>
        <w:rPr>
          <w:sz w:val="24"/>
        </w:rPr>
      </w:pPr>
      <w:r>
        <w:rPr>
          <w:sz w:val="24"/>
        </w:rPr>
        <w:t>本项</w:t>
      </w:r>
      <w:r>
        <w:rPr>
          <w:rFonts w:hint="eastAsia"/>
          <w:sz w:val="24"/>
        </w:rPr>
        <w:t>（</w:t>
      </w:r>
      <w:r>
        <w:rPr>
          <w:sz w:val="24"/>
        </w:rPr>
        <w:t>2</w:t>
      </w:r>
      <w:r>
        <w:rPr>
          <w:rFonts w:hint="eastAsia"/>
          <w:sz w:val="24"/>
        </w:rPr>
        <w:t>）</w:t>
      </w:r>
      <w:r>
        <w:rPr>
          <w:sz w:val="24"/>
        </w:rPr>
        <w:t>目约定为：</w:t>
      </w:r>
    </w:p>
    <w:p>
      <w:pPr>
        <w:adjustRightInd w:val="0"/>
        <w:snapToGrid w:val="0"/>
        <w:spacing w:line="360" w:lineRule="auto"/>
        <w:ind w:firstLine="480" w:firstLineChars="200"/>
        <w:rPr>
          <w:sz w:val="24"/>
        </w:rPr>
      </w:pPr>
      <w:r>
        <w:rPr>
          <w:sz w:val="24"/>
        </w:rPr>
        <w:t>发包人不按期支付的，按</w:t>
      </w:r>
      <w:r>
        <w:rPr>
          <w:rFonts w:hint="eastAsia" w:ascii="宋体" w:hAnsi="宋体"/>
          <w:sz w:val="24"/>
        </w:rPr>
        <w:t>‰天（</w:t>
      </w:r>
      <w:r>
        <w:rPr>
          <w:sz w:val="24"/>
        </w:rPr>
        <w:t>在项目专用条款数据表中约定）的利率向承包人支付逾期付款违约金。违约金计算基数为发包人的全部未付款额，时间从应付而未付该款额之日算起（不计复利）。</w:t>
      </w:r>
    </w:p>
    <w:p>
      <w:pPr>
        <w:adjustRightInd w:val="0"/>
        <w:snapToGrid w:val="0"/>
        <w:spacing w:line="360" w:lineRule="auto"/>
        <w:ind w:firstLine="480" w:firstLineChars="200"/>
        <w:rPr>
          <w:sz w:val="24"/>
        </w:rPr>
      </w:pPr>
      <w:r>
        <w:rPr>
          <w:sz w:val="24"/>
        </w:rPr>
        <w:t>本项</w:t>
      </w:r>
      <w:r>
        <w:rPr>
          <w:rFonts w:hint="eastAsia"/>
          <w:sz w:val="24"/>
        </w:rPr>
        <w:t>（</w:t>
      </w:r>
      <w:r>
        <w:rPr>
          <w:sz w:val="24"/>
        </w:rPr>
        <w:t>4</w:t>
      </w:r>
      <w:r>
        <w:rPr>
          <w:rFonts w:hint="eastAsia"/>
          <w:sz w:val="24"/>
        </w:rPr>
        <w:t>）</w:t>
      </w:r>
      <w:r>
        <w:rPr>
          <w:sz w:val="24"/>
        </w:rPr>
        <w:t>目约定为：</w:t>
      </w:r>
    </w:p>
    <w:p>
      <w:pPr>
        <w:adjustRightInd w:val="0"/>
        <w:snapToGrid w:val="0"/>
        <w:spacing w:line="360" w:lineRule="auto"/>
        <w:ind w:firstLine="480" w:firstLineChars="200"/>
        <w:rPr>
          <w:sz w:val="24"/>
        </w:rPr>
      </w:pPr>
      <w:r>
        <w:rPr>
          <w:sz w:val="24"/>
        </w:rPr>
        <w:t>进度付款涉及政府投资资金的，按照以下规定办理：</w:t>
      </w:r>
      <w:r>
        <w:rPr>
          <w:rFonts w:hint="eastAsia"/>
          <w:sz w:val="24"/>
          <w:u w:val="single"/>
        </w:rPr>
        <w:t xml:space="preserve">  （见项目专用合同条款</w:t>
      </w:r>
      <w:r>
        <w:rPr>
          <w:sz w:val="24"/>
          <w:u w:val="single"/>
        </w:rPr>
        <w:t>）</w:t>
      </w:r>
    </w:p>
    <w:p>
      <w:pPr>
        <w:adjustRightInd w:val="0"/>
        <w:snapToGrid w:val="0"/>
        <w:spacing w:beforeLines="100" w:line="360" w:lineRule="auto"/>
        <w:rPr>
          <w:rFonts w:eastAsia="黑体"/>
          <w:sz w:val="24"/>
        </w:rPr>
      </w:pPr>
      <w:r>
        <w:rPr>
          <w:rFonts w:eastAsia="黑体"/>
          <w:sz w:val="24"/>
        </w:rPr>
        <w:t>17.4质量保证金</w:t>
      </w:r>
    </w:p>
    <w:p>
      <w:pPr>
        <w:adjustRightInd w:val="0"/>
        <w:snapToGrid w:val="0"/>
        <w:spacing w:line="360" w:lineRule="auto"/>
        <w:ind w:firstLine="480" w:firstLineChars="200"/>
        <w:rPr>
          <w:rFonts w:eastAsia="黑体"/>
          <w:sz w:val="24"/>
        </w:rPr>
      </w:pPr>
      <w:r>
        <w:rPr>
          <w:rFonts w:eastAsia="黑体"/>
          <w:sz w:val="24"/>
        </w:rPr>
        <w:t>17.4.1项细化为：</w:t>
      </w:r>
    </w:p>
    <w:p>
      <w:pPr>
        <w:adjustRightInd w:val="0"/>
        <w:snapToGrid w:val="0"/>
        <w:spacing w:line="360" w:lineRule="auto"/>
        <w:ind w:firstLine="480" w:firstLineChars="200"/>
        <w:rPr>
          <w:sz w:val="24"/>
        </w:rPr>
      </w:pPr>
      <w:r>
        <w:rPr>
          <w:sz w:val="24"/>
        </w:rPr>
        <w:t>监理人应从第一个付款周期开始，在发包人的进度付款中，按10％或项目专用合同条款规定的其它比例扣留质量保证金，直至扣留的质量保证金总额达到合同价格的5%为止。质量保证金的计算额度不包括预付款的支付以及扣回的金额。</w:t>
      </w:r>
    </w:p>
    <w:p>
      <w:pPr>
        <w:adjustRightInd w:val="0"/>
        <w:snapToGrid w:val="0"/>
        <w:spacing w:beforeLines="100" w:line="360" w:lineRule="auto"/>
        <w:rPr>
          <w:rFonts w:eastAsia="黑体"/>
          <w:sz w:val="24"/>
        </w:rPr>
      </w:pPr>
      <w:r>
        <w:rPr>
          <w:rFonts w:eastAsia="黑体"/>
          <w:sz w:val="24"/>
        </w:rPr>
        <w:t>17.5竣工结算</w:t>
      </w:r>
    </w:p>
    <w:p>
      <w:pPr>
        <w:adjustRightInd w:val="0"/>
        <w:snapToGrid w:val="0"/>
        <w:spacing w:line="360" w:lineRule="auto"/>
        <w:ind w:firstLine="480" w:firstLineChars="200"/>
        <w:rPr>
          <w:rFonts w:eastAsia="黑体"/>
          <w:sz w:val="24"/>
        </w:rPr>
      </w:pPr>
      <w:r>
        <w:rPr>
          <w:rFonts w:eastAsia="黑体"/>
          <w:sz w:val="24"/>
        </w:rPr>
        <w:t>17.5.1竣工付款申请单</w:t>
      </w:r>
    </w:p>
    <w:p>
      <w:pPr>
        <w:adjustRightInd w:val="0"/>
        <w:snapToGrid w:val="0"/>
        <w:spacing w:line="360" w:lineRule="auto"/>
        <w:ind w:firstLine="480" w:firstLineChars="200"/>
        <w:rPr>
          <w:sz w:val="24"/>
        </w:rPr>
      </w:pPr>
      <w:r>
        <w:rPr>
          <w:sz w:val="24"/>
        </w:rPr>
        <w:t>本项（1</w:t>
      </w:r>
      <w:r>
        <w:rPr>
          <w:rFonts w:hint="eastAsia"/>
          <w:sz w:val="24"/>
        </w:rPr>
        <w:t>）</w:t>
      </w:r>
      <w:r>
        <w:rPr>
          <w:sz w:val="24"/>
        </w:rPr>
        <w:t>目约定：</w:t>
      </w:r>
    </w:p>
    <w:p>
      <w:pPr>
        <w:adjustRightInd w:val="0"/>
        <w:snapToGrid w:val="0"/>
        <w:spacing w:line="360" w:lineRule="auto"/>
        <w:ind w:firstLine="480" w:firstLineChars="200"/>
        <w:rPr>
          <w:sz w:val="24"/>
        </w:rPr>
      </w:pPr>
      <w:r>
        <w:rPr>
          <w:sz w:val="24"/>
        </w:rPr>
        <w:t>承包人向监理人提交竣工付款申请单（包括相关证明材料）的份数：份（在项目专用条款数据表中约定）；期限：</w:t>
      </w:r>
      <w:r>
        <w:rPr>
          <w:sz w:val="24"/>
          <w:u w:val="single"/>
        </w:rPr>
        <w:t>工程接收证书签发后42天内</w:t>
      </w:r>
      <w:r>
        <w:rPr>
          <w:rFonts w:hint="eastAsia"/>
          <w:sz w:val="24"/>
        </w:rPr>
        <w:t>。</w:t>
      </w:r>
    </w:p>
    <w:p>
      <w:pPr>
        <w:adjustRightInd w:val="0"/>
        <w:snapToGrid w:val="0"/>
        <w:spacing w:beforeLines="100" w:line="360" w:lineRule="auto"/>
        <w:rPr>
          <w:rFonts w:eastAsia="黑体"/>
          <w:sz w:val="24"/>
        </w:rPr>
      </w:pPr>
      <w:r>
        <w:rPr>
          <w:rFonts w:eastAsia="黑体"/>
          <w:sz w:val="24"/>
        </w:rPr>
        <w:t>17.6最终结清</w:t>
      </w:r>
    </w:p>
    <w:p>
      <w:pPr>
        <w:adjustRightInd w:val="0"/>
        <w:snapToGrid w:val="0"/>
        <w:spacing w:line="360" w:lineRule="auto"/>
        <w:ind w:firstLine="480" w:firstLineChars="200"/>
        <w:rPr>
          <w:rFonts w:eastAsia="黑体"/>
          <w:sz w:val="24"/>
        </w:rPr>
      </w:pPr>
      <w:r>
        <w:rPr>
          <w:rFonts w:eastAsia="黑体"/>
          <w:sz w:val="24"/>
        </w:rPr>
        <w:t>17.6.1最终结清申请单</w:t>
      </w:r>
    </w:p>
    <w:p>
      <w:pPr>
        <w:adjustRightInd w:val="0"/>
        <w:snapToGrid w:val="0"/>
        <w:spacing w:line="360" w:lineRule="auto"/>
        <w:ind w:firstLine="480" w:firstLineChars="200"/>
        <w:rPr>
          <w:sz w:val="24"/>
        </w:rPr>
      </w:pPr>
      <w:r>
        <w:rPr>
          <w:sz w:val="24"/>
        </w:rPr>
        <w:t>本项（1</w:t>
      </w:r>
      <w:r>
        <w:rPr>
          <w:rFonts w:hint="eastAsia"/>
          <w:sz w:val="24"/>
        </w:rPr>
        <w:t>）</w:t>
      </w:r>
      <w:r>
        <w:rPr>
          <w:sz w:val="24"/>
        </w:rPr>
        <w:t>目约定：</w:t>
      </w:r>
    </w:p>
    <w:p>
      <w:pPr>
        <w:adjustRightInd w:val="0"/>
        <w:snapToGrid w:val="0"/>
        <w:spacing w:line="360" w:lineRule="auto"/>
        <w:ind w:firstLine="480" w:firstLineChars="200"/>
        <w:rPr>
          <w:sz w:val="24"/>
        </w:rPr>
      </w:pPr>
      <w:r>
        <w:rPr>
          <w:sz w:val="24"/>
        </w:rPr>
        <w:t>承包人向监理人提交最终结清申请单（包括相关证明材料）的份数：份（在项目专用条款数据表中约定）；期限：</w:t>
      </w:r>
      <w:r>
        <w:rPr>
          <w:sz w:val="24"/>
          <w:u w:val="single"/>
        </w:rPr>
        <w:t>缺陷责任期终止证书签发后28天内</w:t>
      </w:r>
      <w:r>
        <w:rPr>
          <w:sz w:val="24"/>
        </w:rPr>
        <w:t>。</w:t>
      </w:r>
    </w:p>
    <w:p>
      <w:pPr>
        <w:adjustRightInd w:val="0"/>
        <w:snapToGrid w:val="0"/>
        <w:spacing w:line="360" w:lineRule="auto"/>
        <w:ind w:firstLine="480" w:firstLineChars="200"/>
        <w:rPr>
          <w:sz w:val="24"/>
        </w:rPr>
      </w:pPr>
      <w:r>
        <w:rPr>
          <w:sz w:val="24"/>
        </w:rPr>
        <w:t>最终结清申请单中的总金额应认为是代表了根据合同规定应付给承包人的全部款项的最后结算。</w:t>
      </w:r>
    </w:p>
    <w:p>
      <w:pPr>
        <w:adjustRightInd w:val="0"/>
        <w:snapToGrid w:val="0"/>
        <w:spacing w:beforeLines="100" w:line="360" w:lineRule="auto"/>
        <w:rPr>
          <w:rFonts w:eastAsia="黑体"/>
          <w:sz w:val="24"/>
        </w:rPr>
      </w:pPr>
      <w:r>
        <w:rPr>
          <w:rFonts w:eastAsia="黑体"/>
          <w:sz w:val="24"/>
        </w:rPr>
        <w:t>18．竣工验收</w:t>
      </w:r>
    </w:p>
    <w:p>
      <w:pPr>
        <w:adjustRightInd w:val="0"/>
        <w:snapToGrid w:val="0"/>
        <w:spacing w:line="360" w:lineRule="auto"/>
        <w:rPr>
          <w:rFonts w:eastAsia="黑体"/>
          <w:sz w:val="24"/>
        </w:rPr>
      </w:pPr>
      <w:r>
        <w:rPr>
          <w:rFonts w:eastAsia="黑体"/>
          <w:sz w:val="24"/>
        </w:rPr>
        <w:t>18.1竣工验收的含义</w:t>
      </w:r>
    </w:p>
    <w:p>
      <w:pPr>
        <w:adjustRightInd w:val="0"/>
        <w:snapToGrid w:val="0"/>
        <w:spacing w:line="360" w:lineRule="auto"/>
        <w:ind w:firstLine="480" w:firstLineChars="200"/>
        <w:rPr>
          <w:sz w:val="24"/>
        </w:rPr>
      </w:pPr>
      <w:r>
        <w:rPr>
          <w:sz w:val="24"/>
        </w:rPr>
        <w:t>本款增加第18.1.4项：</w:t>
      </w:r>
    </w:p>
    <w:p>
      <w:pPr>
        <w:adjustRightInd w:val="0"/>
        <w:snapToGrid w:val="0"/>
        <w:spacing w:line="360" w:lineRule="auto"/>
        <w:ind w:firstLine="480" w:firstLineChars="200"/>
        <w:rPr>
          <w:sz w:val="24"/>
        </w:rPr>
      </w:pPr>
      <w:r>
        <w:rPr>
          <w:sz w:val="24"/>
        </w:rPr>
        <w:t>18.1.4国家验收（包括竣工验收）按交通部《公路工程竣（交）工验收办法》等相关规定执行。本合同规定的竣工验收即交通部《公路工程竣（交）工验收办法》中指明的交工验收；国家验收即交通部《公路工程竣（交）工验收办法》中指明的竣工验收。</w:t>
      </w:r>
    </w:p>
    <w:p>
      <w:pPr>
        <w:adjustRightInd w:val="0"/>
        <w:snapToGrid w:val="0"/>
        <w:spacing w:beforeLines="100" w:line="360" w:lineRule="auto"/>
        <w:rPr>
          <w:rFonts w:eastAsia="黑体"/>
          <w:sz w:val="24"/>
        </w:rPr>
      </w:pPr>
      <w:r>
        <w:rPr>
          <w:rFonts w:eastAsia="黑体"/>
          <w:sz w:val="24"/>
        </w:rPr>
        <w:t>18.3验收</w:t>
      </w:r>
    </w:p>
    <w:p>
      <w:pPr>
        <w:adjustRightInd w:val="0"/>
        <w:snapToGrid w:val="0"/>
        <w:spacing w:line="360" w:lineRule="auto"/>
        <w:ind w:firstLine="480" w:firstLineChars="200"/>
        <w:rPr>
          <w:rFonts w:eastAsia="黑体"/>
          <w:sz w:val="24"/>
        </w:rPr>
      </w:pPr>
      <w:r>
        <w:rPr>
          <w:rFonts w:eastAsia="黑体"/>
          <w:sz w:val="24"/>
        </w:rPr>
        <w:t>18.3.2项补充：</w:t>
      </w:r>
    </w:p>
    <w:p>
      <w:pPr>
        <w:adjustRightInd w:val="0"/>
        <w:snapToGrid w:val="0"/>
        <w:spacing w:line="360" w:lineRule="auto"/>
        <w:ind w:firstLine="480" w:firstLineChars="200"/>
        <w:rPr>
          <w:sz w:val="24"/>
        </w:rPr>
      </w:pPr>
      <w:r>
        <w:rPr>
          <w:sz w:val="24"/>
        </w:rPr>
        <w:t>竣工验收由发包人主持，由发包人、监理人、质监、设计、施工、运营、管理养护等有关部门代表组成竣工验收委员会，对本项目的工程质量进行评定，并写出竣工验收报告报交通主管部门备案。承包人应按发包人的要求提交竣工资料，完成竣工验收准备工作。</w:t>
      </w:r>
    </w:p>
    <w:p>
      <w:pPr>
        <w:adjustRightInd w:val="0"/>
        <w:snapToGrid w:val="0"/>
        <w:spacing w:line="360" w:lineRule="auto"/>
        <w:ind w:firstLine="480" w:firstLineChars="200"/>
        <w:rPr>
          <w:sz w:val="24"/>
        </w:rPr>
      </w:pPr>
      <w:r>
        <w:rPr>
          <w:sz w:val="24"/>
        </w:rPr>
        <w:t>18.3.5项约定为：</w:t>
      </w:r>
    </w:p>
    <w:p>
      <w:pPr>
        <w:adjustRightInd w:val="0"/>
        <w:snapToGrid w:val="0"/>
        <w:spacing w:line="360" w:lineRule="auto"/>
        <w:ind w:firstLine="480" w:firstLineChars="200"/>
        <w:rPr>
          <w:sz w:val="24"/>
        </w:rPr>
      </w:pPr>
      <w:r>
        <w:rPr>
          <w:sz w:val="24"/>
        </w:rPr>
        <w:t>经验收合格工程的实际竣工日期，以最终提交竣工验收申请报告的日期为准，并在工程接收证书中写明。</w:t>
      </w:r>
    </w:p>
    <w:p>
      <w:pPr>
        <w:adjustRightInd w:val="0"/>
        <w:snapToGrid w:val="0"/>
        <w:spacing w:line="360" w:lineRule="auto"/>
        <w:ind w:firstLine="480" w:firstLineChars="200"/>
        <w:rPr>
          <w:sz w:val="24"/>
        </w:rPr>
      </w:pPr>
      <w:r>
        <w:rPr>
          <w:sz w:val="24"/>
        </w:rPr>
        <w:t>本款增加第18.3.7项：</w:t>
      </w:r>
    </w:p>
    <w:p>
      <w:pPr>
        <w:adjustRightInd w:val="0"/>
        <w:snapToGrid w:val="0"/>
        <w:spacing w:line="360" w:lineRule="auto"/>
        <w:ind w:firstLine="480" w:firstLineChars="200"/>
        <w:rPr>
          <w:sz w:val="24"/>
        </w:rPr>
      </w:pPr>
      <w:r>
        <w:rPr>
          <w:sz w:val="24"/>
        </w:rPr>
        <w:t>组织办理竣工验收和签发工程接收证书的费用由发包人承担。但按照18.3.4项规定达不到合格标准的竣工验收费用由承包人承担。</w:t>
      </w:r>
    </w:p>
    <w:p>
      <w:pPr>
        <w:adjustRightInd w:val="0"/>
        <w:snapToGrid w:val="0"/>
        <w:spacing w:beforeLines="100" w:line="360" w:lineRule="auto"/>
        <w:rPr>
          <w:rFonts w:eastAsia="黑体"/>
          <w:sz w:val="24"/>
        </w:rPr>
      </w:pPr>
      <w:r>
        <w:rPr>
          <w:rFonts w:eastAsia="黑体"/>
          <w:sz w:val="24"/>
        </w:rPr>
        <w:t>18.5施工期运行</w:t>
      </w:r>
    </w:p>
    <w:p>
      <w:pPr>
        <w:adjustRightInd w:val="0"/>
        <w:snapToGrid w:val="0"/>
        <w:spacing w:line="360" w:lineRule="auto"/>
        <w:ind w:firstLine="480" w:firstLineChars="200"/>
        <w:rPr>
          <w:sz w:val="24"/>
        </w:rPr>
      </w:pPr>
      <w:r>
        <w:rPr>
          <w:sz w:val="24"/>
        </w:rPr>
        <w:t>18.5.1项约定：</w:t>
      </w:r>
    </w:p>
    <w:p>
      <w:pPr>
        <w:adjustRightInd w:val="0"/>
        <w:snapToGrid w:val="0"/>
        <w:spacing w:line="360" w:lineRule="auto"/>
        <w:ind w:firstLine="480" w:firstLineChars="200"/>
        <w:rPr>
          <w:sz w:val="24"/>
          <w:u w:val="single"/>
        </w:rPr>
      </w:pPr>
      <w:r>
        <w:rPr>
          <w:sz w:val="24"/>
        </w:rPr>
        <w:t>单位工程或工程设备是否需投入施工期运行：</w:t>
      </w:r>
      <w:r>
        <w:rPr>
          <w:rFonts w:hint="eastAsia"/>
          <w:sz w:val="24"/>
          <w:u w:val="single"/>
        </w:rPr>
        <w:t xml:space="preserve">  （见项目专用合同条款） </w:t>
      </w:r>
    </w:p>
    <w:p>
      <w:pPr>
        <w:adjustRightInd w:val="0"/>
        <w:snapToGrid w:val="0"/>
        <w:spacing w:beforeLines="100" w:line="360" w:lineRule="auto"/>
        <w:rPr>
          <w:rFonts w:eastAsia="黑体"/>
          <w:sz w:val="24"/>
        </w:rPr>
      </w:pPr>
      <w:r>
        <w:rPr>
          <w:rFonts w:hint="eastAsia" w:eastAsia="黑体"/>
          <w:sz w:val="24"/>
        </w:rPr>
        <w:t>18.6试运行</w:t>
      </w:r>
    </w:p>
    <w:p>
      <w:pPr>
        <w:adjustRightInd w:val="0"/>
        <w:snapToGrid w:val="0"/>
        <w:spacing w:line="360" w:lineRule="auto"/>
        <w:ind w:firstLine="480" w:firstLineChars="200"/>
        <w:rPr>
          <w:sz w:val="24"/>
        </w:rPr>
      </w:pPr>
      <w:r>
        <w:rPr>
          <w:sz w:val="24"/>
        </w:rPr>
        <w:t>18.6.1项约定：</w:t>
      </w:r>
    </w:p>
    <w:p>
      <w:pPr>
        <w:adjustRightInd w:val="0"/>
        <w:snapToGrid w:val="0"/>
        <w:spacing w:line="360" w:lineRule="auto"/>
        <w:ind w:firstLine="480" w:firstLineChars="200"/>
        <w:rPr>
          <w:sz w:val="24"/>
          <w:u w:val="single"/>
        </w:rPr>
      </w:pPr>
      <w:r>
        <w:rPr>
          <w:sz w:val="24"/>
        </w:rPr>
        <w:t>本工程及工程设备是否进行试运行：</w:t>
      </w:r>
      <w:r>
        <w:rPr>
          <w:rFonts w:hint="eastAsia"/>
          <w:sz w:val="24"/>
          <w:u w:val="single"/>
        </w:rPr>
        <w:t xml:space="preserve">  （见项目专用合同条款）</w:t>
      </w:r>
    </w:p>
    <w:p>
      <w:pPr>
        <w:adjustRightInd w:val="0"/>
        <w:snapToGrid w:val="0"/>
        <w:spacing w:line="360" w:lineRule="auto"/>
        <w:ind w:firstLine="480" w:firstLineChars="200"/>
        <w:rPr>
          <w:sz w:val="24"/>
        </w:rPr>
      </w:pPr>
      <w:r>
        <w:rPr>
          <w:sz w:val="24"/>
        </w:rPr>
        <w:t>试运行的内容：</w:t>
      </w:r>
      <w:r>
        <w:rPr>
          <w:rFonts w:hint="eastAsia"/>
          <w:sz w:val="24"/>
          <w:u w:val="single"/>
        </w:rPr>
        <w:t xml:space="preserve">  （见项目专用合同条款）</w:t>
      </w:r>
    </w:p>
    <w:p>
      <w:pPr>
        <w:adjustRightInd w:val="0"/>
        <w:snapToGrid w:val="0"/>
        <w:spacing w:line="360" w:lineRule="auto"/>
        <w:ind w:firstLine="480" w:firstLineChars="200"/>
        <w:rPr>
          <w:sz w:val="24"/>
        </w:rPr>
      </w:pPr>
      <w:r>
        <w:rPr>
          <w:sz w:val="24"/>
        </w:rPr>
        <w:t>试运行的费用约定：</w:t>
      </w:r>
      <w:r>
        <w:rPr>
          <w:rFonts w:hint="eastAsia"/>
          <w:sz w:val="24"/>
          <w:u w:val="single"/>
        </w:rPr>
        <w:t xml:space="preserve">  （见项目专用合同条款）</w:t>
      </w:r>
    </w:p>
    <w:p>
      <w:pPr>
        <w:adjustRightInd w:val="0"/>
        <w:snapToGrid w:val="0"/>
        <w:spacing w:beforeLines="100" w:line="360" w:lineRule="auto"/>
        <w:rPr>
          <w:rFonts w:eastAsia="黑体"/>
          <w:sz w:val="24"/>
        </w:rPr>
      </w:pPr>
      <w:r>
        <w:rPr>
          <w:rFonts w:eastAsia="黑体"/>
          <w:sz w:val="24"/>
        </w:rPr>
        <w:t>本条增加第18.9款：</w:t>
      </w:r>
    </w:p>
    <w:p>
      <w:pPr>
        <w:adjustRightInd w:val="0"/>
        <w:snapToGrid w:val="0"/>
        <w:spacing w:line="360" w:lineRule="auto"/>
        <w:rPr>
          <w:rFonts w:eastAsia="黑体"/>
          <w:sz w:val="24"/>
        </w:rPr>
      </w:pPr>
      <w:r>
        <w:rPr>
          <w:rFonts w:eastAsia="黑体"/>
          <w:sz w:val="24"/>
        </w:rPr>
        <w:t>18.9竣工文件</w:t>
      </w:r>
    </w:p>
    <w:p>
      <w:pPr>
        <w:adjustRightInd w:val="0"/>
        <w:snapToGrid w:val="0"/>
        <w:spacing w:line="360" w:lineRule="auto"/>
        <w:ind w:firstLine="480" w:firstLineChars="200"/>
        <w:rPr>
          <w:sz w:val="24"/>
        </w:rPr>
      </w:pPr>
      <w:r>
        <w:rPr>
          <w:sz w:val="24"/>
        </w:rPr>
        <w:t>承包人应按照交通部《公路工程竣（交）工验收办法》的规定编制竣工图表和施工文件。各分部（项）工程的竣工图须在有关工程完工后在发包人规定的时间内提交监理人审查，全部工程完工后，在全部工程的工程接收证书签发之前，承包人须向发包人提交6整套监理人认为完整、合格的竣工文件。在缺陷责任期内承包人应补充竣工资料，并在签发缺陷责任期终止证书之前提交。</w:t>
      </w:r>
    </w:p>
    <w:p>
      <w:pPr>
        <w:adjustRightInd w:val="0"/>
        <w:snapToGrid w:val="0"/>
        <w:spacing w:beforeLines="100" w:line="360" w:lineRule="auto"/>
        <w:rPr>
          <w:rFonts w:eastAsia="黑体"/>
          <w:sz w:val="24"/>
        </w:rPr>
      </w:pPr>
      <w:r>
        <w:rPr>
          <w:rFonts w:eastAsia="黑体"/>
          <w:sz w:val="24"/>
        </w:rPr>
        <w:t>19</w:t>
      </w:r>
      <w:r>
        <w:rPr>
          <w:rFonts w:hint="eastAsia" w:eastAsia="黑体"/>
          <w:sz w:val="24"/>
        </w:rPr>
        <w:t>．</w:t>
      </w:r>
      <w:r>
        <w:rPr>
          <w:rFonts w:eastAsia="黑体"/>
          <w:sz w:val="24"/>
        </w:rPr>
        <w:t>缺陷责任与保修责任</w:t>
      </w:r>
    </w:p>
    <w:p>
      <w:pPr>
        <w:adjustRightInd w:val="0"/>
        <w:snapToGrid w:val="0"/>
        <w:spacing w:line="360" w:lineRule="auto"/>
        <w:rPr>
          <w:rFonts w:eastAsia="黑体"/>
          <w:sz w:val="24"/>
        </w:rPr>
      </w:pPr>
      <w:r>
        <w:rPr>
          <w:rFonts w:eastAsia="黑体"/>
          <w:sz w:val="24"/>
        </w:rPr>
        <w:t>19.2缺陷责任</w:t>
      </w:r>
    </w:p>
    <w:p>
      <w:pPr>
        <w:adjustRightInd w:val="0"/>
        <w:snapToGrid w:val="0"/>
        <w:spacing w:line="360" w:lineRule="auto"/>
        <w:ind w:firstLine="480" w:firstLineChars="200"/>
        <w:rPr>
          <w:sz w:val="24"/>
        </w:rPr>
      </w:pPr>
      <w:r>
        <w:rPr>
          <w:sz w:val="24"/>
        </w:rPr>
        <w:t>19.2.2项补充：</w:t>
      </w:r>
    </w:p>
    <w:p>
      <w:pPr>
        <w:adjustRightInd w:val="0"/>
        <w:snapToGrid w:val="0"/>
        <w:spacing w:line="360" w:lineRule="auto"/>
        <w:ind w:firstLine="480" w:firstLineChars="200"/>
        <w:rPr>
          <w:sz w:val="24"/>
        </w:rPr>
      </w:pPr>
      <w:r>
        <w:rPr>
          <w:sz w:val="24"/>
        </w:rPr>
        <w:t>在缺陷责任期内，承包人应尽快完成在工程接收证书中写明的未完成工作，并完成对本工程缺陷的修复或监理人指令的修补工作。</w:t>
      </w:r>
    </w:p>
    <w:p>
      <w:pPr>
        <w:adjustRightInd w:val="0"/>
        <w:snapToGrid w:val="0"/>
        <w:spacing w:line="360" w:lineRule="auto"/>
        <w:ind w:firstLine="480" w:firstLineChars="200"/>
        <w:rPr>
          <w:sz w:val="24"/>
        </w:rPr>
      </w:pPr>
      <w:r>
        <w:rPr>
          <w:sz w:val="24"/>
        </w:rPr>
        <w:t>19.2.3项补充：</w:t>
      </w:r>
    </w:p>
    <w:p>
      <w:pPr>
        <w:adjustRightInd w:val="0"/>
        <w:snapToGrid w:val="0"/>
        <w:spacing w:line="360" w:lineRule="auto"/>
        <w:ind w:firstLine="480" w:firstLineChars="200"/>
        <w:rPr>
          <w:sz w:val="24"/>
        </w:rPr>
      </w:pPr>
      <w:r>
        <w:rPr>
          <w:sz w:val="24"/>
        </w:rPr>
        <w:t>在缺陷责任期内，下述原因造成的缺陷修复和查验费用应由承包人自行负责：</w:t>
      </w:r>
    </w:p>
    <w:p>
      <w:pPr>
        <w:adjustRightInd w:val="0"/>
        <w:snapToGrid w:val="0"/>
        <w:spacing w:line="360" w:lineRule="auto"/>
        <w:ind w:firstLine="480" w:firstLineChars="200"/>
        <w:rPr>
          <w:sz w:val="24"/>
        </w:rPr>
      </w:pPr>
      <w:r>
        <w:rPr>
          <w:sz w:val="24"/>
        </w:rPr>
        <w:t>（1</w:t>
      </w:r>
      <w:r>
        <w:rPr>
          <w:rFonts w:hint="eastAsia"/>
          <w:sz w:val="24"/>
        </w:rPr>
        <w:t>）</w:t>
      </w:r>
      <w:r>
        <w:rPr>
          <w:sz w:val="24"/>
        </w:rPr>
        <w:t>承包人所用的材料、设备或操作工艺不符合合同要求；或</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承包人的疏忽或未遵守合同中对承包人规定的义务。</w:t>
      </w:r>
    </w:p>
    <w:p>
      <w:pPr>
        <w:adjustRightInd w:val="0"/>
        <w:snapToGrid w:val="0"/>
        <w:spacing w:beforeLines="100" w:line="360" w:lineRule="auto"/>
        <w:rPr>
          <w:rFonts w:eastAsia="黑体"/>
          <w:sz w:val="24"/>
        </w:rPr>
      </w:pPr>
      <w:r>
        <w:rPr>
          <w:rFonts w:eastAsia="黑体"/>
          <w:sz w:val="24"/>
        </w:rPr>
        <w:t>19.3缺陷责任期的延长</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由于承包人原因造成某项缺陷或损坏使某项工程或工程设备不能按原定目标使用而需要再次检查、检验和修复的，发包人有权要求承包人相应延长缺陷责任期，但缺陷责任期最长不超过2年，自该工程或工程设备修复之日起算。</w:t>
      </w:r>
    </w:p>
    <w:p>
      <w:pPr>
        <w:adjustRightInd w:val="0"/>
        <w:snapToGrid w:val="0"/>
        <w:spacing w:beforeLines="100" w:line="360" w:lineRule="auto"/>
        <w:rPr>
          <w:rFonts w:eastAsia="黑体"/>
          <w:sz w:val="24"/>
        </w:rPr>
      </w:pPr>
      <w:r>
        <w:rPr>
          <w:rFonts w:eastAsia="黑体"/>
          <w:sz w:val="24"/>
        </w:rPr>
        <w:t>19.5承包人的进入权</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承包人在缺陷修复施工过程中，应服从管养单位的有关安全管理规定，由于承包人自身原因造成的人员伤亡、．设备和材料的损毁及罚款等责任由承包人自负。</w:t>
      </w:r>
    </w:p>
    <w:p>
      <w:pPr>
        <w:adjustRightInd w:val="0"/>
        <w:snapToGrid w:val="0"/>
        <w:spacing w:beforeLines="100" w:line="360" w:lineRule="auto"/>
        <w:rPr>
          <w:rFonts w:eastAsia="黑体"/>
          <w:sz w:val="24"/>
        </w:rPr>
      </w:pPr>
      <w:r>
        <w:rPr>
          <w:rFonts w:eastAsia="黑体"/>
          <w:sz w:val="24"/>
        </w:rPr>
        <w:t>19.7保修责任</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（1</w:t>
      </w:r>
      <w:r>
        <w:rPr>
          <w:rFonts w:hint="eastAsia"/>
          <w:sz w:val="24"/>
        </w:rPr>
        <w:t>）</w:t>
      </w:r>
      <w:r>
        <w:rPr>
          <w:sz w:val="24"/>
        </w:rPr>
        <w:t>在缺陷责任期结束后，监理人签发缺陷责任期终止证书之日，工程进入五年的保修期，承包人可不在工地留有办事人员和机械设备，但必须随时与发包人保持联系，在保修期内承包人应对由于施工质量原因造成的损坏自费进行修复。若承包人不履行保修义务和责任，则承包人应承担由于违约造成的法律后果。</w:t>
      </w:r>
    </w:p>
    <w:p>
      <w:pPr>
        <w:adjustRightInd w:val="0"/>
        <w:snapToGrid w:val="0"/>
        <w:spacing w:line="360" w:lineRule="auto"/>
        <w:ind w:firstLine="480" w:firstLineChars="200"/>
        <w:rPr>
          <w:sz w:val="24"/>
        </w:rPr>
      </w:pPr>
      <w:r>
        <w:rPr>
          <w:sz w:val="24"/>
        </w:rPr>
        <w:t>（2</w:t>
      </w:r>
      <w:r>
        <w:rPr>
          <w:rFonts w:hint="eastAsia"/>
          <w:sz w:val="24"/>
        </w:rPr>
        <w:t>）</w:t>
      </w:r>
      <w:r>
        <w:rPr>
          <w:sz w:val="24"/>
        </w:rPr>
        <w:t>在全部工程竣工验收前，已经发包人提前验收的单位工程，其保修期的起算日期相应提前。</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工程保修期终止后28天内，监理人签发保修期终止证书。</w:t>
      </w:r>
    </w:p>
    <w:p>
      <w:pPr>
        <w:adjustRightInd w:val="0"/>
        <w:snapToGrid w:val="0"/>
        <w:spacing w:line="360" w:lineRule="auto"/>
        <w:ind w:firstLine="480" w:firstLineChars="200"/>
        <w:rPr>
          <w:sz w:val="24"/>
        </w:rPr>
      </w:pPr>
    </w:p>
    <w:p>
      <w:pPr>
        <w:adjustRightInd w:val="0"/>
        <w:snapToGrid w:val="0"/>
        <w:spacing w:beforeLines="100" w:line="360" w:lineRule="auto"/>
        <w:rPr>
          <w:rFonts w:eastAsia="黑体"/>
          <w:sz w:val="24"/>
        </w:rPr>
      </w:pPr>
      <w:r>
        <w:rPr>
          <w:rFonts w:eastAsia="黑体"/>
          <w:sz w:val="24"/>
        </w:rPr>
        <w:t>19.</w:t>
      </w:r>
      <w:r>
        <w:rPr>
          <w:rFonts w:hint="eastAsia" w:eastAsia="黑体"/>
          <w:sz w:val="24"/>
        </w:rPr>
        <w:t>8路面保修</w:t>
      </w:r>
    </w:p>
    <w:p>
      <w:pPr>
        <w:adjustRightInd w:val="0"/>
        <w:snapToGrid w:val="0"/>
        <w:spacing w:line="360" w:lineRule="auto"/>
        <w:ind w:firstLine="480" w:firstLineChars="200"/>
        <w:rPr>
          <w:sz w:val="24"/>
        </w:rPr>
      </w:pPr>
      <w:r>
        <w:rPr>
          <w:rFonts w:hint="eastAsia"/>
          <w:sz w:val="24"/>
        </w:rPr>
        <w:t>路面工程招标在缺陷责任期（通车后两年）结束之后，再增加三年路面养护期，由原路面施工单位进行除日常保洁外的路面养护。</w:t>
      </w:r>
    </w:p>
    <w:p>
      <w:pPr>
        <w:adjustRightInd w:val="0"/>
        <w:snapToGrid w:val="0"/>
        <w:spacing w:beforeLines="100" w:line="360" w:lineRule="auto"/>
        <w:rPr>
          <w:rFonts w:eastAsia="黑体"/>
          <w:sz w:val="24"/>
        </w:rPr>
      </w:pPr>
      <w:r>
        <w:rPr>
          <w:rFonts w:eastAsia="黑体"/>
          <w:sz w:val="24"/>
        </w:rPr>
        <w:t>20</w:t>
      </w:r>
      <w:r>
        <w:rPr>
          <w:rFonts w:hint="eastAsia" w:eastAsia="黑体"/>
          <w:sz w:val="24"/>
        </w:rPr>
        <w:t>．</w:t>
      </w:r>
      <w:r>
        <w:rPr>
          <w:rFonts w:eastAsia="黑体"/>
          <w:sz w:val="24"/>
        </w:rPr>
        <w:t>保险</w:t>
      </w:r>
    </w:p>
    <w:p>
      <w:pPr>
        <w:adjustRightInd w:val="0"/>
        <w:snapToGrid w:val="0"/>
        <w:spacing w:line="360" w:lineRule="auto"/>
        <w:rPr>
          <w:rFonts w:eastAsia="黑体"/>
          <w:sz w:val="24"/>
        </w:rPr>
      </w:pPr>
      <w:r>
        <w:rPr>
          <w:rFonts w:eastAsia="黑体"/>
          <w:sz w:val="24"/>
        </w:rPr>
        <w:t>20.1工程保险</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建筑工程一切险的投保内容：为永久工程、临时工程和设备及</w:t>
      </w:r>
      <w:r>
        <w:rPr>
          <w:rFonts w:hint="eastAsia"/>
          <w:sz w:val="24"/>
        </w:rPr>
        <w:t>已</w:t>
      </w:r>
      <w:r>
        <w:rPr>
          <w:sz w:val="24"/>
        </w:rPr>
        <w:t>运至施工工地用于永久工程的材料和设备所投的保险。</w:t>
      </w:r>
    </w:p>
    <w:p>
      <w:pPr>
        <w:adjustRightInd w:val="0"/>
        <w:snapToGrid w:val="0"/>
        <w:spacing w:line="360" w:lineRule="auto"/>
        <w:ind w:firstLine="480" w:firstLineChars="200"/>
        <w:rPr>
          <w:sz w:val="24"/>
        </w:rPr>
      </w:pPr>
      <w:r>
        <w:rPr>
          <w:sz w:val="24"/>
        </w:rPr>
        <w:t>保险金额：工程量清单第100章（不含建筑工程一切险及第三者责任险的保险费）至700章的合计金额。</w:t>
      </w:r>
    </w:p>
    <w:p>
      <w:pPr>
        <w:adjustRightInd w:val="0"/>
        <w:snapToGrid w:val="0"/>
        <w:spacing w:line="360" w:lineRule="auto"/>
        <w:ind w:firstLine="480" w:firstLineChars="200"/>
        <w:rPr>
          <w:sz w:val="24"/>
        </w:rPr>
      </w:pPr>
      <w:r>
        <w:rPr>
          <w:sz w:val="24"/>
        </w:rPr>
        <w:t>保险费率：</w:t>
      </w:r>
      <w:r>
        <w:rPr>
          <w:rFonts w:hint="eastAsia"/>
          <w:sz w:val="24"/>
        </w:rPr>
        <w:t>%</w:t>
      </w:r>
      <w:r>
        <w:rPr>
          <w:sz w:val="24"/>
        </w:rPr>
        <w:t>（在项目专用条款数据中约定）</w:t>
      </w:r>
    </w:p>
    <w:p>
      <w:pPr>
        <w:adjustRightInd w:val="0"/>
        <w:snapToGrid w:val="0"/>
        <w:spacing w:line="360" w:lineRule="auto"/>
        <w:ind w:firstLine="480" w:firstLineChars="200"/>
        <w:rPr>
          <w:sz w:val="24"/>
        </w:rPr>
      </w:pPr>
      <w:r>
        <w:rPr>
          <w:sz w:val="24"/>
        </w:rPr>
        <w:t>保险期限：开工日起直至本合同工程签发缺陷责任期终止证书止（即合同工期＋缺陷责任期）</w:t>
      </w:r>
    </w:p>
    <w:p>
      <w:pPr>
        <w:adjustRightInd w:val="0"/>
        <w:snapToGrid w:val="0"/>
        <w:spacing w:line="360" w:lineRule="auto"/>
        <w:ind w:firstLine="480" w:firstLineChars="200"/>
        <w:rPr>
          <w:sz w:val="24"/>
        </w:rPr>
      </w:pPr>
      <w:r>
        <w:rPr>
          <w:sz w:val="24"/>
        </w:rPr>
        <w:t>承包人应以发包人和承包人的共同名义投保建筑工程一切险。建筑工程一切险的保险费由承包人报价时列入工程量清单100章内。发包人在接到保险单后，将按照保险单的费用直接向承包人支付。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sz w:val="24"/>
        </w:rPr>
      </w:pPr>
      <w:r>
        <w:rPr>
          <w:rFonts w:eastAsia="黑体"/>
          <w:sz w:val="24"/>
        </w:rPr>
        <w:t>20.4第三者责任险</w:t>
      </w:r>
    </w:p>
    <w:p>
      <w:pPr>
        <w:adjustRightInd w:val="0"/>
        <w:snapToGrid w:val="0"/>
        <w:spacing w:line="360" w:lineRule="auto"/>
        <w:ind w:firstLine="480" w:firstLineChars="200"/>
        <w:rPr>
          <w:sz w:val="24"/>
        </w:rPr>
      </w:pPr>
      <w:r>
        <w:rPr>
          <w:sz w:val="24"/>
        </w:rPr>
        <w:t>20.4.2项约定为：</w:t>
      </w:r>
    </w:p>
    <w:p>
      <w:pPr>
        <w:adjustRightInd w:val="0"/>
        <w:snapToGrid w:val="0"/>
        <w:spacing w:line="360" w:lineRule="auto"/>
        <w:ind w:firstLine="480" w:firstLineChars="200"/>
        <w:rPr>
          <w:sz w:val="24"/>
        </w:rPr>
      </w:pPr>
      <w:r>
        <w:rPr>
          <w:sz w:val="24"/>
        </w:rPr>
        <w:t>第三者责任险的最低保险金额：万元人民币，事故次数不限（不计免赔额）</w:t>
      </w:r>
    </w:p>
    <w:p>
      <w:pPr>
        <w:adjustRightInd w:val="0"/>
        <w:snapToGrid w:val="0"/>
        <w:spacing w:line="360" w:lineRule="auto"/>
        <w:ind w:firstLine="480" w:firstLineChars="200"/>
        <w:rPr>
          <w:sz w:val="24"/>
        </w:rPr>
      </w:pPr>
      <w:r>
        <w:rPr>
          <w:sz w:val="24"/>
        </w:rPr>
        <w:t>保险费率：％。（在项目专用合同条款中约定）</w:t>
      </w:r>
    </w:p>
    <w:p>
      <w:pPr>
        <w:adjustRightInd w:val="0"/>
        <w:snapToGrid w:val="0"/>
        <w:spacing w:line="360" w:lineRule="auto"/>
        <w:ind w:firstLine="480" w:firstLineChars="200"/>
        <w:rPr>
          <w:sz w:val="24"/>
        </w:rPr>
      </w:pPr>
      <w:r>
        <w:rPr>
          <w:sz w:val="24"/>
        </w:rPr>
        <w:t>承包人应以发包人和承包人的共同名义投保第三者责任险。第三者责任险的保险费由承包人报价时列入工程量清单100章内。发包人在接到保险单后，将按照保险单的费用直接向承包人支付。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sz w:val="24"/>
        </w:rPr>
      </w:pPr>
      <w:r>
        <w:rPr>
          <w:rFonts w:eastAsia="黑体"/>
          <w:sz w:val="24"/>
        </w:rPr>
        <w:t>20.5其他保险</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承包人应为其施工设备等办理保险，其投保金额应足以现场重置。办理本款保险的一切费用均由承包人承担，并包括在工程量清单的单价及总额价中，发包人不单独支付。</w:t>
      </w:r>
    </w:p>
    <w:p>
      <w:pPr>
        <w:adjustRightInd w:val="0"/>
        <w:snapToGrid w:val="0"/>
        <w:spacing w:beforeLines="100" w:line="360" w:lineRule="auto"/>
        <w:rPr>
          <w:rFonts w:eastAsia="黑体"/>
          <w:sz w:val="24"/>
        </w:rPr>
      </w:pPr>
      <w:r>
        <w:rPr>
          <w:rFonts w:eastAsia="黑体"/>
          <w:sz w:val="24"/>
        </w:rPr>
        <w:t>20.6对各项保险的一般要求</w:t>
      </w:r>
    </w:p>
    <w:p>
      <w:pPr>
        <w:adjustRightInd w:val="0"/>
        <w:snapToGrid w:val="0"/>
        <w:spacing w:line="360" w:lineRule="auto"/>
        <w:ind w:firstLine="480" w:firstLineChars="200"/>
        <w:rPr>
          <w:sz w:val="24"/>
        </w:rPr>
      </w:pPr>
      <w:r>
        <w:rPr>
          <w:sz w:val="24"/>
        </w:rPr>
        <w:t>20.6.1保险凭证</w:t>
      </w:r>
    </w:p>
    <w:p>
      <w:pPr>
        <w:adjustRightInd w:val="0"/>
        <w:snapToGrid w:val="0"/>
        <w:spacing w:line="360" w:lineRule="auto"/>
        <w:ind w:firstLine="480" w:firstLineChars="200"/>
        <w:rPr>
          <w:sz w:val="24"/>
        </w:rPr>
      </w:pPr>
      <w:r>
        <w:rPr>
          <w:sz w:val="24"/>
        </w:rPr>
        <w:t>本项约定为：</w:t>
      </w:r>
    </w:p>
    <w:p>
      <w:pPr>
        <w:adjustRightInd w:val="0"/>
        <w:snapToGrid w:val="0"/>
        <w:spacing w:line="360" w:lineRule="auto"/>
        <w:ind w:firstLine="480" w:firstLineChars="200"/>
        <w:rPr>
          <w:sz w:val="24"/>
        </w:rPr>
      </w:pPr>
      <w:r>
        <w:rPr>
          <w:sz w:val="24"/>
        </w:rPr>
        <w:t>承包人向发包人提交各项保险生效的证据和保险单副本的期限：</w:t>
      </w:r>
      <w:r>
        <w:rPr>
          <w:rFonts w:hint="eastAsia"/>
          <w:sz w:val="24"/>
          <w:u w:val="single"/>
        </w:rPr>
        <w:t xml:space="preserve">  开工后56天内 </w:t>
      </w:r>
      <w:r>
        <w:rPr>
          <w:sz w:val="24"/>
        </w:rPr>
        <w:t>。</w:t>
      </w:r>
    </w:p>
    <w:p>
      <w:pPr>
        <w:adjustRightInd w:val="0"/>
        <w:snapToGrid w:val="0"/>
        <w:spacing w:line="360" w:lineRule="auto"/>
        <w:ind w:firstLine="480" w:firstLineChars="200"/>
        <w:rPr>
          <w:sz w:val="24"/>
        </w:rPr>
      </w:pPr>
      <w:r>
        <w:rPr>
          <w:sz w:val="24"/>
        </w:rPr>
        <w:t>20.6.3持续保险</w:t>
      </w:r>
    </w:p>
    <w:p>
      <w:pPr>
        <w:adjustRightInd w:val="0"/>
        <w:snapToGrid w:val="0"/>
        <w:spacing w:line="360" w:lineRule="auto"/>
        <w:ind w:firstLine="480" w:firstLineChars="200"/>
        <w:rPr>
          <w:sz w:val="24"/>
        </w:rPr>
      </w:pPr>
      <w:r>
        <w:rPr>
          <w:sz w:val="24"/>
        </w:rPr>
        <w:t>本项补充：</w:t>
      </w:r>
    </w:p>
    <w:p>
      <w:pPr>
        <w:adjustRightInd w:val="0"/>
        <w:snapToGrid w:val="0"/>
        <w:spacing w:line="360" w:lineRule="auto"/>
        <w:ind w:firstLine="480" w:firstLineChars="200"/>
        <w:rPr>
          <w:sz w:val="24"/>
        </w:rPr>
      </w:pPr>
      <w:r>
        <w:rPr>
          <w:sz w:val="24"/>
        </w:rPr>
        <w:t>在整个合同期内，承包人应按合同条款保证足够的保险额。</w:t>
      </w:r>
    </w:p>
    <w:p>
      <w:pPr>
        <w:adjustRightInd w:val="0"/>
        <w:snapToGrid w:val="0"/>
        <w:spacing w:line="360" w:lineRule="auto"/>
        <w:ind w:firstLine="480" w:firstLineChars="200"/>
        <w:rPr>
          <w:sz w:val="24"/>
        </w:rPr>
      </w:pPr>
      <w:r>
        <w:rPr>
          <w:sz w:val="24"/>
        </w:rPr>
        <w:t>20.6.4保险</w:t>
      </w:r>
      <w:r>
        <w:rPr>
          <w:rFonts w:hint="eastAsia"/>
          <w:sz w:val="24"/>
        </w:rPr>
        <w:t>金</w:t>
      </w:r>
      <w:r>
        <w:rPr>
          <w:sz w:val="24"/>
        </w:rPr>
        <w:t>不足的补偿</w:t>
      </w:r>
    </w:p>
    <w:p>
      <w:pPr>
        <w:adjustRightInd w:val="0"/>
        <w:snapToGrid w:val="0"/>
        <w:spacing w:line="360" w:lineRule="auto"/>
        <w:ind w:firstLine="480" w:firstLineChars="200"/>
        <w:rPr>
          <w:sz w:val="24"/>
        </w:rPr>
      </w:pPr>
      <w:r>
        <w:rPr>
          <w:sz w:val="24"/>
        </w:rPr>
        <w:t xml:space="preserve">本项细化为： </w:t>
      </w:r>
    </w:p>
    <w:p>
      <w:pPr>
        <w:adjustRightInd w:val="0"/>
        <w:snapToGrid w:val="0"/>
        <w:spacing w:line="360" w:lineRule="auto"/>
        <w:ind w:firstLine="480" w:firstLineChars="200"/>
        <w:rPr>
          <w:sz w:val="24"/>
        </w:rPr>
      </w:pPr>
      <w:r>
        <w:rPr>
          <w:sz w:val="24"/>
        </w:rPr>
        <w:t>保险金不足以补偿损失的（包括免赔额和超过赔偿限额的部分），应由承包人和（或）发包人按合同约定负责补偿。</w:t>
      </w:r>
    </w:p>
    <w:p>
      <w:pPr>
        <w:adjustRightInd w:val="0"/>
        <w:snapToGrid w:val="0"/>
        <w:spacing w:line="360" w:lineRule="auto"/>
        <w:ind w:firstLine="480" w:firstLineChars="200"/>
        <w:rPr>
          <w:sz w:val="24"/>
        </w:rPr>
      </w:pPr>
      <w:r>
        <w:rPr>
          <w:sz w:val="24"/>
        </w:rPr>
        <w:t>20.6.5未按约定投保的补救</w:t>
      </w:r>
    </w:p>
    <w:p>
      <w:pPr>
        <w:adjustRightInd w:val="0"/>
        <w:snapToGrid w:val="0"/>
        <w:spacing w:line="360" w:lineRule="auto"/>
        <w:ind w:firstLine="480" w:firstLineChars="200"/>
        <w:rPr>
          <w:sz w:val="24"/>
        </w:rPr>
      </w:pPr>
      <w:r>
        <w:rPr>
          <w:sz w:val="24"/>
        </w:rPr>
        <w:t>本项（2）目细化为：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adjustRightInd w:val="0"/>
        <w:snapToGrid w:val="0"/>
        <w:spacing w:beforeLines="100" w:line="360" w:lineRule="auto"/>
        <w:rPr>
          <w:rFonts w:eastAsia="黑体"/>
          <w:sz w:val="24"/>
        </w:rPr>
      </w:pPr>
      <w:r>
        <w:rPr>
          <w:rFonts w:eastAsia="黑体"/>
          <w:sz w:val="24"/>
        </w:rPr>
        <w:t>21．不可抗力</w:t>
      </w:r>
    </w:p>
    <w:p>
      <w:pPr>
        <w:adjustRightInd w:val="0"/>
        <w:snapToGrid w:val="0"/>
        <w:spacing w:line="360" w:lineRule="auto"/>
        <w:rPr>
          <w:rFonts w:eastAsia="黑体"/>
          <w:sz w:val="24"/>
        </w:rPr>
      </w:pPr>
      <w:r>
        <w:rPr>
          <w:rFonts w:eastAsia="黑体"/>
          <w:sz w:val="24"/>
        </w:rPr>
        <w:t>21.1不可抗力的确认</w:t>
      </w:r>
    </w:p>
    <w:p>
      <w:pPr>
        <w:adjustRightInd w:val="0"/>
        <w:snapToGrid w:val="0"/>
        <w:spacing w:line="360" w:lineRule="auto"/>
        <w:ind w:firstLine="480" w:firstLineChars="200"/>
        <w:rPr>
          <w:sz w:val="24"/>
        </w:rPr>
      </w:pPr>
      <w:r>
        <w:rPr>
          <w:sz w:val="24"/>
        </w:rPr>
        <w:t>21</w:t>
      </w:r>
      <w:r>
        <w:rPr>
          <w:rFonts w:hint="eastAsia"/>
          <w:sz w:val="24"/>
        </w:rPr>
        <w:t>.</w:t>
      </w:r>
      <w:r>
        <w:rPr>
          <w:sz w:val="24"/>
        </w:rPr>
        <w:t>1</w:t>
      </w:r>
      <w:r>
        <w:rPr>
          <w:rFonts w:hint="eastAsia"/>
          <w:sz w:val="24"/>
        </w:rPr>
        <w:t>.</w:t>
      </w:r>
      <w:r>
        <w:rPr>
          <w:sz w:val="24"/>
        </w:rPr>
        <w:t>1项细化为：</w:t>
      </w:r>
    </w:p>
    <w:p>
      <w:pPr>
        <w:adjustRightInd w:val="0"/>
        <w:snapToGrid w:val="0"/>
        <w:spacing w:line="360" w:lineRule="auto"/>
        <w:ind w:firstLine="480" w:firstLineChars="200"/>
        <w:rPr>
          <w:sz w:val="24"/>
        </w:rPr>
      </w:pPr>
      <w:r>
        <w:rPr>
          <w:sz w:val="24"/>
        </w:rPr>
        <w:t>不可抗力是指承包人和发包人在订立合同时不可预见，在工程施工过程中不可避免发生并不能克服的自然灾害和社会性突发事件。包括但不限于：</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地震、海啸、火山爆发、泥石流、暴雨（雪）、台风、龙卷风、水灾等自然灾害；</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战争、骚乱、暴动，但纯属承包人或其分包人派遣与雇用的人员由于本合同工程施工原因引起者除外；</w:t>
      </w:r>
    </w:p>
    <w:p>
      <w:pPr>
        <w:adjustRightInd w:val="0"/>
        <w:snapToGrid w:val="0"/>
        <w:spacing w:line="360" w:lineRule="auto"/>
        <w:ind w:firstLine="480" w:firstLineChars="200"/>
        <w:rPr>
          <w:sz w:val="24"/>
        </w:rPr>
      </w:pPr>
      <w:r>
        <w:rPr>
          <w:sz w:val="24"/>
        </w:rPr>
        <w:t>（3）核反应、辐射或放射性污染；</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空中飞行物体坠落或非发包人或承包人责任造成的爆炸、火灾；</w:t>
      </w:r>
    </w:p>
    <w:p>
      <w:pPr>
        <w:adjustRightInd w:val="0"/>
        <w:snapToGrid w:val="0"/>
        <w:spacing w:line="360" w:lineRule="auto"/>
        <w:ind w:firstLine="480" w:firstLineChars="200"/>
        <w:rPr>
          <w:sz w:val="24"/>
        </w:rPr>
      </w:pPr>
      <w:r>
        <w:rPr>
          <w:sz w:val="24"/>
        </w:rPr>
        <w:t>（5</w:t>
      </w:r>
      <w:r>
        <w:rPr>
          <w:rFonts w:hint="eastAsia"/>
          <w:sz w:val="24"/>
        </w:rPr>
        <w:t>）</w:t>
      </w:r>
      <w:r>
        <w:rPr>
          <w:sz w:val="24"/>
        </w:rPr>
        <w:t>瘟疫；</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项目专用合同条款约定的其他情形。</w:t>
      </w:r>
    </w:p>
    <w:p>
      <w:pPr>
        <w:adjustRightInd w:val="0"/>
        <w:snapToGrid w:val="0"/>
        <w:spacing w:beforeLines="100" w:line="360" w:lineRule="auto"/>
        <w:rPr>
          <w:rFonts w:eastAsia="黑体"/>
          <w:sz w:val="24"/>
        </w:rPr>
      </w:pPr>
      <w:r>
        <w:rPr>
          <w:rFonts w:eastAsia="黑体"/>
          <w:sz w:val="24"/>
        </w:rPr>
        <w:t>21.3不可抗力后果及其处理</w:t>
      </w:r>
    </w:p>
    <w:p>
      <w:pPr>
        <w:adjustRightInd w:val="0"/>
        <w:snapToGrid w:val="0"/>
        <w:spacing w:line="360" w:lineRule="auto"/>
        <w:ind w:firstLine="480" w:firstLineChars="200"/>
        <w:rPr>
          <w:sz w:val="24"/>
        </w:rPr>
      </w:pPr>
      <w:r>
        <w:rPr>
          <w:sz w:val="24"/>
        </w:rPr>
        <w:t>21.3.4因不可抗力解除合同本项细化为：</w:t>
      </w:r>
    </w:p>
    <w:p>
      <w:pPr>
        <w:adjustRightInd w:val="0"/>
        <w:snapToGrid w:val="0"/>
        <w:spacing w:line="360" w:lineRule="auto"/>
        <w:ind w:firstLine="480" w:firstLineChars="200"/>
        <w:rPr>
          <w:sz w:val="24"/>
        </w:rPr>
      </w:pPr>
      <w:r>
        <w:rPr>
          <w:sz w:val="24"/>
        </w:rPr>
        <w:t>合同一方当事人因不可抗力不能履行合同的，应当及时通知对方解除合同。合同解除后，承包人应按照第22.2.5项约定撤离施工场地。己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adjustRightInd w:val="0"/>
        <w:snapToGrid w:val="0"/>
        <w:spacing w:beforeLines="100" w:line="360" w:lineRule="auto"/>
        <w:rPr>
          <w:rFonts w:eastAsia="黑体"/>
          <w:sz w:val="24"/>
        </w:rPr>
      </w:pPr>
      <w:r>
        <w:rPr>
          <w:rFonts w:eastAsia="黑体"/>
          <w:sz w:val="24"/>
        </w:rPr>
        <w:t>22</w:t>
      </w:r>
      <w:r>
        <w:rPr>
          <w:rFonts w:hint="eastAsia" w:eastAsia="黑体"/>
          <w:sz w:val="24"/>
        </w:rPr>
        <w:t>．</w:t>
      </w:r>
      <w:r>
        <w:rPr>
          <w:rFonts w:eastAsia="黑体"/>
          <w:sz w:val="24"/>
        </w:rPr>
        <w:t>违约</w:t>
      </w:r>
    </w:p>
    <w:p>
      <w:pPr>
        <w:adjustRightInd w:val="0"/>
        <w:snapToGrid w:val="0"/>
        <w:spacing w:line="360" w:lineRule="auto"/>
        <w:rPr>
          <w:rFonts w:eastAsia="黑体"/>
          <w:sz w:val="24"/>
        </w:rPr>
      </w:pPr>
      <w:r>
        <w:rPr>
          <w:rFonts w:eastAsia="黑体"/>
          <w:sz w:val="24"/>
        </w:rPr>
        <w:t>22.1承包人违约</w:t>
      </w:r>
    </w:p>
    <w:p>
      <w:pPr>
        <w:adjustRightInd w:val="0"/>
        <w:snapToGrid w:val="0"/>
        <w:spacing w:line="360" w:lineRule="auto"/>
        <w:ind w:firstLine="480" w:firstLineChars="200"/>
        <w:rPr>
          <w:sz w:val="24"/>
        </w:rPr>
      </w:pPr>
      <w:r>
        <w:rPr>
          <w:sz w:val="24"/>
        </w:rPr>
        <w:t>22.1.1承包人违约的情形</w:t>
      </w:r>
    </w:p>
    <w:p>
      <w:pPr>
        <w:adjustRightInd w:val="0"/>
        <w:snapToGrid w:val="0"/>
        <w:spacing w:line="360" w:lineRule="auto"/>
        <w:ind w:firstLine="480" w:firstLineChars="200"/>
        <w:rPr>
          <w:sz w:val="24"/>
        </w:rPr>
      </w:pPr>
      <w:r>
        <w:rPr>
          <w:sz w:val="24"/>
        </w:rPr>
        <w:t>本项</w:t>
      </w:r>
      <w:r>
        <w:rPr>
          <w:rFonts w:hint="eastAsia"/>
          <w:sz w:val="24"/>
        </w:rPr>
        <w:t>（</w:t>
      </w:r>
      <w:r>
        <w:rPr>
          <w:sz w:val="24"/>
        </w:rPr>
        <w:t>2</w:t>
      </w:r>
      <w:r>
        <w:rPr>
          <w:rFonts w:hint="eastAsia"/>
          <w:sz w:val="24"/>
        </w:rPr>
        <w:t>）</w:t>
      </w:r>
      <w:r>
        <w:rPr>
          <w:sz w:val="24"/>
        </w:rPr>
        <w:t>目细化为：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承包人违反第5.3款或第6.4款的约定，未经监理人批准，私自将已按合同约定进入施工场地的施工设备、临时设施、材料或工程设备撤离施工场地；</w:t>
      </w:r>
    </w:p>
    <w:p>
      <w:pPr>
        <w:adjustRightInd w:val="0"/>
        <w:snapToGrid w:val="0"/>
        <w:spacing w:line="360" w:lineRule="auto"/>
        <w:ind w:firstLine="480" w:firstLineChars="200"/>
        <w:rPr>
          <w:sz w:val="24"/>
        </w:rPr>
      </w:pPr>
      <w:r>
        <w:rPr>
          <w:sz w:val="24"/>
        </w:rPr>
        <w:t>本项</w:t>
      </w:r>
      <w:r>
        <w:rPr>
          <w:rFonts w:hint="eastAsia"/>
          <w:sz w:val="24"/>
        </w:rPr>
        <w:t>（</w:t>
      </w:r>
      <w:r>
        <w:rPr>
          <w:sz w:val="24"/>
        </w:rPr>
        <w:t>7</w:t>
      </w:r>
      <w:r>
        <w:rPr>
          <w:rFonts w:hint="eastAsia"/>
          <w:sz w:val="24"/>
        </w:rPr>
        <w:t>）</w:t>
      </w:r>
      <w:r>
        <w:rPr>
          <w:sz w:val="24"/>
        </w:rPr>
        <w:t>目细化为：</w:t>
      </w:r>
    </w:p>
    <w:p>
      <w:pPr>
        <w:adjustRightInd w:val="0"/>
        <w:snapToGrid w:val="0"/>
        <w:spacing w:line="360" w:lineRule="auto"/>
        <w:ind w:firstLine="480" w:firstLineChars="200"/>
        <w:rPr>
          <w:sz w:val="24"/>
        </w:rPr>
      </w:pPr>
      <w:r>
        <w:rPr>
          <w:sz w:val="24"/>
        </w:rPr>
        <w:t>（7</w:t>
      </w:r>
      <w:r>
        <w:rPr>
          <w:rFonts w:hint="eastAsia"/>
          <w:sz w:val="24"/>
        </w:rPr>
        <w:t>）</w:t>
      </w:r>
      <w:r>
        <w:rPr>
          <w:sz w:val="24"/>
        </w:rPr>
        <w:t>承包人未能按期开工；</w:t>
      </w:r>
    </w:p>
    <w:p>
      <w:pPr>
        <w:adjustRightInd w:val="0"/>
        <w:snapToGrid w:val="0"/>
        <w:spacing w:line="360" w:lineRule="auto"/>
        <w:ind w:firstLine="480" w:firstLineChars="200"/>
        <w:rPr>
          <w:sz w:val="24"/>
        </w:rPr>
      </w:pPr>
      <w:r>
        <w:rPr>
          <w:sz w:val="24"/>
        </w:rPr>
        <w:t>（8</w:t>
      </w:r>
      <w:r>
        <w:rPr>
          <w:rFonts w:hint="eastAsia"/>
          <w:sz w:val="24"/>
        </w:rPr>
        <w:t>）</w:t>
      </w:r>
      <w:r>
        <w:rPr>
          <w:sz w:val="24"/>
        </w:rPr>
        <w:t>承包人违反第4.6款关于按投标文件及时配备称职的主要管理人员与技术骨干的规定，或违反第6.3款承包人承诺配备的关键施工设备；</w:t>
      </w:r>
    </w:p>
    <w:p>
      <w:pPr>
        <w:adjustRightInd w:val="0"/>
        <w:snapToGrid w:val="0"/>
        <w:spacing w:line="360" w:lineRule="auto"/>
        <w:ind w:firstLine="480" w:firstLineChars="200"/>
        <w:rPr>
          <w:sz w:val="24"/>
        </w:rPr>
      </w:pPr>
      <w:r>
        <w:rPr>
          <w:rFonts w:hint="eastAsia"/>
          <w:sz w:val="24"/>
        </w:rPr>
        <w:t>（</w:t>
      </w:r>
      <w:r>
        <w:rPr>
          <w:sz w:val="24"/>
        </w:rPr>
        <w:t>9</w:t>
      </w:r>
      <w:r>
        <w:rPr>
          <w:rFonts w:hint="eastAsia"/>
          <w:sz w:val="24"/>
        </w:rPr>
        <w:t>）</w:t>
      </w:r>
      <w:r>
        <w:rPr>
          <w:sz w:val="24"/>
        </w:rPr>
        <w:t>承包人不按合同约定履行义务的其他情况。</w:t>
      </w:r>
    </w:p>
    <w:p>
      <w:pPr>
        <w:adjustRightInd w:val="0"/>
        <w:snapToGrid w:val="0"/>
        <w:spacing w:line="360" w:lineRule="auto"/>
        <w:ind w:firstLine="480" w:firstLineChars="200"/>
        <w:rPr>
          <w:sz w:val="24"/>
        </w:rPr>
      </w:pPr>
      <w:r>
        <w:rPr>
          <w:sz w:val="24"/>
        </w:rPr>
        <w:t>22.1.2对承包人违约的处理</w:t>
      </w:r>
    </w:p>
    <w:p>
      <w:pPr>
        <w:adjustRightInd w:val="0"/>
        <w:snapToGrid w:val="0"/>
        <w:spacing w:line="360" w:lineRule="auto"/>
        <w:ind w:firstLine="480" w:firstLineChars="200"/>
        <w:rPr>
          <w:sz w:val="24"/>
        </w:rPr>
      </w:pPr>
      <w:r>
        <w:rPr>
          <w:sz w:val="24"/>
        </w:rPr>
        <w:t>本项补充：</w:t>
      </w:r>
    </w:p>
    <w:p>
      <w:pPr>
        <w:adjustRightInd w:val="0"/>
        <w:snapToGrid w:val="0"/>
        <w:spacing w:line="360" w:lineRule="auto"/>
        <w:ind w:firstLine="480" w:firstLineChars="200"/>
        <w:rPr>
          <w:sz w:val="24"/>
        </w:rPr>
      </w:pPr>
      <w:r>
        <w:rPr>
          <w:sz w:val="24"/>
        </w:rPr>
        <w:t>承包人发生第22.1.1项约定的违约情况时，无论发包人是否解除合同，发包人均有权向承包人课以项目专用合同条款中规定的违约金。</w:t>
      </w:r>
    </w:p>
    <w:p>
      <w:pPr>
        <w:adjustRightInd w:val="0"/>
        <w:snapToGrid w:val="0"/>
        <w:spacing w:beforeLines="100" w:line="360" w:lineRule="auto"/>
        <w:rPr>
          <w:rFonts w:eastAsia="黑体"/>
          <w:sz w:val="24"/>
        </w:rPr>
      </w:pPr>
      <w:r>
        <w:rPr>
          <w:rFonts w:eastAsia="黑体"/>
          <w:sz w:val="24"/>
        </w:rPr>
        <w:t>22.2发包人违约</w:t>
      </w:r>
    </w:p>
    <w:p>
      <w:pPr>
        <w:adjustRightInd w:val="0"/>
        <w:snapToGrid w:val="0"/>
        <w:spacing w:line="360" w:lineRule="auto"/>
        <w:ind w:firstLine="480" w:firstLineChars="200"/>
        <w:rPr>
          <w:sz w:val="24"/>
        </w:rPr>
      </w:pPr>
      <w:r>
        <w:rPr>
          <w:sz w:val="24"/>
        </w:rPr>
        <w:t>22.2.4解除合同后的付款</w:t>
      </w:r>
    </w:p>
    <w:p>
      <w:pPr>
        <w:adjustRightInd w:val="0"/>
        <w:snapToGrid w:val="0"/>
        <w:spacing w:line="360" w:lineRule="auto"/>
        <w:ind w:firstLine="480" w:firstLineChars="200"/>
        <w:rPr>
          <w:sz w:val="24"/>
        </w:rPr>
      </w:pPr>
      <w:r>
        <w:rPr>
          <w:sz w:val="24"/>
        </w:rPr>
        <w:t>本项</w:t>
      </w:r>
      <w:r>
        <w:rPr>
          <w:rFonts w:hint="eastAsia"/>
          <w:sz w:val="24"/>
        </w:rPr>
        <w:t>（</w:t>
      </w:r>
      <w:r>
        <w:rPr>
          <w:sz w:val="24"/>
        </w:rPr>
        <w:t>2</w:t>
      </w:r>
      <w:r>
        <w:rPr>
          <w:rFonts w:hint="eastAsia"/>
          <w:sz w:val="24"/>
        </w:rPr>
        <w:t>）</w:t>
      </w:r>
      <w:r>
        <w:rPr>
          <w:sz w:val="24"/>
        </w:rPr>
        <w:t>目细化为：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承包人为该工程施工订购并已付款的材料、工程设备和其他物品的金额。发包人付款后，该材料、工程设备和其他物品归发包人所有；</w:t>
      </w:r>
    </w:p>
    <w:p>
      <w:pPr>
        <w:adjustRightInd w:val="0"/>
        <w:snapToGrid w:val="0"/>
        <w:spacing w:beforeLines="100" w:line="360" w:lineRule="auto"/>
        <w:rPr>
          <w:rFonts w:eastAsia="黑体"/>
          <w:sz w:val="24"/>
        </w:rPr>
      </w:pPr>
      <w:r>
        <w:rPr>
          <w:rFonts w:eastAsia="黑体"/>
          <w:sz w:val="24"/>
        </w:rPr>
        <w:t>23</w:t>
      </w:r>
      <w:r>
        <w:rPr>
          <w:rFonts w:hint="eastAsia" w:eastAsia="黑体"/>
          <w:sz w:val="24"/>
        </w:rPr>
        <w:t>．</w:t>
      </w:r>
      <w:r>
        <w:rPr>
          <w:rFonts w:eastAsia="黑体"/>
          <w:sz w:val="24"/>
        </w:rPr>
        <w:t>索赔</w:t>
      </w:r>
    </w:p>
    <w:p>
      <w:pPr>
        <w:adjustRightInd w:val="0"/>
        <w:snapToGrid w:val="0"/>
        <w:spacing w:line="360" w:lineRule="auto"/>
        <w:rPr>
          <w:rFonts w:eastAsia="黑体"/>
          <w:sz w:val="24"/>
        </w:rPr>
      </w:pPr>
      <w:r>
        <w:rPr>
          <w:rFonts w:eastAsia="黑体"/>
          <w:sz w:val="24"/>
        </w:rPr>
        <w:t>23.1承包人索赔的提出</w:t>
      </w:r>
    </w:p>
    <w:p>
      <w:pPr>
        <w:adjustRightInd w:val="0"/>
        <w:snapToGrid w:val="0"/>
        <w:spacing w:line="360" w:lineRule="auto"/>
        <w:ind w:firstLine="480" w:firstLineChars="200"/>
        <w:rPr>
          <w:sz w:val="24"/>
        </w:rPr>
      </w:pPr>
      <w:r>
        <w:rPr>
          <w:sz w:val="24"/>
        </w:rPr>
        <w:t>本款</w:t>
      </w:r>
      <w:r>
        <w:rPr>
          <w:rFonts w:hint="eastAsia"/>
          <w:sz w:val="24"/>
        </w:rPr>
        <w:t>（</w:t>
      </w:r>
      <w:r>
        <w:rPr>
          <w:sz w:val="24"/>
        </w:rPr>
        <w:t>4）项细化为：</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在索赔事件影响结束后的28天内，承包人应向监理人递交最终索赔通知’书，说明最终要求索赔的追加付款金额和（或）延长的工期，并附必要的记录和证明材料。</w:t>
      </w:r>
    </w:p>
    <w:p>
      <w:pPr>
        <w:adjustRightInd w:val="0"/>
        <w:snapToGrid w:val="0"/>
        <w:spacing w:line="360" w:lineRule="auto"/>
        <w:rPr>
          <w:rFonts w:eastAsia="黑体"/>
          <w:sz w:val="24"/>
        </w:rPr>
      </w:pPr>
      <w:r>
        <w:rPr>
          <w:rFonts w:eastAsia="黑体"/>
          <w:sz w:val="24"/>
        </w:rPr>
        <w:t>23.2承包人索赔处理程序</w:t>
      </w:r>
    </w:p>
    <w:p>
      <w:pPr>
        <w:adjustRightInd w:val="0"/>
        <w:snapToGrid w:val="0"/>
        <w:spacing w:line="360" w:lineRule="auto"/>
        <w:ind w:firstLine="480" w:firstLineChars="200"/>
        <w:rPr>
          <w:sz w:val="24"/>
        </w:rPr>
      </w:pPr>
      <w:r>
        <w:rPr>
          <w:sz w:val="24"/>
        </w:rPr>
        <w:t>本款（2</w:t>
      </w:r>
      <w:r>
        <w:rPr>
          <w:rFonts w:hint="eastAsia"/>
          <w:sz w:val="24"/>
        </w:rPr>
        <w:t>）</w:t>
      </w:r>
      <w:r>
        <w:rPr>
          <w:sz w:val="24"/>
        </w:rPr>
        <w:t>项细化为：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监理人应按第3.5款商定或确定追加的付款和（或）延长的工期，并在收到上述索赔通知书或有关索赔的进一步证明材料后的42天内，将索赔处理结果报发包人批准后答复承包人。如果承包人提出的索赔要求未能遵守第23.1 （2）至（4）项的规定，则承包人只限于索赔由监理人按当时记录予以核实的那部分款额和（或）工期延长天数。</w:t>
      </w:r>
    </w:p>
    <w:p>
      <w:pPr>
        <w:adjustRightInd w:val="0"/>
        <w:snapToGrid w:val="0"/>
        <w:spacing w:beforeLines="100" w:line="360" w:lineRule="auto"/>
        <w:rPr>
          <w:rFonts w:eastAsia="黑体"/>
          <w:sz w:val="24"/>
        </w:rPr>
      </w:pPr>
      <w:r>
        <w:rPr>
          <w:rFonts w:eastAsia="黑体"/>
          <w:sz w:val="24"/>
        </w:rPr>
        <w:t>24</w:t>
      </w:r>
      <w:r>
        <w:rPr>
          <w:rFonts w:hint="eastAsia" w:eastAsia="黑体"/>
          <w:sz w:val="24"/>
        </w:rPr>
        <w:t>．</w:t>
      </w:r>
      <w:r>
        <w:rPr>
          <w:rFonts w:eastAsia="黑体"/>
          <w:sz w:val="24"/>
        </w:rPr>
        <w:t>争议的解决</w:t>
      </w:r>
    </w:p>
    <w:p>
      <w:pPr>
        <w:adjustRightInd w:val="0"/>
        <w:snapToGrid w:val="0"/>
        <w:spacing w:line="360" w:lineRule="auto"/>
        <w:rPr>
          <w:rFonts w:eastAsia="黑体"/>
          <w:sz w:val="24"/>
        </w:rPr>
      </w:pPr>
      <w:r>
        <w:rPr>
          <w:rFonts w:eastAsia="黑体"/>
          <w:sz w:val="24"/>
        </w:rPr>
        <w:t>24.1争议的解决方式</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争议的最终解决方式：</w:t>
      </w:r>
      <w:r>
        <w:rPr>
          <w:rFonts w:hint="eastAsia"/>
          <w:sz w:val="24"/>
          <w:u w:val="single"/>
        </w:rPr>
        <w:t xml:space="preserve">   仲裁或诉讼   </w:t>
      </w:r>
      <w:r>
        <w:rPr>
          <w:sz w:val="24"/>
        </w:rPr>
        <w:t>（在项目专用条款数据中约定）</w:t>
      </w:r>
    </w:p>
    <w:p>
      <w:pPr>
        <w:adjustRightInd w:val="0"/>
        <w:snapToGrid w:val="0"/>
        <w:spacing w:line="360" w:lineRule="auto"/>
        <w:ind w:firstLine="480" w:firstLineChars="200"/>
        <w:rPr>
          <w:sz w:val="24"/>
        </w:rPr>
      </w:pPr>
      <w:r>
        <w:rPr>
          <w:sz w:val="24"/>
        </w:rPr>
        <w:t>如采用仲裁，仲裁委员会名称：</w:t>
      </w:r>
      <w:r>
        <w:rPr>
          <w:sz w:val="24"/>
          <w:u w:val="single"/>
        </w:rPr>
        <w:t>（在项目专用条款数据中约定）</w:t>
      </w:r>
    </w:p>
    <w:p>
      <w:pPr>
        <w:adjustRightInd w:val="0"/>
        <w:snapToGrid w:val="0"/>
        <w:spacing w:beforeLines="100" w:line="360" w:lineRule="auto"/>
        <w:rPr>
          <w:rFonts w:eastAsia="黑体"/>
          <w:sz w:val="24"/>
        </w:rPr>
      </w:pPr>
      <w:r>
        <w:rPr>
          <w:rFonts w:eastAsia="黑体"/>
          <w:sz w:val="24"/>
        </w:rPr>
        <w:t>24.3争议评审</w:t>
      </w:r>
    </w:p>
    <w:p>
      <w:pPr>
        <w:adjustRightInd w:val="0"/>
        <w:snapToGrid w:val="0"/>
        <w:spacing w:line="360" w:lineRule="auto"/>
        <w:ind w:firstLine="480" w:firstLineChars="200"/>
        <w:rPr>
          <w:sz w:val="24"/>
        </w:rPr>
      </w:pPr>
      <w:r>
        <w:rPr>
          <w:sz w:val="24"/>
        </w:rPr>
        <w:t>24.3</w:t>
      </w:r>
      <w:r>
        <w:rPr>
          <w:rFonts w:hint="eastAsia"/>
          <w:sz w:val="24"/>
        </w:rPr>
        <w:t>.</w:t>
      </w:r>
      <w:r>
        <w:rPr>
          <w:sz w:val="24"/>
        </w:rPr>
        <w:t>1项补充：</w:t>
      </w:r>
    </w:p>
    <w:p>
      <w:pPr>
        <w:adjustRightInd w:val="0"/>
        <w:snapToGrid w:val="0"/>
        <w:spacing w:line="360" w:lineRule="auto"/>
        <w:ind w:firstLine="480" w:firstLineChars="200"/>
        <w:rPr>
          <w:sz w:val="24"/>
        </w:rPr>
      </w:pPr>
      <w:r>
        <w:rPr>
          <w:sz w:val="24"/>
        </w:rPr>
        <w:t>争议评审组由3人或5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pPr>
        <w:adjustRightInd w:val="0"/>
        <w:snapToGrid w:val="0"/>
        <w:spacing w:beforeLines="100" w:line="360" w:lineRule="auto"/>
        <w:rPr>
          <w:rFonts w:eastAsia="黑体"/>
          <w:sz w:val="24"/>
        </w:rPr>
      </w:pPr>
      <w:r>
        <w:rPr>
          <w:rFonts w:eastAsia="黑体"/>
          <w:sz w:val="24"/>
        </w:rPr>
        <w:t>本条增加第24.4</w:t>
      </w:r>
      <w:r>
        <w:rPr>
          <w:rFonts w:hint="eastAsia" w:eastAsia="黑体"/>
          <w:sz w:val="24"/>
        </w:rPr>
        <w:t>、</w:t>
      </w:r>
      <w:r>
        <w:rPr>
          <w:rFonts w:eastAsia="黑体"/>
          <w:sz w:val="24"/>
        </w:rPr>
        <w:t>24.5款（适用于采用仲裁方式最终解决争议的项目）：</w:t>
      </w:r>
    </w:p>
    <w:p>
      <w:pPr>
        <w:adjustRightInd w:val="0"/>
        <w:snapToGrid w:val="0"/>
        <w:spacing w:line="360" w:lineRule="auto"/>
        <w:rPr>
          <w:rFonts w:eastAsia="黑体"/>
          <w:sz w:val="24"/>
        </w:rPr>
      </w:pPr>
      <w:r>
        <w:rPr>
          <w:rFonts w:eastAsia="黑体"/>
          <w:sz w:val="24"/>
        </w:rPr>
        <w:t>24.4仲裁</w:t>
      </w:r>
    </w:p>
    <w:p>
      <w:pPr>
        <w:adjustRightInd w:val="0"/>
        <w:snapToGrid w:val="0"/>
        <w:spacing w:line="360" w:lineRule="auto"/>
        <w:ind w:firstLine="480" w:firstLineChars="200"/>
        <w:rPr>
          <w:sz w:val="24"/>
        </w:rPr>
      </w:pPr>
      <w:r>
        <w:rPr>
          <w:sz w:val="24"/>
        </w:rPr>
        <w:t>（1</w:t>
      </w:r>
      <w:r>
        <w:rPr>
          <w:rFonts w:hint="eastAsia"/>
          <w:sz w:val="24"/>
        </w:rPr>
        <w:t>）</w:t>
      </w:r>
      <w:r>
        <w:rPr>
          <w:sz w:val="24"/>
        </w:rPr>
        <w:t>对于未能友好解决或通过争议评审解决的争议，发包人或承包人任一方均有权提交给第24.1款约定的仲裁委员会仲裁。</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仲裁可在竣工之前或之后进行，但发包人、监理人和承包人各自的义务不得因在工程实施期间进行仲裁而有所改变。如果仲裁是在终止合同的情况下进行，则对合同工程应采取保护措施，措施费由败诉方承担。</w:t>
      </w:r>
    </w:p>
    <w:p>
      <w:pPr>
        <w:adjustRightInd w:val="0"/>
        <w:snapToGrid w:val="0"/>
        <w:spacing w:line="360" w:lineRule="auto"/>
        <w:ind w:firstLine="480" w:firstLineChars="200"/>
        <w:rPr>
          <w:sz w:val="24"/>
        </w:rPr>
      </w:pPr>
      <w:r>
        <w:rPr>
          <w:sz w:val="24"/>
        </w:rPr>
        <w:t>（3</w:t>
      </w:r>
      <w:r>
        <w:rPr>
          <w:rFonts w:hint="eastAsia"/>
          <w:sz w:val="24"/>
        </w:rPr>
        <w:t>）</w:t>
      </w:r>
      <w:r>
        <w:rPr>
          <w:sz w:val="24"/>
        </w:rPr>
        <w:t>仲裁裁决是终局性的并对发包人和承包人双方具有约束力。</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全部仲裁费用应由败诉方承担；或按仲裁委员会裁决的比例分担。</w:t>
      </w:r>
    </w:p>
    <w:p>
      <w:pPr>
        <w:adjustRightInd w:val="0"/>
        <w:snapToGrid w:val="0"/>
        <w:spacing w:beforeLines="100" w:line="360" w:lineRule="auto"/>
        <w:rPr>
          <w:rFonts w:eastAsia="黑体"/>
          <w:sz w:val="24"/>
        </w:rPr>
      </w:pPr>
      <w:r>
        <w:rPr>
          <w:rFonts w:eastAsia="黑体"/>
          <w:sz w:val="24"/>
        </w:rPr>
        <w:t>24.5诉讼</w:t>
      </w:r>
    </w:p>
    <w:p>
      <w:pPr>
        <w:adjustRightInd w:val="0"/>
        <w:snapToGrid w:val="0"/>
        <w:spacing w:line="360" w:lineRule="auto"/>
        <w:ind w:firstLine="480" w:firstLineChars="200"/>
        <w:rPr>
          <w:sz w:val="24"/>
        </w:rPr>
      </w:pPr>
      <w:r>
        <w:rPr>
          <w:sz w:val="24"/>
        </w:rPr>
        <w:t>（1</w:t>
      </w:r>
      <w:r>
        <w:rPr>
          <w:rFonts w:hint="eastAsia"/>
          <w:sz w:val="24"/>
        </w:rPr>
        <w:t>）</w:t>
      </w:r>
      <w:r>
        <w:rPr>
          <w:sz w:val="24"/>
        </w:rPr>
        <w:t>任何一方不履行仲裁机构的裁决的，对方可以向有管辖权的人民法院申请执行。受申请的人民法院应当执行。</w:t>
      </w:r>
    </w:p>
    <w:p>
      <w:pPr>
        <w:adjustRightInd w:val="0"/>
        <w:snapToGrid w:val="0"/>
        <w:spacing w:line="360" w:lineRule="auto"/>
        <w:ind w:firstLine="480" w:firstLineChars="200"/>
        <w:rPr>
          <w:rFonts w:ascii="黑体" w:eastAsia="黑体"/>
          <w:bCs/>
          <w:sz w:val="36"/>
          <w:szCs w:val="36"/>
        </w:rPr>
      </w:pPr>
      <w:r>
        <w:rPr>
          <w:rFonts w:hint="eastAsia"/>
          <w:sz w:val="24"/>
        </w:rPr>
        <w:t>（</w:t>
      </w:r>
      <w:r>
        <w:rPr>
          <w:sz w:val="24"/>
        </w:rPr>
        <w:t>2</w:t>
      </w:r>
      <w:r>
        <w:rPr>
          <w:rFonts w:hint="eastAsia"/>
          <w:sz w:val="24"/>
        </w:rPr>
        <w:t>）</w:t>
      </w:r>
      <w:r>
        <w:rPr>
          <w:sz w:val="24"/>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pPr>
        <w:tabs>
          <w:tab w:val="left" w:pos="4500"/>
        </w:tabs>
        <w:spacing w:line="520" w:lineRule="exact"/>
        <w:jc w:val="center"/>
        <w:rPr>
          <w:rFonts w:ascii="黑体" w:eastAsia="黑体"/>
          <w:bCs/>
          <w:sz w:val="36"/>
          <w:szCs w:val="36"/>
        </w:rPr>
      </w:pPr>
      <w:r>
        <w:rPr>
          <w:rFonts w:hint="eastAsia" w:ascii="黑体" w:eastAsia="黑体"/>
          <w:bCs/>
          <w:sz w:val="36"/>
          <w:szCs w:val="36"/>
        </w:rPr>
        <w:t>B.项目专用合同条款</w:t>
      </w:r>
    </w:p>
    <w:p>
      <w:pPr>
        <w:tabs>
          <w:tab w:val="left" w:pos="4500"/>
        </w:tabs>
        <w:spacing w:line="520" w:lineRule="exact"/>
        <w:ind w:firstLine="480" w:firstLineChars="200"/>
        <w:rPr>
          <w:rFonts w:ascii="宋体" w:hAnsi="宋体"/>
          <w:sz w:val="24"/>
        </w:rPr>
      </w:pPr>
      <w:r>
        <w:rPr>
          <w:rFonts w:hint="eastAsia"/>
          <w:sz w:val="24"/>
        </w:rPr>
        <w:t>1.1 项目清单单价杜绝不平衡报价。</w:t>
      </w:r>
      <w:r>
        <w:rPr>
          <w:rFonts w:hint="eastAsia" w:ascii="宋体" w:hAnsi="宋体"/>
          <w:sz w:val="24"/>
        </w:rPr>
        <w:t>清单单价报价范围应在调整后的招标人清单报价的105％（含105％）至85％（含85％）之间，不在该范围的投标人清单报价作为废标处理。</w:t>
      </w:r>
    </w:p>
    <w:p>
      <w:pPr>
        <w:spacing w:line="360" w:lineRule="auto"/>
        <w:ind w:firstLine="480" w:firstLineChars="200"/>
        <w:rPr>
          <w:rFonts w:ascii="宋体" w:hAnsi="宋体"/>
          <w:sz w:val="24"/>
        </w:rPr>
      </w:pPr>
      <w:r>
        <w:rPr>
          <w:rFonts w:hint="eastAsia" w:ascii="宋体" w:hAnsi="宋体"/>
          <w:sz w:val="24"/>
        </w:rPr>
        <w:t>1.2施工过程中，对于施工质量差、进度严重滞后的施工单位，发包人可以将其驱逐出场，或者强行分割其承包工程。</w:t>
      </w:r>
    </w:p>
    <w:p>
      <w:pPr>
        <w:spacing w:line="360" w:lineRule="auto"/>
        <w:ind w:firstLine="480" w:firstLineChars="200"/>
        <w:rPr>
          <w:rFonts w:ascii="宋体" w:hAnsi="宋体"/>
          <w:sz w:val="24"/>
        </w:rPr>
      </w:pPr>
      <w:r>
        <w:rPr>
          <w:rFonts w:hint="eastAsia" w:ascii="宋体" w:hAnsi="宋体"/>
          <w:sz w:val="24"/>
        </w:rPr>
        <w:t>1.3本工程质量目标要求竣工为合格工程，经验收标段工程不合格的质量保证金不予支付，同时在许昌交通建设市场给予通报批评，并上报省</w:t>
      </w:r>
      <w:r>
        <w:rPr>
          <w:rFonts w:ascii="宋体" w:hAnsi="宋体"/>
          <w:sz w:val="24"/>
        </w:rPr>
        <w:t>交通运输</w:t>
      </w:r>
      <w:r>
        <w:rPr>
          <w:rFonts w:hint="eastAsia" w:ascii="宋体" w:hAnsi="宋体"/>
          <w:sz w:val="24"/>
        </w:rPr>
        <w:t>厅</w:t>
      </w:r>
      <w:r>
        <w:rPr>
          <w:rFonts w:ascii="宋体" w:hAnsi="宋体"/>
          <w:sz w:val="24"/>
        </w:rPr>
        <w:t>建议降低</w:t>
      </w:r>
      <w:r>
        <w:rPr>
          <w:rFonts w:hint="eastAsia" w:ascii="宋体" w:hAnsi="宋体"/>
          <w:sz w:val="24"/>
        </w:rPr>
        <w:t>施工单位信用等级评价。</w:t>
      </w:r>
    </w:p>
    <w:p>
      <w:pPr>
        <w:adjustRightInd w:val="0"/>
        <w:snapToGrid w:val="0"/>
        <w:spacing w:line="360" w:lineRule="auto"/>
        <w:ind w:firstLine="480" w:firstLineChars="200"/>
        <w:rPr>
          <w:rFonts w:ascii="宋体" w:hAnsi="宋体"/>
          <w:sz w:val="24"/>
        </w:rPr>
      </w:pPr>
      <w:r>
        <w:rPr>
          <w:rFonts w:hint="eastAsia" w:ascii="宋体" w:hAnsi="宋体"/>
          <w:sz w:val="24"/>
        </w:rPr>
        <w:t>2.1价格调整：</w:t>
      </w:r>
    </w:p>
    <w:p>
      <w:pPr>
        <w:adjustRightInd w:val="0"/>
        <w:snapToGrid w:val="0"/>
        <w:spacing w:line="360" w:lineRule="auto"/>
        <w:ind w:firstLine="480" w:firstLineChars="200"/>
        <w:rPr>
          <w:rFonts w:ascii="宋体" w:hAnsi="宋体"/>
          <w:sz w:val="24"/>
        </w:rPr>
      </w:pPr>
      <w:r>
        <w:rPr>
          <w:rFonts w:hint="eastAsia" w:ascii="宋体" w:hAnsi="宋体"/>
          <w:sz w:val="24"/>
        </w:rPr>
        <w:t>因本项目要求工期短，合同期内不调价。</w:t>
      </w:r>
    </w:p>
    <w:p>
      <w:pPr>
        <w:adjustRightInd w:val="0"/>
        <w:snapToGrid w:val="0"/>
        <w:spacing w:line="360" w:lineRule="auto"/>
        <w:ind w:firstLine="480" w:firstLineChars="200"/>
        <w:rPr>
          <w:rFonts w:ascii="宋体" w:hAnsi="宋体"/>
          <w:sz w:val="24"/>
        </w:rPr>
      </w:pPr>
      <w:r>
        <w:rPr>
          <w:rFonts w:hint="eastAsia" w:ascii="宋体" w:hAnsi="宋体"/>
          <w:sz w:val="24"/>
        </w:rPr>
        <w:t>1、当施工单位投标报价中可调材料价格低于基准价格（发包人公示价格）时，只对实际价格涨（降）幅度在基准价10%以外的部分进行调整；</w:t>
      </w:r>
    </w:p>
    <w:p>
      <w:pPr>
        <w:adjustRightInd w:val="0"/>
        <w:snapToGrid w:val="0"/>
        <w:spacing w:line="360" w:lineRule="auto"/>
        <w:ind w:firstLine="480" w:firstLineChars="200"/>
        <w:rPr>
          <w:rFonts w:ascii="宋体" w:hAnsi="宋体"/>
          <w:sz w:val="24"/>
        </w:rPr>
      </w:pPr>
      <w:r>
        <w:rPr>
          <w:rFonts w:hint="eastAsia" w:ascii="宋体" w:hAnsi="宋体"/>
          <w:sz w:val="24"/>
        </w:rPr>
        <w:t>2、当施工单位投标报价中可调材料价格高于基准价格时，只对实际价格涨（降）幅度在投标报价中可调价格10%以外的部分进行调整。</w:t>
      </w:r>
    </w:p>
    <w:p>
      <w:pPr>
        <w:adjustRightInd w:val="0"/>
        <w:snapToGrid w:val="0"/>
        <w:spacing w:line="360" w:lineRule="auto"/>
        <w:ind w:firstLine="480" w:firstLineChars="200"/>
        <w:rPr>
          <w:rFonts w:ascii="宋体" w:hAnsi="宋体"/>
          <w:sz w:val="24"/>
        </w:rPr>
      </w:pPr>
      <w:r>
        <w:rPr>
          <w:rFonts w:hint="eastAsia" w:ascii="宋体" w:hAnsi="宋体"/>
          <w:sz w:val="24"/>
        </w:rPr>
        <w:t>3、双方承担比例：材料价格涨（降）幅度超过10％的部分，由承包人和业主进行协商解决。</w:t>
      </w:r>
    </w:p>
    <w:p>
      <w:pPr>
        <w:adjustRightInd w:val="0"/>
        <w:snapToGrid w:val="0"/>
        <w:spacing w:line="360" w:lineRule="auto"/>
        <w:ind w:firstLine="480" w:firstLineChars="200"/>
        <w:rPr>
          <w:rFonts w:ascii="宋体" w:hAnsi="宋体"/>
          <w:sz w:val="24"/>
        </w:rPr>
      </w:pPr>
      <w:r>
        <w:rPr>
          <w:rFonts w:hint="eastAsia" w:ascii="宋体" w:hAnsi="宋体"/>
          <w:sz w:val="24"/>
        </w:rPr>
        <w:t>4、因施工单位原因造成工期延误的，在延误期间价格变化引起的增加费用由施工单位承担。</w:t>
      </w:r>
    </w:p>
    <w:p>
      <w:pPr>
        <w:spacing w:line="360" w:lineRule="auto"/>
        <w:ind w:firstLine="480" w:firstLineChars="200"/>
        <w:rPr>
          <w:sz w:val="24"/>
        </w:rPr>
      </w:pPr>
      <w:r>
        <w:rPr>
          <w:rFonts w:hint="eastAsia" w:ascii="宋体" w:hAnsi="宋体"/>
          <w:sz w:val="24"/>
        </w:rPr>
        <w:t>3.1承包人安排在施工场地的主要管理人员和技术骨干应与投标文件（如承包人未在投标阶段对人员进行新增或更新，则以资格预审申请文件为准）所承诺的名单一致，并保持相对稳定，原则上不充许更换，如确需要更换人员，更换比例不得超出投标文件人员承诺书中人员总数的30%。合同签订时进场人员（拟投入关键人员承诺书所列人员）如需更换，更换人员须经监理、发包人审查同意后方可更换，同时给予处罚，承包人的主要人员（项目经理、项目副经理、项目总工程师、试验负责人、质检工程师）每更换一人次处罚10万元；合同中的其他人员（拟投入关键人员承诺书所列人员）每更换一人次处罚5万元。承包人的主要人员（项目经理、项目副经理、项目总工程师、试验负责人、质检工程师）一旦擅自更换，发包人对承包人处罚20万元/每人次；合同中的其他人员（拟投入关键人员承诺书所列人员）一旦擅自更换，发包人对承包人处罚5万元/每人次；同时要求承包人按合同承诺人员到位，并按照发包人下发的履约评价实施细则扣分。未经监理人批准，上述人员不应无故不到位或被替换；若确实无法到位或需替换，需经监理人审核并报发包人批准后，用同等资质和经历的人员替换。</w:t>
      </w:r>
    </w:p>
    <w:p>
      <w:pPr>
        <w:tabs>
          <w:tab w:val="left" w:pos="4500"/>
        </w:tabs>
        <w:spacing w:line="520" w:lineRule="exact"/>
        <w:rPr>
          <w:rFonts w:ascii="黑体" w:eastAsia="黑体"/>
          <w:sz w:val="32"/>
          <w:szCs w:val="32"/>
        </w:rPr>
      </w:pPr>
      <w:r>
        <w:rPr>
          <w:rFonts w:ascii="黑体" w:eastAsia="黑体"/>
          <w:bCs/>
          <w:sz w:val="36"/>
          <w:szCs w:val="36"/>
        </w:rPr>
        <w:br w:type="page"/>
      </w:r>
      <w:r>
        <w:rPr>
          <w:rFonts w:hint="eastAsia" w:ascii="黑体" w:eastAsia="黑体"/>
          <w:sz w:val="32"/>
          <w:szCs w:val="32"/>
        </w:rPr>
        <w:t>项目专用条款数据表</w:t>
      </w:r>
    </w:p>
    <w:p>
      <w:pPr>
        <w:tabs>
          <w:tab w:val="left" w:pos="4500"/>
        </w:tabs>
        <w:spacing w:line="520" w:lineRule="exact"/>
        <w:rPr>
          <w:rFonts w:ascii="黑体" w:eastAsia="黑体"/>
          <w:sz w:val="32"/>
          <w:szCs w:val="32"/>
        </w:rPr>
      </w:pPr>
      <w:r>
        <w:rPr>
          <w:rFonts w:hint="eastAsia"/>
          <w:sz w:val="24"/>
        </w:rPr>
        <w:t>说明：本数据表是项目专用合同条款中适用于本项目的信息和数据的归纳与提</w:t>
      </w:r>
    </w:p>
    <w:p>
      <w:pPr>
        <w:adjustRightInd w:val="0"/>
        <w:snapToGrid w:val="0"/>
        <w:spacing w:line="360" w:lineRule="auto"/>
        <w:ind w:firstLine="811" w:firstLineChars="338"/>
        <w:rPr>
          <w:sz w:val="24"/>
        </w:rPr>
      </w:pPr>
      <w:r>
        <w:rPr>
          <w:rFonts w:hint="eastAsia"/>
          <w:sz w:val="24"/>
        </w:rPr>
        <w:t>示，是项目专用合同条款的组成部分。第三卷投标函附录中的数据（供</w:t>
      </w:r>
    </w:p>
    <w:p>
      <w:pPr>
        <w:adjustRightInd w:val="0"/>
        <w:snapToGrid w:val="0"/>
        <w:spacing w:line="360" w:lineRule="auto"/>
        <w:ind w:firstLine="811" w:firstLineChars="338"/>
        <w:rPr>
          <w:sz w:val="24"/>
        </w:rPr>
      </w:pPr>
      <w:r>
        <w:rPr>
          <w:rFonts w:hint="eastAsia"/>
          <w:sz w:val="24"/>
        </w:rPr>
        <w:t>投标人确认）与本表所列有重复。编写招标文件的单位应仔细校核，不</w:t>
      </w:r>
    </w:p>
    <w:p>
      <w:pPr>
        <w:adjustRightInd w:val="0"/>
        <w:snapToGrid w:val="0"/>
        <w:spacing w:line="360" w:lineRule="auto"/>
        <w:ind w:firstLine="811" w:firstLineChars="338"/>
        <w:rPr>
          <w:sz w:val="24"/>
        </w:rPr>
      </w:pPr>
      <w:r>
        <w:rPr>
          <w:rFonts w:hint="eastAsia"/>
          <w:sz w:val="24"/>
        </w:rPr>
        <w:t>使数据出现差错或不一致。</w:t>
      </w:r>
    </w:p>
    <w:tbl>
      <w:tblPr>
        <w:tblStyle w:val="16"/>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134"/>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64" w:type="dxa"/>
            <w:vAlign w:val="center"/>
          </w:tcPr>
          <w:p>
            <w:pPr>
              <w:adjustRightInd w:val="0"/>
              <w:snapToGrid w:val="0"/>
              <w:spacing w:line="312" w:lineRule="auto"/>
              <w:rPr>
                <w:sz w:val="24"/>
              </w:rPr>
            </w:pPr>
            <w:r>
              <w:rPr>
                <w:rFonts w:hint="eastAsia"/>
                <w:sz w:val="24"/>
              </w:rPr>
              <w:t>序号</w:t>
            </w:r>
          </w:p>
        </w:tc>
        <w:tc>
          <w:tcPr>
            <w:tcW w:w="1134" w:type="dxa"/>
            <w:vAlign w:val="center"/>
          </w:tcPr>
          <w:p>
            <w:pPr>
              <w:adjustRightInd w:val="0"/>
              <w:snapToGrid w:val="0"/>
              <w:spacing w:line="312" w:lineRule="auto"/>
              <w:rPr>
                <w:sz w:val="24"/>
              </w:rPr>
            </w:pPr>
            <w:r>
              <w:rPr>
                <w:rFonts w:hint="eastAsia"/>
                <w:sz w:val="24"/>
              </w:rPr>
              <w:t>条款号</w:t>
            </w:r>
          </w:p>
        </w:tc>
        <w:tc>
          <w:tcPr>
            <w:tcW w:w="7027" w:type="dxa"/>
            <w:vAlign w:val="center"/>
          </w:tcPr>
          <w:p>
            <w:pPr>
              <w:adjustRightInd w:val="0"/>
              <w:snapToGrid w:val="0"/>
              <w:spacing w:line="312" w:lineRule="auto"/>
              <w:rPr>
                <w:sz w:val="24"/>
              </w:rPr>
            </w:pPr>
            <w:r>
              <w:rPr>
                <w:rFonts w:hint="eastAsia"/>
                <w:sz w:val="24"/>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w:t>
            </w:r>
          </w:p>
        </w:tc>
        <w:tc>
          <w:tcPr>
            <w:tcW w:w="1134" w:type="dxa"/>
            <w:vAlign w:val="center"/>
          </w:tcPr>
          <w:p>
            <w:pPr>
              <w:adjustRightInd w:val="0"/>
              <w:snapToGrid w:val="0"/>
              <w:spacing w:line="312" w:lineRule="auto"/>
              <w:rPr>
                <w:sz w:val="24"/>
              </w:rPr>
            </w:pPr>
            <w:r>
              <w:rPr>
                <w:rFonts w:hint="eastAsia"/>
                <w:sz w:val="24"/>
              </w:rPr>
              <w:t>1.1.2.2</w:t>
            </w:r>
          </w:p>
        </w:tc>
        <w:tc>
          <w:tcPr>
            <w:tcW w:w="7027" w:type="dxa"/>
          </w:tcPr>
          <w:p>
            <w:pPr>
              <w:adjustRightInd w:val="0"/>
              <w:snapToGrid w:val="0"/>
              <w:spacing w:line="312" w:lineRule="auto"/>
              <w:rPr>
                <w:sz w:val="24"/>
              </w:rPr>
            </w:pPr>
            <w:r>
              <w:rPr>
                <w:rFonts w:hint="eastAsia"/>
                <w:sz w:val="24"/>
              </w:rPr>
              <w:t>发包人：</w:t>
            </w:r>
            <w:r>
              <w:rPr>
                <w:rFonts w:hint="eastAsia" w:hAnsi="宋体" w:cs="宋体"/>
                <w:sz w:val="24"/>
                <w:lang w:val="zh-CN"/>
              </w:rPr>
              <w:t>许昌市建安区交通运输局</w:t>
            </w:r>
          </w:p>
          <w:p>
            <w:pPr>
              <w:adjustRightInd w:val="0"/>
              <w:snapToGrid w:val="0"/>
              <w:spacing w:line="312" w:lineRule="auto"/>
              <w:rPr>
                <w:sz w:val="24"/>
              </w:rPr>
            </w:pPr>
            <w:r>
              <w:rPr>
                <w:rFonts w:hint="eastAsia"/>
                <w:sz w:val="24"/>
              </w:rPr>
              <w:t>地址： 许昌市建安区新元大道兴业大厦          邮编：461000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2</w:t>
            </w:r>
          </w:p>
        </w:tc>
        <w:tc>
          <w:tcPr>
            <w:tcW w:w="1134" w:type="dxa"/>
            <w:vAlign w:val="center"/>
          </w:tcPr>
          <w:p>
            <w:pPr>
              <w:adjustRightInd w:val="0"/>
              <w:snapToGrid w:val="0"/>
              <w:spacing w:line="312" w:lineRule="auto"/>
              <w:rPr>
                <w:sz w:val="24"/>
              </w:rPr>
            </w:pPr>
            <w:r>
              <w:rPr>
                <w:rFonts w:hint="eastAsia"/>
                <w:sz w:val="24"/>
              </w:rPr>
              <w:t>1.1.2.6</w:t>
            </w:r>
          </w:p>
        </w:tc>
        <w:tc>
          <w:tcPr>
            <w:tcW w:w="7027" w:type="dxa"/>
          </w:tcPr>
          <w:p>
            <w:pPr>
              <w:adjustRightInd w:val="0"/>
              <w:snapToGrid w:val="0"/>
              <w:spacing w:line="312" w:lineRule="auto"/>
              <w:rPr>
                <w:sz w:val="24"/>
              </w:rPr>
            </w:pPr>
            <w:r>
              <w:rPr>
                <w:rFonts w:hint="eastAsia"/>
                <w:sz w:val="24"/>
              </w:rPr>
              <w:t>监理人：</w:t>
            </w:r>
          </w:p>
          <w:p>
            <w:pPr>
              <w:adjustRightInd w:val="0"/>
              <w:snapToGrid w:val="0"/>
              <w:spacing w:line="312" w:lineRule="auto"/>
              <w:rPr>
                <w:sz w:val="24"/>
              </w:rPr>
            </w:pPr>
            <w:r>
              <w:rPr>
                <w:rFonts w:hint="eastAsia"/>
                <w:sz w:val="24"/>
              </w:rPr>
              <w:t>地  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3</w:t>
            </w:r>
          </w:p>
        </w:tc>
        <w:tc>
          <w:tcPr>
            <w:tcW w:w="1134" w:type="dxa"/>
            <w:vAlign w:val="center"/>
          </w:tcPr>
          <w:p>
            <w:pPr>
              <w:adjustRightInd w:val="0"/>
              <w:snapToGrid w:val="0"/>
              <w:spacing w:line="312" w:lineRule="auto"/>
              <w:rPr>
                <w:sz w:val="24"/>
              </w:rPr>
            </w:pPr>
            <w:r>
              <w:rPr>
                <w:rFonts w:hint="eastAsia"/>
                <w:sz w:val="24"/>
              </w:rPr>
              <w:t>1.1.4.3</w:t>
            </w:r>
          </w:p>
        </w:tc>
        <w:tc>
          <w:tcPr>
            <w:tcW w:w="7027" w:type="dxa"/>
          </w:tcPr>
          <w:p>
            <w:pPr>
              <w:adjustRightInd w:val="0"/>
              <w:snapToGrid w:val="0"/>
              <w:spacing w:line="312" w:lineRule="auto"/>
              <w:rPr>
                <w:sz w:val="24"/>
              </w:rPr>
            </w:pPr>
            <w:r>
              <w:rPr>
                <w:rFonts w:hint="eastAsia"/>
                <w:sz w:val="24"/>
              </w:rPr>
              <w:t>工期：日历天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4</w:t>
            </w:r>
          </w:p>
        </w:tc>
        <w:tc>
          <w:tcPr>
            <w:tcW w:w="1134" w:type="dxa"/>
            <w:vAlign w:val="center"/>
          </w:tcPr>
          <w:p>
            <w:pPr>
              <w:adjustRightInd w:val="0"/>
              <w:snapToGrid w:val="0"/>
              <w:spacing w:line="312" w:lineRule="auto"/>
              <w:rPr>
                <w:sz w:val="24"/>
              </w:rPr>
            </w:pPr>
            <w:r>
              <w:rPr>
                <w:rFonts w:hint="eastAsia"/>
                <w:sz w:val="24"/>
              </w:rPr>
              <w:t>1.1.4.5</w:t>
            </w:r>
          </w:p>
        </w:tc>
        <w:tc>
          <w:tcPr>
            <w:tcW w:w="7027" w:type="dxa"/>
          </w:tcPr>
          <w:p>
            <w:pPr>
              <w:adjustRightInd w:val="0"/>
              <w:snapToGrid w:val="0"/>
              <w:spacing w:line="312" w:lineRule="auto"/>
              <w:rPr>
                <w:sz w:val="24"/>
              </w:rPr>
            </w:pPr>
            <w:r>
              <w:rPr>
                <w:rFonts w:hint="eastAsia"/>
                <w:sz w:val="24"/>
              </w:rPr>
              <w:t>缺陷责任期：</w:t>
            </w:r>
            <w:r>
              <w:rPr>
                <w:rFonts w:hint="eastAsia"/>
                <w:sz w:val="24"/>
                <w:u w:val="single"/>
              </w:rPr>
              <w:t xml:space="preserve">  2  </w:t>
            </w:r>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5</w:t>
            </w:r>
          </w:p>
        </w:tc>
        <w:tc>
          <w:tcPr>
            <w:tcW w:w="1134" w:type="dxa"/>
            <w:vAlign w:val="center"/>
          </w:tcPr>
          <w:p>
            <w:pPr>
              <w:adjustRightInd w:val="0"/>
              <w:snapToGrid w:val="0"/>
              <w:spacing w:line="312" w:lineRule="auto"/>
              <w:rPr>
                <w:sz w:val="24"/>
              </w:rPr>
            </w:pPr>
            <w:r>
              <w:rPr>
                <w:rFonts w:hint="eastAsia"/>
                <w:sz w:val="24"/>
              </w:rPr>
              <w:t>1.6.3</w:t>
            </w:r>
          </w:p>
        </w:tc>
        <w:tc>
          <w:tcPr>
            <w:tcW w:w="7027" w:type="dxa"/>
          </w:tcPr>
          <w:p>
            <w:pPr>
              <w:adjustRightInd w:val="0"/>
              <w:snapToGrid w:val="0"/>
              <w:spacing w:line="312" w:lineRule="auto"/>
              <w:rPr>
                <w:sz w:val="24"/>
                <w:u w:val="single"/>
              </w:rPr>
            </w:pPr>
            <w:r>
              <w:rPr>
                <w:rFonts w:hint="eastAsia"/>
                <w:sz w:val="24"/>
              </w:rPr>
              <w:t>图纸需要修改和补充的，应由监理人取得发包人同意后，在该工程或工程相应部位施工前</w:t>
            </w:r>
            <w:r>
              <w:rPr>
                <w:rFonts w:hint="eastAsia"/>
                <w:sz w:val="24"/>
                <w:u w:val="single"/>
              </w:rPr>
              <w:t xml:space="preserve"> 7 </w:t>
            </w:r>
            <w:r>
              <w:rPr>
                <w:rFonts w:hint="eastAsia"/>
                <w:sz w:val="24"/>
              </w:rPr>
              <w:t>天签发图纸修改图给承包人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6</w:t>
            </w:r>
          </w:p>
        </w:tc>
        <w:tc>
          <w:tcPr>
            <w:tcW w:w="1134" w:type="dxa"/>
            <w:vAlign w:val="center"/>
          </w:tcPr>
          <w:p>
            <w:pPr>
              <w:adjustRightInd w:val="0"/>
              <w:snapToGrid w:val="0"/>
              <w:spacing w:line="312" w:lineRule="auto"/>
              <w:rPr>
                <w:sz w:val="24"/>
              </w:rPr>
            </w:pPr>
            <w:r>
              <w:rPr>
                <w:rFonts w:hint="eastAsia"/>
                <w:sz w:val="24"/>
              </w:rPr>
              <w:t>3.1.1</w:t>
            </w:r>
          </w:p>
        </w:tc>
        <w:tc>
          <w:tcPr>
            <w:tcW w:w="7027" w:type="dxa"/>
          </w:tcPr>
          <w:p>
            <w:pPr>
              <w:adjustRightInd w:val="0"/>
              <w:snapToGrid w:val="0"/>
              <w:spacing w:line="312" w:lineRule="auto"/>
              <w:rPr>
                <w:sz w:val="24"/>
              </w:rPr>
            </w:pPr>
            <w:r>
              <w:rPr>
                <w:rFonts w:hint="eastAsia"/>
                <w:sz w:val="24"/>
              </w:rPr>
              <w:t>单项工程变更涉及的金额超过了该单项工程原合同价的%或累计变更超过了原总合同的%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7</w:t>
            </w:r>
          </w:p>
        </w:tc>
        <w:tc>
          <w:tcPr>
            <w:tcW w:w="1134" w:type="dxa"/>
            <w:vAlign w:val="center"/>
          </w:tcPr>
          <w:p>
            <w:pPr>
              <w:adjustRightInd w:val="0"/>
              <w:snapToGrid w:val="0"/>
              <w:spacing w:line="312" w:lineRule="auto"/>
              <w:rPr>
                <w:sz w:val="24"/>
              </w:rPr>
            </w:pPr>
            <w:r>
              <w:rPr>
                <w:rFonts w:hint="eastAsia"/>
                <w:sz w:val="24"/>
              </w:rPr>
              <w:t>4.2</w:t>
            </w:r>
          </w:p>
        </w:tc>
        <w:tc>
          <w:tcPr>
            <w:tcW w:w="7027" w:type="dxa"/>
          </w:tcPr>
          <w:p>
            <w:pPr>
              <w:widowControl/>
              <w:spacing w:line="240" w:lineRule="atLeast"/>
              <w:rPr>
                <w:rFonts w:ascii="宋体" w:hAnsi="宋体" w:cs="宋体"/>
                <w:kern w:val="0"/>
                <w:sz w:val="24"/>
              </w:rPr>
            </w:pPr>
            <w:r>
              <w:rPr>
                <w:rFonts w:hint="eastAsia"/>
                <w:sz w:val="22"/>
              </w:rPr>
              <w:t>履约担保金额：</w:t>
            </w:r>
            <w:r>
              <w:rPr>
                <w:rFonts w:hint="eastAsia" w:ascii="宋体" w:hAnsi="宋体" w:cs="宋体"/>
                <w:kern w:val="0"/>
                <w:sz w:val="24"/>
              </w:rPr>
              <w:t>中标金额的10</w:t>
            </w:r>
            <w:r>
              <w:rPr>
                <w:rFonts w:ascii="宋体" w:hAnsi="宋体" w:cs="宋体"/>
                <w:kern w:val="0"/>
                <w:sz w:val="24"/>
              </w:rPr>
              <w:t xml:space="preserve">% </w:t>
            </w:r>
          </w:p>
          <w:p>
            <w:pPr>
              <w:adjustRightInd w:val="0"/>
              <w:snapToGrid w:val="0"/>
              <w:spacing w:line="312" w:lineRule="auto"/>
              <w:rPr>
                <w:sz w:val="22"/>
              </w:rPr>
            </w:pPr>
            <w:r>
              <w:rPr>
                <w:rFonts w:hint="eastAsia"/>
                <w:sz w:val="22"/>
              </w:rPr>
              <w:t>提交履约担保的时间：在签订合同协议书之前</w:t>
            </w:r>
          </w:p>
          <w:p>
            <w:pPr>
              <w:adjustRightInd w:val="0"/>
              <w:snapToGrid w:val="0"/>
              <w:spacing w:line="312" w:lineRule="auto"/>
              <w:rPr>
                <w:sz w:val="22"/>
              </w:rPr>
            </w:pPr>
            <w:r>
              <w:rPr>
                <w:rFonts w:hint="eastAsia"/>
                <w:sz w:val="22"/>
              </w:rPr>
              <w:t>履约担保形式：</w:t>
            </w:r>
            <w:r>
              <w:rPr>
                <w:rFonts w:hint="eastAsia" w:ascii="宋体" w:hAnsi="宋体" w:cs="宋体"/>
                <w:kern w:val="0"/>
                <w:sz w:val="24"/>
              </w:rPr>
              <w:t>中标人从基本账户转出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8</w:t>
            </w:r>
          </w:p>
        </w:tc>
        <w:tc>
          <w:tcPr>
            <w:tcW w:w="1134" w:type="dxa"/>
            <w:vAlign w:val="center"/>
          </w:tcPr>
          <w:p>
            <w:pPr>
              <w:adjustRightInd w:val="0"/>
              <w:snapToGrid w:val="0"/>
              <w:spacing w:line="312" w:lineRule="auto"/>
              <w:rPr>
                <w:sz w:val="24"/>
              </w:rPr>
            </w:pPr>
            <w:r>
              <w:rPr>
                <w:rFonts w:hint="eastAsia"/>
                <w:sz w:val="24"/>
              </w:rPr>
              <w:t>10.1</w:t>
            </w:r>
          </w:p>
        </w:tc>
        <w:tc>
          <w:tcPr>
            <w:tcW w:w="7027" w:type="dxa"/>
          </w:tcPr>
          <w:p>
            <w:pPr>
              <w:adjustRightInd w:val="0"/>
              <w:snapToGrid w:val="0"/>
              <w:spacing w:line="312" w:lineRule="auto"/>
              <w:rPr>
                <w:sz w:val="24"/>
              </w:rPr>
            </w:pPr>
            <w:r>
              <w:rPr>
                <w:rFonts w:hint="eastAsia"/>
                <w:sz w:val="24"/>
              </w:rPr>
              <w:t>工程进度计划提交时间：承包人在与发包人签订合同协议后的28天内提交给监理人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9</w:t>
            </w:r>
          </w:p>
        </w:tc>
        <w:tc>
          <w:tcPr>
            <w:tcW w:w="1134" w:type="dxa"/>
            <w:vAlign w:val="center"/>
          </w:tcPr>
          <w:p>
            <w:pPr>
              <w:adjustRightInd w:val="0"/>
              <w:snapToGrid w:val="0"/>
              <w:spacing w:line="312" w:lineRule="auto"/>
              <w:rPr>
                <w:sz w:val="24"/>
              </w:rPr>
            </w:pPr>
            <w:r>
              <w:rPr>
                <w:rFonts w:hint="eastAsia"/>
                <w:sz w:val="24"/>
              </w:rPr>
              <w:t>10.2</w:t>
            </w:r>
          </w:p>
        </w:tc>
        <w:tc>
          <w:tcPr>
            <w:tcW w:w="7027" w:type="dxa"/>
          </w:tcPr>
          <w:p>
            <w:pPr>
              <w:adjustRightInd w:val="0"/>
              <w:snapToGrid w:val="0"/>
              <w:spacing w:line="312" w:lineRule="auto"/>
              <w:rPr>
                <w:sz w:val="24"/>
              </w:rPr>
            </w:pPr>
            <w:r>
              <w:rPr>
                <w:rFonts w:hint="eastAsia"/>
                <w:sz w:val="22"/>
              </w:rPr>
              <w:t>工程进度计划修订提交时间：实际进度发生滞后的当月25日前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10</w:t>
            </w:r>
          </w:p>
        </w:tc>
        <w:tc>
          <w:tcPr>
            <w:tcW w:w="1134" w:type="dxa"/>
            <w:vAlign w:val="center"/>
          </w:tcPr>
          <w:p>
            <w:pPr>
              <w:adjustRightInd w:val="0"/>
              <w:snapToGrid w:val="0"/>
              <w:spacing w:line="312" w:lineRule="auto"/>
              <w:rPr>
                <w:sz w:val="24"/>
              </w:rPr>
            </w:pPr>
            <w:r>
              <w:rPr>
                <w:rFonts w:hint="eastAsia"/>
                <w:sz w:val="24"/>
              </w:rPr>
              <w:t>10.4</w:t>
            </w:r>
          </w:p>
        </w:tc>
        <w:tc>
          <w:tcPr>
            <w:tcW w:w="7027" w:type="dxa"/>
          </w:tcPr>
          <w:p>
            <w:pPr>
              <w:adjustRightInd w:val="0"/>
              <w:snapToGrid w:val="0"/>
              <w:spacing w:line="312" w:lineRule="auto"/>
              <w:rPr>
                <w:sz w:val="24"/>
              </w:rPr>
            </w:pPr>
            <w:r>
              <w:rPr>
                <w:rFonts w:hint="eastAsia"/>
                <w:sz w:val="24"/>
              </w:rPr>
              <w:t>提交合同用款计划的时间：</w:t>
            </w:r>
          </w:p>
          <w:p>
            <w:pPr>
              <w:adjustRightInd w:val="0"/>
              <w:snapToGrid w:val="0"/>
              <w:spacing w:line="312" w:lineRule="auto"/>
              <w:rPr>
                <w:sz w:val="24"/>
              </w:rPr>
            </w:pPr>
            <w:r>
              <w:rPr>
                <w:rFonts w:hint="eastAsia"/>
                <w:sz w:val="24"/>
              </w:rPr>
              <w:t>承包人在与发包人签订合同协议书后的28天内提交给监理人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11</w:t>
            </w:r>
          </w:p>
        </w:tc>
        <w:tc>
          <w:tcPr>
            <w:tcW w:w="1134" w:type="dxa"/>
            <w:vAlign w:val="center"/>
          </w:tcPr>
          <w:p>
            <w:pPr>
              <w:adjustRightInd w:val="0"/>
              <w:snapToGrid w:val="0"/>
              <w:spacing w:line="312" w:lineRule="auto"/>
              <w:rPr>
                <w:sz w:val="24"/>
              </w:rPr>
            </w:pPr>
            <w:r>
              <w:rPr>
                <w:rFonts w:hint="eastAsia"/>
                <w:sz w:val="24"/>
              </w:rPr>
              <w:t>11.1</w:t>
            </w:r>
          </w:p>
        </w:tc>
        <w:tc>
          <w:tcPr>
            <w:tcW w:w="7027" w:type="dxa"/>
          </w:tcPr>
          <w:p>
            <w:pPr>
              <w:adjustRightInd w:val="0"/>
              <w:snapToGrid w:val="0"/>
              <w:spacing w:line="312" w:lineRule="auto"/>
              <w:rPr>
                <w:sz w:val="24"/>
              </w:rPr>
            </w:pPr>
            <w:r>
              <w:rPr>
                <w:rFonts w:hint="eastAsia"/>
                <w:sz w:val="24"/>
              </w:rPr>
              <w:t>发出开工通知期限：开工日期7天前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12</w:t>
            </w:r>
          </w:p>
        </w:tc>
        <w:tc>
          <w:tcPr>
            <w:tcW w:w="1134" w:type="dxa"/>
            <w:vAlign w:val="center"/>
          </w:tcPr>
          <w:p>
            <w:pPr>
              <w:adjustRightInd w:val="0"/>
              <w:snapToGrid w:val="0"/>
              <w:spacing w:line="312" w:lineRule="auto"/>
              <w:rPr>
                <w:sz w:val="24"/>
              </w:rPr>
            </w:pPr>
            <w:r>
              <w:rPr>
                <w:rFonts w:hint="eastAsia"/>
                <w:sz w:val="24"/>
              </w:rPr>
              <w:t>11.5</w:t>
            </w:r>
          </w:p>
        </w:tc>
        <w:tc>
          <w:tcPr>
            <w:tcW w:w="7027" w:type="dxa"/>
          </w:tcPr>
          <w:p>
            <w:pPr>
              <w:adjustRightInd w:val="0"/>
              <w:snapToGrid w:val="0"/>
              <w:spacing w:line="312" w:lineRule="auto"/>
              <w:rPr>
                <w:sz w:val="24"/>
              </w:rPr>
            </w:pPr>
            <w:r>
              <w:rPr>
                <w:rFonts w:hint="eastAsia"/>
                <w:sz w:val="24"/>
              </w:rPr>
              <w:t>逾期竣工违约金：人民币元/天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13</w:t>
            </w:r>
          </w:p>
        </w:tc>
        <w:tc>
          <w:tcPr>
            <w:tcW w:w="1134" w:type="dxa"/>
            <w:vAlign w:val="center"/>
          </w:tcPr>
          <w:p>
            <w:pPr>
              <w:adjustRightInd w:val="0"/>
              <w:snapToGrid w:val="0"/>
              <w:spacing w:line="312" w:lineRule="auto"/>
              <w:rPr>
                <w:sz w:val="24"/>
              </w:rPr>
            </w:pPr>
            <w:r>
              <w:rPr>
                <w:rFonts w:hint="eastAsia"/>
                <w:sz w:val="24"/>
              </w:rPr>
              <w:t>11.5</w:t>
            </w:r>
          </w:p>
        </w:tc>
        <w:tc>
          <w:tcPr>
            <w:tcW w:w="7027" w:type="dxa"/>
          </w:tcPr>
          <w:p>
            <w:pPr>
              <w:adjustRightInd w:val="0"/>
              <w:snapToGrid w:val="0"/>
              <w:spacing w:line="312" w:lineRule="auto"/>
              <w:rPr>
                <w:sz w:val="24"/>
              </w:rPr>
            </w:pPr>
            <w:r>
              <w:rPr>
                <w:rFonts w:hint="eastAsia"/>
                <w:sz w:val="24"/>
              </w:rPr>
              <w:t>逾期竣工违约金限额：签约合同价的10%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14</w:t>
            </w:r>
          </w:p>
        </w:tc>
        <w:tc>
          <w:tcPr>
            <w:tcW w:w="1134" w:type="dxa"/>
            <w:vAlign w:val="center"/>
          </w:tcPr>
          <w:p>
            <w:pPr>
              <w:adjustRightInd w:val="0"/>
              <w:snapToGrid w:val="0"/>
              <w:spacing w:line="312" w:lineRule="auto"/>
              <w:rPr>
                <w:sz w:val="24"/>
              </w:rPr>
            </w:pPr>
            <w:r>
              <w:rPr>
                <w:rFonts w:hint="eastAsia"/>
                <w:sz w:val="24"/>
              </w:rPr>
              <w:t>11.6</w:t>
            </w:r>
          </w:p>
        </w:tc>
        <w:tc>
          <w:tcPr>
            <w:tcW w:w="7027" w:type="dxa"/>
          </w:tcPr>
          <w:p>
            <w:pPr>
              <w:adjustRightInd w:val="0"/>
              <w:snapToGrid w:val="0"/>
              <w:spacing w:line="312" w:lineRule="auto"/>
              <w:rPr>
                <w:sz w:val="24"/>
              </w:rPr>
            </w:pPr>
            <w:r>
              <w:rPr>
                <w:rFonts w:hint="eastAsia"/>
                <w:sz w:val="24"/>
              </w:rPr>
              <w:t>提前竣工的奖金：人民币</w:t>
            </w:r>
            <w:r>
              <w:rPr>
                <w:rFonts w:hint="eastAsia"/>
                <w:sz w:val="24"/>
                <w:u w:val="single"/>
              </w:rPr>
              <w:t xml:space="preserve">  0 </w:t>
            </w:r>
            <w:r>
              <w:rPr>
                <w:rFonts w:hint="eastAsia"/>
                <w:sz w:val="24"/>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15</w:t>
            </w:r>
          </w:p>
        </w:tc>
        <w:tc>
          <w:tcPr>
            <w:tcW w:w="1134" w:type="dxa"/>
            <w:vAlign w:val="center"/>
          </w:tcPr>
          <w:p>
            <w:pPr>
              <w:adjustRightInd w:val="0"/>
              <w:snapToGrid w:val="0"/>
              <w:spacing w:line="312" w:lineRule="auto"/>
              <w:rPr>
                <w:sz w:val="24"/>
              </w:rPr>
            </w:pPr>
            <w:r>
              <w:rPr>
                <w:rFonts w:hint="eastAsia"/>
                <w:sz w:val="24"/>
              </w:rPr>
              <w:t>11.6</w:t>
            </w:r>
          </w:p>
        </w:tc>
        <w:tc>
          <w:tcPr>
            <w:tcW w:w="7027" w:type="dxa"/>
          </w:tcPr>
          <w:p>
            <w:pPr>
              <w:adjustRightInd w:val="0"/>
              <w:snapToGrid w:val="0"/>
              <w:spacing w:line="312" w:lineRule="auto"/>
              <w:rPr>
                <w:sz w:val="24"/>
              </w:rPr>
            </w:pPr>
            <w:r>
              <w:rPr>
                <w:rFonts w:hint="eastAsia"/>
                <w:sz w:val="24"/>
              </w:rPr>
              <w:t>提前竣工的奖金限额：签约合同价的</w:t>
            </w:r>
            <w:r>
              <w:rPr>
                <w:rFonts w:hint="eastAsia"/>
                <w:sz w:val="24"/>
                <w:u w:val="single"/>
              </w:rPr>
              <w:t xml:space="preserve"> 0 </w:t>
            </w:r>
            <w:r>
              <w:rPr>
                <w:rFonts w:hint="eastAsia"/>
                <w:sz w:val="24"/>
              </w:rPr>
              <w:t>%</w:t>
            </w:r>
          </w:p>
        </w:tc>
      </w:tr>
    </w:tbl>
    <w:p>
      <w:pPr>
        <w:rPr>
          <w:sz w:val="18"/>
          <w:szCs w:val="18"/>
        </w:rPr>
      </w:pPr>
    </w:p>
    <w:p>
      <w:pPr>
        <w:rPr>
          <w:sz w:val="18"/>
          <w:szCs w:val="18"/>
        </w:rPr>
      </w:pPr>
      <w:r>
        <w:rPr>
          <w:sz w:val="18"/>
          <w:szCs w:val="18"/>
        </w:rPr>
        <w:br w:type="page"/>
      </w:r>
    </w:p>
    <w:tbl>
      <w:tblPr>
        <w:tblStyle w:val="16"/>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044"/>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864" w:type="dxa"/>
            <w:vAlign w:val="center"/>
          </w:tcPr>
          <w:p>
            <w:pPr>
              <w:adjustRightInd w:val="0"/>
              <w:snapToGrid w:val="0"/>
              <w:spacing w:line="324" w:lineRule="auto"/>
              <w:rPr>
                <w:sz w:val="24"/>
              </w:rPr>
            </w:pPr>
            <w:r>
              <w:rPr>
                <w:rFonts w:hint="eastAsia"/>
                <w:sz w:val="24"/>
              </w:rPr>
              <w:t>序号</w:t>
            </w:r>
          </w:p>
        </w:tc>
        <w:tc>
          <w:tcPr>
            <w:tcW w:w="1044" w:type="dxa"/>
            <w:vAlign w:val="center"/>
          </w:tcPr>
          <w:p>
            <w:pPr>
              <w:adjustRightInd w:val="0"/>
              <w:snapToGrid w:val="0"/>
              <w:spacing w:line="324" w:lineRule="auto"/>
              <w:rPr>
                <w:sz w:val="24"/>
              </w:rPr>
            </w:pPr>
            <w:r>
              <w:rPr>
                <w:rFonts w:hint="eastAsia"/>
                <w:sz w:val="24"/>
              </w:rPr>
              <w:t>条款号</w:t>
            </w:r>
          </w:p>
        </w:tc>
        <w:tc>
          <w:tcPr>
            <w:tcW w:w="7560" w:type="dxa"/>
            <w:vAlign w:val="center"/>
          </w:tcPr>
          <w:p>
            <w:pPr>
              <w:adjustRightInd w:val="0"/>
              <w:snapToGrid w:val="0"/>
              <w:spacing w:line="324" w:lineRule="auto"/>
              <w:rPr>
                <w:sz w:val="24"/>
              </w:rPr>
            </w:pPr>
            <w:r>
              <w:rPr>
                <w:rFonts w:hint="eastAsia"/>
                <w:sz w:val="24"/>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16</w:t>
            </w:r>
          </w:p>
        </w:tc>
        <w:tc>
          <w:tcPr>
            <w:tcW w:w="1044" w:type="dxa"/>
            <w:vAlign w:val="center"/>
          </w:tcPr>
          <w:p>
            <w:pPr>
              <w:adjustRightInd w:val="0"/>
              <w:snapToGrid w:val="0"/>
              <w:spacing w:line="324" w:lineRule="auto"/>
              <w:rPr>
                <w:sz w:val="24"/>
              </w:rPr>
            </w:pPr>
            <w:r>
              <w:rPr>
                <w:rFonts w:hint="eastAsia"/>
                <w:sz w:val="24"/>
              </w:rPr>
              <w:t>15.2.2</w:t>
            </w:r>
          </w:p>
        </w:tc>
        <w:tc>
          <w:tcPr>
            <w:tcW w:w="7560" w:type="dxa"/>
          </w:tcPr>
          <w:p>
            <w:pPr>
              <w:adjustRightInd w:val="0"/>
              <w:snapToGrid w:val="0"/>
              <w:spacing w:line="324" w:lineRule="auto"/>
              <w:rPr>
                <w:sz w:val="24"/>
              </w:rPr>
            </w:pPr>
            <w:r>
              <w:rPr>
                <w:rFonts w:hint="eastAsia"/>
                <w:sz w:val="24"/>
              </w:rPr>
              <w:t>按所节约或增加收益的%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17</w:t>
            </w:r>
          </w:p>
        </w:tc>
        <w:tc>
          <w:tcPr>
            <w:tcW w:w="1044" w:type="dxa"/>
            <w:vAlign w:val="center"/>
          </w:tcPr>
          <w:p>
            <w:pPr>
              <w:adjustRightInd w:val="0"/>
              <w:snapToGrid w:val="0"/>
              <w:spacing w:line="324" w:lineRule="auto"/>
              <w:rPr>
                <w:sz w:val="24"/>
              </w:rPr>
            </w:pPr>
            <w:r>
              <w:rPr>
                <w:rFonts w:hint="eastAsia"/>
                <w:sz w:val="24"/>
              </w:rPr>
              <w:t>16.1</w:t>
            </w:r>
          </w:p>
        </w:tc>
        <w:tc>
          <w:tcPr>
            <w:tcW w:w="7560" w:type="dxa"/>
          </w:tcPr>
          <w:p>
            <w:pPr>
              <w:adjustRightInd w:val="0"/>
              <w:snapToGrid w:val="0"/>
              <w:spacing w:line="324" w:lineRule="auto"/>
              <w:rPr>
                <w:sz w:val="24"/>
              </w:rPr>
            </w:pPr>
            <w:r>
              <w:rPr>
                <w:rFonts w:hint="eastAsia"/>
                <w:sz w:val="24"/>
              </w:rPr>
              <w:t>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18</w:t>
            </w:r>
          </w:p>
        </w:tc>
        <w:tc>
          <w:tcPr>
            <w:tcW w:w="1044" w:type="dxa"/>
            <w:vAlign w:val="center"/>
          </w:tcPr>
          <w:p>
            <w:pPr>
              <w:adjustRightInd w:val="0"/>
              <w:snapToGrid w:val="0"/>
              <w:spacing w:line="324" w:lineRule="auto"/>
              <w:rPr>
                <w:sz w:val="24"/>
              </w:rPr>
            </w:pPr>
            <w:r>
              <w:rPr>
                <w:rFonts w:hint="eastAsia"/>
                <w:sz w:val="24"/>
              </w:rPr>
              <w:t>17.2.1</w:t>
            </w:r>
          </w:p>
        </w:tc>
        <w:tc>
          <w:tcPr>
            <w:tcW w:w="7560" w:type="dxa"/>
          </w:tcPr>
          <w:p>
            <w:pPr>
              <w:adjustRightInd w:val="0"/>
              <w:snapToGrid w:val="0"/>
              <w:spacing w:line="324" w:lineRule="auto"/>
              <w:rPr>
                <w:sz w:val="24"/>
              </w:rPr>
            </w:pPr>
            <w:r>
              <w:rPr>
                <w:rFonts w:hint="eastAsia"/>
                <w:sz w:val="24"/>
              </w:rPr>
              <w:t>开工预付款比例：%签约合同价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64" w:type="dxa"/>
            <w:vAlign w:val="center"/>
          </w:tcPr>
          <w:p>
            <w:pPr>
              <w:adjustRightInd w:val="0"/>
              <w:snapToGrid w:val="0"/>
              <w:spacing w:line="324" w:lineRule="auto"/>
              <w:rPr>
                <w:sz w:val="24"/>
              </w:rPr>
            </w:pPr>
            <w:r>
              <w:rPr>
                <w:rFonts w:hint="eastAsia"/>
                <w:sz w:val="24"/>
              </w:rPr>
              <w:t>29</w:t>
            </w:r>
          </w:p>
        </w:tc>
        <w:tc>
          <w:tcPr>
            <w:tcW w:w="1044" w:type="dxa"/>
            <w:vAlign w:val="center"/>
          </w:tcPr>
          <w:p>
            <w:pPr>
              <w:adjustRightInd w:val="0"/>
              <w:snapToGrid w:val="0"/>
              <w:spacing w:line="324" w:lineRule="auto"/>
              <w:rPr>
                <w:sz w:val="24"/>
              </w:rPr>
            </w:pPr>
            <w:r>
              <w:rPr>
                <w:rFonts w:hint="eastAsia"/>
                <w:sz w:val="24"/>
              </w:rPr>
              <w:t>17.2.1</w:t>
            </w:r>
          </w:p>
        </w:tc>
        <w:tc>
          <w:tcPr>
            <w:tcW w:w="7560" w:type="dxa"/>
          </w:tcPr>
          <w:p>
            <w:pPr>
              <w:adjustRightInd w:val="0"/>
              <w:snapToGrid w:val="0"/>
              <w:spacing w:line="324" w:lineRule="auto"/>
              <w:rPr>
                <w:sz w:val="24"/>
              </w:rPr>
            </w:pPr>
            <w:r>
              <w:rPr>
                <w:rFonts w:hint="eastAsia"/>
                <w:sz w:val="24"/>
              </w:rPr>
              <w:t>材料、设备预付款比例：等主要材料、设备单据所列费用的%</w:t>
            </w:r>
            <w:r>
              <w:rPr>
                <w:rStyle w:val="15"/>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20</w:t>
            </w:r>
          </w:p>
        </w:tc>
        <w:tc>
          <w:tcPr>
            <w:tcW w:w="1044" w:type="dxa"/>
            <w:vAlign w:val="center"/>
          </w:tcPr>
          <w:p>
            <w:pPr>
              <w:adjustRightInd w:val="0"/>
              <w:snapToGrid w:val="0"/>
              <w:spacing w:line="324" w:lineRule="auto"/>
              <w:rPr>
                <w:sz w:val="24"/>
              </w:rPr>
            </w:pPr>
            <w:r>
              <w:rPr>
                <w:rFonts w:hint="eastAsia"/>
                <w:sz w:val="24"/>
              </w:rPr>
              <w:t>17.3.2</w:t>
            </w:r>
          </w:p>
        </w:tc>
        <w:tc>
          <w:tcPr>
            <w:tcW w:w="7560" w:type="dxa"/>
          </w:tcPr>
          <w:p>
            <w:pPr>
              <w:adjustRightInd w:val="0"/>
              <w:snapToGrid w:val="0"/>
              <w:spacing w:line="324" w:lineRule="auto"/>
              <w:rPr>
                <w:sz w:val="24"/>
              </w:rPr>
            </w:pPr>
            <w:r>
              <w:rPr>
                <w:rFonts w:hint="eastAsia"/>
                <w:sz w:val="24"/>
              </w:rPr>
              <w:t>进度付款申请单：向监理人提交进度付款申请单的份数：份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21</w:t>
            </w:r>
          </w:p>
        </w:tc>
        <w:tc>
          <w:tcPr>
            <w:tcW w:w="1044" w:type="dxa"/>
            <w:vAlign w:val="center"/>
          </w:tcPr>
          <w:p>
            <w:pPr>
              <w:adjustRightInd w:val="0"/>
              <w:snapToGrid w:val="0"/>
              <w:spacing w:line="324" w:lineRule="auto"/>
              <w:rPr>
                <w:sz w:val="24"/>
              </w:rPr>
            </w:pPr>
            <w:r>
              <w:rPr>
                <w:rFonts w:hint="eastAsia"/>
                <w:sz w:val="24"/>
              </w:rPr>
              <w:t>17.3.3</w:t>
            </w:r>
          </w:p>
        </w:tc>
        <w:tc>
          <w:tcPr>
            <w:tcW w:w="7560" w:type="dxa"/>
          </w:tcPr>
          <w:p>
            <w:pPr>
              <w:adjustRightInd w:val="0"/>
              <w:snapToGrid w:val="0"/>
              <w:spacing w:line="324" w:lineRule="auto"/>
              <w:jc w:val="left"/>
              <w:rPr>
                <w:sz w:val="24"/>
              </w:rPr>
            </w:pPr>
            <w:r>
              <w:rPr>
                <w:rFonts w:hint="eastAsia"/>
                <w:sz w:val="24"/>
              </w:rPr>
              <w:t>进度付款申请证书最低限额：签约合同价的%或人民币万元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22</w:t>
            </w:r>
          </w:p>
        </w:tc>
        <w:tc>
          <w:tcPr>
            <w:tcW w:w="1044" w:type="dxa"/>
            <w:vAlign w:val="center"/>
          </w:tcPr>
          <w:p>
            <w:pPr>
              <w:adjustRightInd w:val="0"/>
              <w:snapToGrid w:val="0"/>
              <w:spacing w:line="324" w:lineRule="auto"/>
              <w:rPr>
                <w:sz w:val="24"/>
              </w:rPr>
            </w:pPr>
            <w:r>
              <w:rPr>
                <w:rFonts w:hint="eastAsia"/>
                <w:sz w:val="24"/>
              </w:rPr>
              <w:t>17.3.3</w:t>
            </w:r>
          </w:p>
        </w:tc>
        <w:tc>
          <w:tcPr>
            <w:tcW w:w="7560" w:type="dxa"/>
          </w:tcPr>
          <w:p>
            <w:pPr>
              <w:adjustRightInd w:val="0"/>
              <w:snapToGrid w:val="0"/>
              <w:spacing w:line="324" w:lineRule="auto"/>
              <w:rPr>
                <w:sz w:val="24"/>
              </w:rPr>
            </w:pPr>
            <w:r>
              <w:rPr>
                <w:rFonts w:hint="eastAsia"/>
                <w:sz w:val="24"/>
              </w:rPr>
              <w:t>进度付款支付期限：</w:t>
            </w:r>
          </w:p>
          <w:p>
            <w:pPr>
              <w:adjustRightInd w:val="0"/>
              <w:snapToGrid w:val="0"/>
              <w:spacing w:line="324" w:lineRule="auto"/>
              <w:rPr>
                <w:sz w:val="24"/>
              </w:rPr>
            </w:pPr>
            <w:r>
              <w:rPr>
                <w:rFonts w:hint="eastAsia"/>
                <w:sz w:val="24"/>
              </w:rPr>
              <w:t>监理人收到进度付款申请单后</w:t>
            </w:r>
            <w:r>
              <w:rPr>
                <w:rFonts w:hint="eastAsia" w:ascii="宋体" w:hAnsi="宋体"/>
                <w:sz w:val="24"/>
              </w:rPr>
              <w:t>天</w:t>
            </w:r>
            <w:r>
              <w:rPr>
                <w:rFonts w:hint="eastAsia"/>
                <w:sz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23</w:t>
            </w:r>
          </w:p>
        </w:tc>
        <w:tc>
          <w:tcPr>
            <w:tcW w:w="1044" w:type="dxa"/>
            <w:vAlign w:val="center"/>
          </w:tcPr>
          <w:p>
            <w:pPr>
              <w:adjustRightInd w:val="0"/>
              <w:snapToGrid w:val="0"/>
              <w:spacing w:line="324" w:lineRule="auto"/>
              <w:rPr>
                <w:sz w:val="24"/>
              </w:rPr>
            </w:pPr>
            <w:r>
              <w:rPr>
                <w:rFonts w:hint="eastAsia"/>
                <w:sz w:val="24"/>
              </w:rPr>
              <w:t>17.3.3</w:t>
            </w:r>
          </w:p>
        </w:tc>
        <w:tc>
          <w:tcPr>
            <w:tcW w:w="7560" w:type="dxa"/>
          </w:tcPr>
          <w:p>
            <w:pPr>
              <w:adjustRightInd w:val="0"/>
              <w:snapToGrid w:val="0"/>
              <w:spacing w:line="324" w:lineRule="auto"/>
              <w:rPr>
                <w:sz w:val="24"/>
              </w:rPr>
            </w:pPr>
            <w:r>
              <w:rPr>
                <w:rFonts w:hint="eastAsia"/>
                <w:sz w:val="24"/>
              </w:rPr>
              <w:t>逾期付款违约金：</w:t>
            </w:r>
            <w:r>
              <w:rPr>
                <w:rFonts w:hint="eastAsia" w:ascii="宋体" w:hAnsi="宋体"/>
                <w:sz w:val="24"/>
              </w:rPr>
              <w:t>‰/天</w:t>
            </w:r>
            <w:r>
              <w:rPr>
                <w:rStyle w:val="15"/>
                <w:sz w:val="24"/>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24</w:t>
            </w:r>
          </w:p>
        </w:tc>
        <w:tc>
          <w:tcPr>
            <w:tcW w:w="1044" w:type="dxa"/>
            <w:vAlign w:val="center"/>
          </w:tcPr>
          <w:p>
            <w:pPr>
              <w:adjustRightInd w:val="0"/>
              <w:snapToGrid w:val="0"/>
              <w:spacing w:line="324" w:lineRule="auto"/>
              <w:rPr>
                <w:sz w:val="24"/>
              </w:rPr>
            </w:pPr>
            <w:r>
              <w:rPr>
                <w:rFonts w:hint="eastAsia"/>
                <w:sz w:val="24"/>
              </w:rPr>
              <w:t>17.4.1</w:t>
            </w:r>
          </w:p>
        </w:tc>
        <w:tc>
          <w:tcPr>
            <w:tcW w:w="7560" w:type="dxa"/>
          </w:tcPr>
          <w:p>
            <w:pPr>
              <w:adjustRightInd w:val="0"/>
              <w:snapToGrid w:val="0"/>
              <w:spacing w:line="324" w:lineRule="auto"/>
              <w:rPr>
                <w:sz w:val="24"/>
              </w:rPr>
            </w:pPr>
            <w:r>
              <w:rPr>
                <w:rFonts w:hint="eastAsia"/>
                <w:sz w:val="24"/>
              </w:rPr>
              <w:t>质量保证金百分比：月支付额的%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25</w:t>
            </w:r>
          </w:p>
        </w:tc>
        <w:tc>
          <w:tcPr>
            <w:tcW w:w="1044" w:type="dxa"/>
            <w:vAlign w:val="center"/>
          </w:tcPr>
          <w:p>
            <w:pPr>
              <w:adjustRightInd w:val="0"/>
              <w:snapToGrid w:val="0"/>
              <w:spacing w:line="324" w:lineRule="auto"/>
              <w:rPr>
                <w:sz w:val="24"/>
              </w:rPr>
            </w:pPr>
            <w:r>
              <w:rPr>
                <w:rFonts w:hint="eastAsia"/>
                <w:sz w:val="24"/>
              </w:rPr>
              <w:t>17.4.1</w:t>
            </w:r>
          </w:p>
        </w:tc>
        <w:tc>
          <w:tcPr>
            <w:tcW w:w="7560" w:type="dxa"/>
          </w:tcPr>
          <w:p>
            <w:pPr>
              <w:adjustRightInd w:val="0"/>
              <w:snapToGrid w:val="0"/>
              <w:spacing w:line="324" w:lineRule="auto"/>
              <w:rPr>
                <w:sz w:val="24"/>
              </w:rPr>
            </w:pPr>
            <w:r>
              <w:rPr>
                <w:rFonts w:hint="eastAsia"/>
                <w:sz w:val="24"/>
              </w:rPr>
              <w:t>质量保证金限额：合同价格的5%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64" w:type="dxa"/>
            <w:vAlign w:val="center"/>
          </w:tcPr>
          <w:p>
            <w:pPr>
              <w:adjustRightInd w:val="0"/>
              <w:snapToGrid w:val="0"/>
              <w:spacing w:line="324" w:lineRule="auto"/>
              <w:rPr>
                <w:sz w:val="24"/>
              </w:rPr>
            </w:pPr>
            <w:r>
              <w:rPr>
                <w:rFonts w:hint="eastAsia"/>
                <w:sz w:val="24"/>
              </w:rPr>
              <w:t>26</w:t>
            </w:r>
          </w:p>
        </w:tc>
        <w:tc>
          <w:tcPr>
            <w:tcW w:w="1044" w:type="dxa"/>
            <w:vAlign w:val="center"/>
          </w:tcPr>
          <w:p>
            <w:pPr>
              <w:adjustRightInd w:val="0"/>
              <w:snapToGrid w:val="0"/>
              <w:spacing w:line="324" w:lineRule="auto"/>
              <w:rPr>
                <w:sz w:val="24"/>
              </w:rPr>
            </w:pPr>
            <w:r>
              <w:rPr>
                <w:rFonts w:hint="eastAsia"/>
                <w:sz w:val="24"/>
              </w:rPr>
              <w:t>17.5.1</w:t>
            </w:r>
          </w:p>
        </w:tc>
        <w:tc>
          <w:tcPr>
            <w:tcW w:w="7560" w:type="dxa"/>
          </w:tcPr>
          <w:p>
            <w:pPr>
              <w:adjustRightInd w:val="0"/>
              <w:snapToGrid w:val="0"/>
              <w:spacing w:line="324" w:lineRule="auto"/>
              <w:rPr>
                <w:sz w:val="24"/>
              </w:rPr>
            </w:pPr>
            <w:r>
              <w:rPr>
                <w:rFonts w:hint="eastAsia"/>
                <w:sz w:val="24"/>
              </w:rPr>
              <w:t>竣工付款申请单：承包人向监理人提交竣工付款申请单（包括相关证明材料）的份数：</w:t>
            </w:r>
            <w:r>
              <w:rPr>
                <w:rFonts w:hint="eastAsia"/>
                <w:sz w:val="24"/>
                <w:u w:val="single"/>
              </w:rPr>
              <w:t xml:space="preserve">   3 </w:t>
            </w:r>
            <w:r>
              <w:rPr>
                <w:rFonts w:hint="eastAsia"/>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27</w:t>
            </w:r>
          </w:p>
        </w:tc>
        <w:tc>
          <w:tcPr>
            <w:tcW w:w="1044" w:type="dxa"/>
            <w:vAlign w:val="center"/>
          </w:tcPr>
          <w:p>
            <w:pPr>
              <w:adjustRightInd w:val="0"/>
              <w:snapToGrid w:val="0"/>
              <w:spacing w:line="324" w:lineRule="auto"/>
              <w:rPr>
                <w:sz w:val="24"/>
              </w:rPr>
            </w:pPr>
            <w:r>
              <w:rPr>
                <w:rFonts w:hint="eastAsia"/>
                <w:sz w:val="24"/>
              </w:rPr>
              <w:t>17.5.2</w:t>
            </w:r>
          </w:p>
        </w:tc>
        <w:tc>
          <w:tcPr>
            <w:tcW w:w="7560" w:type="dxa"/>
          </w:tcPr>
          <w:p>
            <w:pPr>
              <w:adjustRightInd w:val="0"/>
              <w:snapToGrid w:val="0"/>
              <w:spacing w:line="324" w:lineRule="auto"/>
              <w:rPr>
                <w:sz w:val="24"/>
              </w:rPr>
            </w:pPr>
            <w:r>
              <w:rPr>
                <w:rFonts w:hint="eastAsia"/>
                <w:sz w:val="24"/>
              </w:rPr>
              <w:t>竣工付款支付期限：</w:t>
            </w:r>
          </w:p>
          <w:p>
            <w:pPr>
              <w:adjustRightInd w:val="0"/>
              <w:snapToGrid w:val="0"/>
              <w:spacing w:line="324" w:lineRule="auto"/>
              <w:rPr>
                <w:sz w:val="24"/>
              </w:rPr>
            </w:pPr>
            <w:r>
              <w:rPr>
                <w:rFonts w:hint="eastAsia"/>
                <w:sz w:val="24"/>
              </w:rPr>
              <w:t>监理人出具工程竣工付款证书后天内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864" w:type="dxa"/>
            <w:vAlign w:val="center"/>
          </w:tcPr>
          <w:p>
            <w:pPr>
              <w:adjustRightInd w:val="0"/>
              <w:snapToGrid w:val="0"/>
              <w:spacing w:line="324" w:lineRule="auto"/>
              <w:rPr>
                <w:sz w:val="24"/>
              </w:rPr>
            </w:pPr>
            <w:r>
              <w:rPr>
                <w:rFonts w:hint="eastAsia"/>
                <w:sz w:val="24"/>
              </w:rPr>
              <w:t>28</w:t>
            </w:r>
          </w:p>
        </w:tc>
        <w:tc>
          <w:tcPr>
            <w:tcW w:w="1044" w:type="dxa"/>
            <w:vAlign w:val="center"/>
          </w:tcPr>
          <w:p>
            <w:pPr>
              <w:adjustRightInd w:val="0"/>
              <w:snapToGrid w:val="0"/>
              <w:spacing w:line="324" w:lineRule="auto"/>
              <w:rPr>
                <w:sz w:val="24"/>
              </w:rPr>
            </w:pPr>
            <w:r>
              <w:rPr>
                <w:rFonts w:hint="eastAsia"/>
                <w:sz w:val="24"/>
              </w:rPr>
              <w:t>17.6.1</w:t>
            </w:r>
          </w:p>
        </w:tc>
        <w:tc>
          <w:tcPr>
            <w:tcW w:w="7560" w:type="dxa"/>
          </w:tcPr>
          <w:p>
            <w:pPr>
              <w:adjustRightInd w:val="0"/>
              <w:snapToGrid w:val="0"/>
              <w:spacing w:line="324" w:lineRule="auto"/>
              <w:rPr>
                <w:sz w:val="24"/>
              </w:rPr>
            </w:pPr>
            <w:r>
              <w:rPr>
                <w:rFonts w:hint="eastAsia"/>
                <w:sz w:val="24"/>
              </w:rPr>
              <w:t>最终结清申请单：承包人向监理人提交终结清申请单（包括相关证明材料）的份数：</w:t>
            </w:r>
            <w:r>
              <w:rPr>
                <w:rFonts w:hint="eastAsia"/>
                <w:sz w:val="24"/>
                <w:u w:val="single"/>
              </w:rPr>
              <w:t xml:space="preserve">  3  </w:t>
            </w:r>
            <w:r>
              <w:rPr>
                <w:rFonts w:hint="eastAsia"/>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29</w:t>
            </w:r>
          </w:p>
        </w:tc>
        <w:tc>
          <w:tcPr>
            <w:tcW w:w="1044" w:type="dxa"/>
            <w:vAlign w:val="center"/>
          </w:tcPr>
          <w:p>
            <w:pPr>
              <w:adjustRightInd w:val="0"/>
              <w:snapToGrid w:val="0"/>
              <w:spacing w:line="324" w:lineRule="auto"/>
              <w:rPr>
                <w:sz w:val="24"/>
              </w:rPr>
            </w:pPr>
            <w:r>
              <w:rPr>
                <w:rFonts w:hint="eastAsia"/>
                <w:sz w:val="24"/>
              </w:rPr>
              <w:t>17.6.2</w:t>
            </w:r>
          </w:p>
        </w:tc>
        <w:tc>
          <w:tcPr>
            <w:tcW w:w="7560" w:type="dxa"/>
          </w:tcPr>
          <w:p>
            <w:pPr>
              <w:adjustRightInd w:val="0"/>
              <w:snapToGrid w:val="0"/>
              <w:spacing w:line="324" w:lineRule="auto"/>
              <w:rPr>
                <w:sz w:val="24"/>
              </w:rPr>
            </w:pPr>
            <w:r>
              <w:rPr>
                <w:rFonts w:hint="eastAsia"/>
                <w:sz w:val="24"/>
              </w:rPr>
              <w:t>最终付款支付期限：</w:t>
            </w:r>
          </w:p>
          <w:p>
            <w:pPr>
              <w:adjustRightInd w:val="0"/>
              <w:snapToGrid w:val="0"/>
              <w:spacing w:line="324" w:lineRule="auto"/>
              <w:rPr>
                <w:sz w:val="24"/>
              </w:rPr>
            </w:pPr>
            <w:r>
              <w:rPr>
                <w:rFonts w:hint="eastAsia"/>
                <w:sz w:val="24"/>
              </w:rPr>
              <w:t>监理人出具最终结清证书后天内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30</w:t>
            </w:r>
          </w:p>
        </w:tc>
        <w:tc>
          <w:tcPr>
            <w:tcW w:w="1044" w:type="dxa"/>
            <w:vAlign w:val="center"/>
          </w:tcPr>
          <w:p>
            <w:pPr>
              <w:adjustRightInd w:val="0"/>
              <w:snapToGrid w:val="0"/>
              <w:spacing w:line="324" w:lineRule="auto"/>
              <w:rPr>
                <w:sz w:val="24"/>
              </w:rPr>
            </w:pPr>
            <w:r>
              <w:rPr>
                <w:rFonts w:hint="eastAsia"/>
                <w:sz w:val="24"/>
              </w:rPr>
              <w:t>19.7</w:t>
            </w:r>
          </w:p>
        </w:tc>
        <w:tc>
          <w:tcPr>
            <w:tcW w:w="7560" w:type="dxa"/>
          </w:tcPr>
          <w:p>
            <w:pPr>
              <w:adjustRightInd w:val="0"/>
              <w:snapToGrid w:val="0"/>
              <w:spacing w:line="324" w:lineRule="auto"/>
              <w:rPr>
                <w:sz w:val="24"/>
              </w:rPr>
            </w:pPr>
            <w:r>
              <w:rPr>
                <w:rFonts w:hint="eastAsia"/>
                <w:sz w:val="24"/>
              </w:rPr>
              <w:t>保修期：</w:t>
            </w:r>
            <w:r>
              <w:rPr>
                <w:rFonts w:hint="eastAsia"/>
                <w:sz w:val="24"/>
                <w:u w:val="single"/>
              </w:rPr>
              <w:t xml:space="preserve"> 5  </w:t>
            </w:r>
            <w:r>
              <w:rPr>
                <w:rFonts w:hint="eastAsia"/>
                <w:sz w:val="24"/>
              </w:rPr>
              <w:t>年（保修期一般应为5年）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31</w:t>
            </w:r>
          </w:p>
        </w:tc>
        <w:tc>
          <w:tcPr>
            <w:tcW w:w="1044" w:type="dxa"/>
            <w:vAlign w:val="center"/>
          </w:tcPr>
          <w:p>
            <w:pPr>
              <w:adjustRightInd w:val="0"/>
              <w:snapToGrid w:val="0"/>
              <w:spacing w:line="324" w:lineRule="auto"/>
              <w:rPr>
                <w:sz w:val="24"/>
              </w:rPr>
            </w:pPr>
            <w:r>
              <w:rPr>
                <w:rFonts w:hint="eastAsia"/>
                <w:sz w:val="24"/>
              </w:rPr>
              <w:t>20.1</w:t>
            </w:r>
          </w:p>
        </w:tc>
        <w:tc>
          <w:tcPr>
            <w:tcW w:w="7560" w:type="dxa"/>
          </w:tcPr>
          <w:p>
            <w:pPr>
              <w:adjustRightInd w:val="0"/>
              <w:snapToGrid w:val="0"/>
              <w:spacing w:line="324" w:lineRule="auto"/>
              <w:rPr>
                <w:sz w:val="24"/>
              </w:rPr>
            </w:pPr>
            <w:r>
              <w:rPr>
                <w:rFonts w:hint="eastAsia"/>
                <w:sz w:val="24"/>
              </w:rPr>
              <w:t>建筑工程一切险的保险费率：</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864" w:type="dxa"/>
            <w:vAlign w:val="center"/>
          </w:tcPr>
          <w:p>
            <w:pPr>
              <w:adjustRightInd w:val="0"/>
              <w:snapToGrid w:val="0"/>
              <w:spacing w:line="324" w:lineRule="auto"/>
              <w:rPr>
                <w:sz w:val="24"/>
              </w:rPr>
            </w:pPr>
            <w:r>
              <w:rPr>
                <w:rFonts w:hint="eastAsia"/>
                <w:sz w:val="24"/>
              </w:rPr>
              <w:t>32</w:t>
            </w:r>
          </w:p>
        </w:tc>
        <w:tc>
          <w:tcPr>
            <w:tcW w:w="1044" w:type="dxa"/>
            <w:vAlign w:val="center"/>
          </w:tcPr>
          <w:p>
            <w:pPr>
              <w:adjustRightInd w:val="0"/>
              <w:snapToGrid w:val="0"/>
              <w:spacing w:line="324" w:lineRule="auto"/>
              <w:rPr>
                <w:sz w:val="24"/>
              </w:rPr>
            </w:pPr>
            <w:r>
              <w:rPr>
                <w:rFonts w:hint="eastAsia"/>
                <w:sz w:val="24"/>
              </w:rPr>
              <w:t>20.4.2</w:t>
            </w:r>
          </w:p>
        </w:tc>
        <w:tc>
          <w:tcPr>
            <w:tcW w:w="7560" w:type="dxa"/>
          </w:tcPr>
          <w:p>
            <w:pPr>
              <w:adjustRightInd w:val="0"/>
              <w:snapToGrid w:val="0"/>
              <w:spacing w:line="324" w:lineRule="auto"/>
              <w:rPr>
                <w:sz w:val="24"/>
              </w:rPr>
            </w:pPr>
            <w:r>
              <w:rPr>
                <w:rFonts w:hint="eastAsia"/>
                <w:sz w:val="24"/>
              </w:rPr>
              <w:t>第三者责任的最低投保金额：万元人民币，事故次数不限（不计免赔额）     保险费率：</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864" w:type="dxa"/>
            <w:vAlign w:val="center"/>
          </w:tcPr>
          <w:p>
            <w:pPr>
              <w:adjustRightInd w:val="0"/>
              <w:snapToGrid w:val="0"/>
              <w:spacing w:line="324" w:lineRule="auto"/>
              <w:rPr>
                <w:sz w:val="24"/>
              </w:rPr>
            </w:pPr>
            <w:r>
              <w:rPr>
                <w:rFonts w:hint="eastAsia"/>
                <w:sz w:val="24"/>
              </w:rPr>
              <w:t>33</w:t>
            </w:r>
          </w:p>
        </w:tc>
        <w:tc>
          <w:tcPr>
            <w:tcW w:w="1044" w:type="dxa"/>
            <w:vAlign w:val="center"/>
          </w:tcPr>
          <w:p>
            <w:pPr>
              <w:adjustRightInd w:val="0"/>
              <w:snapToGrid w:val="0"/>
              <w:spacing w:line="324" w:lineRule="auto"/>
              <w:rPr>
                <w:sz w:val="24"/>
              </w:rPr>
            </w:pPr>
            <w:r>
              <w:rPr>
                <w:rFonts w:hint="eastAsia"/>
                <w:sz w:val="24"/>
              </w:rPr>
              <w:t>24.1</w:t>
            </w:r>
          </w:p>
        </w:tc>
        <w:tc>
          <w:tcPr>
            <w:tcW w:w="7560" w:type="dxa"/>
          </w:tcPr>
          <w:p>
            <w:pPr>
              <w:adjustRightInd w:val="0"/>
              <w:snapToGrid w:val="0"/>
              <w:spacing w:line="324" w:lineRule="auto"/>
              <w:rPr>
                <w:sz w:val="24"/>
                <w:u w:val="single"/>
              </w:rPr>
            </w:pPr>
            <w:r>
              <w:rPr>
                <w:rFonts w:hint="eastAsia"/>
                <w:sz w:val="24"/>
              </w:rPr>
              <w:t>争议的最终解决方式：</w:t>
            </w:r>
            <w:r>
              <w:rPr>
                <w:rFonts w:hint="eastAsia"/>
                <w:sz w:val="24"/>
                <w:u w:val="single"/>
              </w:rPr>
              <w:t xml:space="preserve">      诉讼     </w:t>
            </w:r>
          </w:p>
          <w:p>
            <w:pPr>
              <w:adjustRightInd w:val="0"/>
              <w:snapToGrid w:val="0"/>
              <w:spacing w:line="324" w:lineRule="auto"/>
              <w:rPr>
                <w:sz w:val="24"/>
              </w:rPr>
            </w:pPr>
            <w:r>
              <w:rPr>
                <w:rFonts w:hint="eastAsia"/>
                <w:sz w:val="24"/>
              </w:rPr>
              <w:t>如采用仲裁，仲裁委员会名称</w:t>
            </w:r>
            <w:r>
              <w:rPr>
                <w:rFonts w:hint="eastAsia"/>
                <w:sz w:val="24"/>
                <w:u w:val="single"/>
              </w:rPr>
              <w:t xml:space="preserve">：  许昌市中级人民法院  </w:t>
            </w:r>
          </w:p>
        </w:tc>
      </w:tr>
    </w:tbl>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360" w:lineRule="auto"/>
        <w:rPr>
          <w:rFonts w:ascii="黑体" w:eastAsia="黑体"/>
          <w:sz w:val="30"/>
        </w:rPr>
      </w:pPr>
    </w:p>
    <w:p>
      <w:pPr>
        <w:adjustRightInd w:val="0"/>
        <w:snapToGrid w:val="0"/>
        <w:spacing w:beforeLines="50" w:afterLines="50" w:line="360" w:lineRule="auto"/>
        <w:rPr>
          <w:rFonts w:ascii="黑体" w:eastAsia="黑体"/>
          <w:sz w:val="30"/>
        </w:rPr>
      </w:pPr>
      <w:r>
        <w:rPr>
          <w:rFonts w:hint="eastAsia" w:ascii="黑体" w:eastAsia="黑体"/>
          <w:sz w:val="30"/>
        </w:rPr>
        <w:t>项目专用条款</w:t>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1.4合同文件的优先顺序：</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u w:val="single"/>
        </w:rPr>
      </w:pPr>
      <w:r>
        <w:rPr>
          <w:rFonts w:hint="eastAsia" w:asciiTheme="minorEastAsia" w:hAnsiTheme="minorEastAsia" w:eastAsiaTheme="minorEastAsia"/>
          <w:sz w:val="24"/>
        </w:rPr>
        <w:t>1.7.2来往函件送达的期限：</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2.8发包人应履行的其他义务：</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4.1.2依法纳税：</w:t>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4.1.8为他人提供方便</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ind w:firstLine="672" w:firstLineChars="280"/>
        <w:rPr>
          <w:rFonts w:asciiTheme="minorEastAsia" w:hAnsiTheme="minorEastAsia" w:eastAsiaTheme="minorEastAsia"/>
          <w:sz w:val="24"/>
        </w:rPr>
      </w:pPr>
      <w:r>
        <w:rPr>
          <w:rFonts w:hint="eastAsia" w:asciiTheme="minorEastAsia" w:hAnsiTheme="minorEastAsia" w:eastAsiaTheme="minorEastAsia"/>
          <w:sz w:val="24"/>
        </w:rPr>
        <w:t>承包人为他人提供条件的内容：</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ind w:firstLine="672" w:firstLineChars="280"/>
        <w:rPr>
          <w:rFonts w:asciiTheme="minorEastAsia" w:hAnsiTheme="minorEastAsia" w:eastAsiaTheme="minorEastAsia"/>
          <w:sz w:val="24"/>
        </w:rPr>
      </w:pPr>
      <w:r>
        <w:rPr>
          <w:rFonts w:hint="eastAsia" w:asciiTheme="minorEastAsia" w:hAnsiTheme="minorEastAsia" w:eastAsiaTheme="minorEastAsia"/>
          <w:sz w:val="24"/>
        </w:rPr>
        <w:t>承包人为他人提供条件可能发生费用的处理方法：</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4.1.10其他义务：</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4.2履约担保：</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4.11.1不利物质条件的范围：</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6.2发包人提供的施工设备和临时设施：</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8.1.1发包人向承包人提供测量准点、基准线和水准点及其书面资料的时间：</w:t>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rPr>
        <w:t>。承包人监理人报送施工控制网资料的时间：</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9.2承包人的施工安全责任：</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10.1合同进度计划</w: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承包人编制施工方案的内容：</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11.4异常恶劣的气候条件：</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11.5承包人的工期延误：</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11.6工期提前：</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12.1承包人暂停停工的责任：</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15.4变更的佶价原则：</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17.3.3进度付款证书和支付时间：</w: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进度付款涉及政府投资资金的,按照以下规定办理：</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18.5施工期运行</w: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单位工程或工程设备是否需投入施工期运行：</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18.6试运行</w:t>
      </w:r>
      <w:r>
        <w:rPr>
          <w:rFonts w:asciiTheme="minorEastAsia" w:hAnsiTheme="minorEastAsia" w:eastAsiaTheme="minorEastAsia"/>
          <w:position w:val="-10"/>
          <w:sz w:val="24"/>
        </w:rPr>
        <w:object>
          <v:shape id="_x0000_i1027" o:spt="75" type="#_x0000_t75" style="height:17.25pt;width:9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6" r:id="rId17">
            <o:LockedField>false</o:LockedField>
          </o:OLEObject>
        </w:objec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18.6.1项约定：</w: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本工程及工程设备是否进行试运行：</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试运行的内容：</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试运行的费用约定：</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21.1不可抗力的确认：</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u w:val="single"/>
        </w:rPr>
      </w:pPr>
      <w:r>
        <w:rPr>
          <w:rFonts w:hint="eastAsia" w:asciiTheme="minorEastAsia" w:hAnsiTheme="minorEastAsia" w:eastAsiaTheme="minorEastAsia"/>
          <w:sz w:val="24"/>
        </w:rPr>
        <w:t>22.1.2对承包人违约的处理：</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pStyle w:val="30"/>
        <w:snapToGrid w:val="0"/>
        <w:spacing w:line="300" w:lineRule="auto"/>
        <w:jc w:val="center"/>
        <w:rPr>
          <w:rFonts w:ascii="黑体" w:eastAsia="黑体"/>
          <w:bCs/>
          <w:color w:val="auto"/>
          <w:sz w:val="36"/>
          <w:szCs w:val="36"/>
        </w:rPr>
      </w:pPr>
    </w:p>
    <w:p>
      <w:pPr>
        <w:pStyle w:val="30"/>
        <w:snapToGrid w:val="0"/>
        <w:spacing w:line="300" w:lineRule="auto"/>
        <w:jc w:val="center"/>
        <w:rPr>
          <w:rFonts w:ascii="黑体" w:eastAsia="黑体"/>
          <w:bCs/>
          <w:color w:val="auto"/>
          <w:sz w:val="36"/>
          <w:szCs w:val="36"/>
        </w:rPr>
      </w:pPr>
      <w:r>
        <w:rPr>
          <w:rFonts w:ascii="黑体" w:eastAsia="黑体"/>
          <w:bCs/>
          <w:color w:val="auto"/>
          <w:sz w:val="36"/>
          <w:szCs w:val="36"/>
        </w:rPr>
        <w:t>第三节 合同附件格式</w:t>
      </w:r>
    </w:p>
    <w:bookmarkEnd w:id="207"/>
    <w:p>
      <w:pPr>
        <w:adjustRightInd w:val="0"/>
        <w:snapToGrid w:val="0"/>
        <w:spacing w:line="360" w:lineRule="auto"/>
        <w:rPr>
          <w:rFonts w:ascii="黑体" w:eastAsia="黑体"/>
          <w:sz w:val="24"/>
          <w:u w:val="single"/>
        </w:rPr>
      </w:pPr>
      <w:r>
        <w:rPr>
          <w:rFonts w:hint="eastAsia" w:ascii="黑体" w:eastAsia="黑体"/>
          <w:sz w:val="24"/>
        </w:rPr>
        <w:t>附件一：合同协议书</w:t>
      </w:r>
    </w:p>
    <w:p>
      <w:pPr>
        <w:adjustRightInd w:val="0"/>
        <w:snapToGrid w:val="0"/>
        <w:spacing w:beforeLines="100" w:afterLines="100" w:line="360" w:lineRule="auto"/>
        <w:jc w:val="center"/>
        <w:rPr>
          <w:rFonts w:ascii="黑体" w:eastAsia="黑体"/>
          <w:sz w:val="28"/>
          <w:szCs w:val="28"/>
        </w:rPr>
      </w:pPr>
      <w:r>
        <w:rPr>
          <w:rFonts w:hint="eastAsia" w:ascii="黑体" w:eastAsia="黑体"/>
          <w:sz w:val="28"/>
          <w:szCs w:val="28"/>
        </w:rPr>
        <w:t>合 同 协 议 书</w:t>
      </w:r>
    </w:p>
    <w:p>
      <w:pPr>
        <w:adjustRightInd w:val="0"/>
        <w:snapToGrid w:val="0"/>
        <w:spacing w:line="360" w:lineRule="auto"/>
        <w:ind w:firstLine="720" w:firstLineChars="300"/>
        <w:rPr>
          <w:sz w:val="24"/>
        </w:rPr>
      </w:pPr>
      <w:r>
        <w:rPr>
          <w:sz w:val="24"/>
        </w:rPr>
        <w:t>（发包</w:t>
      </w:r>
      <w:r>
        <w:rPr>
          <w:rFonts w:hint="eastAsia"/>
          <w:sz w:val="24"/>
        </w:rPr>
        <w:t>人名</w:t>
      </w:r>
      <w:r>
        <w:rPr>
          <w:sz w:val="24"/>
        </w:rPr>
        <w:t>称，以下</w:t>
      </w:r>
      <w:r>
        <w:rPr>
          <w:rFonts w:hint="eastAsia"/>
          <w:sz w:val="24"/>
        </w:rPr>
        <w:t>简称“发包</w:t>
      </w:r>
      <w:r>
        <w:rPr>
          <w:sz w:val="24"/>
        </w:rPr>
        <w:t>人</w:t>
      </w:r>
      <w:r>
        <w:rPr>
          <w:rFonts w:hint="eastAsia"/>
          <w:sz w:val="24"/>
        </w:rPr>
        <w:t>” ）</w:t>
      </w:r>
      <w:r>
        <w:rPr>
          <w:sz w:val="24"/>
        </w:rPr>
        <w:t>为实施（项目名称），已接受（承包人名称，以下简称“承包人”）对该项目</w:t>
      </w:r>
      <w:r>
        <w:rPr>
          <w:rFonts w:hint="eastAsia" w:asciiTheme="minorEastAsia" w:hAnsiTheme="minorEastAsia" w:eastAsiaTheme="minorEastAsia"/>
          <w:sz w:val="24"/>
        </w:rPr>
        <w:t>标段</w:t>
      </w:r>
      <w:r>
        <w:rPr>
          <w:sz w:val="24"/>
        </w:rPr>
        <w:t>施工的投标。发包人和承包人共同达成如下协议。</w:t>
      </w:r>
    </w:p>
    <w:p>
      <w:pPr>
        <w:adjustRightInd w:val="0"/>
        <w:snapToGrid w:val="0"/>
        <w:spacing w:line="360" w:lineRule="auto"/>
        <w:ind w:firstLine="480" w:firstLineChars="200"/>
        <w:rPr>
          <w:sz w:val="24"/>
        </w:rPr>
      </w:pPr>
      <w:r>
        <w:rPr>
          <w:sz w:val="24"/>
        </w:rPr>
        <w:t>1</w:t>
      </w:r>
      <w:r>
        <w:rPr>
          <w:rFonts w:hint="eastAsia"/>
          <w:sz w:val="24"/>
        </w:rPr>
        <w:t>．</w:t>
      </w:r>
      <w:r>
        <w:rPr>
          <w:sz w:val="24"/>
        </w:rPr>
        <w:t>第标段由K＋至K十，长约km，技术标准级，路面。有立交处；大中桥座，计长</w:t>
      </w:r>
      <w:r>
        <w:rPr>
          <w:rFonts w:hint="eastAsia"/>
          <w:sz w:val="24"/>
        </w:rPr>
        <w:t>m</w:t>
      </w:r>
      <w:r>
        <w:rPr>
          <w:sz w:val="24"/>
        </w:rPr>
        <w:t>；隧道座，计长</w:t>
      </w:r>
      <w:r>
        <w:rPr>
          <w:rFonts w:hint="eastAsia"/>
          <w:sz w:val="24"/>
        </w:rPr>
        <w:t>m</w:t>
      </w:r>
      <w:r>
        <w:rPr>
          <w:sz w:val="24"/>
        </w:rPr>
        <w:t>以及其他构造物工程等。</w:t>
      </w:r>
    </w:p>
    <w:p>
      <w:pPr>
        <w:adjustRightInd w:val="0"/>
        <w:snapToGrid w:val="0"/>
        <w:spacing w:line="360" w:lineRule="auto"/>
        <w:ind w:firstLine="480" w:firstLineChars="200"/>
        <w:rPr>
          <w:sz w:val="24"/>
        </w:rPr>
      </w:pPr>
      <w:r>
        <w:rPr>
          <w:sz w:val="24"/>
        </w:rPr>
        <w:t>2</w:t>
      </w:r>
      <w:r>
        <w:rPr>
          <w:rFonts w:hint="eastAsia"/>
          <w:sz w:val="24"/>
        </w:rPr>
        <w:t>．</w:t>
      </w:r>
      <w:r>
        <w:rPr>
          <w:sz w:val="24"/>
        </w:rPr>
        <w:t>下列文件应视为构成合同文件的组成部分：</w:t>
      </w:r>
    </w:p>
    <w:p>
      <w:pPr>
        <w:adjustRightInd w:val="0"/>
        <w:snapToGrid w:val="0"/>
        <w:spacing w:line="360" w:lineRule="auto"/>
        <w:ind w:left="1079" w:leftChars="228" w:hanging="600" w:hangingChars="250"/>
        <w:rPr>
          <w:sz w:val="24"/>
        </w:rPr>
      </w:pPr>
      <w:r>
        <w:rPr>
          <w:sz w:val="24"/>
        </w:rPr>
        <w:t>（1</w:t>
      </w:r>
      <w:r>
        <w:rPr>
          <w:rFonts w:hint="eastAsia"/>
          <w:sz w:val="24"/>
        </w:rPr>
        <w:t>）</w:t>
      </w:r>
      <w:r>
        <w:rPr>
          <w:sz w:val="24"/>
        </w:rPr>
        <w:t>本协议书及各种合同附件（含评标期间和合同谈判过程中的澄清文件和补充资料）；</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中标通知书；</w:t>
      </w:r>
    </w:p>
    <w:p>
      <w:pPr>
        <w:adjustRightInd w:val="0"/>
        <w:snapToGrid w:val="0"/>
        <w:spacing w:line="360" w:lineRule="auto"/>
        <w:ind w:firstLine="480" w:firstLineChars="200"/>
        <w:rPr>
          <w:sz w:val="24"/>
        </w:rPr>
      </w:pPr>
      <w:r>
        <w:rPr>
          <w:sz w:val="24"/>
        </w:rPr>
        <w:t>（3</w:t>
      </w:r>
      <w:r>
        <w:rPr>
          <w:rFonts w:hint="eastAsia"/>
          <w:sz w:val="24"/>
        </w:rPr>
        <w:t>）</w:t>
      </w:r>
      <w:r>
        <w:rPr>
          <w:sz w:val="24"/>
        </w:rPr>
        <w:t>补遗书；</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投标函及投标函附录；</w:t>
      </w:r>
    </w:p>
    <w:p>
      <w:pPr>
        <w:adjustRightInd w:val="0"/>
        <w:snapToGrid w:val="0"/>
        <w:spacing w:line="360" w:lineRule="auto"/>
        <w:ind w:firstLine="480" w:firstLineChars="200"/>
        <w:rPr>
          <w:sz w:val="24"/>
        </w:rPr>
      </w:pPr>
      <w:r>
        <w:rPr>
          <w:rFonts w:hint="eastAsia"/>
          <w:sz w:val="24"/>
        </w:rPr>
        <w:t>（</w:t>
      </w:r>
      <w:r>
        <w:rPr>
          <w:sz w:val="24"/>
        </w:rPr>
        <w:t>5）项目专用合同条款；</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公路行业标准专用合同条款；</w:t>
      </w:r>
    </w:p>
    <w:p>
      <w:pPr>
        <w:adjustRightInd w:val="0"/>
        <w:snapToGrid w:val="0"/>
        <w:spacing w:line="360" w:lineRule="auto"/>
        <w:ind w:firstLine="480" w:firstLineChars="200"/>
        <w:rPr>
          <w:sz w:val="24"/>
        </w:rPr>
      </w:pPr>
      <w:r>
        <w:rPr>
          <w:rFonts w:hint="eastAsia"/>
          <w:sz w:val="24"/>
        </w:rPr>
        <w:t>（</w:t>
      </w:r>
      <w:r>
        <w:rPr>
          <w:sz w:val="24"/>
        </w:rPr>
        <w:t>7</w:t>
      </w:r>
      <w:r>
        <w:rPr>
          <w:rFonts w:hint="eastAsia"/>
          <w:sz w:val="24"/>
        </w:rPr>
        <w:t>）</w:t>
      </w:r>
      <w:r>
        <w:rPr>
          <w:sz w:val="24"/>
        </w:rPr>
        <w:t>通用合同条款；</w:t>
      </w:r>
    </w:p>
    <w:p>
      <w:pPr>
        <w:adjustRightInd w:val="0"/>
        <w:snapToGrid w:val="0"/>
        <w:spacing w:line="360" w:lineRule="auto"/>
        <w:ind w:firstLine="480" w:firstLineChars="200"/>
        <w:rPr>
          <w:sz w:val="24"/>
        </w:rPr>
      </w:pPr>
      <w:r>
        <w:rPr>
          <w:sz w:val="24"/>
        </w:rPr>
        <w:t>（8）技术规范；</w:t>
      </w:r>
    </w:p>
    <w:p>
      <w:pPr>
        <w:adjustRightInd w:val="0"/>
        <w:snapToGrid w:val="0"/>
        <w:spacing w:line="360" w:lineRule="auto"/>
        <w:ind w:firstLine="480" w:firstLineChars="200"/>
        <w:rPr>
          <w:sz w:val="24"/>
        </w:rPr>
      </w:pPr>
      <w:r>
        <w:rPr>
          <w:sz w:val="24"/>
        </w:rPr>
        <w:t>（9）图纸；</w:t>
      </w:r>
    </w:p>
    <w:p>
      <w:pPr>
        <w:adjustRightInd w:val="0"/>
        <w:snapToGrid w:val="0"/>
        <w:spacing w:line="360" w:lineRule="auto"/>
        <w:ind w:firstLine="480" w:firstLineChars="200"/>
        <w:rPr>
          <w:sz w:val="24"/>
        </w:rPr>
      </w:pPr>
      <w:r>
        <w:rPr>
          <w:sz w:val="24"/>
        </w:rPr>
        <w:t>（10）已标价工程量清单；</w:t>
      </w:r>
    </w:p>
    <w:p>
      <w:pPr>
        <w:adjustRightInd w:val="0"/>
        <w:snapToGrid w:val="0"/>
        <w:spacing w:line="360" w:lineRule="auto"/>
        <w:ind w:firstLine="480" w:firstLineChars="20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pPr>
        <w:adjustRightInd w:val="0"/>
        <w:snapToGrid w:val="0"/>
        <w:spacing w:line="360" w:lineRule="auto"/>
        <w:ind w:firstLine="480" w:firstLineChars="200"/>
        <w:rPr>
          <w:sz w:val="24"/>
        </w:rPr>
      </w:pPr>
      <w:r>
        <w:rPr>
          <w:rFonts w:hint="eastAsia"/>
          <w:sz w:val="24"/>
        </w:rPr>
        <w:t>（12）根据承诺提供的详细人员、设备清单；</w:t>
      </w:r>
    </w:p>
    <w:p>
      <w:pPr>
        <w:adjustRightInd w:val="0"/>
        <w:snapToGrid w:val="0"/>
        <w:spacing w:line="360" w:lineRule="auto"/>
        <w:ind w:firstLine="480" w:firstLineChars="200"/>
        <w:rPr>
          <w:sz w:val="24"/>
        </w:rPr>
      </w:pPr>
      <w:r>
        <w:rPr>
          <w:sz w:val="24"/>
        </w:rPr>
        <w:t>（1</w:t>
      </w:r>
      <w:r>
        <w:rPr>
          <w:rFonts w:hint="eastAsia"/>
          <w:sz w:val="24"/>
        </w:rPr>
        <w:t>3</w:t>
      </w:r>
      <w:r>
        <w:rPr>
          <w:sz w:val="24"/>
        </w:rPr>
        <w:t>）施工组织设计安排；</w:t>
      </w:r>
    </w:p>
    <w:p>
      <w:pPr>
        <w:adjustRightInd w:val="0"/>
        <w:snapToGrid w:val="0"/>
        <w:spacing w:line="360" w:lineRule="auto"/>
        <w:ind w:firstLine="480" w:firstLineChars="200"/>
        <w:rPr>
          <w:sz w:val="24"/>
        </w:rPr>
      </w:pPr>
      <w:r>
        <w:rPr>
          <w:sz w:val="24"/>
        </w:rPr>
        <w:t>（1</w:t>
      </w:r>
      <w:r>
        <w:rPr>
          <w:rFonts w:hint="eastAsia"/>
          <w:sz w:val="24"/>
        </w:rPr>
        <w:t>4</w:t>
      </w:r>
      <w:r>
        <w:rPr>
          <w:sz w:val="24"/>
        </w:rPr>
        <w:t>）</w:t>
      </w:r>
      <w:r>
        <w:rPr>
          <w:rFonts w:hint="eastAsia"/>
          <w:sz w:val="24"/>
        </w:rPr>
        <w:t>农民工工资支付承诺书</w:t>
      </w:r>
      <w:r>
        <w:rPr>
          <w:sz w:val="24"/>
        </w:rPr>
        <w:t>；</w:t>
      </w:r>
    </w:p>
    <w:p>
      <w:pPr>
        <w:adjustRightInd w:val="0"/>
        <w:snapToGrid w:val="0"/>
        <w:spacing w:line="360" w:lineRule="auto"/>
        <w:ind w:firstLine="480" w:firstLineChars="200"/>
        <w:rPr>
          <w:sz w:val="24"/>
        </w:rPr>
      </w:pPr>
      <w:r>
        <w:rPr>
          <w:rFonts w:hint="eastAsia"/>
          <w:sz w:val="24"/>
        </w:rPr>
        <w:t>（15）扬尘治理专项承诺书；</w:t>
      </w:r>
    </w:p>
    <w:p>
      <w:pPr>
        <w:adjustRightInd w:val="0"/>
        <w:snapToGrid w:val="0"/>
        <w:spacing w:line="360" w:lineRule="auto"/>
        <w:ind w:firstLine="480" w:firstLineChars="200"/>
        <w:rPr>
          <w:sz w:val="24"/>
        </w:rPr>
      </w:pPr>
      <w:r>
        <w:rPr>
          <w:sz w:val="24"/>
        </w:rPr>
        <w:t>（1</w:t>
      </w:r>
      <w:r>
        <w:rPr>
          <w:rFonts w:hint="eastAsia"/>
          <w:sz w:val="24"/>
        </w:rPr>
        <w:t>6</w:t>
      </w:r>
      <w:r>
        <w:rPr>
          <w:sz w:val="24"/>
        </w:rPr>
        <w:t>）其他合同文件。</w:t>
      </w:r>
    </w:p>
    <w:p>
      <w:pPr>
        <w:adjustRightInd w:val="0"/>
        <w:snapToGrid w:val="0"/>
        <w:spacing w:line="360" w:lineRule="auto"/>
        <w:ind w:firstLine="480" w:firstLineChars="200"/>
        <w:rPr>
          <w:sz w:val="24"/>
        </w:rPr>
      </w:pPr>
      <w:r>
        <w:rPr>
          <w:sz w:val="24"/>
        </w:rPr>
        <w:t>3</w:t>
      </w:r>
      <w:r>
        <w:rPr>
          <w:rFonts w:hint="eastAsia"/>
          <w:sz w:val="24"/>
        </w:rPr>
        <w:t>．</w:t>
      </w:r>
      <w:r>
        <w:rPr>
          <w:sz w:val="24"/>
        </w:rPr>
        <w:t>上述文件互相补充和解释，如有不明确或不一致之处，以合同约定次序在先者为准。</w:t>
      </w:r>
    </w:p>
    <w:p>
      <w:pPr>
        <w:adjustRightInd w:val="0"/>
        <w:snapToGrid w:val="0"/>
        <w:spacing w:line="360" w:lineRule="auto"/>
        <w:ind w:firstLine="480" w:firstLineChars="200"/>
        <w:rPr>
          <w:sz w:val="24"/>
        </w:rPr>
      </w:pPr>
      <w:r>
        <w:rPr>
          <w:sz w:val="24"/>
        </w:rPr>
        <w:t>4</w:t>
      </w:r>
      <w:r>
        <w:rPr>
          <w:rFonts w:hint="eastAsia"/>
          <w:sz w:val="24"/>
        </w:rPr>
        <w:t>．</w:t>
      </w:r>
      <w:r>
        <w:rPr>
          <w:sz w:val="24"/>
        </w:rPr>
        <w:t>根据工程量清单所列的预计数量和单价或总额价计算的签约合同价：人民币（大写）元（￥</w:t>
      </w:r>
      <w:r>
        <w:rPr>
          <w:rFonts w:hint="eastAsia"/>
          <w:sz w:val="24"/>
        </w:rPr>
        <w:t>）。</w:t>
      </w:r>
    </w:p>
    <w:p>
      <w:pPr>
        <w:adjustRightInd w:val="0"/>
        <w:snapToGrid w:val="0"/>
        <w:spacing w:line="360" w:lineRule="auto"/>
        <w:ind w:firstLine="480" w:firstLineChars="200"/>
        <w:rPr>
          <w:sz w:val="24"/>
        </w:rPr>
      </w:pPr>
      <w:r>
        <w:rPr>
          <w:sz w:val="24"/>
        </w:rPr>
        <w:t>5</w:t>
      </w:r>
      <w:r>
        <w:rPr>
          <w:rFonts w:hint="eastAsia"/>
          <w:sz w:val="24"/>
        </w:rPr>
        <w:t>．</w:t>
      </w:r>
      <w:r>
        <w:rPr>
          <w:sz w:val="24"/>
        </w:rPr>
        <w:t>承包人项目经理：。技术负责人：。</w:t>
      </w:r>
    </w:p>
    <w:p>
      <w:pPr>
        <w:adjustRightInd w:val="0"/>
        <w:snapToGrid w:val="0"/>
        <w:spacing w:line="360" w:lineRule="auto"/>
        <w:ind w:firstLine="480" w:firstLineChars="200"/>
        <w:rPr>
          <w:sz w:val="24"/>
        </w:rPr>
      </w:pPr>
      <w:r>
        <w:rPr>
          <w:sz w:val="24"/>
        </w:rPr>
        <w:t>6</w:t>
      </w:r>
      <w:r>
        <w:rPr>
          <w:rFonts w:hint="eastAsia"/>
          <w:sz w:val="24"/>
        </w:rPr>
        <w:t>．</w:t>
      </w:r>
      <w:r>
        <w:rPr>
          <w:sz w:val="24"/>
        </w:rPr>
        <w:t>工程质量符合标准。</w:t>
      </w:r>
    </w:p>
    <w:p>
      <w:pPr>
        <w:adjustRightInd w:val="0"/>
        <w:snapToGrid w:val="0"/>
        <w:spacing w:line="360" w:lineRule="auto"/>
        <w:ind w:firstLine="480" w:firstLineChars="200"/>
        <w:rPr>
          <w:sz w:val="24"/>
        </w:rPr>
      </w:pPr>
      <w:r>
        <w:rPr>
          <w:sz w:val="24"/>
        </w:rPr>
        <w:t>7．承包人承诺按合同约定承担工程的实施、完成及缺陷修复。</w:t>
      </w:r>
    </w:p>
    <w:p>
      <w:pPr>
        <w:adjustRightInd w:val="0"/>
        <w:snapToGrid w:val="0"/>
        <w:spacing w:line="360" w:lineRule="auto"/>
        <w:ind w:firstLine="480" w:firstLineChars="200"/>
        <w:rPr>
          <w:sz w:val="24"/>
        </w:rPr>
      </w:pPr>
      <w:r>
        <w:rPr>
          <w:rFonts w:hint="eastAsia"/>
          <w:sz w:val="24"/>
        </w:rPr>
        <w:t>8．</w:t>
      </w:r>
      <w:r>
        <w:rPr>
          <w:sz w:val="24"/>
        </w:rPr>
        <w:t>发包人承诺按合同约定的条件、时间和方式向承包人支付合同价款。</w:t>
      </w:r>
    </w:p>
    <w:p>
      <w:pPr>
        <w:adjustRightInd w:val="0"/>
        <w:snapToGrid w:val="0"/>
        <w:spacing w:line="360" w:lineRule="auto"/>
        <w:ind w:firstLine="480" w:firstLineChars="200"/>
        <w:rPr>
          <w:sz w:val="24"/>
        </w:rPr>
      </w:pPr>
      <w:r>
        <w:rPr>
          <w:sz w:val="24"/>
        </w:rPr>
        <w:t>9</w:t>
      </w:r>
      <w:r>
        <w:rPr>
          <w:rFonts w:hint="eastAsia"/>
          <w:sz w:val="24"/>
        </w:rPr>
        <w:t>．</w:t>
      </w:r>
      <w:r>
        <w:rPr>
          <w:sz w:val="24"/>
        </w:rPr>
        <w:t>承包人应按照监理人指示开工，工期为日历天。</w:t>
      </w:r>
    </w:p>
    <w:p>
      <w:pPr>
        <w:adjustRightInd w:val="0"/>
        <w:snapToGrid w:val="0"/>
        <w:spacing w:line="360" w:lineRule="auto"/>
        <w:ind w:firstLine="480" w:firstLineChars="200"/>
        <w:rPr>
          <w:sz w:val="24"/>
        </w:rPr>
      </w:pPr>
      <w:r>
        <w:rPr>
          <w:sz w:val="24"/>
        </w:rPr>
        <w:t>10</w:t>
      </w:r>
      <w:r>
        <w:rPr>
          <w:rFonts w:hint="eastAsia"/>
          <w:sz w:val="24"/>
        </w:rPr>
        <w:t>．</w:t>
      </w:r>
      <w:r>
        <w:rPr>
          <w:sz w:val="24"/>
        </w:rPr>
        <w:t>本协议书在承包人提供履约担保后，由双方法定代表人或其委托代理人签署与加盖公章后生效。全部工程完工后经竣工验收合格、缺陷责任期满及保修期终止分别签发缺陷责任终止证书及保修期终止证书后失效。</w:t>
      </w:r>
    </w:p>
    <w:p>
      <w:pPr>
        <w:adjustRightInd w:val="0"/>
        <w:snapToGrid w:val="0"/>
        <w:spacing w:line="360" w:lineRule="auto"/>
        <w:ind w:firstLine="480" w:firstLineChars="200"/>
        <w:rPr>
          <w:sz w:val="24"/>
        </w:rPr>
      </w:pPr>
      <w:r>
        <w:rPr>
          <w:sz w:val="24"/>
        </w:rPr>
        <w:t>11．本协议书正本二份、副本份，合同双方各执正本一份，副本份，当正本与副本的内容不一致时，以正本为准。</w:t>
      </w:r>
    </w:p>
    <w:p>
      <w:pPr>
        <w:adjustRightInd w:val="0"/>
        <w:snapToGrid w:val="0"/>
        <w:spacing w:line="360" w:lineRule="auto"/>
        <w:ind w:firstLine="480" w:firstLineChars="200"/>
        <w:rPr>
          <w:sz w:val="24"/>
        </w:rPr>
      </w:pPr>
      <w:r>
        <w:rPr>
          <w:sz w:val="24"/>
        </w:rPr>
        <w:t>12</w:t>
      </w:r>
      <w:r>
        <w:rPr>
          <w:rFonts w:hint="eastAsia"/>
          <w:sz w:val="24"/>
        </w:rPr>
        <w:t>．</w:t>
      </w:r>
      <w:r>
        <w:rPr>
          <w:sz w:val="24"/>
        </w:rPr>
        <w:t>合同未尽事宜，双方另行签订补充协议。补充协议是合同的组成部分。</w:t>
      </w:r>
    </w:p>
    <w:p>
      <w:pPr>
        <w:adjustRightInd w:val="0"/>
        <w:snapToGrid w:val="0"/>
        <w:spacing w:line="360" w:lineRule="auto"/>
        <w:ind w:firstLine="480" w:firstLineChars="200"/>
        <w:rPr>
          <w:sz w:val="24"/>
        </w:rPr>
      </w:pPr>
    </w:p>
    <w:p>
      <w:pPr>
        <w:adjustRightInd w:val="0"/>
        <w:snapToGrid w:val="0"/>
        <w:spacing w:line="360" w:lineRule="auto"/>
        <w:rPr>
          <w:sz w:val="24"/>
        </w:rPr>
      </w:pPr>
      <w:r>
        <w:rPr>
          <w:sz w:val="24"/>
        </w:rPr>
        <w:t>发包人：（盖单位公章）承包人：（盖单位公章）</w:t>
      </w:r>
    </w:p>
    <w:p>
      <w:pPr>
        <w:adjustRightInd w:val="0"/>
        <w:snapToGrid w:val="0"/>
        <w:spacing w:line="360" w:lineRule="auto"/>
        <w:rPr>
          <w:sz w:val="24"/>
        </w:rPr>
      </w:pPr>
      <w:r>
        <w:rPr>
          <w:sz w:val="24"/>
        </w:rPr>
        <w:t>法定代表人或其委托代理人：</w:t>
      </w:r>
      <w:r>
        <w:rPr>
          <w:rFonts w:hint="eastAsia"/>
          <w:sz w:val="24"/>
        </w:rPr>
        <w:t>（</w:t>
      </w:r>
      <w:r>
        <w:rPr>
          <w:sz w:val="24"/>
        </w:rPr>
        <w:t>签字）法定代表人或其委托代理人：</w:t>
      </w:r>
      <w:r>
        <w:rPr>
          <w:rFonts w:hint="eastAsia"/>
          <w:sz w:val="24"/>
        </w:rPr>
        <w:t>（</w:t>
      </w:r>
      <w:r>
        <w:rPr>
          <w:sz w:val="24"/>
        </w:rPr>
        <w:t>签字）</w:t>
      </w:r>
    </w:p>
    <w:p>
      <w:pPr>
        <w:adjustRightInd w:val="0"/>
        <w:snapToGrid w:val="0"/>
        <w:spacing w:line="360" w:lineRule="auto"/>
        <w:ind w:firstLine="480" w:firstLineChars="200"/>
        <w:rPr>
          <w:sz w:val="24"/>
        </w:rPr>
      </w:pPr>
      <w:r>
        <w:rPr>
          <w:sz w:val="24"/>
        </w:rPr>
        <w:t>年月日年月日</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rPr>
          <w:sz w:val="24"/>
        </w:rPr>
      </w:pPr>
    </w:p>
    <w:p>
      <w:pPr>
        <w:pageBreakBefore/>
        <w:adjustRightInd w:val="0"/>
        <w:snapToGrid w:val="0"/>
        <w:spacing w:line="360" w:lineRule="auto"/>
        <w:rPr>
          <w:rFonts w:ascii="黑体" w:eastAsia="黑体"/>
          <w:sz w:val="24"/>
        </w:rPr>
      </w:pPr>
      <w:r>
        <w:rPr>
          <w:rFonts w:hint="eastAsia" w:ascii="黑体" w:eastAsia="黑体"/>
          <w:sz w:val="24"/>
        </w:rPr>
        <w:t>附件二：廉政合同</w:t>
      </w:r>
    </w:p>
    <w:p>
      <w:pPr>
        <w:adjustRightInd w:val="0"/>
        <w:snapToGrid w:val="0"/>
        <w:spacing w:afterLines="50" w:line="360" w:lineRule="auto"/>
        <w:jc w:val="center"/>
        <w:rPr>
          <w:rFonts w:ascii="黑体" w:eastAsia="黑体"/>
          <w:sz w:val="28"/>
          <w:szCs w:val="28"/>
        </w:rPr>
      </w:pPr>
      <w:r>
        <w:rPr>
          <w:rFonts w:hint="eastAsia" w:ascii="黑体" w:eastAsia="黑体"/>
          <w:sz w:val="28"/>
          <w:szCs w:val="28"/>
        </w:rPr>
        <w:t>廉 政 合 同</w:t>
      </w:r>
    </w:p>
    <w:p>
      <w:pPr>
        <w:adjustRightInd w:val="0"/>
        <w:snapToGrid w:val="0"/>
        <w:spacing w:line="360" w:lineRule="auto"/>
        <w:ind w:firstLine="480" w:firstLineChars="200"/>
        <w:rPr>
          <w:sz w:val="24"/>
        </w:rPr>
      </w:pPr>
      <w:r>
        <w:rPr>
          <w:sz w:val="24"/>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w:t>
      </w:r>
      <w:r>
        <w:rPr>
          <w:rFonts w:hint="eastAsia"/>
          <w:sz w:val="24"/>
          <w:u w:val="single"/>
        </w:rPr>
        <w:t xml:space="preserve">    （全称）   </w:t>
      </w:r>
      <w:r>
        <w:rPr>
          <w:sz w:val="24"/>
        </w:rPr>
        <w:t>（以下简称“甲方”）与施工单位</w:t>
      </w:r>
      <w:r>
        <w:rPr>
          <w:rFonts w:hint="eastAsia"/>
          <w:sz w:val="24"/>
          <w:u w:val="single"/>
        </w:rPr>
        <w:t xml:space="preserve">    （全称）   </w:t>
      </w:r>
      <w:r>
        <w:rPr>
          <w:sz w:val="24"/>
        </w:rPr>
        <w:t>（以下简称“乙方”），特订立如下合同。</w:t>
      </w:r>
    </w:p>
    <w:p>
      <w:pPr>
        <w:adjustRightInd w:val="0"/>
        <w:snapToGrid w:val="0"/>
        <w:spacing w:line="360" w:lineRule="auto"/>
        <w:ind w:firstLine="480" w:firstLineChars="200"/>
        <w:rPr>
          <w:rFonts w:eastAsia="黑体"/>
          <w:sz w:val="24"/>
        </w:rPr>
      </w:pPr>
      <w:r>
        <w:rPr>
          <w:rFonts w:hint="eastAsia" w:eastAsia="黑体"/>
          <w:sz w:val="24"/>
        </w:rPr>
        <w:t>1．甲乙双方的权利和义务</w:t>
      </w:r>
    </w:p>
    <w:p>
      <w:pPr>
        <w:adjustRightInd w:val="0"/>
        <w:snapToGrid w:val="0"/>
        <w:spacing w:line="360" w:lineRule="auto"/>
        <w:ind w:firstLine="480" w:firstLineChars="200"/>
        <w:rPr>
          <w:sz w:val="24"/>
        </w:rPr>
      </w:pPr>
      <w:r>
        <w:rPr>
          <w:sz w:val="24"/>
        </w:rPr>
        <w:t>（1）严格遵守党的政策规定和国家有关法律法规及交通部的有关规定。</w:t>
      </w:r>
    </w:p>
    <w:p>
      <w:pPr>
        <w:adjustRightInd w:val="0"/>
        <w:snapToGrid w:val="0"/>
        <w:spacing w:line="360" w:lineRule="auto"/>
        <w:ind w:firstLine="480" w:firstLineChars="200"/>
        <w:rPr>
          <w:sz w:val="24"/>
        </w:rPr>
      </w:pPr>
      <w:r>
        <w:rPr>
          <w:sz w:val="24"/>
        </w:rPr>
        <w:t>（2</w:t>
      </w:r>
      <w:r>
        <w:rPr>
          <w:rFonts w:hint="eastAsia"/>
          <w:sz w:val="24"/>
        </w:rPr>
        <w:t xml:space="preserve">） </w:t>
      </w:r>
      <w:r>
        <w:rPr>
          <w:sz w:val="24"/>
        </w:rPr>
        <w:t>严格执行．（项目名称）工程的合同文件，自觉按合同办事。</w:t>
      </w:r>
    </w:p>
    <w:p>
      <w:pPr>
        <w:adjustRightInd w:val="0"/>
        <w:snapToGrid w:val="0"/>
        <w:spacing w:line="360" w:lineRule="auto"/>
        <w:ind w:firstLine="480" w:firstLineChars="200"/>
        <w:rPr>
          <w:sz w:val="24"/>
        </w:rPr>
      </w:pPr>
      <w:r>
        <w:rPr>
          <w:sz w:val="24"/>
        </w:rPr>
        <w:t>（3</w:t>
      </w:r>
      <w:r>
        <w:rPr>
          <w:rFonts w:hint="eastAsia"/>
          <w:sz w:val="24"/>
        </w:rPr>
        <w:t xml:space="preserve">） </w:t>
      </w:r>
      <w:r>
        <w:rPr>
          <w:sz w:val="24"/>
        </w:rPr>
        <w:t>双方的业务活动坚持公开、公正、诚信、透明的原则（法律认定的商业秘密和合同文件另有规定除外），不得损害国家和集体利益，违反工程建设管理规章制度。</w:t>
      </w:r>
    </w:p>
    <w:p>
      <w:pPr>
        <w:adjustRightInd w:val="0"/>
        <w:snapToGrid w:val="0"/>
        <w:spacing w:line="360" w:lineRule="auto"/>
        <w:ind w:firstLine="480" w:firstLineChars="200"/>
        <w:rPr>
          <w:sz w:val="24"/>
        </w:rPr>
      </w:pPr>
      <w:r>
        <w:rPr>
          <w:rFonts w:hint="eastAsia"/>
          <w:sz w:val="24"/>
        </w:rPr>
        <w:t xml:space="preserve">（4） </w:t>
      </w:r>
      <w:r>
        <w:rPr>
          <w:sz w:val="24"/>
        </w:rPr>
        <w:t>建立健全廉政制度，开展廉政教育，设立廉政告示牌，公布举报电话，监督并认真查处违法违纪行为。</w:t>
      </w:r>
    </w:p>
    <w:p>
      <w:pPr>
        <w:adjustRightInd w:val="0"/>
        <w:snapToGrid w:val="0"/>
        <w:spacing w:line="360" w:lineRule="auto"/>
        <w:ind w:firstLine="480" w:firstLineChars="200"/>
        <w:rPr>
          <w:sz w:val="24"/>
        </w:rPr>
      </w:pPr>
      <w:r>
        <w:rPr>
          <w:sz w:val="24"/>
        </w:rPr>
        <w:t>（5）发现对方在业务活动中有违反廉政规定的行为，有及时提醒对方纠正的权利和义务。</w:t>
      </w:r>
    </w:p>
    <w:p>
      <w:pPr>
        <w:adjustRightInd w:val="0"/>
        <w:snapToGrid w:val="0"/>
        <w:spacing w:line="360" w:lineRule="auto"/>
        <w:ind w:firstLine="480" w:firstLineChars="200"/>
        <w:rPr>
          <w:sz w:val="24"/>
        </w:rPr>
      </w:pPr>
      <w:r>
        <w:rPr>
          <w:sz w:val="24"/>
        </w:rPr>
        <w:t>（6）发现对方严重违反本合同义务条款的行为，有向其上级有关部门举报、建议给予处理并要求告知处理结果的权利；</w:t>
      </w:r>
    </w:p>
    <w:p>
      <w:pPr>
        <w:adjustRightInd w:val="0"/>
        <w:snapToGrid w:val="0"/>
        <w:spacing w:line="360" w:lineRule="auto"/>
        <w:ind w:firstLine="480" w:firstLineChars="200"/>
        <w:rPr>
          <w:rFonts w:eastAsia="黑体"/>
          <w:sz w:val="24"/>
        </w:rPr>
      </w:pPr>
      <w:r>
        <w:rPr>
          <w:rFonts w:eastAsia="黑体"/>
          <w:sz w:val="24"/>
        </w:rPr>
        <w:t>2．甲方的义务</w:t>
      </w:r>
    </w:p>
    <w:p>
      <w:pPr>
        <w:adjustRightInd w:val="0"/>
        <w:snapToGrid w:val="0"/>
        <w:spacing w:line="360" w:lineRule="auto"/>
        <w:ind w:firstLine="480" w:firstLineChars="200"/>
        <w:rPr>
          <w:sz w:val="24"/>
        </w:rPr>
      </w:pPr>
      <w:r>
        <w:rPr>
          <w:sz w:val="24"/>
        </w:rPr>
        <w:t>（1）甲方及其工作人员不得索要或接受乙方的礼金、有价证券和贵重物品，不得在乙方报销任何应由甲方或甲方工作人员个人支付的费用等。</w:t>
      </w:r>
    </w:p>
    <w:p>
      <w:pPr>
        <w:adjustRightInd w:val="0"/>
        <w:snapToGrid w:val="0"/>
        <w:spacing w:line="360" w:lineRule="auto"/>
        <w:ind w:firstLine="480" w:firstLineChars="200"/>
        <w:rPr>
          <w:sz w:val="24"/>
        </w:rPr>
      </w:pPr>
      <w:r>
        <w:rPr>
          <w:sz w:val="24"/>
        </w:rPr>
        <w:t>（2</w:t>
      </w:r>
      <w:r>
        <w:rPr>
          <w:rFonts w:hint="eastAsia"/>
          <w:sz w:val="24"/>
        </w:rPr>
        <w:t xml:space="preserve">） </w:t>
      </w:r>
      <w:r>
        <w:rPr>
          <w:sz w:val="24"/>
        </w:rPr>
        <w:t>甲方工作人员不得参加乙方安排的超标准宴请和娱乐活动；不得接受乙方提供的通讯工具、交通工具和高档办公用品等。</w:t>
      </w:r>
    </w:p>
    <w:p>
      <w:pPr>
        <w:adjustRightInd w:val="0"/>
        <w:snapToGrid w:val="0"/>
        <w:spacing w:line="360" w:lineRule="auto"/>
        <w:ind w:firstLine="480" w:firstLineChars="200"/>
        <w:rPr>
          <w:sz w:val="24"/>
        </w:rPr>
      </w:pPr>
      <w:r>
        <w:rPr>
          <w:sz w:val="24"/>
        </w:rPr>
        <w:t>（3</w:t>
      </w:r>
      <w:r>
        <w:rPr>
          <w:rFonts w:hint="eastAsia"/>
          <w:sz w:val="24"/>
        </w:rPr>
        <w:t xml:space="preserve">） </w:t>
      </w:r>
      <w:r>
        <w:rPr>
          <w:sz w:val="24"/>
        </w:rPr>
        <w:t>甲方及其工作人员不得要求或者接受乙方为其住房装修、婚丧嫁娶活动、配偶子女的工作安排以及出国出境、旅游等提供方便等。</w:t>
      </w:r>
    </w:p>
    <w:p>
      <w:pPr>
        <w:adjustRightInd w:val="0"/>
        <w:snapToGrid w:val="0"/>
        <w:spacing w:line="360" w:lineRule="auto"/>
        <w:ind w:firstLine="480" w:firstLineChars="200"/>
        <w:rPr>
          <w:sz w:val="24"/>
        </w:rPr>
      </w:pPr>
      <w:r>
        <w:rPr>
          <w:sz w:val="24"/>
        </w:rPr>
        <w:t>（4）甲方工作人员及其配偶、子女不得从事与甲方工程有关的材料设备供应、工程分包、劳务等经济活动等。</w:t>
      </w:r>
    </w:p>
    <w:p>
      <w:pPr>
        <w:adjustRightInd w:val="0"/>
        <w:snapToGrid w:val="0"/>
        <w:spacing w:line="360" w:lineRule="auto"/>
        <w:ind w:firstLine="480" w:firstLineChars="200"/>
        <w:rPr>
          <w:sz w:val="24"/>
        </w:rPr>
      </w:pPr>
      <w:r>
        <w:rPr>
          <w:sz w:val="24"/>
        </w:rPr>
        <w:t>（5）甲方及其工作人员不得以任何理由向乙方推荐分包单位或推销材料，不得要求乙方购买合同规定外的材料和设备。</w:t>
      </w:r>
    </w:p>
    <w:p>
      <w:pPr>
        <w:adjustRightInd w:val="0"/>
        <w:snapToGrid w:val="0"/>
        <w:spacing w:line="360" w:lineRule="auto"/>
        <w:ind w:firstLine="480" w:firstLineChars="200"/>
        <w:rPr>
          <w:sz w:val="24"/>
        </w:rPr>
      </w:pPr>
      <w:r>
        <w:rPr>
          <w:sz w:val="24"/>
        </w:rPr>
        <w:t>（6）甲方工作人员要秉公办事，不准营私舞弊，不准利用职权从事各种个人有偿中介活动和安排个人施工队伍。</w:t>
      </w:r>
    </w:p>
    <w:p>
      <w:pPr>
        <w:adjustRightInd w:val="0"/>
        <w:snapToGrid w:val="0"/>
        <w:spacing w:line="360" w:lineRule="auto"/>
        <w:ind w:firstLine="480" w:firstLineChars="200"/>
        <w:rPr>
          <w:rFonts w:eastAsia="黑体"/>
          <w:sz w:val="24"/>
        </w:rPr>
      </w:pPr>
      <w:r>
        <w:rPr>
          <w:rFonts w:eastAsia="黑体"/>
          <w:sz w:val="24"/>
        </w:rPr>
        <w:t>3．乙方的义务</w:t>
      </w:r>
    </w:p>
    <w:p>
      <w:pPr>
        <w:adjustRightInd w:val="0"/>
        <w:snapToGrid w:val="0"/>
        <w:spacing w:line="324" w:lineRule="auto"/>
        <w:ind w:firstLine="480" w:firstLineChars="200"/>
        <w:rPr>
          <w:sz w:val="24"/>
        </w:rPr>
      </w:pPr>
      <w:r>
        <w:rPr>
          <w:rFonts w:hint="eastAsia"/>
          <w:sz w:val="24"/>
        </w:rPr>
        <w:t>（</w:t>
      </w:r>
      <w:r>
        <w:rPr>
          <w:sz w:val="24"/>
        </w:rPr>
        <w:t>1</w:t>
      </w:r>
      <w:r>
        <w:rPr>
          <w:rFonts w:hint="eastAsia"/>
          <w:sz w:val="24"/>
        </w:rPr>
        <w:t>）</w:t>
      </w:r>
      <w:r>
        <w:rPr>
          <w:sz w:val="24"/>
        </w:rPr>
        <w:t>乙方不得以任何理由向甲方及其工作人员行贿或馈赠礼金、有价证券、贵重礼品。</w:t>
      </w:r>
    </w:p>
    <w:p>
      <w:pPr>
        <w:adjustRightInd w:val="0"/>
        <w:snapToGrid w:val="0"/>
        <w:spacing w:line="324" w:lineRule="auto"/>
        <w:ind w:firstLine="480" w:firstLineChars="200"/>
        <w:rPr>
          <w:sz w:val="24"/>
        </w:rPr>
      </w:pPr>
      <w:r>
        <w:rPr>
          <w:rFonts w:hint="eastAsia"/>
          <w:sz w:val="24"/>
        </w:rPr>
        <w:t>（</w:t>
      </w:r>
      <w:r>
        <w:rPr>
          <w:sz w:val="24"/>
        </w:rPr>
        <w:t>2）乙方不得以任何名义为甲方及其工作人员报销应由甲方单位或个人支付的任何费用。</w:t>
      </w:r>
    </w:p>
    <w:p>
      <w:pPr>
        <w:adjustRightInd w:val="0"/>
        <w:snapToGrid w:val="0"/>
        <w:spacing w:line="324" w:lineRule="auto"/>
        <w:ind w:firstLine="480" w:firstLineChars="200"/>
        <w:rPr>
          <w:sz w:val="24"/>
        </w:rPr>
      </w:pPr>
      <w:r>
        <w:rPr>
          <w:rFonts w:hint="eastAsia"/>
          <w:sz w:val="24"/>
        </w:rPr>
        <w:t>（</w:t>
      </w:r>
      <w:r>
        <w:rPr>
          <w:sz w:val="24"/>
        </w:rPr>
        <w:t>3）乙方不得以任何理由安排甲方工作人员参加超标准宴请及娱乐活动。</w:t>
      </w:r>
    </w:p>
    <w:p>
      <w:pPr>
        <w:adjustRightInd w:val="0"/>
        <w:snapToGrid w:val="0"/>
        <w:spacing w:line="324" w:lineRule="auto"/>
        <w:ind w:firstLine="480" w:firstLineChars="200"/>
        <w:rPr>
          <w:sz w:val="24"/>
        </w:rPr>
      </w:pPr>
      <w:r>
        <w:rPr>
          <w:rFonts w:hint="eastAsia"/>
          <w:sz w:val="24"/>
        </w:rPr>
        <w:t>（</w:t>
      </w:r>
      <w:r>
        <w:rPr>
          <w:sz w:val="24"/>
        </w:rPr>
        <w:t>4）乙方不得为甲方单位和个人购置或提供通讯工具、交通工具和高档办公用品等。</w:t>
      </w:r>
    </w:p>
    <w:p>
      <w:pPr>
        <w:adjustRightInd w:val="0"/>
        <w:snapToGrid w:val="0"/>
        <w:spacing w:line="360" w:lineRule="auto"/>
        <w:ind w:firstLine="480" w:firstLineChars="200"/>
        <w:rPr>
          <w:rFonts w:eastAsia="黑体"/>
          <w:sz w:val="24"/>
        </w:rPr>
      </w:pPr>
      <w:r>
        <w:rPr>
          <w:rFonts w:eastAsia="黑体"/>
          <w:sz w:val="24"/>
        </w:rPr>
        <w:t>4．违约责任</w:t>
      </w:r>
    </w:p>
    <w:p>
      <w:pPr>
        <w:adjustRightInd w:val="0"/>
        <w:snapToGrid w:val="0"/>
        <w:spacing w:line="324" w:lineRule="auto"/>
        <w:ind w:firstLine="480" w:firstLineChars="200"/>
        <w:rPr>
          <w:sz w:val="24"/>
        </w:rPr>
      </w:pPr>
      <w:r>
        <w:rPr>
          <w:rFonts w:hint="eastAsia"/>
          <w:sz w:val="24"/>
        </w:rPr>
        <w:t>（</w:t>
      </w:r>
      <w:r>
        <w:rPr>
          <w:sz w:val="24"/>
        </w:rPr>
        <w:t>1）甲方及其工作人员违反本合同第一、二条，按管理权限，依据有关规定给予党纪、政纪或组织处理；涉嫌犯罪的，移交司法机关追究刑事责任；给乙方单位造成经济损失的，应予以赔偿。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line="324" w:lineRule="auto"/>
        <w:ind w:firstLine="480" w:firstLineChars="200"/>
        <w:rPr>
          <w:sz w:val="24"/>
        </w:rPr>
      </w:pPr>
      <w:r>
        <w:rPr>
          <w:rFonts w:hint="eastAsia"/>
          <w:sz w:val="24"/>
        </w:rPr>
        <w:t>（</w:t>
      </w:r>
      <w:r>
        <w:rPr>
          <w:sz w:val="24"/>
        </w:rPr>
        <w:t>2</w:t>
      </w:r>
      <w:r>
        <w:rPr>
          <w:rFonts w:hint="eastAsia"/>
          <w:sz w:val="24"/>
        </w:rPr>
        <w:t>）</w:t>
      </w:r>
      <w:r>
        <w:rPr>
          <w:sz w:val="24"/>
        </w:rPr>
        <w:t>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adjustRightInd w:val="0"/>
        <w:snapToGrid w:val="0"/>
        <w:spacing w:line="324" w:lineRule="auto"/>
        <w:ind w:firstLine="480" w:firstLineChars="200"/>
        <w:rPr>
          <w:sz w:val="24"/>
        </w:rPr>
      </w:pPr>
      <w:r>
        <w:rPr>
          <w:sz w:val="24"/>
        </w:rPr>
        <w:t>5</w:t>
      </w:r>
      <w:r>
        <w:rPr>
          <w:rFonts w:hint="eastAsia"/>
          <w:sz w:val="24"/>
        </w:rPr>
        <w:t>．</w:t>
      </w:r>
      <w:r>
        <w:rPr>
          <w:sz w:val="24"/>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adjustRightInd w:val="0"/>
        <w:snapToGrid w:val="0"/>
        <w:spacing w:line="324" w:lineRule="auto"/>
        <w:ind w:firstLine="480" w:firstLineChars="200"/>
        <w:rPr>
          <w:sz w:val="24"/>
        </w:rPr>
      </w:pPr>
      <w:r>
        <w:rPr>
          <w:sz w:val="24"/>
        </w:rPr>
        <w:t>6</w:t>
      </w:r>
      <w:r>
        <w:rPr>
          <w:rFonts w:hint="eastAsia"/>
          <w:sz w:val="24"/>
        </w:rPr>
        <w:t>．</w:t>
      </w:r>
      <w:r>
        <w:rPr>
          <w:sz w:val="24"/>
        </w:rPr>
        <w:t>本合同有效期为甲乙双方签署之日起至该工程项目国家验收后止。</w:t>
      </w:r>
    </w:p>
    <w:p>
      <w:pPr>
        <w:adjustRightInd w:val="0"/>
        <w:snapToGrid w:val="0"/>
        <w:spacing w:line="324" w:lineRule="auto"/>
        <w:ind w:firstLine="480" w:firstLineChars="200"/>
        <w:rPr>
          <w:sz w:val="24"/>
        </w:rPr>
      </w:pPr>
      <w:r>
        <w:rPr>
          <w:sz w:val="24"/>
        </w:rPr>
        <w:t>7</w:t>
      </w:r>
      <w:r>
        <w:rPr>
          <w:rFonts w:hint="eastAsia"/>
          <w:sz w:val="24"/>
        </w:rPr>
        <w:t>．</w:t>
      </w:r>
      <w:r>
        <w:rPr>
          <w:sz w:val="24"/>
        </w:rPr>
        <w:t>本合同作为</w:t>
      </w:r>
      <w:r>
        <w:rPr>
          <w:rFonts w:hint="eastAsia"/>
          <w:sz w:val="24"/>
          <w:u w:val="single"/>
        </w:rPr>
        <w:t xml:space="preserve">    （项目名称）    </w:t>
      </w:r>
      <w:r>
        <w:rPr>
          <w:sz w:val="24"/>
        </w:rPr>
        <w:t>工程施工合同的附件，与工程施工合同具有同等的法律效力，经合同双方签署立即生效。</w:t>
      </w:r>
    </w:p>
    <w:p>
      <w:pPr>
        <w:adjustRightInd w:val="0"/>
        <w:snapToGrid w:val="0"/>
        <w:spacing w:line="324" w:lineRule="auto"/>
        <w:ind w:firstLine="480" w:firstLineChars="200"/>
        <w:rPr>
          <w:sz w:val="24"/>
        </w:rPr>
      </w:pPr>
      <w:r>
        <w:rPr>
          <w:sz w:val="24"/>
        </w:rPr>
        <w:t>8</w:t>
      </w:r>
      <w:r>
        <w:rPr>
          <w:rFonts w:hint="eastAsia"/>
          <w:sz w:val="24"/>
        </w:rPr>
        <w:t>．</w:t>
      </w:r>
      <w:r>
        <w:rPr>
          <w:sz w:val="24"/>
        </w:rPr>
        <w:t>本合同一式四份，由甲乙双方各执一份，送交甲乙双方的监督单位各一份。</w:t>
      </w:r>
    </w:p>
    <w:p>
      <w:pPr>
        <w:adjustRightInd w:val="0"/>
        <w:snapToGrid w:val="0"/>
        <w:spacing w:beforeLines="100" w:line="324" w:lineRule="auto"/>
        <w:rPr>
          <w:sz w:val="24"/>
        </w:rPr>
      </w:pPr>
      <w:r>
        <w:rPr>
          <w:sz w:val="24"/>
        </w:rPr>
        <w:t>甲方：</w:t>
      </w:r>
      <w:r>
        <w:rPr>
          <w:rFonts w:hint="eastAsia"/>
          <w:sz w:val="24"/>
          <w:u w:val="single"/>
        </w:rPr>
        <w:t xml:space="preserve">  单位全称   （盖章）</w:t>
      </w:r>
      <w:r>
        <w:rPr>
          <w:rFonts w:hint="eastAsia"/>
          <w:sz w:val="24"/>
        </w:rPr>
        <w:t xml:space="preserve">         乙  </w:t>
      </w:r>
      <w:r>
        <w:rPr>
          <w:sz w:val="24"/>
        </w:rPr>
        <w:t>方：</w:t>
      </w:r>
      <w:r>
        <w:rPr>
          <w:rFonts w:hint="eastAsia"/>
          <w:sz w:val="24"/>
          <w:u w:val="single"/>
        </w:rPr>
        <w:t xml:space="preserve">    单位全称  （盖章）</w:t>
      </w:r>
    </w:p>
    <w:p>
      <w:pPr>
        <w:adjustRightInd w:val="0"/>
        <w:snapToGrid w:val="0"/>
        <w:spacing w:line="324" w:lineRule="auto"/>
        <w:rPr>
          <w:sz w:val="24"/>
        </w:rPr>
      </w:pPr>
      <w:r>
        <w:rPr>
          <w:sz w:val="24"/>
        </w:rPr>
        <w:t>法定代表人法定代表人</w:t>
      </w:r>
    </w:p>
    <w:p>
      <w:pPr>
        <w:adjustRightInd w:val="0"/>
        <w:snapToGrid w:val="0"/>
        <w:spacing w:line="324" w:lineRule="auto"/>
        <w:ind w:firstLine="960" w:firstLineChars="400"/>
        <w:rPr>
          <w:sz w:val="24"/>
        </w:rPr>
      </w:pPr>
      <w:r>
        <w:rPr>
          <w:sz w:val="24"/>
        </w:rPr>
        <w:t>或或</w:t>
      </w:r>
    </w:p>
    <w:p>
      <w:pPr>
        <w:adjustRightInd w:val="0"/>
        <w:snapToGrid w:val="0"/>
        <w:spacing w:line="324" w:lineRule="auto"/>
        <w:rPr>
          <w:sz w:val="24"/>
        </w:rPr>
      </w:pPr>
      <w:r>
        <w:rPr>
          <w:sz w:val="24"/>
        </w:rPr>
        <w:t>其授权的代理人</w:t>
      </w:r>
      <w:r>
        <w:rPr>
          <w:rFonts w:hint="eastAsia"/>
          <w:sz w:val="24"/>
          <w:u w:val="single"/>
        </w:rPr>
        <w:t xml:space="preserve">   （职务）  </w:t>
      </w:r>
      <w:r>
        <w:rPr>
          <w:sz w:val="24"/>
        </w:rPr>
        <w:t>其授权的代理人</w:t>
      </w:r>
      <w:r>
        <w:rPr>
          <w:rFonts w:hint="eastAsia"/>
          <w:sz w:val="24"/>
          <w:u w:val="single"/>
        </w:rPr>
        <w:t xml:space="preserve">   （职务）   </w:t>
      </w:r>
    </w:p>
    <w:p>
      <w:pPr>
        <w:adjustRightInd w:val="0"/>
        <w:snapToGrid w:val="0"/>
        <w:spacing w:line="324" w:lineRule="auto"/>
        <w:ind w:firstLine="2040" w:firstLineChars="850"/>
        <w:rPr>
          <w:sz w:val="24"/>
          <w:u w:val="single"/>
        </w:rPr>
      </w:pPr>
      <w:r>
        <w:rPr>
          <w:sz w:val="24"/>
          <w:u w:val="single"/>
        </w:rPr>
        <w:t>（姓名）（姓名）</w:t>
      </w:r>
    </w:p>
    <w:p>
      <w:pPr>
        <w:adjustRightInd w:val="0"/>
        <w:snapToGrid w:val="0"/>
        <w:spacing w:line="324" w:lineRule="auto"/>
        <w:ind w:firstLine="2040" w:firstLineChars="850"/>
        <w:rPr>
          <w:sz w:val="24"/>
        </w:rPr>
      </w:pPr>
      <w:r>
        <w:rPr>
          <w:sz w:val="24"/>
          <w:u w:val="single"/>
        </w:rPr>
        <w:t>（</w:t>
      </w:r>
      <w:r>
        <w:rPr>
          <w:rFonts w:hint="eastAsia"/>
          <w:sz w:val="24"/>
          <w:u w:val="single"/>
        </w:rPr>
        <w:t>签字</w:t>
      </w:r>
      <w:r>
        <w:rPr>
          <w:sz w:val="24"/>
          <w:u w:val="single"/>
        </w:rPr>
        <w:t>）（</w:t>
      </w:r>
      <w:r>
        <w:rPr>
          <w:rFonts w:hint="eastAsia"/>
          <w:sz w:val="24"/>
          <w:u w:val="single"/>
        </w:rPr>
        <w:t>签字</w:t>
      </w:r>
      <w:r>
        <w:rPr>
          <w:sz w:val="24"/>
          <w:u w:val="single"/>
        </w:rPr>
        <w:t>）</w:t>
      </w:r>
    </w:p>
    <w:p>
      <w:pPr>
        <w:adjustRightInd w:val="0"/>
        <w:snapToGrid w:val="0"/>
        <w:spacing w:line="324" w:lineRule="auto"/>
        <w:rPr>
          <w:sz w:val="24"/>
        </w:rPr>
      </w:pPr>
      <w:r>
        <w:rPr>
          <w:sz w:val="24"/>
        </w:rPr>
        <w:t>地址：地址：</w:t>
      </w:r>
    </w:p>
    <w:p>
      <w:pPr>
        <w:adjustRightInd w:val="0"/>
        <w:snapToGrid w:val="0"/>
        <w:spacing w:line="324" w:lineRule="auto"/>
        <w:rPr>
          <w:sz w:val="24"/>
        </w:rPr>
      </w:pPr>
      <w:r>
        <w:rPr>
          <w:sz w:val="24"/>
        </w:rPr>
        <w:t>电话：电话：</w:t>
      </w:r>
    </w:p>
    <w:p>
      <w:pPr>
        <w:adjustRightInd w:val="0"/>
        <w:snapToGrid w:val="0"/>
        <w:spacing w:line="324" w:lineRule="auto"/>
        <w:rPr>
          <w:sz w:val="24"/>
        </w:rPr>
      </w:pPr>
      <w:r>
        <w:rPr>
          <w:sz w:val="24"/>
        </w:rPr>
        <w:t>日期：日期：</w:t>
      </w:r>
    </w:p>
    <w:p>
      <w:pPr>
        <w:adjustRightInd w:val="0"/>
        <w:snapToGrid w:val="0"/>
        <w:spacing w:line="324" w:lineRule="auto"/>
        <w:rPr>
          <w:sz w:val="24"/>
          <w:u w:val="single"/>
        </w:rPr>
      </w:pPr>
      <w:r>
        <w:rPr>
          <w:sz w:val="24"/>
        </w:rPr>
        <w:t>甲方监督单位：</w:t>
      </w:r>
      <w:r>
        <w:rPr>
          <w:rFonts w:hint="eastAsia"/>
          <w:sz w:val="24"/>
          <w:u w:val="single"/>
        </w:rPr>
        <w:t xml:space="preserve"> （全称）  （盖章）</w:t>
      </w:r>
      <w:r>
        <w:rPr>
          <w:sz w:val="24"/>
        </w:rPr>
        <w:t>乙方监督单位</w:t>
      </w:r>
      <w:r>
        <w:rPr>
          <w:rFonts w:hint="eastAsia"/>
          <w:sz w:val="24"/>
        </w:rPr>
        <w:t>：</w:t>
      </w:r>
      <w:r>
        <w:rPr>
          <w:rFonts w:hint="eastAsia"/>
          <w:sz w:val="24"/>
          <w:u w:val="single"/>
        </w:rPr>
        <w:t>（全称）  （盖章）</w:t>
      </w:r>
    </w:p>
    <w:p>
      <w:pPr>
        <w:adjustRightInd w:val="0"/>
        <w:snapToGrid w:val="0"/>
        <w:spacing w:line="343" w:lineRule="auto"/>
        <w:rPr>
          <w:rFonts w:ascii="黑体" w:eastAsia="黑体"/>
          <w:sz w:val="24"/>
        </w:rPr>
      </w:pPr>
    </w:p>
    <w:p>
      <w:pPr>
        <w:adjustRightInd w:val="0"/>
        <w:snapToGrid w:val="0"/>
        <w:spacing w:line="343" w:lineRule="auto"/>
        <w:rPr>
          <w:rFonts w:ascii="黑体" w:eastAsia="黑体"/>
          <w:sz w:val="24"/>
        </w:rPr>
      </w:pPr>
    </w:p>
    <w:p>
      <w:pPr>
        <w:adjustRightInd w:val="0"/>
        <w:snapToGrid w:val="0"/>
        <w:spacing w:line="343" w:lineRule="auto"/>
        <w:rPr>
          <w:rFonts w:ascii="黑体" w:eastAsia="黑体"/>
          <w:sz w:val="24"/>
        </w:rPr>
      </w:pPr>
    </w:p>
    <w:p>
      <w:pPr>
        <w:adjustRightInd w:val="0"/>
        <w:snapToGrid w:val="0"/>
        <w:spacing w:line="343" w:lineRule="auto"/>
        <w:rPr>
          <w:rFonts w:ascii="黑体" w:eastAsia="黑体"/>
          <w:sz w:val="24"/>
        </w:rPr>
      </w:pPr>
      <w:r>
        <w:rPr>
          <w:rFonts w:hint="eastAsia" w:ascii="黑体" w:eastAsia="黑体"/>
          <w:sz w:val="24"/>
        </w:rPr>
        <w:t>附件三：安全生产合同</w:t>
      </w:r>
    </w:p>
    <w:p>
      <w:pPr>
        <w:adjustRightInd w:val="0"/>
        <w:snapToGrid w:val="0"/>
        <w:spacing w:afterLines="50" w:line="343" w:lineRule="auto"/>
        <w:jc w:val="center"/>
        <w:rPr>
          <w:rFonts w:ascii="黑体" w:eastAsia="黑体"/>
          <w:sz w:val="28"/>
          <w:szCs w:val="28"/>
        </w:rPr>
      </w:pPr>
      <w:r>
        <w:rPr>
          <w:rFonts w:hint="eastAsia" w:ascii="黑体" w:eastAsia="黑体"/>
          <w:sz w:val="28"/>
          <w:szCs w:val="28"/>
        </w:rPr>
        <w:t>安全生产合同</w:t>
      </w:r>
    </w:p>
    <w:p>
      <w:pPr>
        <w:adjustRightInd w:val="0"/>
        <w:snapToGrid w:val="0"/>
        <w:spacing w:line="288" w:lineRule="auto"/>
        <w:ind w:firstLine="480" w:firstLineChars="200"/>
        <w:rPr>
          <w:sz w:val="24"/>
        </w:rPr>
      </w:pPr>
      <w:r>
        <w:rPr>
          <w:sz w:val="24"/>
        </w:rPr>
        <w:t>为在施工合同的实施过程中创造安全、高效的施工环境，切实搞好本项目的安全管理工作，本项目发包人</w:t>
      </w:r>
      <w:r>
        <w:rPr>
          <w:sz w:val="24"/>
          <w:u w:val="single"/>
        </w:rPr>
        <w:t>（全称）</w:t>
      </w:r>
      <w:r>
        <w:rPr>
          <w:sz w:val="24"/>
        </w:rPr>
        <w:t>（以下简称“甲方</w:t>
      </w:r>
      <w:r>
        <w:rPr>
          <w:rFonts w:hint="eastAsia"/>
          <w:sz w:val="24"/>
        </w:rPr>
        <w:t xml:space="preserve">” </w:t>
      </w:r>
      <w:r>
        <w:rPr>
          <w:sz w:val="24"/>
        </w:rPr>
        <w:t>）与承包人</w:t>
      </w:r>
      <w:r>
        <w:rPr>
          <w:sz w:val="24"/>
          <w:u w:val="single"/>
        </w:rPr>
        <w:t>（全称）</w:t>
      </w:r>
      <w:r>
        <w:rPr>
          <w:sz w:val="24"/>
        </w:rPr>
        <w:t>（以下简称“乙方</w:t>
      </w:r>
      <w:r>
        <w:rPr>
          <w:rFonts w:hint="eastAsia"/>
          <w:sz w:val="24"/>
        </w:rPr>
        <w:t xml:space="preserve">” </w:t>
      </w:r>
      <w:r>
        <w:rPr>
          <w:sz w:val="24"/>
        </w:rPr>
        <w:t>）特此签订安全生产合同：</w:t>
      </w:r>
    </w:p>
    <w:p>
      <w:pPr>
        <w:adjustRightInd w:val="0"/>
        <w:snapToGrid w:val="0"/>
        <w:spacing w:line="288" w:lineRule="auto"/>
        <w:ind w:firstLine="480" w:firstLineChars="200"/>
        <w:rPr>
          <w:rFonts w:eastAsia="黑体"/>
          <w:sz w:val="24"/>
        </w:rPr>
      </w:pPr>
      <w:r>
        <w:rPr>
          <w:rFonts w:eastAsia="黑体"/>
          <w:sz w:val="24"/>
        </w:rPr>
        <w:t>一、甲方职责</w:t>
      </w:r>
    </w:p>
    <w:p>
      <w:pPr>
        <w:adjustRightInd w:val="0"/>
        <w:snapToGrid w:val="0"/>
        <w:spacing w:line="288" w:lineRule="auto"/>
        <w:ind w:firstLine="480" w:firstLineChars="200"/>
        <w:rPr>
          <w:sz w:val="24"/>
        </w:rPr>
      </w:pPr>
      <w:r>
        <w:rPr>
          <w:sz w:val="24"/>
        </w:rPr>
        <w:t>1、严格遵守国家有关安全生产的法律法规，认真执行工程承包合同中的有关安全要求。</w:t>
      </w:r>
    </w:p>
    <w:p>
      <w:pPr>
        <w:adjustRightInd w:val="0"/>
        <w:snapToGrid w:val="0"/>
        <w:spacing w:line="288" w:lineRule="auto"/>
        <w:ind w:firstLine="480" w:firstLineChars="200"/>
        <w:rPr>
          <w:sz w:val="24"/>
        </w:rPr>
      </w:pPr>
      <w:r>
        <w:rPr>
          <w:sz w:val="24"/>
        </w:rPr>
        <w:t>2、按照“安全第一、预防为主”和坚持“管生产必须管安全”的原则进行安全生产管理，做到生产与安全工作同时计划、布置、检查、总结和评比。</w:t>
      </w:r>
    </w:p>
    <w:p>
      <w:pPr>
        <w:adjustRightInd w:val="0"/>
        <w:snapToGrid w:val="0"/>
        <w:spacing w:line="288" w:lineRule="auto"/>
        <w:ind w:firstLine="480" w:firstLineChars="200"/>
        <w:rPr>
          <w:sz w:val="24"/>
        </w:rPr>
      </w:pPr>
      <w:r>
        <w:rPr>
          <w:sz w:val="24"/>
        </w:rPr>
        <w:t>3、重要的安全设施必须坚持与主体工程“三同时”的原则，即：同时设计、审批，同时施工，一同时验收，投入使用。</w:t>
      </w:r>
    </w:p>
    <w:p>
      <w:pPr>
        <w:adjustRightInd w:val="0"/>
        <w:snapToGrid w:val="0"/>
        <w:spacing w:line="288" w:lineRule="auto"/>
        <w:ind w:firstLine="480" w:firstLineChars="200"/>
        <w:rPr>
          <w:sz w:val="24"/>
        </w:rPr>
      </w:pPr>
      <w:r>
        <w:rPr>
          <w:sz w:val="24"/>
        </w:rPr>
        <w:t>4、定期召开安全生产调度会，及时传达中央及地方有关安全生产的精神。</w:t>
      </w:r>
    </w:p>
    <w:p>
      <w:pPr>
        <w:adjustRightInd w:val="0"/>
        <w:snapToGrid w:val="0"/>
        <w:spacing w:line="288" w:lineRule="auto"/>
        <w:ind w:firstLine="480" w:firstLineChars="200"/>
        <w:rPr>
          <w:sz w:val="24"/>
        </w:rPr>
      </w:pPr>
      <w:r>
        <w:rPr>
          <w:sz w:val="24"/>
        </w:rPr>
        <w:t>5、组织对乙方施工现场安全生产检查，监督乙方及时处理发现的各种安全隐患。</w:t>
      </w:r>
    </w:p>
    <w:p>
      <w:pPr>
        <w:adjustRightInd w:val="0"/>
        <w:snapToGrid w:val="0"/>
        <w:spacing w:line="288" w:lineRule="auto"/>
        <w:ind w:firstLine="480" w:firstLineChars="200"/>
        <w:rPr>
          <w:rFonts w:eastAsia="黑体"/>
          <w:sz w:val="24"/>
        </w:rPr>
      </w:pPr>
      <w:r>
        <w:rPr>
          <w:rFonts w:eastAsia="黑体"/>
          <w:sz w:val="24"/>
        </w:rPr>
        <w:t>二、乙方职责</w:t>
      </w:r>
    </w:p>
    <w:p>
      <w:pPr>
        <w:adjustRightInd w:val="0"/>
        <w:snapToGrid w:val="0"/>
        <w:spacing w:line="288" w:lineRule="auto"/>
        <w:ind w:firstLine="480" w:firstLineChars="200"/>
        <w:rPr>
          <w:sz w:val="24"/>
        </w:rPr>
      </w:pPr>
      <w:r>
        <w:rPr>
          <w:sz w:val="24"/>
        </w:rPr>
        <w:t>1、严格遵守《中华人民共和国安全生产法》、《建设工程安全生产管理条例》等国家有关安全生产的法律法规、交通部颁发的《公路水运工程安全生产监督管理办法》、《公路工程施工安全技术规程））和《公路筑养路机械操作规程》等有关安全生产的规定。认真执行工程承包合同中的有关安全要求。</w:t>
      </w:r>
    </w:p>
    <w:p>
      <w:pPr>
        <w:adjustRightInd w:val="0"/>
        <w:snapToGrid w:val="0"/>
        <w:spacing w:line="288" w:lineRule="auto"/>
        <w:ind w:firstLine="480" w:firstLineChars="200"/>
        <w:rPr>
          <w:sz w:val="24"/>
        </w:rPr>
      </w:pPr>
      <w:r>
        <w:rPr>
          <w:sz w:val="24"/>
        </w:rPr>
        <w:t>2、坚持</w:t>
      </w:r>
      <w:r>
        <w:rPr>
          <w:rFonts w:hint="eastAsia"/>
          <w:sz w:val="24"/>
        </w:rPr>
        <w:t>“</w:t>
      </w:r>
      <w:r>
        <w:rPr>
          <w:sz w:val="24"/>
        </w:rPr>
        <w:t>安全第一、预防为主</w:t>
      </w:r>
      <w:r>
        <w:rPr>
          <w:rFonts w:hint="eastAsia"/>
          <w:sz w:val="24"/>
        </w:rPr>
        <w:t>”</w:t>
      </w:r>
      <w:r>
        <w:rPr>
          <w:sz w:val="24"/>
        </w:rPr>
        <w:t>和</w:t>
      </w:r>
      <w:r>
        <w:rPr>
          <w:rFonts w:hint="eastAsia"/>
          <w:sz w:val="24"/>
        </w:rPr>
        <w:t>“</w:t>
      </w:r>
      <w:r>
        <w:rPr>
          <w:sz w:val="24"/>
        </w:rPr>
        <w:t>管生产必须管安全</w:t>
      </w:r>
      <w:r>
        <w:rPr>
          <w:rFonts w:hint="eastAsia"/>
          <w:sz w:val="24"/>
        </w:rPr>
        <w:t>”</w:t>
      </w:r>
      <w:r>
        <w:rPr>
          <w:sz w:val="24"/>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adjustRightInd w:val="0"/>
        <w:snapToGrid w:val="0"/>
        <w:spacing w:line="288" w:lineRule="auto"/>
        <w:ind w:firstLine="480" w:firstLineChars="200"/>
        <w:rPr>
          <w:sz w:val="24"/>
        </w:rPr>
      </w:pPr>
      <w:r>
        <w:rPr>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adjustRightInd w:val="0"/>
        <w:snapToGrid w:val="0"/>
        <w:spacing w:line="288" w:lineRule="auto"/>
        <w:ind w:firstLine="480" w:firstLineChars="200"/>
        <w:rPr>
          <w:sz w:val="24"/>
        </w:rPr>
      </w:pPr>
      <w:r>
        <w:rPr>
          <w:sz w:val="24"/>
        </w:rPr>
        <w:t>4、乙方在任何时候都应采取各种合理的预防措施，防止其员工发生任何违法、违禁、暴力或妨碍治安的行为。</w:t>
      </w:r>
    </w:p>
    <w:p>
      <w:pPr>
        <w:adjustRightInd w:val="0"/>
        <w:snapToGrid w:val="0"/>
        <w:spacing w:line="288" w:lineRule="auto"/>
        <w:ind w:firstLine="480" w:firstLineChars="200"/>
        <w:rPr>
          <w:sz w:val="24"/>
        </w:rPr>
      </w:pPr>
      <w:r>
        <w:rPr>
          <w:sz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adjustRightInd w:val="0"/>
        <w:snapToGrid w:val="0"/>
        <w:spacing w:line="288" w:lineRule="auto"/>
        <w:ind w:firstLine="480" w:firstLineChars="200"/>
        <w:rPr>
          <w:sz w:val="24"/>
        </w:rPr>
      </w:pPr>
      <w:r>
        <w:rPr>
          <w:sz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djustRightInd w:val="0"/>
        <w:snapToGrid w:val="0"/>
        <w:spacing w:line="288" w:lineRule="auto"/>
        <w:ind w:firstLine="480" w:firstLineChars="200"/>
        <w:rPr>
          <w:sz w:val="24"/>
        </w:rPr>
      </w:pPr>
      <w:r>
        <w:rPr>
          <w:sz w:val="24"/>
        </w:rPr>
        <w:t>7、操作人员上岗，必须按规定穿戴防护用品。施工负责人和安全检查员应随时检查劳动防护用品的穿戴情况，不按规定穿戴防护用品的人员不得上岗。</w:t>
      </w:r>
    </w:p>
    <w:p>
      <w:pPr>
        <w:adjustRightInd w:val="0"/>
        <w:snapToGrid w:val="0"/>
        <w:spacing w:line="288" w:lineRule="auto"/>
        <w:ind w:firstLine="480" w:firstLineChars="200"/>
        <w:rPr>
          <w:sz w:val="24"/>
        </w:rPr>
      </w:pPr>
      <w:r>
        <w:rPr>
          <w:sz w:val="24"/>
        </w:rPr>
        <w:t>8、所有施工机具设备和高空作业的设备均应定期检查，并有安全员的签字记录，保证其经常处于完好状态；不合格的机具、设备和劳动保护用品严禁使用。</w:t>
      </w:r>
    </w:p>
    <w:p>
      <w:pPr>
        <w:adjustRightInd w:val="0"/>
        <w:snapToGrid w:val="0"/>
        <w:spacing w:line="288" w:lineRule="auto"/>
        <w:ind w:firstLine="480" w:firstLineChars="200"/>
        <w:rPr>
          <w:sz w:val="24"/>
        </w:rPr>
      </w:pPr>
      <w:r>
        <w:rPr>
          <w:sz w:val="24"/>
        </w:rPr>
        <w:t>9、施工中采用新技术、新工艺、新设备、新材料时，必须制定相应的安全技术措施，施工现场必须具有相关的安全标志牌。</w:t>
      </w:r>
    </w:p>
    <w:p>
      <w:pPr>
        <w:adjustRightInd w:val="0"/>
        <w:snapToGrid w:val="0"/>
        <w:spacing w:line="288" w:lineRule="auto"/>
        <w:ind w:firstLine="480" w:firstLineChars="200"/>
        <w:rPr>
          <w:sz w:val="24"/>
        </w:rPr>
      </w:pPr>
      <w:r>
        <w:rPr>
          <w:sz w:val="24"/>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spacing w:line="288" w:lineRule="auto"/>
        <w:ind w:firstLine="480" w:firstLineChars="200"/>
        <w:rPr>
          <w:sz w:val="24"/>
        </w:rPr>
      </w:pPr>
      <w:r>
        <w:rPr>
          <w:sz w:val="24"/>
        </w:rPr>
        <w:t>11、安全生产费用按照交通部有关规定使用和管理。</w:t>
      </w:r>
    </w:p>
    <w:p>
      <w:pPr>
        <w:adjustRightInd w:val="0"/>
        <w:snapToGrid w:val="0"/>
        <w:spacing w:line="288" w:lineRule="auto"/>
        <w:ind w:firstLine="480" w:firstLineChars="200"/>
        <w:rPr>
          <w:rFonts w:eastAsia="黑体"/>
          <w:sz w:val="24"/>
        </w:rPr>
      </w:pPr>
      <w:r>
        <w:rPr>
          <w:rFonts w:eastAsia="黑体"/>
          <w:sz w:val="24"/>
        </w:rPr>
        <w:t>三、违约责任</w:t>
      </w:r>
    </w:p>
    <w:p>
      <w:pPr>
        <w:adjustRightInd w:val="0"/>
        <w:snapToGrid w:val="0"/>
        <w:spacing w:line="288" w:lineRule="auto"/>
        <w:ind w:firstLine="480" w:firstLineChars="200"/>
        <w:rPr>
          <w:sz w:val="24"/>
        </w:rPr>
      </w:pPr>
      <w:r>
        <w:rPr>
          <w:sz w:val="24"/>
        </w:rPr>
        <w:t>如因甲方或乙方违约造成安全事故，将依法追究责任。</w:t>
      </w:r>
    </w:p>
    <w:p>
      <w:pPr>
        <w:adjustRightInd w:val="0"/>
        <w:snapToGrid w:val="0"/>
        <w:spacing w:line="288" w:lineRule="auto"/>
        <w:ind w:firstLine="480" w:firstLineChars="200"/>
        <w:rPr>
          <w:sz w:val="24"/>
        </w:rPr>
      </w:pPr>
      <w:r>
        <w:rPr>
          <w:sz w:val="24"/>
        </w:rPr>
        <w:t>四、本合同正本一式二份，副本八份，合同双方各执正本一份，副本四份。由双方法定代表人或其授权的代理人签署与加盖公章后生效，全部工程国家验收后失效。</w:t>
      </w:r>
    </w:p>
    <w:p>
      <w:pPr>
        <w:adjustRightInd w:val="0"/>
        <w:snapToGrid w:val="0"/>
        <w:spacing w:beforeLines="100" w:line="343" w:lineRule="auto"/>
        <w:rPr>
          <w:sz w:val="24"/>
        </w:rPr>
      </w:pPr>
      <w:r>
        <w:rPr>
          <w:sz w:val="24"/>
        </w:rPr>
        <w:t>甲方：</w:t>
      </w:r>
      <w:r>
        <w:rPr>
          <w:rFonts w:hint="eastAsia"/>
          <w:sz w:val="24"/>
          <w:u w:val="single"/>
        </w:rPr>
        <w:t xml:space="preserve">  单位全称    （盖章）</w:t>
      </w:r>
      <w:r>
        <w:rPr>
          <w:rFonts w:hint="eastAsia"/>
          <w:sz w:val="24"/>
        </w:rPr>
        <w:t xml:space="preserve">         乙  </w:t>
      </w:r>
      <w:r>
        <w:rPr>
          <w:sz w:val="24"/>
        </w:rPr>
        <w:t>方：</w:t>
      </w:r>
      <w:r>
        <w:rPr>
          <w:rFonts w:hint="eastAsia"/>
          <w:sz w:val="24"/>
          <w:u w:val="single"/>
        </w:rPr>
        <w:t xml:space="preserve">  单位全称    （盖章）</w:t>
      </w:r>
    </w:p>
    <w:p>
      <w:pPr>
        <w:adjustRightInd w:val="0"/>
        <w:snapToGrid w:val="0"/>
        <w:spacing w:line="343" w:lineRule="auto"/>
        <w:rPr>
          <w:sz w:val="24"/>
        </w:rPr>
      </w:pPr>
      <w:r>
        <w:rPr>
          <w:sz w:val="24"/>
        </w:rPr>
        <w:t>法定代表人法定代表人</w:t>
      </w:r>
    </w:p>
    <w:p>
      <w:pPr>
        <w:adjustRightInd w:val="0"/>
        <w:snapToGrid w:val="0"/>
        <w:spacing w:line="343" w:lineRule="auto"/>
        <w:ind w:firstLine="960" w:firstLineChars="400"/>
        <w:rPr>
          <w:sz w:val="24"/>
        </w:rPr>
      </w:pPr>
      <w:r>
        <w:rPr>
          <w:sz w:val="24"/>
        </w:rPr>
        <w:t>或或</w:t>
      </w:r>
    </w:p>
    <w:p>
      <w:pPr>
        <w:adjustRightInd w:val="0"/>
        <w:snapToGrid w:val="0"/>
        <w:spacing w:line="343" w:lineRule="auto"/>
        <w:rPr>
          <w:sz w:val="24"/>
          <w:u w:val="single"/>
        </w:rPr>
      </w:pPr>
      <w:r>
        <w:rPr>
          <w:sz w:val="24"/>
        </w:rPr>
        <w:t>其授权的代理人</w:t>
      </w:r>
      <w:r>
        <w:rPr>
          <w:rFonts w:hint="eastAsia"/>
          <w:sz w:val="24"/>
          <w:u w:val="single"/>
        </w:rPr>
        <w:t xml:space="preserve"> （职务）</w:t>
      </w:r>
      <w:r>
        <w:rPr>
          <w:sz w:val="24"/>
          <w:u w:val="single"/>
        </w:rPr>
        <w:t>（姓名）</w:t>
      </w:r>
      <w:r>
        <w:rPr>
          <w:sz w:val="24"/>
        </w:rPr>
        <w:t>其授权的代理人</w:t>
      </w:r>
      <w:r>
        <w:rPr>
          <w:rFonts w:hint="eastAsia"/>
          <w:sz w:val="24"/>
          <w:u w:val="single"/>
        </w:rPr>
        <w:t>（职务）</w:t>
      </w:r>
      <w:r>
        <w:rPr>
          <w:sz w:val="24"/>
          <w:u w:val="single"/>
        </w:rPr>
        <w:t>（姓名</w:t>
      </w:r>
      <w:r>
        <w:rPr>
          <w:rFonts w:hint="eastAsia"/>
          <w:sz w:val="24"/>
          <w:u w:val="single"/>
        </w:rPr>
        <w:t>）</w:t>
      </w:r>
    </w:p>
    <w:p>
      <w:pPr>
        <w:adjustRightInd w:val="0"/>
        <w:snapToGrid w:val="0"/>
        <w:spacing w:line="343" w:lineRule="auto"/>
        <w:ind w:firstLine="2640" w:firstLineChars="1100"/>
        <w:rPr>
          <w:sz w:val="24"/>
        </w:rPr>
      </w:pPr>
      <w:r>
        <w:rPr>
          <w:sz w:val="24"/>
          <w:u w:val="single"/>
        </w:rPr>
        <w:t>（</w:t>
      </w:r>
      <w:r>
        <w:rPr>
          <w:rFonts w:hint="eastAsia"/>
          <w:sz w:val="24"/>
          <w:u w:val="single"/>
        </w:rPr>
        <w:t>签字</w:t>
      </w:r>
      <w:r>
        <w:rPr>
          <w:sz w:val="24"/>
          <w:u w:val="single"/>
        </w:rPr>
        <w:t>）（</w:t>
      </w:r>
      <w:r>
        <w:rPr>
          <w:rFonts w:hint="eastAsia"/>
          <w:sz w:val="24"/>
          <w:u w:val="single"/>
        </w:rPr>
        <w:t>签字</w:t>
      </w:r>
      <w:r>
        <w:rPr>
          <w:sz w:val="24"/>
          <w:u w:val="single"/>
        </w:rPr>
        <w:t>）</w:t>
      </w:r>
    </w:p>
    <w:p>
      <w:pPr>
        <w:adjustRightInd w:val="0"/>
        <w:snapToGrid w:val="0"/>
        <w:spacing w:line="343" w:lineRule="auto"/>
        <w:rPr>
          <w:sz w:val="24"/>
        </w:rPr>
      </w:pPr>
      <w:r>
        <w:rPr>
          <w:sz w:val="24"/>
        </w:rPr>
        <w:t>地址：地址：</w:t>
      </w:r>
    </w:p>
    <w:p>
      <w:pPr>
        <w:adjustRightInd w:val="0"/>
        <w:snapToGrid w:val="0"/>
        <w:spacing w:line="343" w:lineRule="auto"/>
        <w:rPr>
          <w:sz w:val="24"/>
        </w:rPr>
      </w:pPr>
      <w:r>
        <w:rPr>
          <w:sz w:val="24"/>
        </w:rPr>
        <w:t>电话：电话：</w:t>
      </w:r>
    </w:p>
    <w:p>
      <w:pPr>
        <w:adjustRightInd w:val="0"/>
        <w:snapToGrid w:val="0"/>
        <w:spacing w:line="343" w:lineRule="auto"/>
        <w:rPr>
          <w:sz w:val="24"/>
        </w:rPr>
      </w:pPr>
      <w:r>
        <w:rPr>
          <w:sz w:val="24"/>
        </w:rPr>
        <w:t>日期：日期：</w:t>
      </w:r>
    </w:p>
    <w:p>
      <w:pPr>
        <w:adjustRightInd w:val="0"/>
        <w:snapToGrid w:val="0"/>
        <w:spacing w:line="343" w:lineRule="auto"/>
        <w:rPr>
          <w:sz w:val="24"/>
        </w:rPr>
      </w:pPr>
    </w:p>
    <w:p>
      <w:pPr>
        <w:adjustRightInd w:val="0"/>
        <w:snapToGrid w:val="0"/>
        <w:spacing w:line="343" w:lineRule="auto"/>
        <w:rPr>
          <w:sz w:val="24"/>
        </w:rPr>
      </w:pPr>
    </w:p>
    <w:p>
      <w:pPr>
        <w:adjustRightInd w:val="0"/>
        <w:snapToGrid w:val="0"/>
        <w:spacing w:line="343" w:lineRule="auto"/>
        <w:rPr>
          <w:sz w:val="24"/>
        </w:rPr>
      </w:pPr>
    </w:p>
    <w:p>
      <w:pPr>
        <w:widowControl/>
        <w:spacing w:line="360" w:lineRule="auto"/>
        <w:ind w:right="714"/>
        <w:jc w:val="center"/>
        <w:rPr>
          <w:rFonts w:ascii="黑体" w:eastAsia="黑体"/>
          <w:sz w:val="24"/>
        </w:rPr>
      </w:pPr>
      <w:r>
        <w:rPr>
          <w:rFonts w:ascii="黑体" w:eastAsia="黑体"/>
          <w:sz w:val="24"/>
        </w:rPr>
        <w:br w:type="page"/>
      </w:r>
    </w:p>
    <w:p>
      <w:pPr>
        <w:adjustRightInd w:val="0"/>
        <w:snapToGrid w:val="0"/>
        <w:spacing w:line="360" w:lineRule="auto"/>
        <w:rPr>
          <w:rFonts w:ascii="黑体" w:eastAsia="黑体"/>
          <w:sz w:val="24"/>
        </w:rPr>
      </w:pPr>
      <w:r>
        <w:rPr>
          <w:rFonts w:hint="eastAsia" w:ascii="黑体" w:eastAsia="黑体"/>
          <w:sz w:val="24"/>
        </w:rPr>
        <w:t>附件四：农民工工资支付承诺书</w:t>
      </w:r>
    </w:p>
    <w:p>
      <w:pPr>
        <w:adjustRightInd w:val="0"/>
        <w:snapToGrid w:val="0"/>
        <w:spacing w:afterLines="50" w:line="343" w:lineRule="auto"/>
        <w:rPr>
          <w:rFonts w:ascii="黑体" w:eastAsia="黑体"/>
          <w:sz w:val="18"/>
          <w:szCs w:val="18"/>
        </w:rPr>
      </w:pPr>
    </w:p>
    <w:p>
      <w:pPr>
        <w:adjustRightInd w:val="0"/>
        <w:snapToGrid w:val="0"/>
        <w:spacing w:line="360" w:lineRule="auto"/>
        <w:jc w:val="center"/>
        <w:rPr>
          <w:rFonts w:ascii="黑体" w:eastAsia="黑体"/>
          <w:sz w:val="30"/>
          <w:szCs w:val="30"/>
          <w:u w:val="single"/>
        </w:rPr>
      </w:pPr>
      <w:r>
        <w:rPr>
          <w:rFonts w:hint="eastAsia" w:ascii="黑体" w:eastAsia="黑体"/>
          <w:sz w:val="30"/>
          <w:szCs w:val="30"/>
          <w:u w:val="single"/>
        </w:rPr>
        <w:t>（承包人全称）</w:t>
      </w:r>
    </w:p>
    <w:p>
      <w:pPr>
        <w:adjustRightInd w:val="0"/>
        <w:snapToGrid w:val="0"/>
        <w:spacing w:line="360" w:lineRule="auto"/>
        <w:jc w:val="center"/>
        <w:rPr>
          <w:rFonts w:ascii="黑体" w:eastAsia="黑体"/>
          <w:sz w:val="30"/>
          <w:szCs w:val="30"/>
        </w:rPr>
      </w:pPr>
      <w:r>
        <w:rPr>
          <w:rFonts w:hint="eastAsia" w:ascii="黑体" w:eastAsia="黑体"/>
          <w:sz w:val="30"/>
          <w:szCs w:val="30"/>
          <w:u w:val="single"/>
        </w:rPr>
        <w:t>（合同工程名称）</w:t>
      </w:r>
      <w:r>
        <w:rPr>
          <w:rFonts w:ascii="黑体" w:eastAsia="黑体"/>
          <w:sz w:val="30"/>
          <w:szCs w:val="30"/>
        </w:rPr>
        <w:t>农民工工资支付承诺书</w:t>
      </w:r>
    </w:p>
    <w:p>
      <w:pPr>
        <w:adjustRightInd w:val="0"/>
        <w:snapToGrid w:val="0"/>
        <w:spacing w:afterLines="50" w:line="343" w:lineRule="auto"/>
        <w:ind w:firstLine="360" w:firstLineChars="150"/>
        <w:rPr>
          <w:sz w:val="24"/>
        </w:rPr>
      </w:pPr>
      <w:r>
        <w:rPr>
          <w:rFonts w:hint="eastAsia"/>
          <w:sz w:val="24"/>
        </w:rPr>
        <w:t>我单位在此郑重承诺：</w:t>
      </w:r>
    </w:p>
    <w:p>
      <w:pPr>
        <w:adjustRightInd w:val="0"/>
        <w:snapToGrid w:val="0"/>
        <w:spacing w:afterLines="50" w:line="343" w:lineRule="auto"/>
        <w:ind w:firstLine="360" w:firstLineChars="150"/>
        <w:rPr>
          <w:sz w:val="24"/>
        </w:rPr>
      </w:pPr>
      <w:r>
        <w:rPr>
          <w:sz w:val="24"/>
        </w:rPr>
        <w:t>一、开工前与农民工签定劳动合同</w:t>
      </w:r>
      <w:r>
        <w:rPr>
          <w:sz w:val="24"/>
        </w:rPr>
        <w:br w:type="textWrapping"/>
      </w:r>
      <w:r>
        <w:rPr>
          <w:sz w:val="24"/>
        </w:rPr>
        <w:t>     二、按时支付农民工工资、加班加点工资。</w:t>
      </w:r>
      <w:r>
        <w:rPr>
          <w:sz w:val="24"/>
        </w:rPr>
        <w:br w:type="textWrapping"/>
      </w:r>
      <w:r>
        <w:rPr>
          <w:sz w:val="24"/>
        </w:rPr>
        <w:t>     三、支付农民工工资不低于</w:t>
      </w:r>
      <w:r>
        <w:rPr>
          <w:rFonts w:hint="eastAsia"/>
          <w:sz w:val="24"/>
        </w:rPr>
        <w:t>河南</w:t>
      </w:r>
      <w:r>
        <w:rPr>
          <w:sz w:val="24"/>
        </w:rPr>
        <w:t>省最低工资标准</w:t>
      </w:r>
      <w:r>
        <w:rPr>
          <w:sz w:val="24"/>
          <w:u w:val="single"/>
        </w:rPr>
        <w:t xml:space="preserve">    </w:t>
      </w:r>
      <w:r>
        <w:rPr>
          <w:sz w:val="24"/>
        </w:rPr>
        <w:t>元。</w:t>
      </w:r>
      <w:r>
        <w:rPr>
          <w:sz w:val="24"/>
        </w:rPr>
        <w:br w:type="textWrapping"/>
      </w:r>
      <w:r>
        <w:rPr>
          <w:sz w:val="24"/>
        </w:rPr>
        <w:t>     四、不无故拖欠、克扣农民工工资。</w:t>
      </w:r>
      <w:r>
        <w:rPr>
          <w:sz w:val="24"/>
        </w:rPr>
        <w:br w:type="textWrapping"/>
      </w:r>
      <w:r>
        <w:rPr>
          <w:sz w:val="24"/>
        </w:rPr>
        <w:t>     五、</w:t>
      </w:r>
      <w:r>
        <w:rPr>
          <w:rFonts w:hint="eastAsia"/>
          <w:sz w:val="24"/>
        </w:rPr>
        <w:t>坚决不</w:t>
      </w:r>
      <w:r>
        <w:rPr>
          <w:sz w:val="24"/>
        </w:rPr>
        <w:t>侵害农民工劳动报酬的合法权益。</w:t>
      </w:r>
      <w:r>
        <w:rPr>
          <w:sz w:val="24"/>
        </w:rPr>
        <w:br w:type="textWrapping"/>
      </w:r>
      <w:r>
        <w:rPr>
          <w:sz w:val="24"/>
        </w:rPr>
        <w:t>      六、若有拖欠、克扣农民工工资、加班加点工资及侵害农民工劳动报酬权益的行为，</w:t>
      </w:r>
      <w:r>
        <w:rPr>
          <w:rFonts w:hint="eastAsia"/>
          <w:sz w:val="24"/>
        </w:rPr>
        <w:t>经有关部门</w:t>
      </w:r>
      <w:r>
        <w:rPr>
          <w:sz w:val="24"/>
        </w:rPr>
        <w:t>查证属实后，</w:t>
      </w:r>
      <w:r>
        <w:rPr>
          <w:rFonts w:hint="eastAsia"/>
          <w:sz w:val="24"/>
        </w:rPr>
        <w:t>自愿</w:t>
      </w:r>
      <w:r>
        <w:rPr>
          <w:sz w:val="24"/>
        </w:rPr>
        <w:t>从工资保</w:t>
      </w:r>
      <w:r>
        <w:rPr>
          <w:rFonts w:hint="eastAsia"/>
          <w:sz w:val="24"/>
        </w:rPr>
        <w:t>障</w:t>
      </w:r>
      <w:r>
        <w:rPr>
          <w:sz w:val="24"/>
        </w:rPr>
        <w:t>金中支付，</w:t>
      </w:r>
      <w:r>
        <w:rPr>
          <w:rFonts w:hint="eastAsia"/>
          <w:sz w:val="24"/>
        </w:rPr>
        <w:t>且</w:t>
      </w:r>
      <w:r>
        <w:rPr>
          <w:sz w:val="24"/>
        </w:rPr>
        <w:t>在一个星期内补足保</w:t>
      </w:r>
      <w:r>
        <w:rPr>
          <w:rFonts w:hint="eastAsia"/>
          <w:sz w:val="24"/>
        </w:rPr>
        <w:t>障</w:t>
      </w:r>
      <w:r>
        <w:rPr>
          <w:sz w:val="24"/>
        </w:rPr>
        <w:t>金。</w:t>
      </w:r>
      <w:r>
        <w:rPr>
          <w:sz w:val="24"/>
        </w:rPr>
        <w:br w:type="textWrapping"/>
      </w: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jc w:val="right"/>
        <w:rPr>
          <w:sz w:val="24"/>
          <w:u w:val="single"/>
        </w:rPr>
      </w:pPr>
      <w:r>
        <w:rPr>
          <w:rFonts w:hint="eastAsia"/>
          <w:sz w:val="24"/>
        </w:rPr>
        <w:t>承诺人：</w:t>
      </w:r>
      <w:r>
        <w:rPr>
          <w:rFonts w:hint="eastAsia"/>
          <w:sz w:val="24"/>
          <w:u w:val="single"/>
        </w:rPr>
        <w:t xml:space="preserve">     （单位全称）（盖章）</w:t>
      </w:r>
    </w:p>
    <w:p>
      <w:pPr>
        <w:adjustRightInd w:val="0"/>
        <w:snapToGrid w:val="0"/>
        <w:spacing w:afterLines="50" w:line="343" w:lineRule="auto"/>
        <w:ind w:firstLine="5640" w:firstLineChars="2350"/>
        <w:rPr>
          <w:sz w:val="24"/>
        </w:rPr>
      </w:pPr>
      <w:r>
        <w:rPr>
          <w:rFonts w:hint="eastAsia"/>
          <w:sz w:val="24"/>
        </w:rPr>
        <w:t>法定代表人：</w:t>
      </w:r>
    </w:p>
    <w:p>
      <w:pPr>
        <w:adjustRightInd w:val="0"/>
        <w:snapToGrid w:val="0"/>
        <w:spacing w:afterLines="50" w:line="343" w:lineRule="auto"/>
        <w:ind w:firstLine="360" w:firstLineChars="150"/>
        <w:rPr>
          <w:sz w:val="24"/>
          <w:u w:val="single"/>
        </w:rPr>
      </w:pPr>
    </w:p>
    <w:p>
      <w:pPr>
        <w:adjustRightInd w:val="0"/>
        <w:snapToGrid w:val="0"/>
        <w:spacing w:afterLines="50" w:line="343" w:lineRule="auto"/>
        <w:rPr>
          <w:rFonts w:ascii="黑体" w:eastAsia="黑体"/>
          <w:sz w:val="28"/>
          <w:szCs w:val="28"/>
        </w:rPr>
      </w:pPr>
    </w:p>
    <w:p>
      <w:pPr>
        <w:adjustRightInd w:val="0"/>
        <w:snapToGrid w:val="0"/>
        <w:spacing w:line="360" w:lineRule="auto"/>
        <w:rPr>
          <w:rFonts w:ascii="黑体" w:eastAsia="黑体"/>
          <w:sz w:val="24"/>
        </w:rPr>
      </w:pPr>
      <w:r>
        <w:rPr>
          <w:rFonts w:ascii="黑体" w:eastAsia="黑体"/>
          <w:sz w:val="24"/>
        </w:rPr>
        <w:br w:type="page"/>
      </w:r>
      <w:r>
        <w:rPr>
          <w:rFonts w:hint="eastAsia" w:ascii="黑体" w:eastAsia="黑体"/>
          <w:sz w:val="24"/>
        </w:rPr>
        <w:t>附件五：项目经理委任书</w:t>
      </w:r>
    </w:p>
    <w:p>
      <w:pPr>
        <w:adjustRightInd w:val="0"/>
        <w:snapToGrid w:val="0"/>
        <w:spacing w:line="360" w:lineRule="auto"/>
        <w:jc w:val="center"/>
        <w:rPr>
          <w:rFonts w:ascii="黑体" w:eastAsia="黑体"/>
          <w:sz w:val="30"/>
          <w:szCs w:val="30"/>
          <w:u w:val="single"/>
        </w:rPr>
      </w:pPr>
      <w:r>
        <w:rPr>
          <w:rFonts w:hint="eastAsia" w:ascii="黑体" w:eastAsia="黑体"/>
          <w:sz w:val="30"/>
          <w:szCs w:val="30"/>
          <w:u w:val="single"/>
        </w:rPr>
        <w:t>（承包人全称）</w:t>
      </w:r>
    </w:p>
    <w:p>
      <w:pPr>
        <w:adjustRightInd w:val="0"/>
        <w:snapToGrid w:val="0"/>
        <w:spacing w:line="360" w:lineRule="auto"/>
        <w:jc w:val="center"/>
        <w:rPr>
          <w:sz w:val="24"/>
        </w:rPr>
      </w:pPr>
      <w:r>
        <w:rPr>
          <w:rFonts w:hint="eastAsia" w:ascii="黑体" w:eastAsia="黑体"/>
          <w:sz w:val="30"/>
          <w:szCs w:val="30"/>
          <w:u w:val="single"/>
        </w:rPr>
        <w:t>（合同工程名称）</w:t>
      </w:r>
      <w:r>
        <w:rPr>
          <w:rFonts w:hint="eastAsia" w:ascii="黑体" w:eastAsia="黑体"/>
          <w:sz w:val="30"/>
          <w:szCs w:val="30"/>
        </w:rPr>
        <w:t>项目经理委</w:t>
      </w:r>
      <w:r>
        <w:rPr>
          <w:rFonts w:ascii="黑体" w:eastAsia="黑体"/>
          <w:sz w:val="30"/>
          <w:szCs w:val="30"/>
        </w:rPr>
        <w:t>任书</w:t>
      </w:r>
    </w:p>
    <w:p>
      <w:pPr>
        <w:adjustRightInd w:val="0"/>
        <w:snapToGrid w:val="0"/>
        <w:spacing w:line="360" w:lineRule="auto"/>
        <w:jc w:val="center"/>
        <w:rPr>
          <w:sz w:val="24"/>
        </w:rPr>
      </w:pPr>
    </w:p>
    <w:p>
      <w:pPr>
        <w:adjustRightInd w:val="0"/>
        <w:snapToGrid w:val="0"/>
        <w:spacing w:line="360" w:lineRule="auto"/>
        <w:jc w:val="left"/>
        <w:rPr>
          <w:sz w:val="24"/>
        </w:rPr>
      </w:pPr>
      <w:r>
        <w:rPr>
          <w:sz w:val="24"/>
        </w:rPr>
        <w:t>致：</w:t>
      </w:r>
      <w:r>
        <w:rPr>
          <w:sz w:val="24"/>
          <w:u w:val="single"/>
        </w:rPr>
        <w:t>（发包人全称）</w:t>
      </w:r>
    </w:p>
    <w:p>
      <w:pPr>
        <w:adjustRightInd w:val="0"/>
        <w:snapToGrid w:val="0"/>
        <w:spacing w:line="360" w:lineRule="auto"/>
        <w:ind w:firstLine="480" w:firstLineChars="200"/>
        <w:rPr>
          <w:sz w:val="24"/>
        </w:rPr>
      </w:pPr>
      <w:r>
        <w:rPr>
          <w:sz w:val="24"/>
          <w:u w:val="single"/>
        </w:rPr>
        <w:t>（承包人全称）</w:t>
      </w:r>
      <w:r>
        <w:rPr>
          <w:sz w:val="24"/>
        </w:rPr>
        <w:t>法定代表人</w:t>
      </w:r>
      <w:r>
        <w:rPr>
          <w:sz w:val="24"/>
          <w:u w:val="single"/>
        </w:rPr>
        <w:t>（职务、姓名）</w:t>
      </w:r>
      <w:r>
        <w:rPr>
          <w:sz w:val="24"/>
        </w:rPr>
        <w:t>代表本单位委任</w:t>
      </w:r>
      <w:r>
        <w:rPr>
          <w:sz w:val="24"/>
          <w:u w:val="single"/>
        </w:rPr>
        <w:t>（职务、姓名）</w:t>
      </w:r>
      <w:r>
        <w:rPr>
          <w:sz w:val="24"/>
        </w:rPr>
        <w:t>为</w:t>
      </w:r>
      <w:r>
        <w:rPr>
          <w:sz w:val="24"/>
          <w:u w:val="single"/>
        </w:rPr>
        <w:t>（合同工程名称）</w:t>
      </w:r>
      <w:r>
        <w:rPr>
          <w:sz w:val="24"/>
        </w:rPr>
        <w:t>的项目经理。凡本合同执行中的有关技术、工程进度、现场管理、质量检验、结算与支付等方面工作，由</w:t>
      </w:r>
      <w:r>
        <w:rPr>
          <w:rFonts w:hint="eastAsia"/>
          <w:sz w:val="24"/>
          <w:u w:val="single"/>
        </w:rPr>
        <w:t xml:space="preserve">   （姓名）  </w:t>
      </w:r>
      <w:r>
        <w:rPr>
          <w:sz w:val="24"/>
        </w:rPr>
        <w:t>代表本单位全面负</w:t>
      </w:r>
      <w:r>
        <w:rPr>
          <w:rFonts w:hint="eastAsia"/>
          <w:sz w:val="24"/>
        </w:rPr>
        <w:t>责。</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080" w:firstLineChars="1700"/>
        <w:rPr>
          <w:sz w:val="24"/>
        </w:rPr>
      </w:pPr>
      <w:r>
        <w:rPr>
          <w:sz w:val="24"/>
        </w:rPr>
        <w:t>承包人：</w:t>
      </w:r>
      <w:r>
        <w:rPr>
          <w:sz w:val="24"/>
          <w:u w:val="single"/>
        </w:rPr>
        <w:t>（全称）</w:t>
      </w:r>
      <w:r>
        <w:rPr>
          <w:sz w:val="24"/>
        </w:rPr>
        <w:t>…</w:t>
      </w:r>
      <w:r>
        <w:rPr>
          <w:sz w:val="24"/>
          <w:u w:val="single"/>
        </w:rPr>
        <w:t>（盖章）</w:t>
      </w:r>
    </w:p>
    <w:p>
      <w:pPr>
        <w:adjustRightInd w:val="0"/>
        <w:snapToGrid w:val="0"/>
        <w:spacing w:line="360" w:lineRule="auto"/>
        <w:ind w:firstLine="4800" w:firstLineChars="2000"/>
        <w:rPr>
          <w:sz w:val="24"/>
        </w:rPr>
      </w:pPr>
      <w:r>
        <w:rPr>
          <w:sz w:val="24"/>
        </w:rPr>
        <w:t>法定代表人：</w:t>
      </w:r>
      <w:r>
        <w:rPr>
          <w:rFonts w:hint="eastAsia"/>
          <w:sz w:val="24"/>
          <w:u w:val="single"/>
        </w:rPr>
        <w:t xml:space="preserve">     （职务）     </w:t>
      </w:r>
    </w:p>
    <w:p>
      <w:pPr>
        <w:adjustRightInd w:val="0"/>
        <w:snapToGrid w:val="0"/>
        <w:spacing w:line="360" w:lineRule="auto"/>
        <w:ind w:firstLine="6240" w:firstLineChars="2600"/>
        <w:rPr>
          <w:sz w:val="24"/>
          <w:u w:val="single"/>
        </w:rPr>
      </w:pPr>
      <w:r>
        <w:rPr>
          <w:sz w:val="24"/>
          <w:u w:val="single"/>
        </w:rPr>
        <w:t>（姓名）</w:t>
      </w:r>
    </w:p>
    <w:p>
      <w:pPr>
        <w:adjustRightInd w:val="0"/>
        <w:snapToGrid w:val="0"/>
        <w:spacing w:line="360" w:lineRule="auto"/>
        <w:ind w:firstLine="6240" w:firstLineChars="2600"/>
        <w:rPr>
          <w:sz w:val="24"/>
        </w:rPr>
      </w:pPr>
      <w:r>
        <w:rPr>
          <w:sz w:val="24"/>
          <w:u w:val="single"/>
        </w:rPr>
        <w:t>（</w:t>
      </w:r>
      <w:r>
        <w:rPr>
          <w:rFonts w:hint="eastAsia"/>
          <w:sz w:val="24"/>
          <w:u w:val="single"/>
        </w:rPr>
        <w:t>签字</w:t>
      </w:r>
      <w:r>
        <w:rPr>
          <w:sz w:val="24"/>
          <w:u w:val="single"/>
        </w:rPr>
        <w:t>）</w:t>
      </w:r>
    </w:p>
    <w:p>
      <w:pPr>
        <w:adjustRightInd w:val="0"/>
        <w:snapToGrid w:val="0"/>
        <w:spacing w:line="360" w:lineRule="auto"/>
        <w:ind w:firstLine="5760" w:firstLineChars="2400"/>
        <w:rPr>
          <w:sz w:val="24"/>
        </w:rPr>
      </w:pPr>
      <w:r>
        <w:rPr>
          <w:sz w:val="24"/>
        </w:rPr>
        <w:t>年月日</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rPr>
          <w:sz w:val="24"/>
        </w:rPr>
      </w:pPr>
      <w:r>
        <w:rPr>
          <w:sz w:val="24"/>
        </w:rPr>
        <w:t>抄送：</w:t>
      </w:r>
      <w:r>
        <w:rPr>
          <w:sz w:val="24"/>
          <w:u w:val="single"/>
        </w:rPr>
        <w:t>（监理人）</w:t>
      </w:r>
    </w:p>
    <w:p>
      <w:pPr>
        <w:adjustRightInd w:val="0"/>
        <w:snapToGrid w:val="0"/>
        <w:spacing w:line="360" w:lineRule="auto"/>
        <w:rPr>
          <w:rFonts w:ascii="黑体" w:eastAsia="黑体"/>
          <w:sz w:val="24"/>
        </w:rPr>
      </w:pPr>
      <w:r>
        <w:rPr>
          <w:sz w:val="24"/>
        </w:rPr>
        <w:br w:type="page"/>
      </w:r>
      <w:r>
        <w:rPr>
          <w:rFonts w:hint="eastAsia" w:ascii="黑体" w:eastAsia="黑体"/>
          <w:sz w:val="24"/>
        </w:rPr>
        <w:t>附件六：履约担保格式</w:t>
      </w:r>
    </w:p>
    <w:p>
      <w:pPr>
        <w:adjustRightInd w:val="0"/>
        <w:snapToGrid w:val="0"/>
        <w:spacing w:beforeLines="100" w:afterLines="100" w:line="360" w:lineRule="auto"/>
        <w:jc w:val="center"/>
        <w:rPr>
          <w:rFonts w:ascii="黑体" w:eastAsia="黑体"/>
          <w:sz w:val="30"/>
          <w:szCs w:val="30"/>
        </w:rPr>
      </w:pPr>
      <w:r>
        <w:rPr>
          <w:rFonts w:hint="eastAsia" w:ascii="黑体" w:eastAsia="黑体"/>
          <w:sz w:val="30"/>
          <w:szCs w:val="30"/>
        </w:rPr>
        <w:t>履 约 担 保</w:t>
      </w:r>
    </w:p>
    <w:p>
      <w:pPr>
        <w:adjustRightInd w:val="0"/>
        <w:snapToGrid w:val="0"/>
        <w:spacing w:line="360" w:lineRule="auto"/>
        <w:rPr>
          <w:sz w:val="24"/>
        </w:rPr>
      </w:pPr>
      <w:r>
        <w:rPr>
          <w:sz w:val="24"/>
        </w:rPr>
        <w:t>（发包人名称）：</w:t>
      </w:r>
    </w:p>
    <w:p>
      <w:pPr>
        <w:adjustRightInd w:val="0"/>
        <w:snapToGrid w:val="0"/>
        <w:spacing w:line="360" w:lineRule="auto"/>
        <w:rPr>
          <w:sz w:val="24"/>
        </w:rPr>
      </w:pPr>
    </w:p>
    <w:p>
      <w:pPr>
        <w:adjustRightInd w:val="0"/>
        <w:snapToGrid w:val="0"/>
        <w:spacing w:line="360" w:lineRule="auto"/>
        <w:ind w:firstLine="480" w:firstLineChars="200"/>
        <w:rPr>
          <w:sz w:val="24"/>
        </w:rPr>
      </w:pPr>
      <w:r>
        <w:rPr>
          <w:sz w:val="24"/>
        </w:rPr>
        <w:t>鉴于（发包人名称，以下简称“发包人”）接受（承包人名称）（以下称“承包人”）于年月日参加（项目名称）标段施工的投标。我方愿意无条件地、不可撤销地就承包人履行与你方订立的合同，向你方提供担保。</w:t>
      </w:r>
    </w:p>
    <w:p>
      <w:pPr>
        <w:adjustRightInd w:val="0"/>
        <w:snapToGrid w:val="0"/>
        <w:spacing w:line="360" w:lineRule="auto"/>
        <w:ind w:firstLine="480" w:firstLineChars="200"/>
        <w:rPr>
          <w:sz w:val="24"/>
        </w:rPr>
      </w:pPr>
      <w:r>
        <w:rPr>
          <w:sz w:val="24"/>
        </w:rPr>
        <w:t>1</w:t>
      </w:r>
      <w:r>
        <w:rPr>
          <w:rFonts w:hint="eastAsia"/>
          <w:sz w:val="24"/>
        </w:rPr>
        <w:t>．</w:t>
      </w:r>
      <w:r>
        <w:rPr>
          <w:sz w:val="24"/>
        </w:rPr>
        <w:t>担保金额人民币（大写）元（￥</w:t>
      </w:r>
      <w:r>
        <w:rPr>
          <w:rFonts w:hint="eastAsia"/>
          <w:sz w:val="24"/>
        </w:rPr>
        <w:t>）。</w:t>
      </w:r>
    </w:p>
    <w:p>
      <w:pPr>
        <w:adjustRightInd w:val="0"/>
        <w:snapToGrid w:val="0"/>
        <w:spacing w:line="360" w:lineRule="auto"/>
        <w:ind w:firstLine="480" w:firstLineChars="200"/>
        <w:rPr>
          <w:sz w:val="24"/>
        </w:rPr>
      </w:pPr>
      <w:r>
        <w:rPr>
          <w:sz w:val="24"/>
        </w:rPr>
        <w:t>2</w:t>
      </w:r>
      <w:r>
        <w:rPr>
          <w:rFonts w:hint="eastAsia"/>
          <w:sz w:val="24"/>
        </w:rPr>
        <w:t>．</w:t>
      </w:r>
      <w:r>
        <w:rPr>
          <w:sz w:val="24"/>
        </w:rPr>
        <w:t>担保有效期自发包人与承包人签订的合同生效之日起至发包人签发工程接收证书之日止。</w:t>
      </w:r>
    </w:p>
    <w:p>
      <w:pPr>
        <w:adjustRightInd w:val="0"/>
        <w:snapToGrid w:val="0"/>
        <w:spacing w:line="360" w:lineRule="auto"/>
        <w:ind w:firstLine="480" w:firstLineChars="200"/>
        <w:rPr>
          <w:sz w:val="24"/>
        </w:rPr>
      </w:pPr>
      <w:r>
        <w:rPr>
          <w:sz w:val="24"/>
        </w:rPr>
        <w:t>3</w:t>
      </w:r>
      <w:r>
        <w:rPr>
          <w:rFonts w:hint="eastAsia"/>
          <w:sz w:val="24"/>
        </w:rPr>
        <w:t>．</w:t>
      </w:r>
      <w:r>
        <w:rPr>
          <w:sz w:val="24"/>
        </w:rPr>
        <w:t>在本担保有效期内，因承包人违反合同约定的义务给你方造成经济损失时，我方在收到你方以书面形式提出的在担保金额内的赔偿要求后，在7天内无条件支付，无须你方出具证明或陈述理由。</w:t>
      </w:r>
    </w:p>
    <w:p>
      <w:pPr>
        <w:adjustRightInd w:val="0"/>
        <w:snapToGrid w:val="0"/>
        <w:spacing w:line="360" w:lineRule="auto"/>
        <w:ind w:firstLine="480" w:firstLineChars="200"/>
        <w:rPr>
          <w:sz w:val="24"/>
        </w:rPr>
      </w:pPr>
      <w:r>
        <w:rPr>
          <w:sz w:val="24"/>
        </w:rPr>
        <w:t>4</w:t>
      </w:r>
      <w:r>
        <w:rPr>
          <w:rFonts w:hint="eastAsia"/>
          <w:sz w:val="24"/>
        </w:rPr>
        <w:t>．</w:t>
      </w:r>
      <w:r>
        <w:rPr>
          <w:sz w:val="24"/>
        </w:rPr>
        <w:t>发包人和承包人按合同条款第15条变更合同时，我方承担本担保规定的义务不变。</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3840" w:firstLineChars="1600"/>
        <w:rPr>
          <w:sz w:val="24"/>
        </w:rPr>
      </w:pPr>
      <w:r>
        <w:rPr>
          <w:sz w:val="24"/>
        </w:rPr>
        <w:t>担保人：（盖单位公章）</w:t>
      </w:r>
    </w:p>
    <w:p>
      <w:pPr>
        <w:adjustRightInd w:val="0"/>
        <w:snapToGrid w:val="0"/>
        <w:spacing w:line="360" w:lineRule="auto"/>
        <w:ind w:firstLine="3835" w:firstLineChars="1598"/>
        <w:rPr>
          <w:sz w:val="24"/>
        </w:rPr>
      </w:pPr>
      <w:r>
        <w:rPr>
          <w:sz w:val="24"/>
        </w:rPr>
        <w:t>法定代表人或其委托代理人：（签字）</w:t>
      </w:r>
    </w:p>
    <w:p>
      <w:pPr>
        <w:adjustRightInd w:val="0"/>
        <w:snapToGrid w:val="0"/>
        <w:spacing w:line="360" w:lineRule="auto"/>
        <w:ind w:firstLine="3835" w:firstLineChars="1598"/>
        <w:rPr>
          <w:sz w:val="24"/>
        </w:rPr>
      </w:pPr>
      <w:r>
        <w:rPr>
          <w:sz w:val="24"/>
        </w:rPr>
        <w:t>地址：</w:t>
      </w:r>
    </w:p>
    <w:p>
      <w:pPr>
        <w:adjustRightInd w:val="0"/>
        <w:snapToGrid w:val="0"/>
        <w:spacing w:line="360" w:lineRule="auto"/>
        <w:ind w:firstLine="3835" w:firstLineChars="1598"/>
        <w:rPr>
          <w:sz w:val="24"/>
          <w:u w:val="single"/>
        </w:rPr>
      </w:pPr>
      <w:r>
        <w:rPr>
          <w:sz w:val="24"/>
        </w:rPr>
        <w:t>邮政编码：</w:t>
      </w:r>
    </w:p>
    <w:p>
      <w:pPr>
        <w:adjustRightInd w:val="0"/>
        <w:snapToGrid w:val="0"/>
        <w:spacing w:line="360" w:lineRule="auto"/>
        <w:ind w:firstLine="3835" w:firstLineChars="1598"/>
        <w:rPr>
          <w:sz w:val="24"/>
          <w:u w:val="single"/>
        </w:rPr>
      </w:pPr>
      <w:r>
        <w:rPr>
          <w:sz w:val="24"/>
        </w:rPr>
        <w:t>电话：</w:t>
      </w:r>
    </w:p>
    <w:p>
      <w:pPr>
        <w:adjustRightInd w:val="0"/>
        <w:snapToGrid w:val="0"/>
        <w:spacing w:line="360" w:lineRule="auto"/>
        <w:ind w:firstLine="3835" w:firstLineChars="1598"/>
        <w:rPr>
          <w:sz w:val="24"/>
          <w:u w:val="single"/>
        </w:rPr>
      </w:pPr>
      <w:r>
        <w:rPr>
          <w:sz w:val="24"/>
        </w:rPr>
        <w:t>传真：</w:t>
      </w:r>
    </w:p>
    <w:p>
      <w:pPr>
        <w:adjustRightInd w:val="0"/>
        <w:snapToGrid w:val="0"/>
        <w:spacing w:line="360" w:lineRule="auto"/>
        <w:ind w:firstLine="5032" w:firstLineChars="2097"/>
        <w:rPr>
          <w:sz w:val="24"/>
        </w:rPr>
      </w:pPr>
      <w:r>
        <w:rPr>
          <w:sz w:val="24"/>
        </w:rPr>
        <w:t>年</w:t>
      </w:r>
      <w:r>
        <w:rPr>
          <w:rFonts w:hint="eastAsia"/>
          <w:sz w:val="24"/>
        </w:rPr>
        <w:t xml:space="preserve">  </w:t>
      </w:r>
      <w:r>
        <w:rPr>
          <w:sz w:val="24"/>
        </w:rPr>
        <w:t>月</w:t>
      </w:r>
      <w:r>
        <w:rPr>
          <w:rFonts w:hint="eastAsia"/>
          <w:sz w:val="24"/>
        </w:rPr>
        <w:t xml:space="preserve">  </w:t>
      </w:r>
      <w:r>
        <w:rPr>
          <w:sz w:val="24"/>
        </w:rPr>
        <w:t>日</w:t>
      </w:r>
    </w:p>
    <w:p>
      <w:pPr>
        <w:adjustRightInd w:val="0"/>
        <w:snapToGrid w:val="0"/>
        <w:spacing w:line="360" w:lineRule="auto"/>
        <w:rPr>
          <w:rFonts w:ascii="黑体" w:eastAsia="黑体"/>
          <w:sz w:val="24"/>
        </w:rPr>
      </w:pPr>
      <w:r>
        <w:rPr>
          <w:sz w:val="24"/>
        </w:rPr>
        <w:br w:type="page"/>
      </w:r>
      <w:r>
        <w:rPr>
          <w:rFonts w:hint="eastAsia" w:ascii="黑体" w:eastAsia="黑体"/>
          <w:sz w:val="24"/>
        </w:rPr>
        <w:t>附件七：预付款担保格式</w:t>
      </w:r>
    </w:p>
    <w:p>
      <w:pPr>
        <w:adjustRightInd w:val="0"/>
        <w:snapToGrid w:val="0"/>
        <w:spacing w:beforeLines="100" w:afterLines="100" w:line="360" w:lineRule="auto"/>
        <w:jc w:val="center"/>
        <w:rPr>
          <w:rFonts w:ascii="黑体" w:eastAsia="黑体"/>
          <w:sz w:val="30"/>
          <w:szCs w:val="30"/>
        </w:rPr>
      </w:pPr>
      <w:r>
        <w:rPr>
          <w:rFonts w:hint="eastAsia" w:ascii="黑体" w:eastAsia="黑体"/>
          <w:sz w:val="30"/>
          <w:szCs w:val="30"/>
        </w:rPr>
        <w:t>预 付 款 担 保</w:t>
      </w:r>
    </w:p>
    <w:p>
      <w:pPr>
        <w:adjustRightInd w:val="0"/>
        <w:snapToGrid w:val="0"/>
        <w:spacing w:line="360" w:lineRule="auto"/>
        <w:rPr>
          <w:sz w:val="24"/>
        </w:rPr>
      </w:pPr>
      <w:r>
        <w:rPr>
          <w:sz w:val="24"/>
        </w:rPr>
        <w:t>（发包人名称）：</w:t>
      </w:r>
    </w:p>
    <w:p>
      <w:pPr>
        <w:adjustRightInd w:val="0"/>
        <w:snapToGrid w:val="0"/>
        <w:spacing w:line="360" w:lineRule="auto"/>
        <w:rPr>
          <w:sz w:val="24"/>
        </w:rPr>
      </w:pPr>
    </w:p>
    <w:p>
      <w:pPr>
        <w:adjustRightInd w:val="0"/>
        <w:snapToGrid w:val="0"/>
        <w:spacing w:line="360" w:lineRule="auto"/>
        <w:ind w:firstLine="480" w:firstLineChars="200"/>
        <w:rPr>
          <w:sz w:val="24"/>
        </w:rPr>
      </w:pPr>
      <w:r>
        <w:rPr>
          <w:sz w:val="24"/>
        </w:rPr>
        <w:t>根据（承包人名称）（以下称“承包人”）与（发包人名称）（以下简称“发包人”）于年月日签订的（项目名称）标段施工承包合同，承包人按约定的金额向发包人提交一份预付款担保，即有权得到发包人支付相等金额的预付款。我方愿意就你方提供给承包人的预付款提供担保。</w:t>
      </w:r>
    </w:p>
    <w:p>
      <w:pPr>
        <w:adjustRightInd w:val="0"/>
        <w:snapToGrid w:val="0"/>
        <w:spacing w:line="360" w:lineRule="auto"/>
        <w:ind w:firstLine="480" w:firstLineChars="200"/>
        <w:rPr>
          <w:sz w:val="24"/>
        </w:rPr>
      </w:pPr>
      <w:r>
        <w:rPr>
          <w:sz w:val="24"/>
        </w:rPr>
        <w:t>1</w:t>
      </w:r>
      <w:r>
        <w:rPr>
          <w:rFonts w:hint="eastAsia"/>
          <w:sz w:val="24"/>
        </w:rPr>
        <w:t>．</w:t>
      </w:r>
      <w:r>
        <w:rPr>
          <w:sz w:val="24"/>
        </w:rPr>
        <w:t>担保金额人民币（大写）元（￥</w:t>
      </w:r>
      <w:r>
        <w:rPr>
          <w:rFonts w:hint="eastAsia"/>
          <w:sz w:val="24"/>
        </w:rPr>
        <w:t>）。</w:t>
      </w:r>
    </w:p>
    <w:p>
      <w:pPr>
        <w:adjustRightInd w:val="0"/>
        <w:snapToGrid w:val="0"/>
        <w:spacing w:line="360" w:lineRule="auto"/>
        <w:ind w:firstLine="480" w:firstLineChars="200"/>
        <w:rPr>
          <w:sz w:val="24"/>
        </w:rPr>
      </w:pPr>
      <w:r>
        <w:rPr>
          <w:sz w:val="24"/>
        </w:rPr>
        <w:t>2</w:t>
      </w:r>
      <w:r>
        <w:rPr>
          <w:rFonts w:hint="eastAsia"/>
          <w:sz w:val="24"/>
        </w:rPr>
        <w:t>．</w:t>
      </w:r>
      <w:r>
        <w:rPr>
          <w:sz w:val="24"/>
        </w:rPr>
        <w:t>担保有效期自预付款支付给承包人起生效，至发包人签发的进度付款证书说明</w:t>
      </w:r>
      <w:r>
        <w:rPr>
          <w:rFonts w:hint="eastAsia"/>
          <w:sz w:val="24"/>
        </w:rPr>
        <w:t>已</w:t>
      </w:r>
      <w:r>
        <w:rPr>
          <w:sz w:val="24"/>
        </w:rPr>
        <w:t>完全扣清止。</w:t>
      </w:r>
    </w:p>
    <w:p>
      <w:pPr>
        <w:adjustRightInd w:val="0"/>
        <w:snapToGrid w:val="0"/>
        <w:spacing w:line="360" w:lineRule="auto"/>
        <w:ind w:firstLine="480" w:firstLineChars="200"/>
        <w:rPr>
          <w:sz w:val="24"/>
        </w:rPr>
      </w:pPr>
      <w:r>
        <w:rPr>
          <w:sz w:val="24"/>
        </w:rPr>
        <w:t>3</w:t>
      </w:r>
      <w:r>
        <w:rPr>
          <w:rFonts w:hint="eastAsia"/>
          <w:sz w:val="24"/>
        </w:rPr>
        <w:t>．</w:t>
      </w:r>
      <w:r>
        <w:rPr>
          <w:sz w:val="24"/>
        </w:rPr>
        <w:t>在本保函有效期内，因承包人违反合同约定的义务而要求收回预付款时，我方在收到你方的书面通知后，在7天内无条件支付，无须你方出具证明或陈述理由。但本保函的担保金额，在任何时候不应超过预付款金额减去发包人按合同约定在向承包人签发的进度付款证书中扣除的金额。</w:t>
      </w:r>
    </w:p>
    <w:p>
      <w:pPr>
        <w:adjustRightInd w:val="0"/>
        <w:snapToGrid w:val="0"/>
        <w:spacing w:line="360" w:lineRule="auto"/>
        <w:ind w:firstLine="480" w:firstLineChars="200"/>
        <w:rPr>
          <w:sz w:val="24"/>
        </w:rPr>
      </w:pPr>
      <w:r>
        <w:rPr>
          <w:sz w:val="24"/>
        </w:rPr>
        <w:t>4</w:t>
      </w:r>
      <w:r>
        <w:rPr>
          <w:rFonts w:hint="eastAsia"/>
          <w:sz w:val="24"/>
        </w:rPr>
        <w:t>．</w:t>
      </w:r>
      <w:r>
        <w:rPr>
          <w:sz w:val="24"/>
        </w:rPr>
        <w:t>发包人和承包人按《通用合同条款》第15条变更合同时，我方承担本保函规定的义务不变。</w:t>
      </w:r>
    </w:p>
    <w:p>
      <w:pPr>
        <w:adjustRightInd w:val="0"/>
        <w:snapToGrid w:val="0"/>
        <w:spacing w:line="360" w:lineRule="auto"/>
        <w:ind w:firstLine="480" w:firstLineChars="200"/>
        <w:rPr>
          <w:sz w:val="24"/>
        </w:rPr>
      </w:pPr>
    </w:p>
    <w:p>
      <w:pPr>
        <w:adjustRightInd w:val="0"/>
        <w:snapToGrid w:val="0"/>
        <w:spacing w:line="360" w:lineRule="auto"/>
        <w:ind w:firstLine="3840" w:firstLineChars="1600"/>
        <w:rPr>
          <w:sz w:val="24"/>
        </w:rPr>
      </w:pPr>
      <w:r>
        <w:rPr>
          <w:sz w:val="24"/>
        </w:rPr>
        <w:t>担保人：（盖单位公章）</w:t>
      </w:r>
    </w:p>
    <w:p>
      <w:pPr>
        <w:adjustRightInd w:val="0"/>
        <w:snapToGrid w:val="0"/>
        <w:spacing w:line="360" w:lineRule="auto"/>
        <w:ind w:firstLine="3835" w:firstLineChars="1598"/>
        <w:rPr>
          <w:sz w:val="24"/>
        </w:rPr>
      </w:pPr>
      <w:r>
        <w:rPr>
          <w:sz w:val="24"/>
        </w:rPr>
        <w:t>法定代表人或其委托代理人：（签字）</w:t>
      </w:r>
    </w:p>
    <w:p>
      <w:pPr>
        <w:adjustRightInd w:val="0"/>
        <w:snapToGrid w:val="0"/>
        <w:spacing w:line="360" w:lineRule="auto"/>
        <w:ind w:firstLine="3835" w:firstLineChars="1598"/>
        <w:rPr>
          <w:sz w:val="24"/>
        </w:rPr>
      </w:pPr>
      <w:r>
        <w:rPr>
          <w:sz w:val="24"/>
        </w:rPr>
        <w:t>地址：</w:t>
      </w:r>
    </w:p>
    <w:p>
      <w:pPr>
        <w:adjustRightInd w:val="0"/>
        <w:snapToGrid w:val="0"/>
        <w:spacing w:line="360" w:lineRule="auto"/>
        <w:ind w:firstLine="3835" w:firstLineChars="1598"/>
        <w:rPr>
          <w:sz w:val="24"/>
          <w:u w:val="single"/>
        </w:rPr>
      </w:pPr>
      <w:r>
        <w:rPr>
          <w:sz w:val="24"/>
        </w:rPr>
        <w:t>邮政编码：</w:t>
      </w:r>
    </w:p>
    <w:p>
      <w:pPr>
        <w:adjustRightInd w:val="0"/>
        <w:snapToGrid w:val="0"/>
        <w:spacing w:line="360" w:lineRule="auto"/>
        <w:ind w:firstLine="3835" w:firstLineChars="1598"/>
        <w:rPr>
          <w:sz w:val="24"/>
          <w:u w:val="single"/>
        </w:rPr>
      </w:pPr>
      <w:r>
        <w:rPr>
          <w:sz w:val="24"/>
        </w:rPr>
        <w:t>电话：</w:t>
      </w:r>
    </w:p>
    <w:p>
      <w:pPr>
        <w:adjustRightInd w:val="0"/>
        <w:snapToGrid w:val="0"/>
        <w:spacing w:line="360" w:lineRule="auto"/>
        <w:ind w:firstLine="3835" w:firstLineChars="1598"/>
        <w:rPr>
          <w:sz w:val="24"/>
          <w:u w:val="single"/>
        </w:rPr>
      </w:pPr>
      <w:r>
        <w:rPr>
          <w:sz w:val="24"/>
        </w:rPr>
        <w:t>传真：</w:t>
      </w:r>
    </w:p>
    <w:p>
      <w:pPr>
        <w:adjustRightInd w:val="0"/>
        <w:snapToGrid w:val="0"/>
        <w:spacing w:line="360" w:lineRule="auto"/>
        <w:ind w:firstLine="5032" w:firstLineChars="2097"/>
      </w:pPr>
      <w:r>
        <w:rPr>
          <w:sz w:val="24"/>
        </w:rPr>
        <w:t>年</w:t>
      </w:r>
      <w:r>
        <w:rPr>
          <w:rFonts w:hint="eastAsia"/>
          <w:sz w:val="24"/>
        </w:rPr>
        <w:t xml:space="preserve">  </w:t>
      </w:r>
      <w:r>
        <w:rPr>
          <w:sz w:val="24"/>
        </w:rPr>
        <w:t>月</w:t>
      </w:r>
      <w:r>
        <w:rPr>
          <w:rFonts w:hint="eastAsia"/>
          <w:sz w:val="24"/>
        </w:rPr>
        <w:t xml:space="preserve">  </w:t>
      </w:r>
      <w:r>
        <w:rPr>
          <w:sz w:val="24"/>
        </w:rPr>
        <w:t>日</w:t>
      </w:r>
    </w:p>
    <w:p>
      <w:pPr>
        <w:spacing w:line="400" w:lineRule="exact"/>
        <w:ind w:firstLine="480" w:firstLineChars="200"/>
        <w:rPr>
          <w:rFonts w:ascii="宋体" w:hAnsi="宋体"/>
          <w:sz w:val="24"/>
        </w:rPr>
      </w:pPr>
    </w:p>
    <w:p>
      <w:pPr>
        <w:rPr>
          <w:rFonts w:ascii="宋体" w:hAnsi="宋体"/>
          <w:sz w:val="24"/>
        </w:rPr>
      </w:pPr>
    </w:p>
    <w:p>
      <w:pPr>
        <w:spacing w:line="400" w:lineRule="exact"/>
        <w:rPr>
          <w:rFonts w:ascii="隶书" w:hAnsi="宋体" w:eastAsia="隶书"/>
          <w:sz w:val="24"/>
        </w:rPr>
      </w:pPr>
    </w:p>
    <w:p>
      <w:pPr>
        <w:pStyle w:val="4"/>
        <w:spacing w:after="600" w:line="240" w:lineRule="auto"/>
        <w:jc w:val="center"/>
        <w:rPr>
          <w:b w:val="0"/>
        </w:rPr>
      </w:pPr>
      <w:bookmarkStart w:id="208" w:name="_Toc237866020"/>
      <w:bookmarkStart w:id="209" w:name="_Toc483496978"/>
      <w:r>
        <w:rPr>
          <w:rFonts w:hint="eastAsia" w:ascii="黑体" w:eastAsia="黑体"/>
        </w:rPr>
        <w:t xml:space="preserve">第五章  </w:t>
      </w:r>
      <w:r>
        <w:rPr>
          <w:rFonts w:ascii="黑体" w:eastAsia="黑体"/>
        </w:rPr>
        <w:t>工程量清单说明</w:t>
      </w:r>
      <w:bookmarkEnd w:id="208"/>
      <w:bookmarkEnd w:id="209"/>
    </w:p>
    <w:p>
      <w:pPr>
        <w:spacing w:line="400" w:lineRule="exact"/>
        <w:ind w:firstLine="480" w:firstLineChars="200"/>
        <w:rPr>
          <w:sz w:val="24"/>
        </w:rPr>
      </w:pPr>
      <w:bookmarkStart w:id="210" w:name="_Hlt236721459"/>
      <w:bookmarkEnd w:id="210"/>
      <w:r>
        <w:rPr>
          <w:rFonts w:hint="eastAsia"/>
          <w:sz w:val="24"/>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ind w:firstLine="480" w:firstLineChars="200"/>
        <w:rPr>
          <w:sz w:val="24"/>
        </w:rPr>
      </w:pPr>
      <w:r>
        <w:rPr>
          <w:rFonts w:hint="eastAsia"/>
          <w:sz w:val="24"/>
        </w:rPr>
        <w:t>1.2 本工程量清单应与招标文件中的投标人须知、通用合同条款、专用合同条款、技术规范及图纸等一起阅读和理解。</w:t>
      </w:r>
    </w:p>
    <w:p>
      <w:pPr>
        <w:spacing w:line="400" w:lineRule="exact"/>
        <w:ind w:firstLine="480" w:firstLineChars="200"/>
        <w:rPr>
          <w:sz w:val="24"/>
        </w:rPr>
      </w:pPr>
      <w:r>
        <w:rPr>
          <w:rFonts w:hint="eastAsia"/>
          <w:sz w:val="24"/>
        </w:rPr>
        <w:t>1.3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spacing w:line="400" w:lineRule="exact"/>
        <w:ind w:firstLine="480" w:firstLineChars="200"/>
        <w:rPr>
          <w:sz w:val="24"/>
        </w:rPr>
      </w:pPr>
      <w:r>
        <w:rPr>
          <w:rFonts w:hint="eastAsia"/>
          <w:sz w:val="24"/>
        </w:rPr>
        <w:t>1.4 工程量清单各章是按第七章“技术规范”的相应章次编号的，因此，工程量清单中各章的工程子目的范围与计量等应与“技术规范”相应章节的范围、计量与支付条款结合起来理解或解释。</w:t>
      </w:r>
    </w:p>
    <w:p>
      <w:pPr>
        <w:spacing w:line="400" w:lineRule="exact"/>
        <w:ind w:firstLine="480" w:firstLineChars="200"/>
        <w:rPr>
          <w:sz w:val="24"/>
        </w:rPr>
      </w:pPr>
      <w:r>
        <w:rPr>
          <w:rFonts w:hint="eastAsia"/>
          <w:sz w:val="24"/>
        </w:rPr>
        <w:t>1.5 对作业和材料的—般说明或规定，未重复写入工程量清单内，在给工程量清单各子目标价前，应参阅第七章“技术规范”的有关内容。</w:t>
      </w:r>
    </w:p>
    <w:p>
      <w:pPr>
        <w:spacing w:line="400" w:lineRule="exact"/>
        <w:ind w:firstLine="480" w:firstLineChars="200"/>
        <w:rPr>
          <w:sz w:val="24"/>
        </w:rPr>
      </w:pPr>
      <w:r>
        <w:rPr>
          <w:rFonts w:hint="eastAsia"/>
          <w:sz w:val="24"/>
        </w:rPr>
        <w:t>1.6 工程量清单中所列工程量的变动，丝毫不会降低或影响合同条款的效力，也不免除承包人按规定的标准进行施工和修复缺陷的责任。</w:t>
      </w:r>
    </w:p>
    <w:p>
      <w:pPr>
        <w:spacing w:line="400" w:lineRule="exact"/>
        <w:ind w:firstLine="480" w:firstLineChars="200"/>
        <w:rPr>
          <w:sz w:val="24"/>
        </w:rPr>
      </w:pPr>
      <w:r>
        <w:rPr>
          <w:rFonts w:hint="eastAsia"/>
          <w:sz w:val="24"/>
        </w:rPr>
        <w:t>1.7 图纸中所列的工程数量表及数量汇总表仅是提供资料，不是工程量清单的外延。当图纸与工程量清单所列数量不一致时，以工程量清单所列数量作为报价的依据。</w:t>
      </w:r>
    </w:p>
    <w:p>
      <w:pPr>
        <w:spacing w:before="240" w:after="120"/>
        <w:rPr>
          <w:rFonts w:ascii="黑体" w:eastAsia="黑体"/>
          <w:sz w:val="28"/>
          <w:szCs w:val="28"/>
        </w:rPr>
      </w:pPr>
      <w:r>
        <w:rPr>
          <w:rFonts w:hint="eastAsia" w:ascii="黑体" w:eastAsia="黑体"/>
          <w:sz w:val="28"/>
          <w:szCs w:val="28"/>
        </w:rPr>
        <w:t>2．投标报价说明</w:t>
      </w:r>
    </w:p>
    <w:p>
      <w:pPr>
        <w:spacing w:line="400" w:lineRule="exact"/>
        <w:ind w:firstLine="480" w:firstLineChars="200"/>
        <w:rPr>
          <w:sz w:val="24"/>
        </w:rPr>
      </w:pPr>
      <w:r>
        <w:rPr>
          <w:rFonts w:hint="eastAsia"/>
          <w:sz w:val="24"/>
        </w:rPr>
        <w:t>2.1 工程量清单中的每一子目须填入单价或价格，且只允许有一个报价。</w:t>
      </w:r>
    </w:p>
    <w:p>
      <w:pPr>
        <w:spacing w:line="400" w:lineRule="exact"/>
        <w:ind w:firstLine="480" w:firstLineChars="200"/>
        <w:rPr>
          <w:sz w:val="24"/>
        </w:rPr>
      </w:pPr>
      <w:r>
        <w:rPr>
          <w:rFonts w:hint="eastAsia"/>
          <w:sz w:val="24"/>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400" w:lineRule="exact"/>
        <w:ind w:firstLine="480" w:firstLineChars="200"/>
        <w:rPr>
          <w:sz w:val="24"/>
        </w:rPr>
      </w:pPr>
      <w:r>
        <w:rPr>
          <w:rFonts w:hint="eastAsia"/>
          <w:sz w:val="24"/>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400" w:lineRule="exact"/>
        <w:ind w:firstLine="480" w:firstLineChars="200"/>
        <w:rPr>
          <w:sz w:val="24"/>
        </w:rPr>
      </w:pPr>
      <w:r>
        <w:rPr>
          <w:rFonts w:hint="eastAsia"/>
          <w:sz w:val="24"/>
        </w:rPr>
        <w:t>2.4 符合合同条款规定的全部费用应认为已被计入有标价的工程量清单所列各子目之中，未列子目不予计量的工作，其费用应视为已分摊在本合同工程的有关子目的单价或总额价之中。</w:t>
      </w:r>
    </w:p>
    <w:p>
      <w:pPr>
        <w:spacing w:line="400" w:lineRule="exact"/>
        <w:ind w:firstLine="480" w:firstLineChars="200"/>
        <w:rPr>
          <w:sz w:val="24"/>
        </w:rPr>
      </w:pPr>
      <w:r>
        <w:rPr>
          <w:rFonts w:hint="eastAsia"/>
          <w:sz w:val="24"/>
        </w:rPr>
        <w:t>2.5承包人用于本合同工程的各类装备的提供、运输、维护、拆卸、拼装等支付的费用，已包括在工程量清单的单价与总额价之中。</w:t>
      </w:r>
    </w:p>
    <w:p>
      <w:pPr>
        <w:spacing w:line="400" w:lineRule="exact"/>
        <w:ind w:firstLine="480" w:firstLineChars="200"/>
        <w:rPr>
          <w:sz w:val="24"/>
        </w:rPr>
      </w:pPr>
      <w:r>
        <w:rPr>
          <w:rFonts w:hint="eastAsia"/>
          <w:sz w:val="24"/>
        </w:rPr>
        <w:t>2.6 工程量清单中各项金额均以人民币（元）结算。</w:t>
      </w:r>
    </w:p>
    <w:p>
      <w:pPr>
        <w:spacing w:line="400" w:lineRule="exact"/>
        <w:ind w:firstLine="480" w:firstLineChars="200"/>
        <w:rPr>
          <w:sz w:val="24"/>
        </w:rPr>
      </w:pPr>
      <w:r>
        <w:rPr>
          <w:rFonts w:hint="eastAsia"/>
          <w:sz w:val="24"/>
        </w:rPr>
        <w:t>2.8 暂列金额（不含计日工总额）的数量及拟用子目的说明：。</w:t>
      </w:r>
    </w:p>
    <w:p>
      <w:pPr>
        <w:spacing w:line="400" w:lineRule="exact"/>
        <w:ind w:firstLine="480" w:firstLineChars="200"/>
        <w:rPr>
          <w:sz w:val="24"/>
        </w:rPr>
      </w:pPr>
      <w:r>
        <w:rPr>
          <w:rFonts w:hint="eastAsia"/>
          <w:sz w:val="24"/>
        </w:rPr>
        <w:t>2.9 暂估价的数量及拟用子目的说明：。</w:t>
      </w:r>
    </w:p>
    <w:p>
      <w:pPr>
        <w:spacing w:before="240" w:after="120"/>
        <w:rPr>
          <w:rFonts w:ascii="黑体" w:eastAsia="黑体"/>
          <w:sz w:val="28"/>
          <w:szCs w:val="28"/>
        </w:rPr>
      </w:pPr>
      <w:r>
        <w:rPr>
          <w:rFonts w:hint="eastAsia" w:ascii="黑体" w:eastAsia="黑体"/>
          <w:sz w:val="28"/>
          <w:szCs w:val="28"/>
        </w:rPr>
        <w:t>3．计日工说明</w:t>
      </w:r>
    </w:p>
    <w:p>
      <w:pPr>
        <w:spacing w:line="400" w:lineRule="exact"/>
        <w:rPr>
          <w:sz w:val="24"/>
        </w:rPr>
      </w:pPr>
      <w:r>
        <w:rPr>
          <w:rFonts w:hint="eastAsia"/>
          <w:sz w:val="24"/>
        </w:rPr>
        <w:t xml:space="preserve">    3.1 总则</w:t>
      </w:r>
    </w:p>
    <w:p>
      <w:pPr>
        <w:spacing w:line="400" w:lineRule="exact"/>
        <w:ind w:firstLine="360" w:firstLineChars="150"/>
        <w:rPr>
          <w:sz w:val="24"/>
        </w:rPr>
      </w:pPr>
      <w:r>
        <w:rPr>
          <w:rFonts w:hint="eastAsia"/>
          <w:sz w:val="24"/>
        </w:rPr>
        <w:t>（l）本说明应参照通用合同条款第15.7款一并理解。</w:t>
      </w:r>
    </w:p>
    <w:p>
      <w:pPr>
        <w:spacing w:line="400" w:lineRule="exact"/>
        <w:ind w:firstLine="360" w:firstLineChars="150"/>
        <w:rPr>
          <w:sz w:val="24"/>
        </w:rPr>
      </w:pPr>
      <w:r>
        <w:rPr>
          <w:rFonts w:hint="eastAsia"/>
          <w:sz w:val="24"/>
        </w:rPr>
        <w:t>（2）未经监理人书面指令，任何工程不得按计日工施工；接到监理人按计日工施工的书面指令，承包人也不得拒绝。</w:t>
      </w:r>
    </w:p>
    <w:p>
      <w:pPr>
        <w:spacing w:line="400" w:lineRule="exact"/>
        <w:ind w:firstLine="360" w:firstLineChars="150"/>
        <w:rPr>
          <w:sz w:val="24"/>
        </w:rPr>
      </w:pPr>
      <w:r>
        <w:rPr>
          <w:rFonts w:hint="eastAsia"/>
          <w:sz w:val="24"/>
        </w:rPr>
        <w:t>（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spacing w:line="400" w:lineRule="exact"/>
        <w:ind w:firstLine="360" w:firstLineChars="150"/>
        <w:rPr>
          <w:sz w:val="24"/>
        </w:rPr>
      </w:pPr>
      <w:r>
        <w:rPr>
          <w:rFonts w:hint="eastAsia"/>
          <w:sz w:val="24"/>
        </w:rPr>
        <w:t>（4）计日工不调价。</w:t>
      </w:r>
    </w:p>
    <w:p>
      <w:pPr>
        <w:spacing w:line="400" w:lineRule="exact"/>
        <w:ind w:firstLine="480" w:firstLineChars="200"/>
        <w:rPr>
          <w:sz w:val="24"/>
        </w:rPr>
      </w:pPr>
      <w:r>
        <w:rPr>
          <w:rFonts w:hint="eastAsia"/>
          <w:sz w:val="24"/>
        </w:rPr>
        <w:t>3.2 计日工劳务</w:t>
      </w:r>
    </w:p>
    <w:p>
      <w:pPr>
        <w:spacing w:line="400" w:lineRule="exact"/>
        <w:ind w:firstLine="360" w:firstLineChars="150"/>
        <w:rPr>
          <w:sz w:val="24"/>
        </w:rPr>
      </w:pPr>
      <w:r>
        <w:rPr>
          <w:rFonts w:hint="eastAsia"/>
          <w:sz w:val="24"/>
        </w:rPr>
        <w:t>（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pPr>
        <w:spacing w:line="400" w:lineRule="exact"/>
        <w:ind w:firstLine="360" w:firstLineChars="150"/>
        <w:rPr>
          <w:sz w:val="24"/>
        </w:rPr>
      </w:pPr>
      <w:r>
        <w:rPr>
          <w:rFonts w:hint="eastAsia"/>
          <w:sz w:val="24"/>
        </w:rPr>
        <w:t>（2）承包人可以得到用于计日工劳务的全部工时的支付，此支付按承包人填报的“计日工劳务单价表”所列单价计算，该单价应包括基本单价及承包人的管理费、税费、利润等所有附加费，说明如下：</w:t>
      </w:r>
    </w:p>
    <w:p>
      <w:pPr>
        <w:spacing w:line="400" w:lineRule="exact"/>
        <w:ind w:firstLine="480" w:firstLineChars="200"/>
        <w:rPr>
          <w:sz w:val="24"/>
        </w:rPr>
      </w:pPr>
      <w:r>
        <w:rPr>
          <w:rFonts w:hint="eastAsia"/>
          <w:sz w:val="24"/>
        </w:rPr>
        <w:t>a.劳务基本单价包括：承包人劳务的全部直接费用，如：工资、加班费、津贴、福利费及劳动保护费等。</w:t>
      </w:r>
    </w:p>
    <w:p>
      <w:pPr>
        <w:spacing w:line="400" w:lineRule="exact"/>
        <w:ind w:firstLine="480" w:firstLineChars="200"/>
        <w:rPr>
          <w:sz w:val="24"/>
        </w:rPr>
      </w:pPr>
      <w:r>
        <w:rPr>
          <w:rFonts w:hint="eastAsia"/>
          <w:sz w:val="24"/>
        </w:rPr>
        <w:t>b.承包人的利润、管理、质检、保险、税费；易耗品的使用、水电及照明费，工作台、脚手架、临时设施费，手动机具与工具的使用及维修，以及上述各项伴随而来的费用。</w:t>
      </w:r>
    </w:p>
    <w:p>
      <w:pPr>
        <w:spacing w:line="400" w:lineRule="exact"/>
        <w:ind w:firstLine="480" w:firstLineChars="200"/>
        <w:rPr>
          <w:sz w:val="24"/>
        </w:rPr>
      </w:pPr>
      <w:r>
        <w:rPr>
          <w:rFonts w:hint="eastAsia"/>
          <w:sz w:val="24"/>
        </w:rPr>
        <w:t>3.3 计日工材料</w:t>
      </w:r>
    </w:p>
    <w:p>
      <w:pPr>
        <w:spacing w:line="400" w:lineRule="exact"/>
        <w:ind w:firstLine="360" w:firstLineChars="150"/>
        <w:rPr>
          <w:sz w:val="24"/>
        </w:rPr>
      </w:pPr>
      <w:r>
        <w:rPr>
          <w:rFonts w:hint="eastAsia"/>
          <w:sz w:val="24"/>
        </w:rPr>
        <w:t>（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spacing w:line="400" w:lineRule="exact"/>
        <w:ind w:firstLine="480" w:firstLineChars="200"/>
        <w:rPr>
          <w:sz w:val="24"/>
        </w:rPr>
      </w:pPr>
      <w:r>
        <w:rPr>
          <w:rFonts w:hint="eastAsia"/>
          <w:sz w:val="24"/>
        </w:rPr>
        <w:t>a．材料基本单价按供货价加运杂费（到达承包人现场仓库）、保险费、仓库管理费以及运输损耗等计算。</w:t>
      </w:r>
    </w:p>
    <w:p>
      <w:pPr>
        <w:spacing w:line="400" w:lineRule="exact"/>
        <w:ind w:firstLine="480" w:firstLineChars="200"/>
        <w:rPr>
          <w:sz w:val="24"/>
        </w:rPr>
      </w:pPr>
      <w:r>
        <w:rPr>
          <w:rFonts w:hint="eastAsia"/>
          <w:sz w:val="24"/>
        </w:rPr>
        <w:t>b. 承包人的利润、管理、质检、保险、税费及其他附加费：</w:t>
      </w:r>
    </w:p>
    <w:p>
      <w:pPr>
        <w:spacing w:line="400" w:lineRule="exact"/>
        <w:ind w:firstLine="480" w:firstLineChars="200"/>
        <w:rPr>
          <w:sz w:val="24"/>
        </w:rPr>
      </w:pPr>
      <w:r>
        <w:rPr>
          <w:rFonts w:hint="eastAsia"/>
          <w:sz w:val="24"/>
        </w:rPr>
        <w:t>c．从现场运至使用地点的人工费和施工机械使用费不包括在上述基本单价内。</w:t>
      </w:r>
    </w:p>
    <w:p>
      <w:pPr>
        <w:spacing w:line="400" w:lineRule="exact"/>
        <w:ind w:firstLine="480" w:firstLineChars="200"/>
        <w:rPr>
          <w:sz w:val="24"/>
        </w:rPr>
      </w:pPr>
      <w:r>
        <w:rPr>
          <w:rFonts w:hint="eastAsia"/>
          <w:sz w:val="24"/>
        </w:rPr>
        <w:t>3.4 计日工施工机械</w:t>
      </w:r>
    </w:p>
    <w:p>
      <w:pPr>
        <w:spacing w:line="400" w:lineRule="exact"/>
        <w:ind w:firstLine="480" w:firstLineChars="200"/>
        <w:rPr>
          <w:sz w:val="24"/>
        </w:rPr>
      </w:pPr>
      <w:r>
        <w:rPr>
          <w:rFonts w:hint="eastAsia"/>
          <w:sz w:val="24"/>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spacing w:line="400" w:lineRule="exact"/>
        <w:ind w:firstLine="480" w:firstLineChars="200"/>
        <w:rPr>
          <w:sz w:val="24"/>
        </w:rPr>
      </w:pPr>
      <w:r>
        <w:rPr>
          <w:rFonts w:hint="eastAsia"/>
          <w:sz w:val="24"/>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spacing w:before="240" w:after="120"/>
        <w:rPr>
          <w:rFonts w:ascii="黑体" w:eastAsia="黑体"/>
          <w:sz w:val="28"/>
          <w:szCs w:val="28"/>
        </w:rPr>
      </w:pPr>
      <w:r>
        <w:rPr>
          <w:rFonts w:hint="eastAsia" w:ascii="黑体" w:eastAsia="黑体"/>
          <w:sz w:val="28"/>
          <w:szCs w:val="28"/>
        </w:rPr>
        <w:t>4．其他说明</w:t>
      </w:r>
    </w:p>
    <w:p>
      <w:pPr>
        <w:spacing w:line="400" w:lineRule="exact"/>
        <w:ind w:firstLine="480" w:firstLineChars="200"/>
        <w:rPr>
          <w:sz w:val="24"/>
        </w:rPr>
      </w:pPr>
      <w:r>
        <w:rPr>
          <w:rFonts w:hint="eastAsia"/>
          <w:sz w:val="24"/>
        </w:rPr>
        <w:t>编制说明：</w:t>
      </w:r>
    </w:p>
    <w:p>
      <w:pPr>
        <w:spacing w:line="400" w:lineRule="exact"/>
        <w:ind w:firstLine="480" w:firstLineChars="200"/>
        <w:rPr>
          <w:sz w:val="24"/>
        </w:rPr>
      </w:pPr>
      <w:r>
        <w:rPr>
          <w:rFonts w:hint="eastAsia"/>
          <w:sz w:val="24"/>
        </w:rPr>
        <w:t>1.施工图设计；</w:t>
      </w:r>
    </w:p>
    <w:p>
      <w:pPr>
        <w:spacing w:before="240" w:after="120"/>
        <w:rPr>
          <w:rFonts w:ascii="黑体" w:eastAsia="黑体"/>
          <w:sz w:val="28"/>
          <w:szCs w:val="28"/>
        </w:rPr>
      </w:pPr>
      <w:r>
        <w:rPr>
          <w:rFonts w:hint="eastAsia" w:ascii="黑体" w:eastAsia="黑体"/>
          <w:sz w:val="28"/>
          <w:szCs w:val="28"/>
        </w:rPr>
        <w:t>5.工程量清单（另附）。</w:t>
      </w:r>
    </w:p>
    <w:p>
      <w:pPr>
        <w:rPr>
          <w:rFonts w:ascii="宋体" w:hAnsi="宋体"/>
          <w:sz w:val="24"/>
        </w:rPr>
      </w:pPr>
    </w:p>
    <w:p>
      <w:pPr>
        <w:rPr>
          <w:rFonts w:ascii="宋体" w:hAnsi="宋体"/>
          <w:sz w:val="24"/>
        </w:rPr>
      </w:pPr>
    </w:p>
    <w:p>
      <w:pPr>
        <w:widowControl/>
        <w:spacing w:line="360" w:lineRule="auto"/>
        <w:ind w:right="714"/>
        <w:jc w:val="center"/>
        <w:rPr>
          <w:rFonts w:ascii="黑体" w:eastAsia="黑体"/>
          <w:bCs/>
          <w:sz w:val="44"/>
          <w:szCs w:val="44"/>
        </w:rPr>
      </w:pPr>
      <w:bookmarkStart w:id="211" w:name="_Toc20155"/>
      <w:r>
        <w:rPr>
          <w:rFonts w:ascii="黑体" w:eastAsia="黑体"/>
          <w:bCs/>
          <w:sz w:val="44"/>
          <w:szCs w:val="44"/>
        </w:rPr>
        <w:br w:type="page"/>
      </w:r>
    </w:p>
    <w:p>
      <w:pPr>
        <w:jc w:val="center"/>
        <w:outlineLvl w:val="0"/>
        <w:rPr>
          <w:rFonts w:ascii="宋体" w:hAnsi="宋体"/>
          <w:bCs/>
          <w:sz w:val="44"/>
          <w:szCs w:val="44"/>
        </w:rPr>
      </w:pPr>
      <w:r>
        <w:rPr>
          <w:rFonts w:ascii="黑体" w:eastAsia="黑体"/>
          <w:bCs/>
          <w:sz w:val="44"/>
          <w:szCs w:val="44"/>
        </w:rPr>
        <w:t>第六章</w:t>
      </w:r>
      <w:r>
        <w:rPr>
          <w:rFonts w:ascii="黑体" w:eastAsia="黑体"/>
          <w:bCs/>
          <w:sz w:val="44"/>
          <w:szCs w:val="44"/>
        </w:rPr>
        <w:tab/>
      </w:r>
      <w:r>
        <w:rPr>
          <w:rFonts w:ascii="黑体" w:eastAsia="黑体"/>
          <w:bCs/>
          <w:sz w:val="44"/>
          <w:szCs w:val="44"/>
        </w:rPr>
        <w:t>图纸</w:t>
      </w:r>
      <w:r>
        <w:rPr>
          <w:rFonts w:hint="eastAsia" w:ascii="黑体" w:eastAsia="黑体"/>
          <w:bCs/>
          <w:sz w:val="44"/>
          <w:szCs w:val="44"/>
        </w:rPr>
        <w:t>（无）</w:t>
      </w:r>
      <w:bookmarkEnd w:id="211"/>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jc w:val="center"/>
        <w:outlineLvl w:val="0"/>
        <w:rPr>
          <w:rFonts w:ascii="黑体" w:eastAsia="黑体"/>
          <w:bCs/>
          <w:sz w:val="44"/>
          <w:szCs w:val="44"/>
        </w:rPr>
      </w:pPr>
      <w:bookmarkStart w:id="212" w:name="_Toc18036"/>
    </w:p>
    <w:p>
      <w:pPr>
        <w:jc w:val="center"/>
        <w:outlineLvl w:val="0"/>
        <w:rPr>
          <w:rFonts w:ascii="黑体" w:eastAsia="黑体"/>
          <w:bCs/>
          <w:sz w:val="44"/>
          <w:szCs w:val="44"/>
        </w:rPr>
      </w:pPr>
      <w:r>
        <w:rPr>
          <w:rFonts w:ascii="黑体" w:eastAsia="黑体"/>
          <w:bCs/>
          <w:sz w:val="44"/>
          <w:szCs w:val="44"/>
        </w:rPr>
        <w:t>第七章</w:t>
      </w:r>
      <w:r>
        <w:rPr>
          <w:rFonts w:ascii="黑体" w:eastAsia="黑体"/>
          <w:bCs/>
          <w:sz w:val="44"/>
          <w:szCs w:val="44"/>
        </w:rPr>
        <w:tab/>
      </w:r>
      <w:r>
        <w:rPr>
          <w:rFonts w:ascii="黑体" w:eastAsia="黑体"/>
          <w:bCs/>
          <w:sz w:val="44"/>
          <w:szCs w:val="44"/>
        </w:rPr>
        <w:t>技术</w:t>
      </w:r>
      <w:r>
        <w:rPr>
          <w:rFonts w:hint="eastAsia" w:ascii="黑体" w:eastAsia="黑体"/>
          <w:bCs/>
          <w:sz w:val="44"/>
          <w:szCs w:val="44"/>
        </w:rPr>
        <w:t>规范（另册）</w:t>
      </w:r>
      <w:bookmarkEnd w:id="212"/>
    </w:p>
    <w:p>
      <w:pPr>
        <w:rPr>
          <w:rFonts w:ascii="宋体" w:hAnsi="宋体"/>
          <w:bCs/>
          <w:sz w:val="44"/>
          <w:szCs w:val="4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widowControl/>
        <w:spacing w:line="360" w:lineRule="auto"/>
        <w:ind w:right="714"/>
        <w:jc w:val="center"/>
        <w:rPr>
          <w:rFonts w:ascii="黑体" w:eastAsia="黑体"/>
          <w:bCs/>
          <w:sz w:val="44"/>
          <w:szCs w:val="44"/>
        </w:rPr>
      </w:pPr>
      <w:r>
        <w:rPr>
          <w:rFonts w:ascii="黑体" w:eastAsia="黑体"/>
          <w:bCs/>
          <w:sz w:val="44"/>
          <w:szCs w:val="44"/>
        </w:rPr>
        <w:br w:type="page"/>
      </w:r>
    </w:p>
    <w:p>
      <w:pPr>
        <w:jc w:val="center"/>
        <w:outlineLvl w:val="0"/>
        <w:rPr>
          <w:rFonts w:ascii="黑体" w:eastAsia="黑体"/>
          <w:bCs/>
          <w:sz w:val="44"/>
          <w:szCs w:val="44"/>
        </w:rPr>
      </w:pPr>
      <w:r>
        <w:rPr>
          <w:rFonts w:ascii="黑体" w:eastAsia="黑体"/>
          <w:bCs/>
          <w:sz w:val="44"/>
          <w:szCs w:val="44"/>
        </w:rPr>
        <w:t>第八章</w:t>
      </w:r>
      <w:r>
        <w:rPr>
          <w:rFonts w:ascii="黑体" w:eastAsia="黑体"/>
          <w:bCs/>
          <w:sz w:val="44"/>
          <w:szCs w:val="44"/>
        </w:rPr>
        <w:tab/>
      </w:r>
      <w:r>
        <w:rPr>
          <w:rFonts w:ascii="黑体" w:eastAsia="黑体"/>
          <w:bCs/>
          <w:sz w:val="44"/>
          <w:szCs w:val="44"/>
        </w:rPr>
        <w:t>投标文件格式</w:t>
      </w:r>
    </w:p>
    <w:p>
      <w:pPr>
        <w:rPr>
          <w:rFonts w:asciiTheme="majorEastAsia" w:hAnsiTheme="majorEastAsia" w:eastAsiaTheme="majorEastAsia"/>
          <w:sz w:val="52"/>
          <w:szCs w:val="52"/>
        </w:rPr>
      </w:pPr>
    </w:p>
    <w:p>
      <w:pPr>
        <w:jc w:val="right"/>
        <w:rPr>
          <w:rFonts w:asciiTheme="majorEastAsia" w:hAnsiTheme="majorEastAsia" w:eastAsiaTheme="majorEastAsia"/>
          <w:sz w:val="24"/>
        </w:rPr>
      </w:pPr>
      <w:r>
        <w:rPr>
          <w:rFonts w:hint="eastAsia" w:asciiTheme="majorEastAsia" w:hAnsiTheme="majorEastAsia" w:eastAsiaTheme="majorEastAsia"/>
          <w:bCs/>
          <w:sz w:val="36"/>
          <w:szCs w:val="36"/>
        </w:rPr>
        <w:t>正（副）本</w:t>
      </w:r>
    </w:p>
    <w:p>
      <w:pPr>
        <w:rPr>
          <w:rFonts w:asciiTheme="majorEastAsia" w:hAnsiTheme="majorEastAsia" w:eastAsiaTheme="majorEastAsia"/>
          <w:bCs/>
          <w:sz w:val="36"/>
          <w:szCs w:val="36"/>
          <w:u w:val="single"/>
        </w:rPr>
      </w:pPr>
      <w:r>
        <w:rPr>
          <w:rFonts w:hint="eastAsia" w:asciiTheme="majorEastAsia" w:hAnsiTheme="majorEastAsia" w:eastAsiaTheme="majorEastAsia"/>
          <w:bCs/>
          <w:sz w:val="52"/>
          <w:szCs w:val="52"/>
          <w:u w:val="single"/>
        </w:rPr>
        <w:t xml:space="preserve">           (项目名称)             </w:t>
      </w:r>
    </w:p>
    <w:p>
      <w:pPr>
        <w:spacing w:line="360" w:lineRule="auto"/>
        <w:rPr>
          <w:rFonts w:asciiTheme="majorEastAsia" w:hAnsiTheme="majorEastAsia" w:eastAsiaTheme="majorEastAsia"/>
          <w:sz w:val="36"/>
          <w:szCs w:val="36"/>
        </w:rPr>
      </w:pPr>
    </w:p>
    <w:p>
      <w:pPr>
        <w:spacing w:line="360" w:lineRule="auto"/>
        <w:jc w:val="center"/>
        <w:rPr>
          <w:rFonts w:asciiTheme="majorEastAsia" w:hAnsiTheme="majorEastAsia" w:eastAsiaTheme="majorEastAsia"/>
          <w:b/>
          <w:sz w:val="52"/>
          <w:szCs w:val="52"/>
        </w:rPr>
      </w:pPr>
      <w:r>
        <w:rPr>
          <w:rFonts w:hint="eastAsia" w:asciiTheme="majorEastAsia" w:hAnsiTheme="majorEastAsia" w:eastAsiaTheme="majorEastAsia"/>
          <w:sz w:val="36"/>
          <w:szCs w:val="36"/>
        </w:rPr>
        <w:t>建安建工公字〔2019〕   号</w:t>
      </w:r>
    </w:p>
    <w:p>
      <w:pPr>
        <w:spacing w:line="360" w:lineRule="auto"/>
        <w:jc w:val="center"/>
        <w:rPr>
          <w:rFonts w:asciiTheme="majorEastAsia" w:hAnsiTheme="majorEastAsia" w:eastAsiaTheme="majorEastAsia"/>
          <w:b/>
          <w:sz w:val="52"/>
          <w:szCs w:val="52"/>
        </w:rPr>
      </w:pPr>
    </w:p>
    <w:p>
      <w:pPr>
        <w:spacing w:line="360" w:lineRule="auto"/>
        <w:jc w:val="center"/>
        <w:rPr>
          <w:rFonts w:asciiTheme="majorEastAsia" w:hAnsiTheme="majorEastAsia" w:eastAsiaTheme="majorEastAsia"/>
          <w:b/>
          <w:sz w:val="72"/>
          <w:szCs w:val="72"/>
        </w:rPr>
      </w:pPr>
      <w:r>
        <w:rPr>
          <w:rFonts w:hint="eastAsia" w:asciiTheme="majorEastAsia" w:hAnsiTheme="majorEastAsia" w:eastAsiaTheme="majorEastAsia"/>
          <w:b/>
          <w:sz w:val="72"/>
          <w:szCs w:val="72"/>
        </w:rPr>
        <w:t>投 标 文 件</w:t>
      </w:r>
    </w:p>
    <w:p>
      <w:pPr>
        <w:spacing w:line="360" w:lineRule="auto"/>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第一信封</w:t>
      </w:r>
    </w:p>
    <w:p>
      <w:pPr>
        <w:spacing w:line="360" w:lineRule="auto"/>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（商务及技术文件）</w:t>
      </w:r>
    </w:p>
    <w:p>
      <w:pPr>
        <w:spacing w:line="360" w:lineRule="auto"/>
        <w:rPr>
          <w:rFonts w:asciiTheme="majorEastAsia" w:hAnsiTheme="majorEastAsia" w:eastAsiaTheme="majorEastAsia"/>
          <w:b/>
          <w:sz w:val="32"/>
          <w:szCs w:val="32"/>
        </w:rPr>
      </w:pPr>
    </w:p>
    <w:p>
      <w:pPr>
        <w:spacing w:line="360" w:lineRule="auto"/>
        <w:rPr>
          <w:rFonts w:asciiTheme="majorEastAsia" w:hAnsiTheme="majorEastAsia" w:eastAsiaTheme="majorEastAsia"/>
          <w:b/>
          <w:sz w:val="32"/>
          <w:szCs w:val="32"/>
        </w:rPr>
      </w:pPr>
    </w:p>
    <w:p>
      <w:pPr>
        <w:spacing w:line="360" w:lineRule="auto"/>
        <w:rPr>
          <w:rFonts w:asciiTheme="majorEastAsia" w:hAnsiTheme="majorEastAsia" w:eastAsiaTheme="majorEastAsia"/>
          <w:b/>
          <w:sz w:val="32"/>
          <w:szCs w:val="32"/>
        </w:rPr>
      </w:pPr>
    </w:p>
    <w:p>
      <w:pPr>
        <w:spacing w:line="360" w:lineRule="auto"/>
        <w:rPr>
          <w:rFonts w:asciiTheme="majorEastAsia" w:hAnsiTheme="majorEastAsia" w:eastAsiaTheme="majorEastAsia"/>
          <w:b/>
          <w:sz w:val="32"/>
          <w:szCs w:val="32"/>
        </w:rPr>
      </w:pPr>
    </w:p>
    <w:p>
      <w:pPr>
        <w:spacing w:line="360" w:lineRule="auto"/>
        <w:rPr>
          <w:rFonts w:asciiTheme="majorEastAsia" w:hAnsiTheme="majorEastAsia" w:eastAsiaTheme="majorEastAsia"/>
          <w:b/>
          <w:sz w:val="32"/>
          <w:szCs w:val="32"/>
        </w:rPr>
      </w:pPr>
    </w:p>
    <w:p>
      <w:pPr>
        <w:spacing w:line="800" w:lineRule="exact"/>
        <w:ind w:firstLine="1590" w:firstLineChars="495"/>
        <w:rPr>
          <w:rFonts w:asciiTheme="majorEastAsia" w:hAnsiTheme="majorEastAsia" w:eastAsiaTheme="majorEastAsia"/>
          <w:b/>
          <w:sz w:val="32"/>
          <w:szCs w:val="32"/>
        </w:rPr>
      </w:pPr>
      <w:r>
        <w:rPr>
          <w:rFonts w:hint="eastAsia" w:asciiTheme="majorEastAsia" w:hAnsiTheme="majorEastAsia" w:eastAsiaTheme="majorEastAsia"/>
          <w:b/>
          <w:sz w:val="32"/>
          <w:szCs w:val="32"/>
        </w:rPr>
        <w:t>投  标  人：</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（盖单位章）</w:t>
      </w:r>
    </w:p>
    <w:p>
      <w:pPr>
        <w:spacing w:line="800" w:lineRule="exact"/>
        <w:ind w:firstLine="1590" w:firstLineChars="495"/>
        <w:rPr>
          <w:rFonts w:asciiTheme="majorEastAsia" w:hAnsiTheme="majorEastAsia" w:eastAsiaTheme="majorEastAsia"/>
          <w:b/>
          <w:sz w:val="32"/>
          <w:szCs w:val="32"/>
        </w:rPr>
      </w:pPr>
      <w:r>
        <w:rPr>
          <w:rFonts w:hint="eastAsia" w:asciiTheme="majorEastAsia" w:hAnsiTheme="majorEastAsia" w:eastAsiaTheme="majorEastAsia"/>
          <w:b/>
          <w:sz w:val="32"/>
          <w:szCs w:val="32"/>
        </w:rPr>
        <w:t>法定代表人或其委托代理人：</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（签字）</w:t>
      </w:r>
    </w:p>
    <w:p>
      <w:pPr>
        <w:spacing w:line="800" w:lineRule="exact"/>
        <w:ind w:firstLine="1590" w:firstLineChars="495"/>
        <w:rPr>
          <w:rFonts w:asciiTheme="majorEastAsia" w:hAnsiTheme="majorEastAsia" w:eastAsiaTheme="majorEastAsia"/>
          <w:b/>
          <w:sz w:val="32"/>
          <w:szCs w:val="32"/>
        </w:rPr>
      </w:pPr>
      <w:r>
        <w:rPr>
          <w:rFonts w:hint="eastAsia" w:asciiTheme="majorEastAsia" w:hAnsiTheme="majorEastAsia" w:eastAsiaTheme="majorEastAsia"/>
          <w:b/>
          <w:sz w:val="32"/>
          <w:szCs w:val="32"/>
        </w:rPr>
        <w:t>日      期：</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年</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月</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日</w:t>
      </w:r>
    </w:p>
    <w:p>
      <w:pPr>
        <w:jc w:val="center"/>
        <w:rPr>
          <w:rFonts w:ascii="黑体" w:hAnsi="宋体" w:eastAsia="黑体"/>
          <w:b/>
          <w:sz w:val="36"/>
          <w:szCs w:val="36"/>
        </w:rPr>
      </w:pPr>
    </w:p>
    <w:p>
      <w:pPr>
        <w:pageBreakBefore/>
        <w:jc w:val="center"/>
        <w:rPr>
          <w:rFonts w:ascii="黑体" w:hAnsi="宋体" w:eastAsia="黑体"/>
          <w:b/>
          <w:sz w:val="36"/>
          <w:szCs w:val="36"/>
        </w:rPr>
      </w:pPr>
      <w:r>
        <w:rPr>
          <w:rFonts w:hint="eastAsia" w:ascii="黑体" w:hAnsi="宋体" w:eastAsia="黑体"/>
          <w:b/>
          <w:sz w:val="36"/>
          <w:szCs w:val="36"/>
        </w:rPr>
        <w:t xml:space="preserve">目 </w:t>
      </w:r>
      <w:r>
        <w:rPr>
          <w:rFonts w:hint="eastAsia" w:ascii="黑体" w:hAnsi="宋体" w:eastAsia="黑体"/>
          <w:b/>
          <w:sz w:val="36"/>
          <w:szCs w:val="36"/>
        </w:rPr>
        <w:tab/>
      </w:r>
      <w:r>
        <w:rPr>
          <w:rFonts w:hint="eastAsia" w:ascii="黑体" w:hAnsi="宋体" w:eastAsia="黑体"/>
          <w:b/>
          <w:sz w:val="36"/>
          <w:szCs w:val="36"/>
        </w:rPr>
        <w:t>录</w:t>
      </w:r>
    </w:p>
    <w:p>
      <w:pPr>
        <w:rPr>
          <w:rFonts w:ascii="宋体" w:hAnsi="宋体"/>
          <w:sz w:val="24"/>
        </w:rPr>
      </w:pPr>
    </w:p>
    <w:p>
      <w:pPr>
        <w:spacing w:line="480" w:lineRule="auto"/>
        <w:ind w:firstLine="700" w:firstLineChars="250"/>
        <w:rPr>
          <w:rFonts w:ascii="宋体" w:hAnsi="宋体"/>
          <w:sz w:val="28"/>
          <w:szCs w:val="28"/>
        </w:rPr>
      </w:pPr>
      <w:r>
        <w:rPr>
          <w:rFonts w:hint="eastAsia" w:ascii="宋体" w:hAnsi="宋体"/>
          <w:sz w:val="28"/>
          <w:szCs w:val="28"/>
        </w:rPr>
        <w:t>一、</w:t>
      </w:r>
      <w:r>
        <w:rPr>
          <w:rFonts w:ascii="宋体" w:hAnsi="宋体"/>
          <w:sz w:val="28"/>
          <w:szCs w:val="28"/>
        </w:rPr>
        <w:t>投标函及投标函附录；</w:t>
      </w:r>
    </w:p>
    <w:p>
      <w:pPr>
        <w:spacing w:line="480" w:lineRule="auto"/>
        <w:ind w:firstLine="700" w:firstLineChars="250"/>
        <w:rPr>
          <w:rFonts w:ascii="宋体" w:hAnsi="宋体"/>
          <w:sz w:val="28"/>
          <w:szCs w:val="28"/>
        </w:rPr>
      </w:pPr>
      <w:r>
        <w:rPr>
          <w:rFonts w:hint="eastAsia" w:ascii="宋体" w:hAnsi="宋体"/>
          <w:sz w:val="28"/>
          <w:szCs w:val="28"/>
        </w:rPr>
        <w:t>二、</w:t>
      </w:r>
      <w:r>
        <w:rPr>
          <w:rFonts w:ascii="宋体" w:hAnsi="宋体"/>
          <w:sz w:val="28"/>
          <w:szCs w:val="28"/>
        </w:rPr>
        <w:t>法定代表人身份证明</w:t>
      </w:r>
      <w:r>
        <w:rPr>
          <w:rFonts w:hint="eastAsia" w:ascii="宋体" w:hAnsi="宋体"/>
          <w:sz w:val="28"/>
          <w:szCs w:val="28"/>
        </w:rPr>
        <w:t>及</w:t>
      </w:r>
      <w:r>
        <w:rPr>
          <w:rFonts w:ascii="宋体" w:hAnsi="宋体"/>
          <w:sz w:val="28"/>
          <w:szCs w:val="28"/>
        </w:rPr>
        <w:t>授权委托书</w:t>
      </w:r>
      <w:r>
        <w:rPr>
          <w:rFonts w:hint="eastAsia" w:ascii="宋体" w:hAnsi="宋体"/>
          <w:sz w:val="28"/>
          <w:szCs w:val="28"/>
        </w:rPr>
        <w:t>；</w:t>
      </w:r>
    </w:p>
    <w:p>
      <w:pPr>
        <w:spacing w:line="480" w:lineRule="auto"/>
        <w:ind w:firstLine="700" w:firstLineChars="250"/>
        <w:rPr>
          <w:rFonts w:ascii="宋体" w:hAnsi="宋体"/>
          <w:sz w:val="28"/>
          <w:szCs w:val="28"/>
        </w:rPr>
      </w:pPr>
      <w:r>
        <w:rPr>
          <w:rFonts w:hint="eastAsia" w:ascii="宋体" w:hAnsi="宋体"/>
          <w:sz w:val="28"/>
          <w:szCs w:val="28"/>
        </w:rPr>
        <w:t>三、</w:t>
      </w:r>
      <w:r>
        <w:rPr>
          <w:rFonts w:ascii="宋体" w:hAnsi="宋体"/>
          <w:sz w:val="28"/>
          <w:szCs w:val="28"/>
        </w:rPr>
        <w:t>投标保证金；</w:t>
      </w:r>
    </w:p>
    <w:p>
      <w:pPr>
        <w:spacing w:line="480" w:lineRule="auto"/>
        <w:ind w:firstLine="700" w:firstLineChars="250"/>
        <w:rPr>
          <w:rFonts w:ascii="宋体" w:hAnsi="宋体"/>
          <w:sz w:val="28"/>
          <w:szCs w:val="28"/>
        </w:rPr>
      </w:pPr>
      <w:r>
        <w:rPr>
          <w:rFonts w:hint="eastAsia" w:ascii="宋体" w:hAnsi="宋体"/>
          <w:sz w:val="28"/>
          <w:szCs w:val="28"/>
        </w:rPr>
        <w:t>四、</w:t>
      </w:r>
      <w:r>
        <w:rPr>
          <w:rFonts w:ascii="宋体" w:hAnsi="宋体"/>
          <w:sz w:val="28"/>
          <w:szCs w:val="28"/>
        </w:rPr>
        <w:t>施工组织设计；</w:t>
      </w:r>
    </w:p>
    <w:p>
      <w:pPr>
        <w:spacing w:line="480" w:lineRule="auto"/>
        <w:ind w:firstLine="700" w:firstLineChars="250"/>
        <w:rPr>
          <w:rFonts w:ascii="宋体" w:hAnsi="宋体"/>
          <w:sz w:val="28"/>
          <w:szCs w:val="28"/>
        </w:rPr>
      </w:pPr>
      <w:r>
        <w:rPr>
          <w:rFonts w:hint="eastAsia" w:ascii="宋体" w:hAnsi="宋体"/>
          <w:sz w:val="28"/>
          <w:szCs w:val="28"/>
        </w:rPr>
        <w:t>五、</w:t>
      </w:r>
      <w:r>
        <w:rPr>
          <w:rFonts w:ascii="宋体" w:hAnsi="宋体"/>
          <w:sz w:val="28"/>
          <w:szCs w:val="28"/>
        </w:rPr>
        <w:t>项目管理机构；</w:t>
      </w:r>
    </w:p>
    <w:p>
      <w:pPr>
        <w:spacing w:line="480" w:lineRule="auto"/>
        <w:ind w:firstLine="700" w:firstLineChars="250"/>
        <w:rPr>
          <w:rFonts w:ascii="宋体" w:hAnsi="宋体"/>
          <w:sz w:val="28"/>
          <w:szCs w:val="28"/>
        </w:rPr>
      </w:pPr>
      <w:r>
        <w:rPr>
          <w:rFonts w:hint="eastAsia" w:ascii="宋体" w:hAnsi="宋体"/>
          <w:sz w:val="28"/>
          <w:szCs w:val="28"/>
        </w:rPr>
        <w:t>六、</w:t>
      </w:r>
      <w:r>
        <w:rPr>
          <w:rFonts w:ascii="宋体" w:hAnsi="宋体"/>
          <w:sz w:val="28"/>
          <w:szCs w:val="28"/>
        </w:rPr>
        <w:t>资格审查资料；</w:t>
      </w:r>
    </w:p>
    <w:p>
      <w:pPr>
        <w:spacing w:line="480" w:lineRule="auto"/>
        <w:ind w:firstLine="700" w:firstLineChars="250"/>
        <w:rPr>
          <w:rFonts w:ascii="宋体" w:hAnsi="宋体"/>
          <w:sz w:val="28"/>
          <w:szCs w:val="28"/>
        </w:rPr>
      </w:pPr>
      <w:r>
        <w:rPr>
          <w:rFonts w:hint="eastAsia" w:ascii="宋体" w:hAnsi="宋体"/>
          <w:sz w:val="28"/>
          <w:szCs w:val="28"/>
        </w:rPr>
        <w:t>七、主要进场管理人员和技术人员最低要求；</w:t>
      </w:r>
    </w:p>
    <w:p>
      <w:pPr>
        <w:spacing w:line="480" w:lineRule="auto"/>
        <w:ind w:firstLine="700" w:firstLineChars="250"/>
        <w:rPr>
          <w:rFonts w:ascii="宋体" w:hAnsi="宋体"/>
          <w:sz w:val="28"/>
          <w:szCs w:val="28"/>
        </w:rPr>
      </w:pPr>
      <w:r>
        <w:rPr>
          <w:rFonts w:hint="eastAsia" w:ascii="宋体" w:hAnsi="宋体"/>
          <w:sz w:val="28"/>
          <w:szCs w:val="28"/>
        </w:rPr>
        <w:t>八、农民工工资支付承诺书；</w:t>
      </w:r>
    </w:p>
    <w:p>
      <w:pPr>
        <w:spacing w:line="480" w:lineRule="auto"/>
        <w:ind w:firstLine="700" w:firstLineChars="250"/>
        <w:rPr>
          <w:rFonts w:ascii="宋体" w:hAnsi="宋体"/>
          <w:sz w:val="28"/>
          <w:szCs w:val="28"/>
        </w:rPr>
      </w:pPr>
      <w:r>
        <w:rPr>
          <w:rFonts w:hint="eastAsia" w:ascii="宋体" w:hAnsi="宋体"/>
          <w:sz w:val="28"/>
          <w:szCs w:val="28"/>
        </w:rPr>
        <w:t>九、扬尘治理专项承诺书；</w:t>
      </w:r>
    </w:p>
    <w:p>
      <w:pPr>
        <w:spacing w:line="480" w:lineRule="auto"/>
        <w:ind w:firstLine="700" w:firstLineChars="250"/>
        <w:rPr>
          <w:rFonts w:ascii="宋体" w:hAnsi="宋体"/>
          <w:sz w:val="28"/>
          <w:szCs w:val="28"/>
        </w:rPr>
      </w:pPr>
      <w:r>
        <w:rPr>
          <w:rFonts w:hint="eastAsia" w:ascii="宋体" w:hAnsi="宋体"/>
          <w:sz w:val="28"/>
          <w:szCs w:val="28"/>
        </w:rPr>
        <w:t>十、其他材料。</w:t>
      </w:r>
    </w:p>
    <w:p>
      <w:pPr>
        <w:spacing w:line="440" w:lineRule="exact"/>
        <w:rPr>
          <w:rFonts w:ascii="宋体" w:hAnsi="宋体"/>
          <w:sz w:val="24"/>
        </w:rPr>
      </w:pPr>
    </w:p>
    <w:p>
      <w:pPr>
        <w:rPr>
          <w:rFonts w:ascii="黑体" w:hAnsi="宋体" w:eastAsia="黑体"/>
          <w:b/>
          <w:sz w:val="36"/>
          <w:szCs w:val="36"/>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pStyle w:val="4"/>
        <w:spacing w:beforeLines="50" w:after="0" w:line="360" w:lineRule="exact"/>
        <w:jc w:val="center"/>
        <w:rPr>
          <w:rFonts w:ascii="黑体" w:hAnsi="宋体" w:eastAsia="黑体"/>
          <w:sz w:val="28"/>
          <w:szCs w:val="28"/>
        </w:rPr>
      </w:pPr>
      <w:bookmarkStart w:id="213" w:name="_Toc485889055"/>
      <w:bookmarkStart w:id="214" w:name="_Toc234382957"/>
      <w:bookmarkStart w:id="215" w:name="_Toc486277922"/>
      <w:bookmarkStart w:id="216" w:name="_Toc4791"/>
      <w:r>
        <w:rPr>
          <w:rFonts w:hint="eastAsia" w:ascii="黑体" w:hAnsi="宋体" w:eastAsia="黑体"/>
          <w:sz w:val="28"/>
          <w:szCs w:val="28"/>
        </w:rPr>
        <w:t>一、投标函及投标函附录</w:t>
      </w:r>
      <w:bookmarkEnd w:id="213"/>
      <w:bookmarkEnd w:id="214"/>
      <w:bookmarkEnd w:id="215"/>
      <w:bookmarkEnd w:id="216"/>
    </w:p>
    <w:p>
      <w:pPr>
        <w:pStyle w:val="4"/>
        <w:spacing w:beforeLines="50" w:after="0" w:line="360" w:lineRule="exact"/>
        <w:jc w:val="center"/>
        <w:rPr>
          <w:rFonts w:ascii="黑体" w:hAnsi="宋体" w:eastAsia="黑体"/>
          <w:sz w:val="28"/>
          <w:szCs w:val="28"/>
        </w:rPr>
      </w:pPr>
      <w:bookmarkStart w:id="217" w:name="_Toc485889056"/>
      <w:bookmarkStart w:id="218" w:name="_Toc234382958"/>
      <w:bookmarkStart w:id="219" w:name="_Toc486277923"/>
      <w:bookmarkStart w:id="220" w:name="_Toc18643"/>
      <w:r>
        <w:rPr>
          <w:rFonts w:hint="eastAsia" w:ascii="黑体" w:hAnsi="宋体" w:eastAsia="黑体"/>
          <w:sz w:val="28"/>
          <w:szCs w:val="28"/>
        </w:rPr>
        <w:t>（一）投标函</w:t>
      </w:r>
      <w:bookmarkEnd w:id="217"/>
      <w:bookmarkEnd w:id="218"/>
      <w:bookmarkEnd w:id="219"/>
      <w:bookmarkEnd w:id="220"/>
    </w:p>
    <w:p>
      <w:pPr>
        <w:spacing w:line="360" w:lineRule="auto"/>
        <w:rPr>
          <w:rFonts w:ascii="宋体" w:hAnsi="宋体"/>
          <w:sz w:val="24"/>
        </w:rPr>
      </w:pPr>
      <w:r>
        <w:rPr>
          <w:rFonts w:hint="eastAsia" w:ascii="宋体" w:hAnsi="宋体"/>
          <w:sz w:val="24"/>
        </w:rPr>
        <w:t>___________</w:t>
      </w:r>
      <w:r>
        <w:rPr>
          <w:rFonts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___________________________________(项目名称)施工招标文件的全部内容(含补遗书第___号至第___号)，在考察工程现场后，愿意以第二个信封（报价文件）中的投标总报价(或根据招标文件规定修正核实后确定的另一金额)，工期______日历天，按合同约定实施和完成承包工程，修补工程中的任何缺陷，工程质量达到_________，安全目标达到_________</w:t>
      </w:r>
      <w:r>
        <w:rPr>
          <w:rFonts w:hint="eastAsia" w:ascii="宋体" w:hAnsi="宋体"/>
          <w:sz w:val="24"/>
          <w:lang w:eastAsia="zh-CN"/>
        </w:rPr>
        <w:t>，</w:t>
      </w:r>
      <w:r>
        <w:rPr>
          <w:rFonts w:hint="eastAsia" w:ascii="宋体" w:hAnsi="宋体"/>
          <w:sz w:val="24"/>
          <w:lang w:val="en-US" w:eastAsia="zh-CN"/>
        </w:rPr>
        <w:t>项目经理</w:t>
      </w:r>
      <w:r>
        <w:rPr>
          <w:rFonts w:hint="eastAsia" w:ascii="宋体" w:hAnsi="宋体"/>
          <w:sz w:val="24"/>
          <w:u w:val="single"/>
          <w:lang w:val="en-US" w:eastAsia="zh-CN"/>
        </w:rPr>
        <w:t xml:space="preserve">          。</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我方承诺在投标有效期内不修改、撤销</w:t>
      </w:r>
      <w:bookmarkStart w:id="294" w:name="_GoBack"/>
      <w:bookmarkEnd w:id="294"/>
      <w:r>
        <w:rPr>
          <w:rFonts w:ascii="宋体" w:hAnsi="宋体"/>
          <w:sz w:val="24"/>
        </w:rPr>
        <w:t>投标文件。</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随同本投标函提交投标保证金一份，金额为人民币（大写）</w:t>
      </w:r>
      <w:r>
        <w:rPr>
          <w:rFonts w:hint="eastAsia" w:ascii="宋体" w:hAnsi="宋体"/>
          <w:sz w:val="24"/>
          <w:u w:val="single"/>
        </w:rPr>
        <w:t xml:space="preserve">       </w:t>
      </w:r>
      <w:r>
        <w:rPr>
          <w:rFonts w:ascii="宋体" w:hAnsi="宋体"/>
          <w:sz w:val="24"/>
        </w:rPr>
        <w:t>元（¥</w:t>
      </w:r>
      <w:r>
        <w:rPr>
          <w:rFonts w:hint="eastAsia" w:ascii="宋体" w:hAnsi="宋体"/>
          <w:sz w:val="24"/>
          <w:u w:val="single"/>
        </w:rPr>
        <w:t xml:space="preserve">      </w:t>
      </w:r>
      <w:r>
        <w:rPr>
          <w:rFonts w:ascii="宋体" w:hAnsi="宋体"/>
          <w:sz w:val="24"/>
        </w:rPr>
        <w:t>）。</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如我方中标：</w:t>
      </w:r>
    </w:p>
    <w:p>
      <w:pPr>
        <w:spacing w:line="360" w:lineRule="auto"/>
        <w:ind w:firstLine="480" w:firstLineChars="200"/>
        <w:rPr>
          <w:rFonts w:ascii="宋体" w:hAnsi="宋体"/>
          <w:sz w:val="24"/>
        </w:rPr>
      </w:pPr>
      <w:r>
        <w:rPr>
          <w:rFonts w:ascii="宋体" w:hAnsi="宋体"/>
          <w:sz w:val="24"/>
        </w:rPr>
        <w:t>（1）我方承诺在收到中标通知书后，在中标通知书规定的期限内与你方签订合同。</w:t>
      </w:r>
    </w:p>
    <w:p>
      <w:pPr>
        <w:spacing w:line="360" w:lineRule="auto"/>
        <w:ind w:firstLine="480" w:firstLineChars="200"/>
        <w:rPr>
          <w:rFonts w:ascii="宋体" w:hAnsi="宋体"/>
          <w:sz w:val="24"/>
        </w:rPr>
      </w:pPr>
      <w:r>
        <w:rPr>
          <w:rFonts w:ascii="宋体" w:hAnsi="宋体"/>
          <w:sz w:val="24"/>
        </w:rPr>
        <w:t>（2）随同本投标函递交的投标函附录属于合同文件的组成部分。</w:t>
      </w:r>
    </w:p>
    <w:p>
      <w:pPr>
        <w:spacing w:line="360" w:lineRule="auto"/>
        <w:ind w:firstLine="480" w:firstLineChars="200"/>
        <w:rPr>
          <w:rFonts w:ascii="宋体" w:hAnsi="宋体"/>
          <w:sz w:val="24"/>
        </w:rPr>
      </w:pPr>
      <w:r>
        <w:rPr>
          <w:rFonts w:ascii="宋体" w:hAnsi="宋体"/>
          <w:sz w:val="24"/>
        </w:rPr>
        <w:t>（3）我方承诺按照招标文件规定向你方递交履约担保。</w:t>
      </w:r>
    </w:p>
    <w:p>
      <w:pPr>
        <w:spacing w:line="360" w:lineRule="auto"/>
        <w:ind w:firstLine="480" w:firstLineChars="200"/>
        <w:rPr>
          <w:rFonts w:ascii="宋体" w:hAnsi="宋体"/>
          <w:sz w:val="24"/>
        </w:rPr>
      </w:pPr>
      <w:r>
        <w:rPr>
          <w:rFonts w:ascii="宋体" w:hAnsi="宋体"/>
          <w:sz w:val="24"/>
        </w:rPr>
        <w:t>（4）我方承诺在合同约定的期限内完成并移交全部合同工程。</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我方在此声明，所递交的投标文件及有关资料内容完整、真实和准确，且不存在第二章“投标人须知”第1.4.3项规定的任何一种情形。</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.在合同协议书正式签署生效之前，本投标函连同你方的中标通知书将构成我们双方之间共同遵守的文件，对双方具有约束力。</w:t>
      </w:r>
    </w:p>
    <w:p>
      <w:pPr>
        <w:spacing w:line="360" w:lineRule="auto"/>
        <w:ind w:firstLine="480" w:firstLineChars="200"/>
        <w:rPr>
          <w:rFonts w:ascii="宋体" w:hAnsi="宋体"/>
          <w:sz w:val="24"/>
        </w:rPr>
      </w:pPr>
      <w:r>
        <w:rPr>
          <w:rFonts w:hint="eastAsia" w:ascii="宋体" w:hAnsi="宋体"/>
          <w:sz w:val="24"/>
        </w:rPr>
        <w:t>7.</w:t>
      </w:r>
      <w:r>
        <w:rPr>
          <w:rFonts w:ascii="宋体" w:hAnsi="宋体"/>
          <w:sz w:val="24"/>
        </w:rPr>
        <w:t>（其他补充说明）。</w:t>
      </w:r>
    </w:p>
    <w:p>
      <w:pPr>
        <w:spacing w:line="360" w:lineRule="exact"/>
        <w:rPr>
          <w:rFonts w:ascii="宋体" w:hAnsi="宋体"/>
          <w:sz w:val="18"/>
          <w:szCs w:val="18"/>
        </w:rPr>
      </w:pPr>
    </w:p>
    <w:p>
      <w:pPr>
        <w:tabs>
          <w:tab w:val="left" w:pos="2977"/>
          <w:tab w:val="left" w:pos="3261"/>
        </w:tabs>
        <w:spacing w:line="360" w:lineRule="auto"/>
        <w:ind w:firstLine="2760" w:firstLineChars="1150"/>
        <w:rPr>
          <w:rFonts w:ascii="宋体" w:hAnsi="宋体"/>
          <w:sz w:val="24"/>
          <w:u w:val="single"/>
        </w:rPr>
      </w:pPr>
      <w:r>
        <w:rPr>
          <w:rFonts w:ascii="宋体" w:hAnsi="宋体"/>
          <w:sz w:val="24"/>
        </w:rPr>
        <w:t>投标人：</w:t>
      </w:r>
      <w:r>
        <w:rPr>
          <w:rFonts w:hint="eastAsia" w:ascii="宋体" w:hAnsi="宋体"/>
          <w:sz w:val="24"/>
          <w:u w:val="single"/>
        </w:rPr>
        <w:t xml:space="preserve">                  </w:t>
      </w:r>
      <w:r>
        <w:rPr>
          <w:rFonts w:ascii="宋体" w:hAnsi="宋体"/>
          <w:sz w:val="24"/>
        </w:rPr>
        <w:t>（盖单位章）</w:t>
      </w:r>
    </w:p>
    <w:p>
      <w:pPr>
        <w:spacing w:line="360" w:lineRule="auto"/>
        <w:ind w:firstLine="2760" w:firstLineChars="1150"/>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360" w:lineRule="auto"/>
        <w:ind w:firstLine="2760" w:firstLineChars="1150"/>
        <w:rPr>
          <w:rFonts w:ascii="宋体" w:hAnsi="宋体"/>
          <w:sz w:val="24"/>
        </w:rPr>
      </w:pPr>
      <w:r>
        <w:rPr>
          <w:rFonts w:ascii="宋体" w:hAnsi="宋体"/>
          <w:sz w:val="24"/>
        </w:rPr>
        <w:t>地址：</w:t>
      </w:r>
      <w:r>
        <w:rPr>
          <w:rFonts w:hint="eastAsia" w:ascii="宋体" w:hAnsi="宋体"/>
          <w:sz w:val="24"/>
        </w:rPr>
        <w:t>____________________________</w:t>
      </w:r>
      <w:r>
        <w:rPr>
          <w:rFonts w:hint="eastAsia" w:ascii="宋体" w:hAnsi="宋体"/>
          <w:sz w:val="24"/>
          <w:u w:val="single"/>
        </w:rPr>
        <w:t xml:space="preserve">   </w:t>
      </w:r>
    </w:p>
    <w:p>
      <w:pPr>
        <w:spacing w:line="360" w:lineRule="auto"/>
        <w:ind w:firstLine="2760" w:firstLineChars="1150"/>
        <w:rPr>
          <w:rFonts w:ascii="宋体" w:hAnsi="宋体"/>
          <w:sz w:val="24"/>
        </w:rPr>
      </w:pPr>
      <w:r>
        <w:rPr>
          <w:rFonts w:ascii="宋体" w:hAnsi="宋体"/>
          <w:sz w:val="24"/>
        </w:rPr>
        <w:t>网址：</w:t>
      </w:r>
      <w:r>
        <w:rPr>
          <w:rFonts w:hint="eastAsia" w:ascii="宋体" w:hAnsi="宋体"/>
          <w:sz w:val="24"/>
        </w:rPr>
        <w:t>____________________________</w:t>
      </w:r>
      <w:r>
        <w:rPr>
          <w:rFonts w:hint="eastAsia" w:ascii="宋体" w:hAnsi="宋体"/>
          <w:sz w:val="24"/>
          <w:u w:val="single"/>
        </w:rPr>
        <w:t xml:space="preserve">   </w:t>
      </w:r>
    </w:p>
    <w:p>
      <w:pPr>
        <w:spacing w:line="360" w:lineRule="auto"/>
        <w:ind w:firstLine="2760" w:firstLineChars="1150"/>
        <w:rPr>
          <w:rFonts w:ascii="宋体" w:hAnsi="宋体"/>
          <w:sz w:val="24"/>
        </w:rPr>
      </w:pPr>
      <w:r>
        <w:rPr>
          <w:rFonts w:ascii="宋体" w:hAnsi="宋体"/>
          <w:sz w:val="24"/>
        </w:rPr>
        <w:t>电话：</w:t>
      </w:r>
      <w:r>
        <w:rPr>
          <w:rFonts w:hint="eastAsia" w:ascii="宋体" w:hAnsi="宋体"/>
          <w:sz w:val="24"/>
        </w:rPr>
        <w:t>____________________________</w:t>
      </w:r>
      <w:r>
        <w:rPr>
          <w:rFonts w:hint="eastAsia" w:ascii="宋体" w:hAnsi="宋体"/>
          <w:sz w:val="24"/>
          <w:u w:val="single"/>
        </w:rPr>
        <w:t xml:space="preserve">   </w:t>
      </w:r>
    </w:p>
    <w:p>
      <w:pPr>
        <w:spacing w:line="360" w:lineRule="auto"/>
        <w:ind w:firstLine="2760" w:firstLineChars="1150"/>
        <w:rPr>
          <w:rFonts w:ascii="宋体" w:hAnsi="宋体"/>
          <w:sz w:val="24"/>
        </w:rPr>
      </w:pPr>
      <w:r>
        <w:rPr>
          <w:rFonts w:ascii="宋体" w:hAnsi="宋体"/>
          <w:sz w:val="24"/>
        </w:rPr>
        <w:t>传真：</w:t>
      </w:r>
      <w:r>
        <w:rPr>
          <w:rFonts w:hint="eastAsia" w:ascii="宋体" w:hAnsi="宋体"/>
          <w:sz w:val="24"/>
        </w:rPr>
        <w:t>____________________________</w:t>
      </w:r>
      <w:r>
        <w:rPr>
          <w:rFonts w:hint="eastAsia" w:ascii="宋体" w:hAnsi="宋体"/>
          <w:sz w:val="24"/>
          <w:u w:val="single"/>
        </w:rPr>
        <w:t xml:space="preserve">   </w:t>
      </w:r>
    </w:p>
    <w:p>
      <w:pPr>
        <w:spacing w:line="360" w:lineRule="auto"/>
        <w:ind w:firstLine="2760" w:firstLineChars="1150"/>
        <w:rPr>
          <w:rFonts w:ascii="宋体" w:hAnsi="宋体"/>
          <w:sz w:val="24"/>
        </w:rPr>
      </w:pPr>
      <w:r>
        <w:rPr>
          <w:rFonts w:ascii="宋体" w:hAnsi="宋体"/>
          <w:sz w:val="24"/>
        </w:rPr>
        <w:t>邮政编码：</w:t>
      </w:r>
      <w:r>
        <w:rPr>
          <w:rFonts w:hint="eastAsia" w:ascii="宋体" w:hAnsi="宋体"/>
          <w:sz w:val="24"/>
        </w:rPr>
        <w:t>________________________</w:t>
      </w:r>
      <w:r>
        <w:rPr>
          <w:rFonts w:hint="eastAsia" w:ascii="宋体" w:hAnsi="宋体"/>
          <w:sz w:val="24"/>
          <w:u w:val="single"/>
        </w:rPr>
        <w:t xml:space="preserve">   </w:t>
      </w:r>
    </w:p>
    <w:p>
      <w:pPr>
        <w:spacing w:line="360" w:lineRule="auto"/>
        <w:ind w:firstLine="2760" w:firstLineChars="1150"/>
        <w:rPr>
          <w:rFonts w:ascii="宋体" w:hAnsi="宋体"/>
          <w:sz w:val="24"/>
        </w:rPr>
      </w:pPr>
      <w:r>
        <w:rPr>
          <w:rFonts w:hint="eastAsia" w:ascii="宋体" w:hAnsi="宋体"/>
          <w:sz w:val="24"/>
        </w:rPr>
        <w:t xml:space="preserve">日期：    </w:t>
      </w: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日</w:t>
      </w:r>
    </w:p>
    <w:p>
      <w:pPr>
        <w:pStyle w:val="4"/>
        <w:spacing w:beforeLines="50" w:afterLines="100" w:line="360" w:lineRule="exact"/>
        <w:jc w:val="center"/>
        <w:rPr>
          <w:sz w:val="24"/>
        </w:rPr>
      </w:pPr>
      <w:r>
        <w:rPr>
          <w:rFonts w:ascii="宋体" w:hAnsi="宋体"/>
          <w:sz w:val="24"/>
        </w:rPr>
        <w:br w:type="page"/>
      </w:r>
      <w:bookmarkStart w:id="221" w:name="_Toc486277924"/>
      <w:bookmarkStart w:id="222" w:name="_Toc485889057"/>
      <w:bookmarkStart w:id="223" w:name="_Toc234382959"/>
      <w:bookmarkStart w:id="224" w:name="_Toc5832"/>
      <w:r>
        <w:rPr>
          <w:rFonts w:hint="eastAsia" w:ascii="黑体" w:hAnsi="宋体" w:eastAsia="黑体"/>
          <w:sz w:val="28"/>
          <w:szCs w:val="28"/>
        </w:rPr>
        <w:t>（二）投标函附录</w:t>
      </w:r>
      <w:bookmarkEnd w:id="221"/>
      <w:bookmarkEnd w:id="222"/>
      <w:bookmarkEnd w:id="223"/>
      <w:bookmarkEnd w:id="224"/>
    </w:p>
    <w:tbl>
      <w:tblPr>
        <w:tblStyle w:val="16"/>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2693"/>
        <w:gridCol w:w="1417"/>
        <w:gridCol w:w="3686"/>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53" w:type="dxa"/>
            <w:vAlign w:val="center"/>
          </w:tcPr>
          <w:p>
            <w:pPr>
              <w:rPr>
                <w:rFonts w:ascii="宋体" w:hAnsi="宋体"/>
                <w:szCs w:val="21"/>
              </w:rPr>
            </w:pPr>
            <w:r>
              <w:rPr>
                <w:rFonts w:hint="eastAsia" w:ascii="宋体" w:hAnsi="宋体"/>
                <w:szCs w:val="21"/>
              </w:rPr>
              <w:t>序号</w:t>
            </w:r>
          </w:p>
        </w:tc>
        <w:tc>
          <w:tcPr>
            <w:tcW w:w="2693" w:type="dxa"/>
            <w:vAlign w:val="center"/>
          </w:tcPr>
          <w:p>
            <w:pPr>
              <w:rPr>
                <w:rFonts w:ascii="宋体" w:hAnsi="宋体"/>
                <w:szCs w:val="21"/>
              </w:rPr>
            </w:pPr>
            <w:r>
              <w:rPr>
                <w:rFonts w:hint="eastAsia" w:ascii="宋体" w:hAnsi="宋体"/>
                <w:szCs w:val="21"/>
              </w:rPr>
              <w:t>条款名称</w:t>
            </w:r>
          </w:p>
        </w:tc>
        <w:tc>
          <w:tcPr>
            <w:tcW w:w="1417" w:type="dxa"/>
            <w:vAlign w:val="center"/>
          </w:tcPr>
          <w:p>
            <w:pPr>
              <w:rPr>
                <w:rFonts w:ascii="宋体" w:hAnsi="宋体"/>
                <w:szCs w:val="21"/>
              </w:rPr>
            </w:pPr>
            <w:r>
              <w:rPr>
                <w:rFonts w:hint="eastAsia" w:ascii="宋体" w:hAnsi="宋体"/>
                <w:szCs w:val="21"/>
              </w:rPr>
              <w:t>合同条目号</w:t>
            </w:r>
          </w:p>
        </w:tc>
        <w:tc>
          <w:tcPr>
            <w:tcW w:w="3686" w:type="dxa"/>
            <w:vAlign w:val="center"/>
          </w:tcPr>
          <w:p>
            <w:pPr>
              <w:rPr>
                <w:rFonts w:ascii="宋体" w:hAnsi="宋体"/>
                <w:szCs w:val="21"/>
              </w:rPr>
            </w:pPr>
            <w:r>
              <w:rPr>
                <w:rFonts w:hint="eastAsia" w:ascii="宋体" w:hAnsi="宋体"/>
                <w:szCs w:val="21"/>
              </w:rPr>
              <w:t>约定内容</w:t>
            </w:r>
          </w:p>
        </w:tc>
        <w:tc>
          <w:tcPr>
            <w:tcW w:w="1190" w:type="dxa"/>
            <w:vAlign w:val="center"/>
          </w:tcPr>
          <w:p>
            <w:pP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exact"/>
          <w:jc w:val="center"/>
        </w:trPr>
        <w:tc>
          <w:tcPr>
            <w:tcW w:w="653" w:type="dxa"/>
            <w:vAlign w:val="center"/>
          </w:tcPr>
          <w:p>
            <w:pPr>
              <w:rPr>
                <w:rFonts w:ascii="宋体" w:hAnsi="宋体"/>
                <w:szCs w:val="21"/>
              </w:rPr>
            </w:pPr>
            <w:r>
              <w:rPr>
                <w:rFonts w:hint="eastAsia" w:ascii="宋体" w:hAnsi="宋体"/>
                <w:szCs w:val="21"/>
              </w:rPr>
              <w:t>1</w:t>
            </w:r>
          </w:p>
        </w:tc>
        <w:tc>
          <w:tcPr>
            <w:tcW w:w="2693" w:type="dxa"/>
            <w:vAlign w:val="center"/>
          </w:tcPr>
          <w:p>
            <w:pPr>
              <w:rPr>
                <w:rFonts w:ascii="宋体" w:hAnsi="宋体"/>
                <w:szCs w:val="21"/>
              </w:rPr>
            </w:pPr>
            <w:r>
              <w:rPr>
                <w:rFonts w:hint="eastAsia" w:ascii="宋体" w:hAnsi="宋体"/>
                <w:szCs w:val="21"/>
              </w:rPr>
              <w:t>项目经理</w:t>
            </w:r>
          </w:p>
        </w:tc>
        <w:tc>
          <w:tcPr>
            <w:tcW w:w="1417" w:type="dxa"/>
            <w:vAlign w:val="center"/>
          </w:tcPr>
          <w:p>
            <w:pPr>
              <w:rPr>
                <w:rFonts w:ascii="宋体" w:hAnsi="宋体"/>
                <w:szCs w:val="21"/>
              </w:rPr>
            </w:pPr>
          </w:p>
        </w:tc>
        <w:tc>
          <w:tcPr>
            <w:tcW w:w="3686" w:type="dxa"/>
            <w:vAlign w:val="center"/>
          </w:tcPr>
          <w:p>
            <w:pPr>
              <w:ind w:firstLine="210" w:firstLineChars="100"/>
              <w:rPr>
                <w:rFonts w:ascii="宋体" w:hAnsi="宋体"/>
                <w:szCs w:val="21"/>
              </w:rPr>
            </w:pPr>
            <w:r>
              <w:rPr>
                <w:rFonts w:hint="eastAsia" w:ascii="宋体" w:hAnsi="宋体"/>
                <w:szCs w:val="21"/>
              </w:rPr>
              <w:t>姓名：</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jc w:val="center"/>
        </w:trPr>
        <w:tc>
          <w:tcPr>
            <w:tcW w:w="653" w:type="dxa"/>
            <w:vAlign w:val="center"/>
          </w:tcPr>
          <w:p>
            <w:pPr>
              <w:rPr>
                <w:rFonts w:ascii="宋体" w:hAnsi="宋体"/>
                <w:szCs w:val="21"/>
              </w:rPr>
            </w:pPr>
            <w:r>
              <w:rPr>
                <w:rFonts w:hint="eastAsia" w:ascii="宋体" w:hAnsi="宋体"/>
                <w:szCs w:val="21"/>
              </w:rPr>
              <w:t>2</w:t>
            </w:r>
          </w:p>
        </w:tc>
        <w:tc>
          <w:tcPr>
            <w:tcW w:w="2693" w:type="dxa"/>
            <w:vAlign w:val="center"/>
          </w:tcPr>
          <w:p>
            <w:pPr>
              <w:rPr>
                <w:rFonts w:ascii="宋体" w:hAnsi="宋体"/>
                <w:szCs w:val="21"/>
              </w:rPr>
            </w:pPr>
            <w:r>
              <w:rPr>
                <w:rFonts w:hint="eastAsia" w:ascii="宋体" w:hAnsi="宋体"/>
                <w:szCs w:val="21"/>
              </w:rPr>
              <w:t>工期</w:t>
            </w:r>
          </w:p>
        </w:tc>
        <w:tc>
          <w:tcPr>
            <w:tcW w:w="1417" w:type="dxa"/>
            <w:vAlign w:val="center"/>
          </w:tcPr>
          <w:p>
            <w:pPr>
              <w:rPr>
                <w:rFonts w:ascii="宋体" w:hAnsi="宋体"/>
                <w:szCs w:val="21"/>
              </w:rPr>
            </w:pPr>
            <w:r>
              <w:rPr>
                <w:rFonts w:hint="eastAsia" w:ascii="宋体" w:hAnsi="宋体"/>
                <w:szCs w:val="21"/>
              </w:rPr>
              <w:t>1.1.4.3</w:t>
            </w:r>
          </w:p>
        </w:tc>
        <w:tc>
          <w:tcPr>
            <w:tcW w:w="3686" w:type="dxa"/>
            <w:vAlign w:val="center"/>
          </w:tcPr>
          <w:p>
            <w:pPr>
              <w:ind w:firstLine="210" w:firstLineChars="100"/>
              <w:rPr>
                <w:rFonts w:ascii="宋体" w:hAnsi="宋体"/>
                <w:szCs w:val="21"/>
              </w:rPr>
            </w:pPr>
            <w:r>
              <w:rPr>
                <w:rFonts w:hint="eastAsia" w:ascii="宋体" w:hAnsi="宋体"/>
                <w:szCs w:val="21"/>
              </w:rPr>
              <w:t>天数：</w:t>
            </w:r>
            <w:r>
              <w:rPr>
                <w:rFonts w:hint="eastAsia" w:ascii="宋体" w:hAnsi="宋体"/>
                <w:szCs w:val="21"/>
                <w:u w:val="single"/>
              </w:rPr>
              <w:t xml:space="preserve">       日历天</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rPr>
            </w:pPr>
            <w:r>
              <w:rPr>
                <w:rFonts w:hint="eastAsia" w:ascii="宋体" w:hAnsi="宋体"/>
                <w:szCs w:val="21"/>
              </w:rPr>
              <w:t>3</w:t>
            </w:r>
          </w:p>
        </w:tc>
        <w:tc>
          <w:tcPr>
            <w:tcW w:w="2693" w:type="dxa"/>
            <w:vAlign w:val="center"/>
          </w:tcPr>
          <w:p>
            <w:pPr>
              <w:rPr>
                <w:rFonts w:ascii="宋体" w:hAnsi="宋体"/>
                <w:szCs w:val="21"/>
              </w:rPr>
            </w:pPr>
            <w:r>
              <w:rPr>
                <w:rFonts w:hint="eastAsia" w:ascii="宋体" w:hAnsi="宋体"/>
                <w:szCs w:val="21"/>
              </w:rPr>
              <w:t>缺陷责任期</w:t>
            </w:r>
          </w:p>
        </w:tc>
        <w:tc>
          <w:tcPr>
            <w:tcW w:w="1417" w:type="dxa"/>
            <w:vAlign w:val="center"/>
          </w:tcPr>
          <w:p>
            <w:pPr>
              <w:rPr>
                <w:rFonts w:ascii="宋体" w:hAnsi="宋体"/>
                <w:szCs w:val="21"/>
              </w:rPr>
            </w:pPr>
            <w:r>
              <w:rPr>
                <w:rFonts w:hint="eastAsia" w:ascii="宋体" w:hAnsi="宋体"/>
                <w:szCs w:val="21"/>
              </w:rPr>
              <w:t>1.1.4.5</w:t>
            </w:r>
          </w:p>
        </w:tc>
        <w:tc>
          <w:tcPr>
            <w:tcW w:w="3686" w:type="dxa"/>
            <w:vAlign w:val="center"/>
          </w:tcPr>
          <w:p>
            <w:pPr>
              <w:ind w:firstLine="210" w:firstLineChars="100"/>
              <w:rPr>
                <w:rFonts w:ascii="宋体" w:hAnsi="宋体"/>
                <w:szCs w:val="21"/>
              </w:rPr>
            </w:pPr>
            <w:r>
              <w:rPr>
                <w:rFonts w:hint="eastAsia" w:ascii="宋体" w:hAnsi="宋体"/>
                <w:szCs w:val="21"/>
              </w:rPr>
              <w:t>自实际交工日期起计算</w:t>
            </w:r>
            <w:r>
              <w:rPr>
                <w:rFonts w:hint="eastAsia" w:ascii="宋体" w:hAnsi="宋体"/>
                <w:szCs w:val="21"/>
                <w:u w:val="single"/>
              </w:rPr>
              <w:t xml:space="preserve">  2  </w:t>
            </w:r>
            <w:r>
              <w:rPr>
                <w:rFonts w:hint="eastAsia" w:ascii="宋体" w:hAnsi="宋体"/>
                <w:szCs w:val="21"/>
              </w:rPr>
              <w:t>年</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exact"/>
          <w:jc w:val="center"/>
        </w:trPr>
        <w:tc>
          <w:tcPr>
            <w:tcW w:w="653" w:type="dxa"/>
            <w:vAlign w:val="center"/>
          </w:tcPr>
          <w:p>
            <w:pPr>
              <w:rPr>
                <w:rFonts w:ascii="宋体" w:hAnsi="宋体"/>
                <w:szCs w:val="21"/>
              </w:rPr>
            </w:pPr>
            <w:r>
              <w:rPr>
                <w:rFonts w:hint="eastAsia" w:ascii="宋体" w:hAnsi="宋体"/>
                <w:szCs w:val="21"/>
              </w:rPr>
              <w:t>4</w:t>
            </w:r>
          </w:p>
        </w:tc>
        <w:tc>
          <w:tcPr>
            <w:tcW w:w="2693" w:type="dxa"/>
            <w:vAlign w:val="center"/>
          </w:tcPr>
          <w:p>
            <w:pPr>
              <w:rPr>
                <w:rFonts w:ascii="宋体" w:hAnsi="宋体"/>
                <w:szCs w:val="21"/>
              </w:rPr>
            </w:pPr>
            <w:r>
              <w:rPr>
                <w:rFonts w:hint="eastAsia" w:ascii="宋体" w:hAnsi="宋体"/>
                <w:szCs w:val="21"/>
              </w:rPr>
              <w:t>逾期交工违约金</w:t>
            </w:r>
          </w:p>
        </w:tc>
        <w:tc>
          <w:tcPr>
            <w:tcW w:w="1417" w:type="dxa"/>
            <w:vAlign w:val="center"/>
          </w:tcPr>
          <w:p>
            <w:pPr>
              <w:rPr>
                <w:rFonts w:ascii="宋体" w:hAnsi="宋体"/>
                <w:szCs w:val="21"/>
              </w:rPr>
            </w:pPr>
            <w:r>
              <w:rPr>
                <w:rFonts w:hint="eastAsia" w:ascii="宋体" w:hAnsi="宋体"/>
                <w:szCs w:val="21"/>
              </w:rPr>
              <w:t>11.5</w:t>
            </w:r>
          </w:p>
        </w:tc>
        <w:tc>
          <w:tcPr>
            <w:tcW w:w="3686" w:type="dxa"/>
            <w:vAlign w:val="center"/>
          </w:tcPr>
          <w:p>
            <w:pPr>
              <w:ind w:firstLine="210" w:firstLineChars="100"/>
              <w:rPr>
                <w:rFonts w:ascii="宋体" w:hAnsi="宋体"/>
                <w:szCs w:val="21"/>
              </w:rPr>
            </w:pPr>
            <w:r>
              <w:rPr>
                <w:rFonts w:hint="eastAsia" w:ascii="宋体" w:hAnsi="宋体"/>
                <w:szCs w:val="21"/>
              </w:rPr>
              <w:t>元/天</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rPr>
            </w:pPr>
            <w:r>
              <w:rPr>
                <w:rFonts w:hint="eastAsia" w:ascii="宋体" w:hAnsi="宋体"/>
                <w:szCs w:val="21"/>
              </w:rPr>
              <w:t>5</w:t>
            </w:r>
          </w:p>
        </w:tc>
        <w:tc>
          <w:tcPr>
            <w:tcW w:w="2693" w:type="dxa"/>
            <w:vAlign w:val="center"/>
          </w:tcPr>
          <w:p>
            <w:pPr>
              <w:rPr>
                <w:rFonts w:ascii="宋体" w:hAnsi="宋体"/>
                <w:szCs w:val="21"/>
              </w:rPr>
            </w:pPr>
            <w:r>
              <w:rPr>
                <w:rFonts w:hint="eastAsia" w:ascii="宋体" w:hAnsi="宋体"/>
                <w:szCs w:val="21"/>
              </w:rPr>
              <w:t>逾期交工违约金限额</w:t>
            </w:r>
          </w:p>
        </w:tc>
        <w:tc>
          <w:tcPr>
            <w:tcW w:w="1417" w:type="dxa"/>
            <w:vAlign w:val="center"/>
          </w:tcPr>
          <w:p>
            <w:pPr>
              <w:rPr>
                <w:rFonts w:ascii="宋体" w:hAnsi="宋体"/>
                <w:szCs w:val="21"/>
              </w:rPr>
            </w:pPr>
            <w:r>
              <w:rPr>
                <w:rFonts w:hint="eastAsia" w:ascii="宋体" w:hAnsi="宋体"/>
                <w:szCs w:val="21"/>
              </w:rPr>
              <w:t>11.5</w:t>
            </w:r>
          </w:p>
        </w:tc>
        <w:tc>
          <w:tcPr>
            <w:tcW w:w="3686" w:type="dxa"/>
            <w:vAlign w:val="center"/>
          </w:tcPr>
          <w:p>
            <w:pPr>
              <w:ind w:firstLine="210" w:firstLineChars="100"/>
              <w:rPr>
                <w:rFonts w:ascii="宋体" w:hAnsi="宋体"/>
                <w:szCs w:val="21"/>
              </w:rPr>
            </w:pPr>
            <w:r>
              <w:rPr>
                <w:rFonts w:hint="eastAsia" w:ascii="宋体" w:hAnsi="宋体"/>
                <w:szCs w:val="21"/>
              </w:rPr>
              <w:t>%签约合同价</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2" w:hRule="exact"/>
          <w:jc w:val="center"/>
        </w:trPr>
        <w:tc>
          <w:tcPr>
            <w:tcW w:w="653" w:type="dxa"/>
            <w:vAlign w:val="center"/>
          </w:tcPr>
          <w:p>
            <w:pPr>
              <w:rPr>
                <w:rFonts w:ascii="宋体" w:hAnsi="宋体"/>
                <w:szCs w:val="21"/>
              </w:rPr>
            </w:pPr>
            <w:r>
              <w:rPr>
                <w:rFonts w:hint="eastAsia" w:ascii="宋体" w:hAnsi="宋体"/>
                <w:szCs w:val="21"/>
              </w:rPr>
              <w:t>6</w:t>
            </w:r>
          </w:p>
        </w:tc>
        <w:tc>
          <w:tcPr>
            <w:tcW w:w="2693" w:type="dxa"/>
            <w:vAlign w:val="center"/>
          </w:tcPr>
          <w:p>
            <w:pPr>
              <w:rPr>
                <w:rFonts w:ascii="宋体" w:hAnsi="宋体"/>
                <w:szCs w:val="21"/>
              </w:rPr>
            </w:pPr>
            <w:r>
              <w:rPr>
                <w:rFonts w:hint="eastAsia" w:ascii="宋体" w:hAnsi="宋体"/>
                <w:szCs w:val="21"/>
              </w:rPr>
              <w:t>提前交工的奖金</w:t>
            </w:r>
          </w:p>
        </w:tc>
        <w:tc>
          <w:tcPr>
            <w:tcW w:w="1417" w:type="dxa"/>
            <w:vAlign w:val="center"/>
          </w:tcPr>
          <w:p>
            <w:pPr>
              <w:rPr>
                <w:rFonts w:ascii="宋体" w:hAnsi="宋体"/>
                <w:szCs w:val="21"/>
              </w:rPr>
            </w:pPr>
            <w:r>
              <w:rPr>
                <w:rFonts w:hint="eastAsia" w:ascii="宋体" w:hAnsi="宋体"/>
                <w:szCs w:val="21"/>
              </w:rPr>
              <w:t>11.6</w:t>
            </w:r>
          </w:p>
        </w:tc>
        <w:tc>
          <w:tcPr>
            <w:tcW w:w="3686" w:type="dxa"/>
            <w:vAlign w:val="center"/>
          </w:tcPr>
          <w:p>
            <w:pPr>
              <w:ind w:firstLine="210" w:firstLineChars="100"/>
              <w:rPr>
                <w:rFonts w:ascii="宋体" w:hAnsi="宋体"/>
                <w:szCs w:val="21"/>
              </w:rPr>
            </w:pPr>
            <w:r>
              <w:rPr>
                <w:rFonts w:hint="eastAsia" w:ascii="宋体" w:hAnsi="宋体"/>
                <w:szCs w:val="21"/>
              </w:rPr>
              <w:t>元/天</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2" w:hRule="exact"/>
          <w:jc w:val="center"/>
        </w:trPr>
        <w:tc>
          <w:tcPr>
            <w:tcW w:w="653" w:type="dxa"/>
            <w:vAlign w:val="center"/>
          </w:tcPr>
          <w:p>
            <w:pPr>
              <w:rPr>
                <w:rFonts w:ascii="宋体" w:hAnsi="宋体"/>
                <w:szCs w:val="21"/>
              </w:rPr>
            </w:pPr>
            <w:r>
              <w:rPr>
                <w:rFonts w:hint="eastAsia" w:ascii="宋体" w:hAnsi="宋体"/>
                <w:szCs w:val="21"/>
              </w:rPr>
              <w:t>7</w:t>
            </w:r>
          </w:p>
        </w:tc>
        <w:tc>
          <w:tcPr>
            <w:tcW w:w="2693" w:type="dxa"/>
            <w:vAlign w:val="center"/>
          </w:tcPr>
          <w:p>
            <w:pPr>
              <w:rPr>
                <w:rFonts w:ascii="宋体" w:hAnsi="宋体"/>
                <w:szCs w:val="21"/>
              </w:rPr>
            </w:pPr>
            <w:r>
              <w:rPr>
                <w:rFonts w:hint="eastAsia" w:ascii="宋体" w:hAnsi="宋体"/>
                <w:szCs w:val="21"/>
              </w:rPr>
              <w:t>提前交工的奖金限额</w:t>
            </w:r>
          </w:p>
        </w:tc>
        <w:tc>
          <w:tcPr>
            <w:tcW w:w="1417" w:type="dxa"/>
            <w:vAlign w:val="center"/>
          </w:tcPr>
          <w:p>
            <w:pPr>
              <w:rPr>
                <w:rFonts w:ascii="宋体" w:hAnsi="宋体"/>
                <w:szCs w:val="21"/>
              </w:rPr>
            </w:pPr>
            <w:r>
              <w:rPr>
                <w:rFonts w:hint="eastAsia" w:ascii="宋体" w:hAnsi="宋体"/>
                <w:szCs w:val="21"/>
              </w:rPr>
              <w:t>11.6</w:t>
            </w:r>
          </w:p>
        </w:tc>
        <w:tc>
          <w:tcPr>
            <w:tcW w:w="3686" w:type="dxa"/>
            <w:vAlign w:val="center"/>
          </w:tcPr>
          <w:p>
            <w:pPr>
              <w:ind w:firstLine="210" w:firstLineChars="100"/>
              <w:rPr>
                <w:rFonts w:ascii="宋体" w:hAnsi="宋体"/>
                <w:szCs w:val="21"/>
              </w:rPr>
            </w:pPr>
            <w:r>
              <w:rPr>
                <w:rFonts w:hint="eastAsia" w:ascii="宋体" w:hAnsi="宋体"/>
                <w:szCs w:val="21"/>
              </w:rPr>
              <w:t>%签约合同价</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4" w:hRule="exact"/>
          <w:jc w:val="center"/>
        </w:trPr>
        <w:tc>
          <w:tcPr>
            <w:tcW w:w="653" w:type="dxa"/>
            <w:vAlign w:val="center"/>
          </w:tcPr>
          <w:p>
            <w:pPr>
              <w:rPr>
                <w:rFonts w:ascii="宋体" w:hAnsi="宋体"/>
                <w:szCs w:val="21"/>
              </w:rPr>
            </w:pPr>
            <w:r>
              <w:rPr>
                <w:rFonts w:hint="eastAsia" w:ascii="宋体" w:hAnsi="宋体"/>
                <w:szCs w:val="21"/>
              </w:rPr>
              <w:t>8</w:t>
            </w:r>
          </w:p>
        </w:tc>
        <w:tc>
          <w:tcPr>
            <w:tcW w:w="2693" w:type="dxa"/>
            <w:vAlign w:val="center"/>
          </w:tcPr>
          <w:p>
            <w:pPr>
              <w:rPr>
                <w:rFonts w:ascii="宋体" w:hAnsi="宋体"/>
                <w:szCs w:val="21"/>
              </w:rPr>
            </w:pPr>
            <w:r>
              <w:rPr>
                <w:rFonts w:hint="eastAsia" w:ascii="宋体" w:hAnsi="宋体"/>
                <w:szCs w:val="21"/>
              </w:rPr>
              <w:t>价格调整的差额计算</w:t>
            </w:r>
          </w:p>
        </w:tc>
        <w:tc>
          <w:tcPr>
            <w:tcW w:w="1417" w:type="dxa"/>
            <w:vAlign w:val="center"/>
          </w:tcPr>
          <w:p>
            <w:pPr>
              <w:rPr>
                <w:rFonts w:ascii="宋体" w:hAnsi="宋体"/>
                <w:szCs w:val="21"/>
              </w:rPr>
            </w:pPr>
            <w:r>
              <w:rPr>
                <w:rFonts w:hint="eastAsia" w:ascii="宋体" w:hAnsi="宋体"/>
                <w:szCs w:val="21"/>
              </w:rPr>
              <w:t>16.1.1</w:t>
            </w:r>
          </w:p>
        </w:tc>
        <w:tc>
          <w:tcPr>
            <w:tcW w:w="3686" w:type="dxa"/>
            <w:vAlign w:val="center"/>
          </w:tcPr>
          <w:p>
            <w:pPr>
              <w:ind w:firstLine="210" w:firstLineChars="100"/>
              <w:rPr>
                <w:rFonts w:ascii="宋体" w:hAnsi="宋体"/>
                <w:szCs w:val="21"/>
              </w:rPr>
            </w:pPr>
            <w:r>
              <w:rPr>
                <w:rFonts w:hint="eastAsia" w:ascii="宋体" w:hAnsi="宋体"/>
                <w:szCs w:val="21"/>
              </w:rPr>
              <w:t>见价格指数和权重表</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rPr>
            </w:pPr>
            <w:r>
              <w:rPr>
                <w:rFonts w:hint="eastAsia" w:ascii="宋体" w:hAnsi="宋体"/>
                <w:szCs w:val="21"/>
              </w:rPr>
              <w:t>9</w:t>
            </w:r>
          </w:p>
        </w:tc>
        <w:tc>
          <w:tcPr>
            <w:tcW w:w="2693" w:type="dxa"/>
            <w:vAlign w:val="center"/>
          </w:tcPr>
          <w:p>
            <w:pPr>
              <w:rPr>
                <w:rFonts w:ascii="宋体" w:hAnsi="宋体"/>
                <w:szCs w:val="21"/>
              </w:rPr>
            </w:pPr>
            <w:r>
              <w:rPr>
                <w:rFonts w:hint="eastAsia" w:ascii="宋体" w:hAnsi="宋体"/>
                <w:szCs w:val="21"/>
              </w:rPr>
              <w:t>开工预付款金额</w:t>
            </w:r>
          </w:p>
        </w:tc>
        <w:tc>
          <w:tcPr>
            <w:tcW w:w="1417" w:type="dxa"/>
            <w:vAlign w:val="center"/>
          </w:tcPr>
          <w:p>
            <w:pPr>
              <w:rPr>
                <w:rFonts w:ascii="宋体" w:hAnsi="宋体"/>
                <w:szCs w:val="21"/>
              </w:rPr>
            </w:pPr>
            <w:r>
              <w:rPr>
                <w:rFonts w:hint="eastAsia" w:ascii="宋体" w:hAnsi="宋体"/>
                <w:szCs w:val="21"/>
              </w:rPr>
              <w:t>17.2.1</w:t>
            </w:r>
          </w:p>
        </w:tc>
        <w:tc>
          <w:tcPr>
            <w:tcW w:w="3686" w:type="dxa"/>
            <w:vAlign w:val="center"/>
          </w:tcPr>
          <w:p>
            <w:pPr>
              <w:ind w:firstLine="210" w:firstLineChars="100"/>
              <w:rPr>
                <w:rFonts w:ascii="宋体" w:hAnsi="宋体"/>
                <w:szCs w:val="21"/>
              </w:rPr>
            </w:pPr>
            <w:r>
              <w:rPr>
                <w:rFonts w:hint="eastAsia" w:ascii="宋体" w:hAnsi="宋体"/>
                <w:szCs w:val="21"/>
              </w:rPr>
              <w:t>%签约合同价</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6" w:hRule="exact"/>
          <w:jc w:val="center"/>
        </w:trPr>
        <w:tc>
          <w:tcPr>
            <w:tcW w:w="653" w:type="dxa"/>
            <w:vAlign w:val="center"/>
          </w:tcPr>
          <w:p>
            <w:pPr>
              <w:rPr>
                <w:rFonts w:ascii="宋体" w:hAnsi="宋体"/>
                <w:szCs w:val="21"/>
              </w:rPr>
            </w:pPr>
            <w:r>
              <w:rPr>
                <w:rFonts w:hint="eastAsia" w:ascii="宋体" w:hAnsi="宋体"/>
                <w:szCs w:val="21"/>
              </w:rPr>
              <w:t>10</w:t>
            </w:r>
          </w:p>
        </w:tc>
        <w:tc>
          <w:tcPr>
            <w:tcW w:w="2693" w:type="dxa"/>
            <w:vAlign w:val="center"/>
          </w:tcPr>
          <w:p>
            <w:pPr>
              <w:rPr>
                <w:rFonts w:ascii="宋体" w:hAnsi="宋体"/>
                <w:szCs w:val="21"/>
              </w:rPr>
            </w:pPr>
            <w:r>
              <w:rPr>
                <w:rFonts w:hint="eastAsia" w:ascii="宋体" w:hAnsi="宋体"/>
                <w:szCs w:val="21"/>
              </w:rPr>
              <w:t>材料、设备预付款</w:t>
            </w:r>
          </w:p>
        </w:tc>
        <w:tc>
          <w:tcPr>
            <w:tcW w:w="1417" w:type="dxa"/>
            <w:vAlign w:val="center"/>
          </w:tcPr>
          <w:p>
            <w:pPr>
              <w:rPr>
                <w:rFonts w:ascii="宋体" w:hAnsi="宋体"/>
                <w:szCs w:val="21"/>
              </w:rPr>
            </w:pPr>
            <w:r>
              <w:rPr>
                <w:rFonts w:hint="eastAsia" w:ascii="宋体" w:hAnsi="宋体"/>
                <w:szCs w:val="21"/>
              </w:rPr>
              <w:t>17.2.1</w:t>
            </w:r>
          </w:p>
        </w:tc>
        <w:tc>
          <w:tcPr>
            <w:tcW w:w="3686" w:type="dxa"/>
            <w:vAlign w:val="center"/>
          </w:tcPr>
          <w:p>
            <w:pPr>
              <w:ind w:firstLine="210" w:firstLineChars="100"/>
              <w:rPr>
                <w:rFonts w:ascii="宋体" w:hAnsi="宋体"/>
                <w:szCs w:val="21"/>
              </w:rPr>
            </w:pPr>
            <w:r>
              <w:rPr>
                <w:rFonts w:hint="eastAsia" w:ascii="宋体" w:hAnsi="宋体"/>
                <w:szCs w:val="21"/>
              </w:rPr>
              <w:t>等主要材料、设备单据所列费用的%</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3" w:hRule="exact"/>
          <w:jc w:val="center"/>
        </w:trPr>
        <w:tc>
          <w:tcPr>
            <w:tcW w:w="653" w:type="dxa"/>
            <w:vAlign w:val="center"/>
          </w:tcPr>
          <w:p>
            <w:pPr>
              <w:rPr>
                <w:rFonts w:ascii="宋体" w:hAnsi="宋体"/>
                <w:szCs w:val="21"/>
              </w:rPr>
            </w:pPr>
            <w:r>
              <w:rPr>
                <w:rFonts w:hint="eastAsia" w:ascii="宋体" w:hAnsi="宋体"/>
                <w:szCs w:val="21"/>
              </w:rPr>
              <w:t>11</w:t>
            </w:r>
          </w:p>
        </w:tc>
        <w:tc>
          <w:tcPr>
            <w:tcW w:w="2693" w:type="dxa"/>
            <w:vAlign w:val="center"/>
          </w:tcPr>
          <w:p>
            <w:pPr>
              <w:rPr>
                <w:rFonts w:ascii="宋体" w:hAnsi="宋体"/>
                <w:szCs w:val="21"/>
              </w:rPr>
            </w:pPr>
            <w:r>
              <w:rPr>
                <w:rFonts w:hint="eastAsia" w:ascii="宋体" w:hAnsi="宋体"/>
                <w:szCs w:val="21"/>
              </w:rPr>
              <w:t>进度付款证书最低限额</w:t>
            </w:r>
          </w:p>
        </w:tc>
        <w:tc>
          <w:tcPr>
            <w:tcW w:w="1417" w:type="dxa"/>
            <w:vAlign w:val="center"/>
          </w:tcPr>
          <w:p>
            <w:pPr>
              <w:rPr>
                <w:rFonts w:ascii="宋体" w:hAnsi="宋体"/>
                <w:szCs w:val="21"/>
              </w:rPr>
            </w:pPr>
            <w:r>
              <w:rPr>
                <w:rFonts w:hint="eastAsia" w:ascii="宋体" w:hAnsi="宋体"/>
                <w:szCs w:val="21"/>
              </w:rPr>
              <w:t>17.3.3(1)</w:t>
            </w:r>
          </w:p>
        </w:tc>
        <w:tc>
          <w:tcPr>
            <w:tcW w:w="3686" w:type="dxa"/>
            <w:vAlign w:val="center"/>
          </w:tcPr>
          <w:p>
            <w:pPr>
              <w:ind w:firstLine="210" w:firstLineChars="100"/>
              <w:rPr>
                <w:rFonts w:ascii="宋体" w:hAnsi="宋体"/>
                <w:szCs w:val="21"/>
              </w:rPr>
            </w:pPr>
            <w:r>
              <w:rPr>
                <w:rFonts w:hint="eastAsia" w:ascii="宋体" w:hAnsi="宋体"/>
                <w:szCs w:val="21"/>
              </w:rPr>
              <w:t>%签约合同价或万元</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5" w:hRule="exact"/>
          <w:jc w:val="center"/>
        </w:trPr>
        <w:tc>
          <w:tcPr>
            <w:tcW w:w="653" w:type="dxa"/>
            <w:vAlign w:val="center"/>
          </w:tcPr>
          <w:p>
            <w:pPr>
              <w:rPr>
                <w:rFonts w:ascii="宋体" w:hAnsi="宋体"/>
                <w:szCs w:val="21"/>
              </w:rPr>
            </w:pPr>
            <w:r>
              <w:rPr>
                <w:rFonts w:hint="eastAsia" w:ascii="宋体" w:hAnsi="宋体"/>
                <w:szCs w:val="21"/>
              </w:rPr>
              <w:t>12</w:t>
            </w:r>
          </w:p>
        </w:tc>
        <w:tc>
          <w:tcPr>
            <w:tcW w:w="2693" w:type="dxa"/>
            <w:vAlign w:val="center"/>
          </w:tcPr>
          <w:p>
            <w:pPr>
              <w:rPr>
                <w:rFonts w:ascii="宋体" w:hAnsi="宋体"/>
                <w:szCs w:val="21"/>
              </w:rPr>
            </w:pPr>
            <w:r>
              <w:rPr>
                <w:rFonts w:hint="eastAsia" w:ascii="宋体" w:hAnsi="宋体"/>
                <w:szCs w:val="21"/>
              </w:rPr>
              <w:t>逾期付款违约金的利率</w:t>
            </w:r>
          </w:p>
        </w:tc>
        <w:tc>
          <w:tcPr>
            <w:tcW w:w="1417" w:type="dxa"/>
            <w:vAlign w:val="center"/>
          </w:tcPr>
          <w:p>
            <w:pPr>
              <w:rPr>
                <w:rFonts w:ascii="宋体" w:hAnsi="宋体"/>
                <w:szCs w:val="21"/>
              </w:rPr>
            </w:pPr>
            <w:r>
              <w:rPr>
                <w:rFonts w:hint="eastAsia" w:ascii="宋体" w:hAnsi="宋体"/>
                <w:szCs w:val="21"/>
              </w:rPr>
              <w:t>17.3.3(2)</w:t>
            </w:r>
          </w:p>
        </w:tc>
        <w:tc>
          <w:tcPr>
            <w:tcW w:w="3686" w:type="dxa"/>
            <w:vAlign w:val="center"/>
          </w:tcPr>
          <w:p>
            <w:pPr>
              <w:ind w:firstLine="210" w:firstLineChars="100"/>
              <w:rPr>
                <w:rFonts w:ascii="宋体" w:hAnsi="宋体"/>
                <w:szCs w:val="21"/>
              </w:rPr>
            </w:pPr>
            <w:r>
              <w:rPr>
                <w:rFonts w:hint="eastAsia" w:ascii="宋体" w:hAnsi="宋体"/>
                <w:szCs w:val="21"/>
              </w:rPr>
              <w:t>‰/天</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5" w:hRule="exact"/>
          <w:jc w:val="center"/>
        </w:trPr>
        <w:tc>
          <w:tcPr>
            <w:tcW w:w="653" w:type="dxa"/>
            <w:vAlign w:val="center"/>
          </w:tcPr>
          <w:p>
            <w:pPr>
              <w:rPr>
                <w:rFonts w:ascii="宋体" w:hAnsi="宋体"/>
                <w:szCs w:val="21"/>
              </w:rPr>
            </w:pPr>
            <w:r>
              <w:rPr>
                <w:rFonts w:hint="eastAsia" w:ascii="宋体" w:hAnsi="宋体"/>
                <w:szCs w:val="21"/>
              </w:rPr>
              <w:t>13</w:t>
            </w:r>
          </w:p>
        </w:tc>
        <w:tc>
          <w:tcPr>
            <w:tcW w:w="2693" w:type="dxa"/>
            <w:vAlign w:val="center"/>
          </w:tcPr>
          <w:p>
            <w:pPr>
              <w:rPr>
                <w:rFonts w:ascii="宋体" w:hAnsi="宋体"/>
                <w:szCs w:val="21"/>
              </w:rPr>
            </w:pPr>
            <w:r>
              <w:rPr>
                <w:rFonts w:hint="eastAsia" w:ascii="宋体" w:hAnsi="宋体"/>
                <w:szCs w:val="21"/>
              </w:rPr>
              <w:t>质量保证金百分比</w:t>
            </w:r>
          </w:p>
        </w:tc>
        <w:tc>
          <w:tcPr>
            <w:tcW w:w="1417" w:type="dxa"/>
            <w:vAlign w:val="center"/>
          </w:tcPr>
          <w:p>
            <w:pPr>
              <w:rPr>
                <w:rFonts w:ascii="宋体" w:hAnsi="宋体"/>
                <w:szCs w:val="21"/>
              </w:rPr>
            </w:pPr>
            <w:r>
              <w:rPr>
                <w:rFonts w:hint="eastAsia" w:ascii="宋体" w:hAnsi="宋体"/>
                <w:szCs w:val="21"/>
              </w:rPr>
              <w:t>17.4.1</w:t>
            </w:r>
          </w:p>
        </w:tc>
        <w:tc>
          <w:tcPr>
            <w:tcW w:w="3686" w:type="dxa"/>
            <w:vAlign w:val="center"/>
          </w:tcPr>
          <w:p>
            <w:pPr>
              <w:ind w:firstLine="210" w:firstLineChars="100"/>
              <w:rPr>
                <w:rFonts w:ascii="宋体" w:hAnsi="宋体"/>
                <w:szCs w:val="21"/>
              </w:rPr>
            </w:pPr>
            <w:r>
              <w:rPr>
                <w:rFonts w:hint="eastAsia" w:ascii="宋体" w:hAnsi="宋体"/>
                <w:szCs w:val="21"/>
              </w:rPr>
              <w:t>月支付额的%</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45" w:hRule="exact"/>
          <w:jc w:val="center"/>
        </w:trPr>
        <w:tc>
          <w:tcPr>
            <w:tcW w:w="653" w:type="dxa"/>
            <w:vAlign w:val="center"/>
          </w:tcPr>
          <w:p>
            <w:pPr>
              <w:rPr>
                <w:rFonts w:ascii="宋体" w:hAnsi="宋体"/>
                <w:szCs w:val="21"/>
              </w:rPr>
            </w:pPr>
            <w:r>
              <w:rPr>
                <w:rFonts w:hint="eastAsia" w:ascii="宋体" w:hAnsi="宋体"/>
                <w:szCs w:val="21"/>
              </w:rPr>
              <w:t>14</w:t>
            </w:r>
          </w:p>
        </w:tc>
        <w:tc>
          <w:tcPr>
            <w:tcW w:w="2693" w:type="dxa"/>
            <w:vAlign w:val="center"/>
          </w:tcPr>
          <w:p>
            <w:pPr>
              <w:rPr>
                <w:rFonts w:ascii="宋体" w:hAnsi="宋体"/>
                <w:szCs w:val="21"/>
              </w:rPr>
            </w:pPr>
            <w:r>
              <w:rPr>
                <w:rFonts w:hint="eastAsia" w:ascii="宋体" w:hAnsi="宋体"/>
                <w:szCs w:val="21"/>
              </w:rPr>
              <w:t>质量保证金限额</w:t>
            </w:r>
          </w:p>
        </w:tc>
        <w:tc>
          <w:tcPr>
            <w:tcW w:w="1417" w:type="dxa"/>
            <w:vAlign w:val="center"/>
          </w:tcPr>
          <w:p>
            <w:pPr>
              <w:rPr>
                <w:rFonts w:ascii="宋体" w:hAnsi="宋体"/>
                <w:szCs w:val="21"/>
              </w:rPr>
            </w:pPr>
            <w:r>
              <w:rPr>
                <w:rFonts w:hint="eastAsia" w:ascii="宋体" w:hAnsi="宋体"/>
                <w:szCs w:val="21"/>
              </w:rPr>
              <w:t>17.4.1</w:t>
            </w:r>
          </w:p>
        </w:tc>
        <w:tc>
          <w:tcPr>
            <w:tcW w:w="3686" w:type="dxa"/>
            <w:vAlign w:val="center"/>
          </w:tcPr>
          <w:p>
            <w:pPr>
              <w:ind w:firstLine="210" w:firstLineChars="100"/>
              <w:rPr>
                <w:rFonts w:ascii="宋体" w:hAnsi="宋体"/>
                <w:szCs w:val="21"/>
              </w:rPr>
            </w:pPr>
            <w:r>
              <w:rPr>
                <w:rFonts w:hint="eastAsia" w:ascii="宋体" w:hAnsi="宋体"/>
                <w:szCs w:val="21"/>
              </w:rPr>
              <w:t>%合同价格，若交工验收时承包人具备被招标项目所在地省级交通主管部门评定的最高信用等级，发包人给予 %合同价格质量保证金的优惠，并在交工验收时向承包人返还质量保证金优惠的金额</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6" w:hRule="exact"/>
          <w:jc w:val="center"/>
        </w:trPr>
        <w:tc>
          <w:tcPr>
            <w:tcW w:w="653" w:type="dxa"/>
            <w:vAlign w:val="center"/>
          </w:tcPr>
          <w:p>
            <w:pPr>
              <w:rPr>
                <w:rFonts w:ascii="宋体" w:hAnsi="宋体"/>
                <w:szCs w:val="21"/>
              </w:rPr>
            </w:pPr>
            <w:r>
              <w:rPr>
                <w:rFonts w:hint="eastAsia" w:ascii="宋体" w:hAnsi="宋体"/>
                <w:szCs w:val="21"/>
              </w:rPr>
              <w:t>15</w:t>
            </w:r>
          </w:p>
        </w:tc>
        <w:tc>
          <w:tcPr>
            <w:tcW w:w="2693" w:type="dxa"/>
            <w:vAlign w:val="center"/>
          </w:tcPr>
          <w:p>
            <w:pPr>
              <w:rPr>
                <w:rFonts w:ascii="宋体" w:hAnsi="宋体"/>
                <w:szCs w:val="21"/>
              </w:rPr>
            </w:pPr>
            <w:r>
              <w:rPr>
                <w:rFonts w:hint="eastAsia" w:ascii="宋体" w:hAnsi="宋体"/>
                <w:szCs w:val="21"/>
              </w:rPr>
              <w:t>保修期</w:t>
            </w:r>
          </w:p>
        </w:tc>
        <w:tc>
          <w:tcPr>
            <w:tcW w:w="1417" w:type="dxa"/>
            <w:vAlign w:val="center"/>
          </w:tcPr>
          <w:p>
            <w:pPr>
              <w:rPr>
                <w:rFonts w:ascii="宋体" w:hAnsi="宋体"/>
                <w:szCs w:val="21"/>
              </w:rPr>
            </w:pPr>
            <w:r>
              <w:rPr>
                <w:rFonts w:hint="eastAsia" w:ascii="宋体" w:hAnsi="宋体"/>
                <w:szCs w:val="21"/>
              </w:rPr>
              <w:t>19.7</w:t>
            </w:r>
          </w:p>
        </w:tc>
        <w:tc>
          <w:tcPr>
            <w:tcW w:w="3686" w:type="dxa"/>
            <w:vAlign w:val="center"/>
          </w:tcPr>
          <w:p>
            <w:pPr>
              <w:ind w:firstLine="210" w:firstLineChars="100"/>
              <w:rPr>
                <w:rFonts w:ascii="宋体" w:hAnsi="宋体"/>
                <w:szCs w:val="21"/>
              </w:rPr>
            </w:pPr>
            <w:r>
              <w:rPr>
                <w:rFonts w:hint="eastAsia" w:ascii="宋体" w:hAnsi="宋体"/>
                <w:szCs w:val="21"/>
              </w:rPr>
              <w:t>自实际交工日期起计算</w:t>
            </w:r>
            <w:r>
              <w:rPr>
                <w:rFonts w:hint="eastAsia" w:ascii="宋体" w:hAnsi="宋体"/>
                <w:szCs w:val="21"/>
                <w:u w:val="single"/>
              </w:rPr>
              <w:t xml:space="preserve"> 5 </w:t>
            </w:r>
            <w:r>
              <w:rPr>
                <w:rFonts w:hint="eastAsia" w:ascii="宋体" w:hAnsi="宋体"/>
                <w:szCs w:val="21"/>
              </w:rPr>
              <w:t>年</w:t>
            </w:r>
          </w:p>
        </w:tc>
        <w:tc>
          <w:tcPr>
            <w:tcW w:w="1190" w:type="dxa"/>
            <w:vAlign w:val="center"/>
          </w:tcPr>
          <w:p>
            <w:pPr>
              <w:rPr>
                <w:rFonts w:ascii="宋体" w:hAnsi="宋体"/>
                <w:szCs w:val="21"/>
              </w:rPr>
            </w:pPr>
          </w:p>
        </w:tc>
      </w:tr>
    </w:tbl>
    <w:p>
      <w:pPr>
        <w:spacing w:beforeLines="100" w:line="500" w:lineRule="exact"/>
        <w:rPr>
          <w:rFonts w:ascii="宋体" w:hAnsi="宋体"/>
          <w:sz w:val="24"/>
        </w:rPr>
      </w:pPr>
      <w:r>
        <w:rPr>
          <w:rFonts w:hint="eastAsia" w:ascii="宋体" w:hAnsi="宋体"/>
          <w:sz w:val="24"/>
        </w:rPr>
        <w:t xml:space="preserve">                             投 标 人:</w:t>
      </w:r>
      <w:r>
        <w:rPr>
          <w:rFonts w:hint="eastAsia" w:ascii="宋体" w:hAnsi="宋体"/>
          <w:sz w:val="24"/>
          <w:u w:val="single"/>
        </w:rPr>
        <w:t xml:space="preserve">                  (</w:t>
      </w:r>
      <w:r>
        <w:rPr>
          <w:rFonts w:hint="eastAsia" w:ascii="宋体" w:hAnsi="宋体"/>
          <w:sz w:val="24"/>
        </w:rPr>
        <w:t>盖单位章)</w:t>
      </w:r>
    </w:p>
    <w:p>
      <w:pPr>
        <w:spacing w:line="500" w:lineRule="exact"/>
        <w:ind w:right="480" w:firstLine="3480" w:firstLineChars="1450"/>
        <w:rPr>
          <w:rFonts w:ascii="宋体" w:hAnsi="宋体"/>
          <w:sz w:val="24"/>
          <w:u w:val="single"/>
        </w:rPr>
      </w:pPr>
      <w:r>
        <w:rPr>
          <w:rFonts w:hint="eastAsia" w:ascii="宋体" w:hAnsi="宋体"/>
          <w:sz w:val="24"/>
        </w:rPr>
        <w:t>投标文件签署人签名:</w:t>
      </w:r>
      <w:r>
        <w:rPr>
          <w:rFonts w:hint="eastAsia" w:ascii="宋体" w:hAnsi="宋体"/>
          <w:sz w:val="24"/>
          <w:u w:val="single"/>
        </w:rPr>
        <w:t xml:space="preserve">                  </w:t>
      </w:r>
    </w:p>
    <w:p>
      <w:pPr>
        <w:spacing w:line="240" w:lineRule="exact"/>
        <w:ind w:right="480" w:firstLine="3480" w:firstLineChars="1450"/>
        <w:rPr>
          <w:rFonts w:ascii="宋体" w:hAnsi="宋体"/>
          <w:sz w:val="24"/>
        </w:rPr>
      </w:pPr>
    </w:p>
    <w:p>
      <w:pPr>
        <w:pStyle w:val="4"/>
        <w:spacing w:beforeLines="50" w:after="0" w:line="360" w:lineRule="exact"/>
        <w:jc w:val="center"/>
        <w:rPr>
          <w:rFonts w:ascii="黑体" w:hAnsi="宋体" w:eastAsia="黑体"/>
          <w:sz w:val="28"/>
          <w:szCs w:val="28"/>
        </w:rPr>
      </w:pPr>
      <w:bookmarkStart w:id="225" w:name="_Toc29117"/>
      <w:bookmarkStart w:id="226" w:name="_Toc234382961"/>
      <w:bookmarkStart w:id="227" w:name="_Toc486277926"/>
      <w:bookmarkStart w:id="228" w:name="_Toc485889059"/>
      <w:r>
        <w:rPr>
          <w:rFonts w:hint="eastAsia" w:ascii="黑体" w:hAnsi="宋体" w:eastAsia="黑体"/>
          <w:sz w:val="28"/>
          <w:szCs w:val="28"/>
        </w:rPr>
        <w:t>二</w:t>
      </w:r>
      <w:r>
        <w:rPr>
          <w:rFonts w:ascii="黑体" w:hAnsi="宋体" w:eastAsia="黑体"/>
          <w:sz w:val="28"/>
          <w:szCs w:val="28"/>
        </w:rPr>
        <w:t>、法定代表人身份证明</w:t>
      </w:r>
      <w:r>
        <w:rPr>
          <w:rFonts w:hint="eastAsia" w:ascii="黑体" w:hAnsi="宋体" w:eastAsia="黑体"/>
          <w:sz w:val="28"/>
          <w:szCs w:val="28"/>
        </w:rPr>
        <w:t>及授权委托书</w:t>
      </w:r>
      <w:bookmarkEnd w:id="225"/>
      <w:bookmarkEnd w:id="226"/>
      <w:bookmarkEnd w:id="227"/>
      <w:bookmarkEnd w:id="228"/>
    </w:p>
    <w:p>
      <w:pPr>
        <w:pStyle w:val="4"/>
        <w:spacing w:beforeLines="100" w:afterLines="150" w:line="360" w:lineRule="exact"/>
        <w:jc w:val="center"/>
        <w:rPr>
          <w:rFonts w:ascii="黑体" w:hAnsi="宋体" w:eastAsia="黑体"/>
          <w:sz w:val="28"/>
          <w:szCs w:val="28"/>
        </w:rPr>
      </w:pPr>
      <w:bookmarkStart w:id="229" w:name="_Toc234382962"/>
      <w:bookmarkStart w:id="230" w:name="_Toc485889060"/>
      <w:bookmarkStart w:id="231" w:name="_Toc486277927"/>
      <w:bookmarkStart w:id="232" w:name="_Toc4437"/>
      <w:r>
        <w:rPr>
          <w:rFonts w:hint="eastAsia" w:ascii="黑体" w:hAnsi="宋体" w:eastAsia="黑体"/>
          <w:sz w:val="28"/>
          <w:szCs w:val="28"/>
        </w:rPr>
        <w:t>（一）法定代表人身份证明</w:t>
      </w:r>
      <w:bookmarkEnd w:id="229"/>
      <w:bookmarkEnd w:id="230"/>
      <w:bookmarkEnd w:id="231"/>
      <w:bookmarkEnd w:id="232"/>
    </w:p>
    <w:p>
      <w:pPr>
        <w:rPr>
          <w:rFonts w:ascii="宋体" w:hAnsi="宋体"/>
          <w:sz w:val="24"/>
        </w:rPr>
      </w:pPr>
    </w:p>
    <w:p>
      <w:pPr>
        <w:rPr>
          <w:rFonts w:ascii="宋体" w:hAnsi="宋体"/>
          <w:sz w:val="24"/>
        </w:rPr>
      </w:pPr>
    </w:p>
    <w:p>
      <w:pPr>
        <w:spacing w:line="500" w:lineRule="exact"/>
        <w:rPr>
          <w:rFonts w:ascii="宋体" w:hAnsi="宋体"/>
          <w:sz w:val="24"/>
        </w:rPr>
      </w:pPr>
      <w:r>
        <w:rPr>
          <w:rFonts w:hint="eastAsia" w:ascii="宋体" w:hAnsi="宋体"/>
          <w:sz w:val="24"/>
        </w:rPr>
        <w:t>投标人名称：____________________________</w:t>
      </w:r>
    </w:p>
    <w:p>
      <w:pPr>
        <w:spacing w:line="500" w:lineRule="exact"/>
        <w:rPr>
          <w:rFonts w:ascii="宋体" w:hAnsi="宋体"/>
          <w:sz w:val="24"/>
          <w:u w:val="single"/>
        </w:rPr>
      </w:pPr>
      <w:r>
        <w:rPr>
          <w:rFonts w:hint="eastAsia" w:ascii="宋体" w:hAnsi="宋体"/>
          <w:spacing w:val="40"/>
          <w:kern w:val="0"/>
          <w:sz w:val="24"/>
        </w:rPr>
        <w:t>单位性</w:t>
      </w:r>
      <w:r>
        <w:rPr>
          <w:rFonts w:hint="eastAsia" w:ascii="宋体" w:hAnsi="宋体"/>
          <w:kern w:val="0"/>
          <w:sz w:val="24"/>
        </w:rPr>
        <w:t>质</w:t>
      </w:r>
      <w:r>
        <w:rPr>
          <w:rFonts w:hint="eastAsia" w:ascii="宋体" w:hAnsi="宋体"/>
          <w:sz w:val="24"/>
        </w:rPr>
        <w:t>：____________________________</w:t>
      </w:r>
    </w:p>
    <w:p>
      <w:pPr>
        <w:spacing w:line="500" w:lineRule="exact"/>
        <w:rPr>
          <w:rFonts w:ascii="宋体" w:hAnsi="宋体"/>
          <w:sz w:val="24"/>
        </w:rPr>
      </w:pPr>
      <w:r>
        <w:rPr>
          <w:rFonts w:hint="eastAsia" w:ascii="宋体" w:hAnsi="宋体"/>
          <w:spacing w:val="360"/>
          <w:kern w:val="0"/>
          <w:sz w:val="24"/>
        </w:rPr>
        <w:t>地</w:t>
      </w:r>
      <w:r>
        <w:rPr>
          <w:rFonts w:hint="eastAsia" w:ascii="宋体" w:hAnsi="宋体"/>
          <w:kern w:val="0"/>
          <w:sz w:val="24"/>
        </w:rPr>
        <w:t>址</w:t>
      </w:r>
      <w:r>
        <w:rPr>
          <w:rFonts w:hint="eastAsia" w:ascii="宋体" w:hAnsi="宋体"/>
          <w:sz w:val="24"/>
        </w:rPr>
        <w:t>：____________________________</w:t>
      </w:r>
    </w:p>
    <w:p>
      <w:pPr>
        <w:spacing w:line="500" w:lineRule="exact"/>
        <w:rPr>
          <w:rFonts w:ascii="宋体" w:hAnsi="宋体"/>
          <w:sz w:val="24"/>
        </w:rPr>
      </w:pPr>
      <w:r>
        <w:rPr>
          <w:rFonts w:hint="eastAsia" w:ascii="宋体" w:hAnsi="宋体"/>
          <w:spacing w:val="40"/>
          <w:kern w:val="0"/>
          <w:sz w:val="24"/>
        </w:rPr>
        <w:t xml:space="preserve">成立时间：  </w:t>
      </w:r>
      <w:r>
        <w:rPr>
          <w:rFonts w:hint="eastAsia" w:ascii="宋体" w:hAnsi="宋体"/>
          <w:sz w:val="24"/>
        </w:rPr>
        <w:t>年   月   日</w:t>
      </w:r>
    </w:p>
    <w:p>
      <w:pPr>
        <w:spacing w:line="500" w:lineRule="exact"/>
        <w:rPr>
          <w:rFonts w:ascii="宋体" w:hAnsi="宋体"/>
          <w:sz w:val="24"/>
        </w:rPr>
      </w:pPr>
      <w:r>
        <w:rPr>
          <w:rFonts w:hint="eastAsia" w:ascii="宋体" w:hAnsi="宋体"/>
          <w:sz w:val="24"/>
        </w:rPr>
        <w:t>经营期限：_________________________  ___</w:t>
      </w:r>
    </w:p>
    <w:p>
      <w:pPr>
        <w:spacing w:line="500" w:lineRule="exact"/>
        <w:rPr>
          <w:rFonts w:ascii="宋体" w:hAnsi="宋体"/>
          <w:sz w:val="24"/>
        </w:rPr>
      </w:pPr>
      <w:r>
        <w:rPr>
          <w:rFonts w:hint="eastAsia" w:ascii="宋体" w:hAnsi="宋体"/>
          <w:sz w:val="24"/>
        </w:rPr>
        <w:t>姓名：</w:t>
      </w:r>
      <w:r>
        <w:rPr>
          <w:rFonts w:hint="eastAsia" w:ascii="宋体" w:hAnsi="宋体"/>
          <w:sz w:val="24"/>
          <w:u w:val="single"/>
        </w:rPr>
        <w:t xml:space="preserve"> （法定代表人亲笔签名） </w:t>
      </w:r>
      <w:r>
        <w:rPr>
          <w:rFonts w:hint="eastAsia" w:ascii="宋体" w:hAnsi="宋体"/>
          <w:sz w:val="24"/>
        </w:rPr>
        <w:t xml:space="preserve">  性别：</w:t>
      </w:r>
      <w:r>
        <w:rPr>
          <w:rFonts w:hint="eastAsia" w:ascii="宋体" w:hAnsi="宋体"/>
          <w:sz w:val="24"/>
          <w:u w:val="single"/>
        </w:rPr>
        <w:t>______</w:t>
      </w:r>
      <w:r>
        <w:rPr>
          <w:rFonts w:hint="eastAsia" w:ascii="宋体" w:hAnsi="宋体"/>
          <w:sz w:val="24"/>
        </w:rPr>
        <w:t>年龄：</w:t>
      </w:r>
      <w:r>
        <w:rPr>
          <w:rFonts w:hint="eastAsia" w:ascii="宋体" w:hAnsi="宋体"/>
          <w:sz w:val="24"/>
          <w:u w:val="single"/>
        </w:rPr>
        <w:t>______</w:t>
      </w:r>
      <w:r>
        <w:rPr>
          <w:rFonts w:hint="eastAsia" w:ascii="宋体" w:hAnsi="宋体"/>
          <w:sz w:val="24"/>
        </w:rPr>
        <w:t>职务：</w:t>
      </w:r>
      <w:r>
        <w:rPr>
          <w:rFonts w:hint="eastAsia" w:ascii="宋体" w:hAnsi="宋体"/>
          <w:sz w:val="24"/>
          <w:u w:val="single"/>
        </w:rPr>
        <w:t>______</w:t>
      </w:r>
    </w:p>
    <w:p>
      <w:pPr>
        <w:spacing w:line="500" w:lineRule="exact"/>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（投标人名称）的法定代表人。</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特此证明。</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 xml:space="preserve">                             投标人：（盖单位章）</w:t>
      </w:r>
    </w:p>
    <w:p>
      <w:pPr>
        <w:spacing w:line="500" w:lineRule="exact"/>
        <w:rPr>
          <w:rFonts w:ascii="宋体" w:hAnsi="宋体"/>
          <w:sz w:val="24"/>
        </w:rPr>
      </w:pPr>
    </w:p>
    <w:p>
      <w:pPr>
        <w:spacing w:line="400" w:lineRule="exact"/>
        <w:ind w:firstLine="4200" w:firstLineChars="1750"/>
        <w:rPr>
          <w:rFonts w:ascii="宋体" w:hAnsi="宋体"/>
          <w:sz w:val="24"/>
        </w:rPr>
      </w:pPr>
      <w:r>
        <w:rPr>
          <w:rFonts w:hint="eastAsia" w:ascii="宋体" w:hAnsi="宋体"/>
          <w:sz w:val="24"/>
        </w:rPr>
        <w:t>年   月  日</w:t>
      </w:r>
    </w:p>
    <w:p>
      <w:pPr>
        <w:spacing w:line="400" w:lineRule="exact"/>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注：法定代表人的签字必须是亲笔签名，不得使用印章、签名章或其他电子制版签名。</w:t>
      </w:r>
    </w:p>
    <w:p>
      <w:pPr>
        <w:rPr>
          <w:rFonts w:ascii="宋体" w:hAnsi="宋体"/>
          <w:sz w:val="24"/>
        </w:rPr>
      </w:pPr>
    </w:p>
    <w:p>
      <w:pPr>
        <w:jc w:val="center"/>
        <w:rPr>
          <w:b/>
          <w:sz w:val="32"/>
          <w:szCs w:val="32"/>
        </w:rPr>
      </w:pPr>
      <w:r>
        <w:rPr>
          <w:rFonts w:ascii="宋体" w:hAnsi="宋体"/>
          <w:sz w:val="24"/>
        </w:rPr>
        <w:br w:type="page"/>
      </w:r>
      <w:r>
        <w:rPr>
          <w:rFonts w:hint="eastAsia" w:ascii="黑体" w:hAnsi="宋体" w:eastAsia="黑体"/>
          <w:b/>
          <w:bCs/>
          <w:kern w:val="44"/>
          <w:sz w:val="28"/>
          <w:szCs w:val="28"/>
        </w:rPr>
        <w:t>（二）授权委托书</w:t>
      </w:r>
    </w:p>
    <w:p>
      <w:pPr>
        <w:spacing w:line="500" w:lineRule="exact"/>
        <w:rPr>
          <w:rFonts w:ascii="宋体" w:hAnsi="宋体"/>
          <w:sz w:val="24"/>
        </w:rPr>
      </w:pPr>
    </w:p>
    <w:p>
      <w:pPr>
        <w:spacing w:line="500" w:lineRule="exact"/>
        <w:ind w:firstLine="480" w:firstLineChars="200"/>
        <w:rPr>
          <w:rFonts w:ascii="宋体" w:hAnsi="宋体"/>
          <w:sz w:val="24"/>
        </w:rPr>
      </w:pPr>
      <w:r>
        <w:rPr>
          <w:rFonts w:hint="eastAsia" w:ascii="宋体" w:hAnsi="宋体"/>
          <w:sz w:val="24"/>
        </w:rPr>
        <w:t>本人</w:t>
      </w:r>
      <w:r>
        <w:rPr>
          <w:rFonts w:hint="eastAsia" w:ascii="宋体" w:hAnsi="宋体"/>
          <w:sz w:val="24"/>
          <w:u w:val="single"/>
        </w:rPr>
        <w:t>_______</w:t>
      </w:r>
      <w:r>
        <w:rPr>
          <w:rFonts w:hint="eastAsia" w:ascii="宋体" w:hAnsi="宋体"/>
          <w:sz w:val="24"/>
        </w:rPr>
        <w:t>（姓名）系</w:t>
      </w:r>
      <w:r>
        <w:rPr>
          <w:rFonts w:hint="eastAsia" w:ascii="宋体" w:hAnsi="宋体"/>
          <w:sz w:val="24"/>
          <w:u w:val="single"/>
        </w:rPr>
        <w:t>_______</w:t>
      </w:r>
      <w:r>
        <w:rPr>
          <w:rFonts w:hint="eastAsia" w:ascii="宋体" w:hAnsi="宋体"/>
          <w:sz w:val="24"/>
        </w:rPr>
        <w:t>（投标人名称）的法定代表人，现委托</w:t>
      </w:r>
      <w:r>
        <w:rPr>
          <w:rFonts w:hint="eastAsia" w:ascii="宋体" w:hAnsi="宋体"/>
          <w:sz w:val="24"/>
          <w:u w:val="single"/>
        </w:rPr>
        <w:t>_______</w:t>
      </w:r>
      <w:r>
        <w:rPr>
          <w:rFonts w:hint="eastAsia" w:ascii="宋体" w:hAnsi="宋体"/>
          <w:sz w:val="24"/>
        </w:rPr>
        <w:t>（姓名）为我方代理人。代理人根据授权，以我方名义签署、澄清、递交、撤回、修改</w:t>
      </w:r>
      <w:r>
        <w:rPr>
          <w:rFonts w:hint="eastAsia" w:ascii="宋体" w:hAnsi="宋体"/>
          <w:sz w:val="24"/>
          <w:u w:val="single"/>
        </w:rPr>
        <w:t>_________</w:t>
      </w:r>
      <w:r>
        <w:rPr>
          <w:rFonts w:hint="eastAsia" w:ascii="宋体" w:hAnsi="宋体"/>
          <w:sz w:val="24"/>
        </w:rPr>
        <w:t>（项目名称）投标文件、签订合同和处理有关事宜，其法律后果由我方承担。</w:t>
      </w:r>
    </w:p>
    <w:p>
      <w:pPr>
        <w:spacing w:line="500" w:lineRule="exact"/>
        <w:ind w:firstLine="480" w:firstLineChars="200"/>
        <w:rPr>
          <w:rFonts w:ascii="宋体" w:hAnsi="宋体"/>
          <w:sz w:val="24"/>
        </w:rPr>
      </w:pPr>
      <w:r>
        <w:rPr>
          <w:rFonts w:hint="eastAsia" w:ascii="宋体" w:hAnsi="宋体"/>
          <w:sz w:val="24"/>
        </w:rPr>
        <w:t>委托期限：</w:t>
      </w:r>
      <w:r>
        <w:rPr>
          <w:rFonts w:hint="eastAsia" w:ascii="宋体" w:hAnsi="宋体"/>
          <w:sz w:val="24"/>
          <w:u w:val="single"/>
        </w:rPr>
        <w:t>_________</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代理人无转委托权。</w:t>
      </w:r>
    </w:p>
    <w:p>
      <w:pPr>
        <w:spacing w:line="500" w:lineRule="exact"/>
        <w:ind w:firstLine="480" w:firstLineChars="200"/>
        <w:rPr>
          <w:rFonts w:ascii="宋体" w:hAnsi="宋体"/>
          <w:sz w:val="24"/>
        </w:rPr>
      </w:pPr>
      <w:r>
        <w:rPr>
          <w:rFonts w:hint="eastAsia" w:ascii="宋体" w:hAnsi="宋体"/>
          <w:sz w:val="24"/>
        </w:rPr>
        <w:t>附：法定代表人身份证明</w:t>
      </w:r>
    </w:p>
    <w:p>
      <w:pPr>
        <w:spacing w:line="500" w:lineRule="exact"/>
        <w:rPr>
          <w:rFonts w:ascii="宋体" w:hAnsi="宋体"/>
          <w:sz w:val="24"/>
        </w:rPr>
      </w:pPr>
    </w:p>
    <w:p>
      <w:pPr>
        <w:spacing w:line="500" w:lineRule="exact"/>
        <w:rPr>
          <w:rFonts w:ascii="宋体" w:hAnsi="宋体"/>
          <w:sz w:val="24"/>
        </w:rPr>
      </w:pPr>
    </w:p>
    <w:p>
      <w:pPr>
        <w:spacing w:line="500" w:lineRule="exact"/>
        <w:ind w:firstLine="3856" w:firstLineChars="800"/>
        <w:rPr>
          <w:rFonts w:ascii="宋体" w:hAnsi="宋体"/>
          <w:sz w:val="24"/>
        </w:rPr>
      </w:pPr>
      <w:r>
        <w:rPr>
          <w:rFonts w:hint="eastAsia" w:ascii="宋体" w:hAnsi="宋体"/>
          <w:spacing w:val="121"/>
          <w:kern w:val="0"/>
          <w:sz w:val="24"/>
        </w:rPr>
        <w:t>投标</w:t>
      </w:r>
      <w:r>
        <w:rPr>
          <w:rFonts w:hint="eastAsia" w:ascii="宋体" w:hAnsi="宋体"/>
          <w:spacing w:val="-1"/>
          <w:kern w:val="0"/>
          <w:sz w:val="24"/>
        </w:rPr>
        <w:t>人</w:t>
      </w:r>
      <w:r>
        <w:rPr>
          <w:rFonts w:hint="eastAsia" w:ascii="宋体" w:hAnsi="宋体"/>
          <w:sz w:val="24"/>
        </w:rPr>
        <w:t>：</w:t>
      </w:r>
      <w:r>
        <w:rPr>
          <w:rFonts w:hint="eastAsia" w:ascii="宋体" w:hAnsi="宋体"/>
          <w:sz w:val="24"/>
          <w:u w:val="single"/>
        </w:rPr>
        <w:t xml:space="preserve">                       </w:t>
      </w:r>
      <w:r>
        <w:rPr>
          <w:rFonts w:hint="eastAsia" w:ascii="宋体" w:hAnsi="宋体"/>
          <w:sz w:val="24"/>
        </w:rPr>
        <w:t>（盖单位章）</w:t>
      </w:r>
    </w:p>
    <w:p>
      <w:pPr>
        <w:spacing w:line="500" w:lineRule="exact"/>
        <w:rPr>
          <w:rFonts w:ascii="宋体" w:hAnsi="宋体"/>
          <w:sz w:val="24"/>
        </w:rPr>
      </w:pPr>
      <w:r>
        <w:rPr>
          <w:rFonts w:hint="eastAsia" w:ascii="宋体" w:hAnsi="宋体"/>
          <w:sz w:val="24"/>
        </w:rPr>
        <w:t xml:space="preserve">                                法定代表人：（签字）</w:t>
      </w:r>
      <w:r>
        <w:rPr>
          <w:rFonts w:hint="eastAsia" w:ascii="宋体" w:hAnsi="宋体"/>
          <w:sz w:val="24"/>
          <w:u w:val="single"/>
        </w:rPr>
        <w:t xml:space="preserve">______    ___              </w:t>
      </w:r>
    </w:p>
    <w:p>
      <w:pPr>
        <w:spacing w:line="500" w:lineRule="exact"/>
        <w:rPr>
          <w:rFonts w:ascii="宋体" w:hAnsi="宋体"/>
          <w:sz w:val="24"/>
        </w:rPr>
      </w:pPr>
      <w:r>
        <w:rPr>
          <w:rFonts w:hint="eastAsia" w:ascii="宋体" w:hAnsi="宋体"/>
          <w:sz w:val="24"/>
        </w:rPr>
        <w:t xml:space="preserve">                                身份证号码：</w:t>
      </w:r>
      <w:r>
        <w:rPr>
          <w:rFonts w:hint="eastAsia" w:ascii="宋体" w:hAnsi="宋体"/>
          <w:sz w:val="24"/>
          <w:u w:val="single"/>
        </w:rPr>
        <w:t>__________         _          _____</w:t>
      </w:r>
    </w:p>
    <w:p>
      <w:pPr>
        <w:spacing w:line="500" w:lineRule="exact"/>
        <w:rPr>
          <w:rFonts w:ascii="宋体" w:hAnsi="宋体"/>
          <w:sz w:val="24"/>
        </w:rPr>
      </w:pPr>
      <w:r>
        <w:rPr>
          <w:rFonts w:hint="eastAsia" w:ascii="宋体" w:hAnsi="宋体"/>
          <w:sz w:val="24"/>
        </w:rPr>
        <w:t xml:space="preserve">                                委托代理人：（签字）</w:t>
      </w:r>
      <w:r>
        <w:rPr>
          <w:rFonts w:hint="eastAsia" w:ascii="宋体" w:hAnsi="宋体"/>
          <w:sz w:val="24"/>
          <w:u w:val="single"/>
        </w:rPr>
        <w:t>______                    ___</w:t>
      </w:r>
    </w:p>
    <w:p>
      <w:pPr>
        <w:spacing w:line="500" w:lineRule="exact"/>
        <w:rPr>
          <w:rFonts w:ascii="宋体" w:hAnsi="宋体"/>
          <w:sz w:val="24"/>
        </w:rPr>
      </w:pPr>
      <w:r>
        <w:rPr>
          <w:rFonts w:hint="eastAsia" w:ascii="宋体" w:hAnsi="宋体"/>
          <w:sz w:val="24"/>
        </w:rPr>
        <w:t xml:space="preserve">                                身份证号码：</w:t>
      </w:r>
      <w:r>
        <w:rPr>
          <w:rFonts w:hint="eastAsia" w:ascii="宋体" w:hAnsi="宋体"/>
          <w:sz w:val="24"/>
          <w:u w:val="single"/>
        </w:rPr>
        <w:t>_____________                    ___</w:t>
      </w:r>
    </w:p>
    <w:p>
      <w:pPr>
        <w:spacing w:line="500" w:lineRule="exact"/>
        <w:ind w:firstLine="4560" w:firstLineChars="1900"/>
        <w:rPr>
          <w:rFonts w:ascii="宋体" w:hAnsi="宋体"/>
          <w:sz w:val="24"/>
        </w:rPr>
      </w:pPr>
      <w:r>
        <w:rPr>
          <w:rFonts w:hint="eastAsia" w:ascii="宋体" w:hAnsi="宋体"/>
          <w:sz w:val="24"/>
        </w:rPr>
        <w:t>年   月   日</w:t>
      </w:r>
    </w:p>
    <w:p>
      <w:pPr>
        <w:spacing w:line="500" w:lineRule="exact"/>
        <w:rPr>
          <w:rFonts w:ascii="宋体" w:hAnsi="宋体"/>
          <w:sz w:val="24"/>
        </w:rPr>
      </w:pPr>
    </w:p>
    <w:p>
      <w:pPr>
        <w:rPr>
          <w:rFonts w:ascii="宋体" w:hAnsi="宋体"/>
          <w:sz w:val="24"/>
        </w:rPr>
      </w:pPr>
    </w:p>
    <w:p>
      <w:pPr>
        <w:spacing w:line="400" w:lineRule="exact"/>
        <w:ind w:firstLine="480" w:firstLineChars="200"/>
        <w:rPr>
          <w:rFonts w:ascii="宋体" w:hAnsi="宋体"/>
          <w:sz w:val="24"/>
        </w:rPr>
      </w:pPr>
      <w:r>
        <w:rPr>
          <w:rFonts w:hint="eastAsia" w:ascii="宋体" w:hAnsi="宋体"/>
          <w:sz w:val="24"/>
        </w:rPr>
        <w:t>注：</w:t>
      </w:r>
    </w:p>
    <w:p>
      <w:pPr>
        <w:spacing w:line="400" w:lineRule="exact"/>
        <w:ind w:firstLine="480" w:firstLineChars="200"/>
        <w:rPr>
          <w:rFonts w:ascii="宋体" w:hAnsi="宋体"/>
          <w:sz w:val="24"/>
        </w:rPr>
      </w:pPr>
      <w:r>
        <w:rPr>
          <w:rFonts w:hint="eastAsia" w:ascii="宋体" w:hAnsi="宋体"/>
          <w:sz w:val="24"/>
        </w:rPr>
        <w:t>1.法定代表人和委托代理人必须在授权书上亲笔签名，不得使用印章、签名章或其他电子制版签名；</w:t>
      </w:r>
    </w:p>
    <w:p>
      <w:pPr>
        <w:spacing w:line="400" w:lineRule="exact"/>
        <w:ind w:firstLine="480" w:firstLineChars="200"/>
        <w:rPr>
          <w:rFonts w:ascii="宋体" w:hAnsi="宋体"/>
          <w:sz w:val="24"/>
        </w:rPr>
      </w:pPr>
      <w:r>
        <w:rPr>
          <w:rFonts w:hint="eastAsia" w:ascii="宋体" w:hAnsi="宋体"/>
          <w:sz w:val="24"/>
        </w:rPr>
        <w:t>2.以联合体形式投标的，本授权委托书应由联合体牵头人的法定代表人按上述规定签署。</w:t>
      </w:r>
    </w:p>
    <w:p>
      <w:pPr>
        <w:rPr>
          <w:rFonts w:ascii="宋体" w:hAnsi="宋体"/>
          <w:sz w:val="24"/>
        </w:rPr>
      </w:pPr>
    </w:p>
    <w:p>
      <w:pPr>
        <w:pStyle w:val="4"/>
        <w:spacing w:beforeLines="100" w:afterLines="150" w:line="360" w:lineRule="exact"/>
        <w:jc w:val="center"/>
        <w:rPr>
          <w:rFonts w:ascii="黑体" w:hAnsi="宋体" w:eastAsia="黑体"/>
          <w:sz w:val="28"/>
          <w:szCs w:val="28"/>
        </w:rPr>
      </w:pPr>
      <w:bookmarkStart w:id="233" w:name="_Toc234382964"/>
      <w:r>
        <w:rPr>
          <w:rFonts w:ascii="黑体" w:hAnsi="宋体" w:eastAsia="黑体"/>
          <w:sz w:val="28"/>
          <w:szCs w:val="28"/>
        </w:rPr>
        <w:br w:type="page"/>
      </w:r>
      <w:bookmarkStart w:id="234" w:name="_Toc485889061"/>
      <w:bookmarkStart w:id="235" w:name="_Toc25686"/>
      <w:bookmarkStart w:id="236" w:name="_Toc486277928"/>
      <w:r>
        <w:rPr>
          <w:rFonts w:hint="eastAsia" w:ascii="黑体" w:hAnsi="宋体" w:eastAsia="黑体"/>
          <w:sz w:val="28"/>
          <w:szCs w:val="28"/>
        </w:rPr>
        <w:t>三</w:t>
      </w:r>
      <w:r>
        <w:rPr>
          <w:rFonts w:ascii="黑体" w:hAnsi="宋体" w:eastAsia="黑体"/>
          <w:sz w:val="28"/>
          <w:szCs w:val="28"/>
        </w:rPr>
        <w:t>、投标保证金</w:t>
      </w:r>
      <w:bookmarkEnd w:id="233"/>
      <w:bookmarkEnd w:id="234"/>
      <w:bookmarkEnd w:id="235"/>
      <w:bookmarkEnd w:id="236"/>
    </w:p>
    <w:p>
      <w:pPr>
        <w:autoSpaceDE w:val="0"/>
        <w:autoSpaceDN w:val="0"/>
        <w:adjustRightInd w:val="0"/>
        <w:spacing w:line="420" w:lineRule="exact"/>
        <w:jc w:val="left"/>
        <w:rPr>
          <w:rFonts w:ascii="宋体" w:hAnsi="宋体"/>
          <w:sz w:val="24"/>
        </w:rPr>
      </w:pPr>
      <w:r>
        <w:rPr>
          <w:rFonts w:hint="eastAsia" w:ascii="宋体" w:hAnsi="宋体"/>
          <w:sz w:val="24"/>
        </w:rPr>
        <w:t xml:space="preserve">     此处附投标人递交</w:t>
      </w:r>
      <w:r>
        <w:rPr>
          <w:rFonts w:hint="eastAsia" w:hAnsi="宋体" w:cs="仿宋_GB2312"/>
          <w:sz w:val="24"/>
          <w:szCs w:val="24"/>
        </w:rPr>
        <w:t>投标保证金有效缴纳凭证；</w:t>
      </w:r>
    </w:p>
    <w:p>
      <w:pPr>
        <w:pStyle w:val="4"/>
        <w:spacing w:beforeLines="100" w:afterLines="150" w:line="360" w:lineRule="exact"/>
        <w:jc w:val="center"/>
      </w:pPr>
      <w:r>
        <w:rPr>
          <w:rFonts w:ascii="宋体"/>
        </w:rPr>
        <w:br w:type="page"/>
      </w:r>
      <w:bookmarkStart w:id="237" w:name="_Toc234382966"/>
      <w:bookmarkStart w:id="238" w:name="_Toc486277929"/>
      <w:bookmarkStart w:id="239" w:name="_Toc19556"/>
      <w:bookmarkStart w:id="240" w:name="_Toc485889062"/>
      <w:r>
        <w:rPr>
          <w:rFonts w:hint="eastAsia" w:ascii="黑体" w:hAnsi="宋体" w:eastAsia="黑体"/>
          <w:sz w:val="28"/>
          <w:szCs w:val="28"/>
        </w:rPr>
        <w:t>四</w:t>
      </w:r>
      <w:r>
        <w:rPr>
          <w:rFonts w:ascii="黑体" w:hAnsi="宋体" w:eastAsia="黑体"/>
          <w:sz w:val="28"/>
          <w:szCs w:val="28"/>
        </w:rPr>
        <w:t>、施工组织设计</w:t>
      </w:r>
      <w:bookmarkEnd w:id="237"/>
      <w:bookmarkEnd w:id="238"/>
      <w:bookmarkEnd w:id="239"/>
      <w:bookmarkEnd w:id="240"/>
    </w:p>
    <w:p>
      <w:pPr>
        <w:spacing w:line="440" w:lineRule="exact"/>
        <w:rPr>
          <w:rFonts w:ascii="宋体" w:hAnsi="宋体"/>
          <w:sz w:val="24"/>
        </w:rPr>
      </w:pPr>
      <w:r>
        <w:rPr>
          <w:rFonts w:hint="eastAsia" w:ascii="宋体" w:hAnsi="宋体"/>
          <w:sz w:val="24"/>
        </w:rPr>
        <w:t>1、投标人应按以下要点编制施工组织设计；</w:t>
      </w:r>
    </w:p>
    <w:p>
      <w:pPr>
        <w:spacing w:line="440" w:lineRule="exact"/>
        <w:ind w:firstLine="480" w:firstLineChars="200"/>
        <w:rPr>
          <w:rFonts w:ascii="宋体" w:hAnsi="宋体"/>
          <w:sz w:val="24"/>
        </w:rPr>
      </w:pPr>
      <w:r>
        <w:rPr>
          <w:rFonts w:hint="eastAsia" w:ascii="宋体" w:hAnsi="宋体"/>
          <w:sz w:val="24"/>
        </w:rPr>
        <w:t>（1）总体施工组织布置及规划</w:t>
      </w:r>
    </w:p>
    <w:p>
      <w:pPr>
        <w:spacing w:line="440" w:lineRule="exact"/>
        <w:ind w:firstLine="480" w:firstLineChars="200"/>
        <w:rPr>
          <w:rFonts w:ascii="宋体" w:hAnsi="宋体"/>
          <w:sz w:val="24"/>
        </w:rPr>
      </w:pPr>
      <w:r>
        <w:rPr>
          <w:rFonts w:hint="eastAsia" w:ascii="宋体" w:hAnsi="宋体"/>
          <w:sz w:val="24"/>
        </w:rPr>
        <w:t>（2）主要工程项目的施工方案、方法与技术措施（尤其对重点、关键和难点工程的施工方案、方法及其措施）</w:t>
      </w:r>
    </w:p>
    <w:p>
      <w:pPr>
        <w:spacing w:line="440" w:lineRule="exact"/>
        <w:ind w:firstLine="480" w:firstLineChars="200"/>
        <w:rPr>
          <w:rFonts w:ascii="宋体" w:hAnsi="宋体"/>
          <w:sz w:val="24"/>
        </w:rPr>
      </w:pPr>
      <w:r>
        <w:rPr>
          <w:rFonts w:hint="eastAsia" w:ascii="宋体" w:hAnsi="宋体"/>
          <w:sz w:val="24"/>
        </w:rPr>
        <w:t>（3）工期的保证体系及保证措施</w:t>
      </w:r>
    </w:p>
    <w:p>
      <w:pPr>
        <w:spacing w:line="440" w:lineRule="exact"/>
        <w:ind w:firstLine="480" w:firstLineChars="200"/>
        <w:rPr>
          <w:rFonts w:ascii="宋体" w:hAnsi="宋体"/>
          <w:sz w:val="24"/>
        </w:rPr>
      </w:pPr>
      <w:r>
        <w:rPr>
          <w:rFonts w:hint="eastAsia" w:ascii="宋体" w:hAnsi="宋体"/>
          <w:sz w:val="24"/>
        </w:rPr>
        <w:t>（4）工程质量管理体系及保证措施</w:t>
      </w:r>
    </w:p>
    <w:p>
      <w:pPr>
        <w:spacing w:line="440" w:lineRule="exact"/>
        <w:ind w:firstLine="480" w:firstLineChars="200"/>
        <w:rPr>
          <w:rFonts w:ascii="宋体" w:hAnsi="宋体"/>
          <w:sz w:val="24"/>
        </w:rPr>
      </w:pPr>
      <w:r>
        <w:rPr>
          <w:rFonts w:hint="eastAsia" w:ascii="宋体" w:hAnsi="宋体"/>
          <w:sz w:val="24"/>
        </w:rPr>
        <w:t>（5）安全生产管理体系及保证措施</w:t>
      </w:r>
    </w:p>
    <w:p>
      <w:pPr>
        <w:spacing w:line="440" w:lineRule="exact"/>
        <w:ind w:firstLine="480" w:firstLineChars="200"/>
        <w:rPr>
          <w:rFonts w:ascii="宋体" w:hAnsi="宋体"/>
          <w:sz w:val="24"/>
        </w:rPr>
      </w:pPr>
      <w:r>
        <w:rPr>
          <w:rFonts w:hint="eastAsia" w:ascii="宋体" w:hAnsi="宋体"/>
          <w:sz w:val="24"/>
        </w:rPr>
        <w:t>（6）环境保护、水土保持保证体系及保证措施</w:t>
      </w:r>
      <w:r>
        <w:rPr>
          <w:rFonts w:hint="eastAsia" w:ascii="宋体" w:hAnsi="宋体"/>
          <w:b/>
          <w:bCs/>
          <w:sz w:val="24"/>
        </w:rPr>
        <w:t>（含扬尘治理措施）</w:t>
      </w:r>
    </w:p>
    <w:p>
      <w:pPr>
        <w:spacing w:line="440" w:lineRule="exact"/>
        <w:ind w:firstLine="480" w:firstLineChars="200"/>
        <w:rPr>
          <w:rFonts w:ascii="宋体" w:hAnsi="宋体"/>
          <w:sz w:val="24"/>
        </w:rPr>
      </w:pPr>
      <w:r>
        <w:rPr>
          <w:rFonts w:hint="eastAsia" w:ascii="宋体" w:hAnsi="宋体"/>
          <w:sz w:val="24"/>
        </w:rPr>
        <w:t>（7）文明施工、文物保护保证体系及保证措施</w:t>
      </w:r>
    </w:p>
    <w:p>
      <w:pPr>
        <w:spacing w:line="440" w:lineRule="exact"/>
        <w:ind w:firstLine="480" w:firstLineChars="200"/>
        <w:rPr>
          <w:rFonts w:ascii="宋体" w:hAnsi="宋体"/>
          <w:sz w:val="24"/>
        </w:rPr>
      </w:pPr>
      <w:r>
        <w:rPr>
          <w:rFonts w:hint="eastAsia" w:ascii="宋体" w:hAnsi="宋体"/>
          <w:sz w:val="24"/>
        </w:rPr>
        <w:t>（8）项目风险预测与防范，事故应急预案</w:t>
      </w:r>
    </w:p>
    <w:p>
      <w:pPr>
        <w:spacing w:line="440" w:lineRule="exact"/>
        <w:ind w:firstLine="480" w:firstLineChars="200"/>
        <w:rPr>
          <w:rFonts w:ascii="宋体" w:hAnsi="宋体"/>
          <w:sz w:val="24"/>
        </w:rPr>
      </w:pPr>
      <w:r>
        <w:rPr>
          <w:rFonts w:hint="eastAsia" w:ascii="宋体" w:hAnsi="宋体"/>
          <w:sz w:val="24"/>
        </w:rPr>
        <w:t>（9）其他应说明的事项</w:t>
      </w:r>
    </w:p>
    <w:p>
      <w:pPr>
        <w:spacing w:line="400"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施工组织设计除采用文字表述外可附下列图表，图表及格式要求附后。</w:t>
      </w:r>
    </w:p>
    <w:p>
      <w:pPr>
        <w:spacing w:line="400" w:lineRule="exact"/>
        <w:ind w:firstLine="480" w:firstLineChars="200"/>
        <w:rPr>
          <w:rFonts w:ascii="宋体" w:hAnsi="宋体"/>
          <w:sz w:val="24"/>
        </w:rPr>
      </w:pPr>
      <w:r>
        <w:rPr>
          <w:rFonts w:hint="eastAsia" w:ascii="宋体" w:hAnsi="宋体"/>
          <w:sz w:val="24"/>
        </w:rPr>
        <w:t xml:space="preserve">   附表一  施工总体计划表</w:t>
      </w:r>
    </w:p>
    <w:p>
      <w:pPr>
        <w:spacing w:line="400" w:lineRule="exact"/>
        <w:ind w:firstLine="480" w:firstLineChars="200"/>
        <w:rPr>
          <w:rFonts w:ascii="宋体" w:hAnsi="宋体"/>
          <w:sz w:val="24"/>
        </w:rPr>
      </w:pPr>
      <w:r>
        <w:rPr>
          <w:rFonts w:hint="eastAsia" w:ascii="宋体" w:hAnsi="宋体"/>
          <w:sz w:val="24"/>
        </w:rPr>
        <w:t xml:space="preserve">   附表二  分项工程进度率计划（斜率图） </w:t>
      </w:r>
    </w:p>
    <w:p>
      <w:pPr>
        <w:spacing w:line="400" w:lineRule="exact"/>
        <w:ind w:firstLine="480" w:firstLineChars="200"/>
        <w:rPr>
          <w:rFonts w:ascii="宋体" w:hAnsi="宋体"/>
          <w:sz w:val="24"/>
        </w:rPr>
      </w:pPr>
      <w:r>
        <w:rPr>
          <w:rFonts w:hint="eastAsia" w:ascii="宋体" w:hAnsi="宋体"/>
          <w:sz w:val="24"/>
        </w:rPr>
        <w:t xml:space="preserve">   附表三  工程管理曲线</w:t>
      </w:r>
    </w:p>
    <w:p>
      <w:pPr>
        <w:spacing w:line="400" w:lineRule="exact"/>
        <w:ind w:firstLine="480" w:firstLineChars="200"/>
        <w:rPr>
          <w:rFonts w:ascii="宋体" w:hAnsi="宋体"/>
          <w:sz w:val="24"/>
        </w:rPr>
      </w:pPr>
      <w:r>
        <w:rPr>
          <w:rFonts w:hint="eastAsia" w:ascii="宋体" w:hAnsi="宋体"/>
          <w:sz w:val="24"/>
        </w:rPr>
        <w:t xml:space="preserve">   附表四  分项工程生产率和施工周期表</w:t>
      </w:r>
    </w:p>
    <w:p>
      <w:pPr>
        <w:spacing w:line="400" w:lineRule="exact"/>
        <w:ind w:firstLine="480" w:firstLineChars="200"/>
        <w:rPr>
          <w:rFonts w:ascii="宋体" w:hAnsi="宋体"/>
          <w:sz w:val="24"/>
        </w:rPr>
      </w:pPr>
      <w:r>
        <w:rPr>
          <w:rFonts w:hint="eastAsia" w:ascii="宋体" w:hAnsi="宋体"/>
          <w:sz w:val="24"/>
        </w:rPr>
        <w:t xml:space="preserve">   附表五  施工总平面图</w:t>
      </w:r>
    </w:p>
    <w:p>
      <w:pPr>
        <w:spacing w:line="400" w:lineRule="exact"/>
        <w:ind w:firstLine="480" w:firstLineChars="200"/>
        <w:rPr>
          <w:rFonts w:ascii="宋体" w:hAnsi="宋体"/>
          <w:sz w:val="24"/>
        </w:rPr>
      </w:pPr>
      <w:r>
        <w:rPr>
          <w:rFonts w:hint="eastAsia" w:ascii="宋体" w:hAnsi="宋体"/>
          <w:sz w:val="24"/>
        </w:rPr>
        <w:t xml:space="preserve">   附表六  劳动力计划表</w:t>
      </w:r>
    </w:p>
    <w:p>
      <w:pPr>
        <w:spacing w:line="400" w:lineRule="exact"/>
        <w:ind w:firstLine="840" w:firstLineChars="350"/>
        <w:rPr>
          <w:rFonts w:ascii="宋体" w:hAnsi="宋体"/>
          <w:sz w:val="24"/>
        </w:rPr>
      </w:pPr>
      <w:r>
        <w:rPr>
          <w:rFonts w:hint="eastAsia" w:ascii="宋体" w:hAnsi="宋体"/>
          <w:sz w:val="24"/>
        </w:rPr>
        <w:t>附表七  临时用地计划表</w:t>
      </w:r>
    </w:p>
    <w:p>
      <w:pPr>
        <w:spacing w:line="400" w:lineRule="exact"/>
        <w:ind w:firstLine="840" w:firstLineChars="350"/>
        <w:rPr>
          <w:rFonts w:ascii="宋体" w:hAnsi="宋体"/>
          <w:sz w:val="24"/>
        </w:rPr>
      </w:pPr>
      <w:r>
        <w:rPr>
          <w:rFonts w:hint="eastAsia" w:ascii="宋体" w:hAnsi="宋体"/>
          <w:sz w:val="24"/>
        </w:rPr>
        <w:t>附表八  外供电力需求计划表</w:t>
      </w:r>
    </w:p>
    <w:p>
      <w:pPr>
        <w:spacing w:line="400" w:lineRule="exact"/>
        <w:ind w:firstLine="840" w:firstLineChars="350"/>
        <w:rPr>
          <w:rFonts w:ascii="宋体" w:hAnsi="宋体"/>
          <w:sz w:val="24"/>
        </w:rPr>
      </w:pPr>
      <w:r>
        <w:rPr>
          <w:rFonts w:hint="eastAsia" w:ascii="宋体" w:hAnsi="宋体"/>
          <w:sz w:val="24"/>
        </w:rPr>
        <w:t>附表九  合同用款估算表</w:t>
      </w: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sectPr>
          <w:headerReference r:id="rId6" w:type="first"/>
          <w:footerReference r:id="rId8" w:type="first"/>
          <w:footerReference r:id="rId7" w:type="default"/>
          <w:pgSz w:w="11906" w:h="16838"/>
          <w:pgMar w:top="1304" w:right="1134" w:bottom="1304" w:left="1247" w:header="851" w:footer="992" w:gutter="0"/>
          <w:pgNumType w:start="1"/>
          <w:cols w:space="425" w:num="1"/>
          <w:titlePg/>
          <w:docGrid w:type="lines" w:linePitch="312" w:charSpace="0"/>
        </w:sectPr>
      </w:pPr>
    </w:p>
    <w:p>
      <w:pPr>
        <w:pStyle w:val="5"/>
        <w:spacing w:before="120" w:after="120" w:line="377" w:lineRule="auto"/>
      </w:pPr>
      <w:r>
        <w:rPr>
          <w:rFonts w:hint="eastAsia"/>
        </w:rPr>
        <w:t>附表一   施工总体计划表</w:t>
      </w:r>
    </w:p>
    <w:tbl>
      <w:tblPr>
        <w:tblStyle w:val="16"/>
        <w:tblW w:w="148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6"/>
        <w:gridCol w:w="403"/>
        <w:gridCol w:w="403"/>
        <w:gridCol w:w="405"/>
        <w:gridCol w:w="405"/>
        <w:gridCol w:w="405"/>
        <w:gridCol w:w="405"/>
        <w:gridCol w:w="405"/>
        <w:gridCol w:w="405"/>
        <w:gridCol w:w="405"/>
        <w:gridCol w:w="426"/>
        <w:gridCol w:w="426"/>
        <w:gridCol w:w="429"/>
        <w:gridCol w:w="405"/>
        <w:gridCol w:w="405"/>
        <w:gridCol w:w="406"/>
        <w:gridCol w:w="406"/>
        <w:gridCol w:w="406"/>
        <w:gridCol w:w="406"/>
        <w:gridCol w:w="406"/>
        <w:gridCol w:w="406"/>
        <w:gridCol w:w="406"/>
        <w:gridCol w:w="427"/>
        <w:gridCol w:w="427"/>
        <w:gridCol w:w="450"/>
        <w:gridCol w:w="406"/>
        <w:gridCol w:w="406"/>
        <w:gridCol w:w="406"/>
        <w:gridCol w:w="406"/>
        <w:gridCol w:w="435"/>
        <w:gridCol w:w="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613" w:hRule="exact"/>
          <w:jc w:val="center"/>
        </w:trPr>
        <w:tc>
          <w:tcPr>
            <w:tcW w:w="2866" w:type="dxa"/>
            <w:tcBorders>
              <w:bottom w:val="single" w:color="auto" w:sz="6" w:space="0"/>
            </w:tcBorders>
            <w:vAlign w:val="center"/>
          </w:tcPr>
          <w:p>
            <w:pPr>
              <w:rPr>
                <w:rFonts w:ascii="宋体" w:hAnsi="宋体"/>
                <w:szCs w:val="21"/>
              </w:rPr>
            </w:pPr>
            <w:r>
              <w:rPr>
                <w:rFonts w:hint="eastAsia" w:ascii="宋体" w:hAnsi="宋体"/>
                <w:szCs w:val="21"/>
              </w:rPr>
              <w:t>年度</w:t>
            </w:r>
          </w:p>
        </w:tc>
        <w:tc>
          <w:tcPr>
            <w:tcW w:w="4922" w:type="dxa"/>
            <w:gridSpan w:val="12"/>
            <w:vAlign w:val="center"/>
          </w:tcPr>
          <w:p>
            <w:pPr>
              <w:rPr>
                <w:rFonts w:ascii="宋体" w:hAnsi="宋体"/>
                <w:szCs w:val="21"/>
              </w:rPr>
            </w:pPr>
            <w:r>
              <w:rPr>
                <w:rFonts w:hint="eastAsia" w:ascii="宋体" w:hAnsi="宋体"/>
                <w:szCs w:val="21"/>
              </w:rPr>
              <w:t>年</w:t>
            </w:r>
          </w:p>
        </w:tc>
        <w:tc>
          <w:tcPr>
            <w:tcW w:w="4956" w:type="dxa"/>
            <w:gridSpan w:val="12"/>
            <w:vAlign w:val="center"/>
          </w:tcPr>
          <w:p>
            <w:pPr>
              <w:rPr>
                <w:rFonts w:ascii="宋体" w:hAnsi="宋体"/>
                <w:szCs w:val="21"/>
              </w:rPr>
            </w:pPr>
            <w:r>
              <w:rPr>
                <w:rFonts w:hint="eastAsia" w:ascii="宋体" w:hAnsi="宋体"/>
                <w:szCs w:val="21"/>
              </w:rPr>
              <w:t>年</w:t>
            </w:r>
          </w:p>
        </w:tc>
        <w:tc>
          <w:tcPr>
            <w:tcW w:w="2059" w:type="dxa"/>
            <w:gridSpan w:val="5"/>
            <w:vAlign w:val="center"/>
          </w:tcPr>
          <w:p>
            <w:pP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74" w:hRule="exact"/>
          <w:jc w:val="center"/>
        </w:trPr>
        <w:tc>
          <w:tcPr>
            <w:tcW w:w="2866" w:type="dxa"/>
            <w:tcBorders>
              <w:top w:val="single" w:color="auto" w:sz="6" w:space="0"/>
              <w:bottom w:val="single" w:color="auto" w:sz="6" w:space="0"/>
              <w:tl2br w:val="single" w:color="auto" w:sz="6" w:space="0"/>
            </w:tcBorders>
            <w:vAlign w:val="center"/>
          </w:tcPr>
          <w:p>
            <w:pPr>
              <w:rPr>
                <w:rFonts w:ascii="宋体" w:hAnsi="宋体"/>
                <w:szCs w:val="21"/>
              </w:rPr>
            </w:pPr>
            <w:r>
              <w:rPr>
                <w:rFonts w:hint="eastAsia" w:ascii="宋体" w:hAnsi="宋体"/>
                <w:szCs w:val="21"/>
              </w:rPr>
              <w:t xml:space="preserve">                    月份</w:t>
            </w:r>
          </w:p>
          <w:p>
            <w:pPr>
              <w:jc w:val="left"/>
              <w:rPr>
                <w:rFonts w:ascii="宋体" w:hAnsi="宋体"/>
                <w:szCs w:val="21"/>
              </w:rPr>
            </w:pPr>
          </w:p>
          <w:p>
            <w:pPr>
              <w:jc w:val="left"/>
              <w:rPr>
                <w:rFonts w:ascii="宋体" w:hAnsi="宋体"/>
                <w:szCs w:val="21"/>
              </w:rPr>
            </w:pPr>
            <w:r>
              <w:rPr>
                <w:rFonts w:hint="eastAsia" w:ascii="宋体" w:hAnsi="宋体"/>
                <w:szCs w:val="21"/>
              </w:rPr>
              <w:t>主要工程项目</w:t>
            </w:r>
          </w:p>
        </w:tc>
        <w:tc>
          <w:tcPr>
            <w:tcW w:w="403" w:type="dxa"/>
            <w:vAlign w:val="center"/>
          </w:tcPr>
          <w:p>
            <w:pPr>
              <w:rPr>
                <w:rFonts w:ascii="宋体" w:hAnsi="宋体"/>
                <w:szCs w:val="21"/>
              </w:rPr>
            </w:pPr>
            <w:r>
              <w:rPr>
                <w:rFonts w:hint="eastAsia" w:ascii="宋体" w:hAnsi="宋体"/>
                <w:szCs w:val="21"/>
              </w:rPr>
              <w:t>1</w:t>
            </w:r>
          </w:p>
        </w:tc>
        <w:tc>
          <w:tcPr>
            <w:tcW w:w="403" w:type="dxa"/>
            <w:vAlign w:val="center"/>
          </w:tcPr>
          <w:p>
            <w:pPr>
              <w:rPr>
                <w:rFonts w:ascii="宋体" w:hAnsi="宋体"/>
                <w:szCs w:val="21"/>
              </w:rPr>
            </w:pPr>
            <w:r>
              <w:rPr>
                <w:rFonts w:hint="eastAsia" w:ascii="宋体" w:hAnsi="宋体"/>
                <w:szCs w:val="21"/>
              </w:rPr>
              <w:t>2</w:t>
            </w:r>
          </w:p>
        </w:tc>
        <w:tc>
          <w:tcPr>
            <w:tcW w:w="405" w:type="dxa"/>
            <w:vAlign w:val="center"/>
          </w:tcPr>
          <w:p>
            <w:pPr>
              <w:rPr>
                <w:rFonts w:ascii="宋体" w:hAnsi="宋体"/>
                <w:szCs w:val="21"/>
              </w:rPr>
            </w:pPr>
            <w:r>
              <w:rPr>
                <w:rFonts w:hint="eastAsia" w:ascii="宋体" w:hAnsi="宋体"/>
                <w:szCs w:val="21"/>
              </w:rPr>
              <w:t>3</w:t>
            </w:r>
          </w:p>
        </w:tc>
        <w:tc>
          <w:tcPr>
            <w:tcW w:w="405" w:type="dxa"/>
            <w:vAlign w:val="center"/>
          </w:tcPr>
          <w:p>
            <w:pPr>
              <w:rPr>
                <w:rFonts w:ascii="宋体" w:hAnsi="宋体"/>
                <w:szCs w:val="21"/>
              </w:rPr>
            </w:pPr>
            <w:r>
              <w:rPr>
                <w:rFonts w:hint="eastAsia" w:ascii="宋体" w:hAnsi="宋体"/>
                <w:szCs w:val="21"/>
              </w:rPr>
              <w:t>4</w:t>
            </w:r>
          </w:p>
        </w:tc>
        <w:tc>
          <w:tcPr>
            <w:tcW w:w="405" w:type="dxa"/>
            <w:vAlign w:val="center"/>
          </w:tcPr>
          <w:p>
            <w:pPr>
              <w:rPr>
                <w:rFonts w:ascii="宋体" w:hAnsi="宋体"/>
                <w:szCs w:val="21"/>
              </w:rPr>
            </w:pPr>
            <w:r>
              <w:rPr>
                <w:rFonts w:hint="eastAsia" w:ascii="宋体" w:hAnsi="宋体"/>
                <w:szCs w:val="21"/>
              </w:rPr>
              <w:t>5</w:t>
            </w:r>
          </w:p>
        </w:tc>
        <w:tc>
          <w:tcPr>
            <w:tcW w:w="405" w:type="dxa"/>
            <w:vAlign w:val="center"/>
          </w:tcPr>
          <w:p>
            <w:pPr>
              <w:rPr>
                <w:rFonts w:ascii="宋体" w:hAnsi="宋体"/>
                <w:szCs w:val="21"/>
              </w:rPr>
            </w:pPr>
            <w:r>
              <w:rPr>
                <w:rFonts w:hint="eastAsia" w:ascii="宋体" w:hAnsi="宋体"/>
                <w:szCs w:val="21"/>
              </w:rPr>
              <w:t>6</w:t>
            </w:r>
          </w:p>
        </w:tc>
        <w:tc>
          <w:tcPr>
            <w:tcW w:w="405" w:type="dxa"/>
            <w:vAlign w:val="center"/>
          </w:tcPr>
          <w:p>
            <w:pPr>
              <w:rPr>
                <w:rFonts w:ascii="宋体" w:hAnsi="宋体"/>
                <w:szCs w:val="21"/>
              </w:rPr>
            </w:pPr>
            <w:r>
              <w:rPr>
                <w:rFonts w:hint="eastAsia" w:ascii="宋体" w:hAnsi="宋体"/>
                <w:szCs w:val="21"/>
              </w:rPr>
              <w:t>7</w:t>
            </w:r>
          </w:p>
        </w:tc>
        <w:tc>
          <w:tcPr>
            <w:tcW w:w="405" w:type="dxa"/>
            <w:vAlign w:val="center"/>
          </w:tcPr>
          <w:p>
            <w:pPr>
              <w:rPr>
                <w:rFonts w:ascii="宋体" w:hAnsi="宋体"/>
                <w:szCs w:val="21"/>
              </w:rPr>
            </w:pPr>
            <w:r>
              <w:rPr>
                <w:rFonts w:hint="eastAsia" w:ascii="宋体" w:hAnsi="宋体"/>
                <w:szCs w:val="21"/>
              </w:rPr>
              <w:t>8</w:t>
            </w:r>
          </w:p>
        </w:tc>
        <w:tc>
          <w:tcPr>
            <w:tcW w:w="405" w:type="dxa"/>
            <w:vAlign w:val="center"/>
          </w:tcPr>
          <w:p>
            <w:pPr>
              <w:rPr>
                <w:rFonts w:ascii="宋体" w:hAnsi="宋体"/>
                <w:szCs w:val="21"/>
              </w:rPr>
            </w:pPr>
            <w:r>
              <w:rPr>
                <w:rFonts w:hint="eastAsia" w:ascii="宋体" w:hAnsi="宋体"/>
                <w:szCs w:val="21"/>
              </w:rPr>
              <w:t>9</w:t>
            </w:r>
          </w:p>
        </w:tc>
        <w:tc>
          <w:tcPr>
            <w:tcW w:w="426" w:type="dxa"/>
            <w:vAlign w:val="center"/>
          </w:tcPr>
          <w:p>
            <w:pPr>
              <w:rPr>
                <w:rFonts w:ascii="宋体" w:hAnsi="宋体"/>
                <w:szCs w:val="21"/>
              </w:rPr>
            </w:pPr>
            <w:r>
              <w:rPr>
                <w:rFonts w:hint="eastAsia" w:ascii="宋体" w:hAnsi="宋体"/>
                <w:szCs w:val="21"/>
              </w:rPr>
              <w:t>10</w:t>
            </w:r>
          </w:p>
        </w:tc>
        <w:tc>
          <w:tcPr>
            <w:tcW w:w="426" w:type="dxa"/>
            <w:vAlign w:val="center"/>
          </w:tcPr>
          <w:p>
            <w:pPr>
              <w:rPr>
                <w:rFonts w:ascii="宋体" w:hAnsi="宋体"/>
                <w:szCs w:val="21"/>
              </w:rPr>
            </w:pPr>
            <w:r>
              <w:rPr>
                <w:rFonts w:hint="eastAsia" w:ascii="宋体" w:hAnsi="宋体"/>
                <w:szCs w:val="21"/>
              </w:rPr>
              <w:t>11</w:t>
            </w:r>
          </w:p>
        </w:tc>
        <w:tc>
          <w:tcPr>
            <w:tcW w:w="429" w:type="dxa"/>
            <w:vAlign w:val="center"/>
          </w:tcPr>
          <w:p>
            <w:pPr>
              <w:rPr>
                <w:rFonts w:ascii="宋体" w:hAnsi="宋体"/>
                <w:szCs w:val="21"/>
              </w:rPr>
            </w:pPr>
            <w:r>
              <w:rPr>
                <w:rFonts w:hint="eastAsia" w:ascii="宋体" w:hAnsi="宋体"/>
                <w:szCs w:val="21"/>
              </w:rPr>
              <w:t>12</w:t>
            </w:r>
          </w:p>
        </w:tc>
        <w:tc>
          <w:tcPr>
            <w:tcW w:w="405" w:type="dxa"/>
            <w:vAlign w:val="center"/>
          </w:tcPr>
          <w:p>
            <w:pPr>
              <w:rPr>
                <w:rFonts w:ascii="宋体" w:hAnsi="宋体"/>
                <w:szCs w:val="21"/>
              </w:rPr>
            </w:pPr>
            <w:r>
              <w:rPr>
                <w:rFonts w:hint="eastAsia" w:ascii="宋体" w:hAnsi="宋体"/>
                <w:szCs w:val="21"/>
              </w:rPr>
              <w:t>1</w:t>
            </w:r>
          </w:p>
        </w:tc>
        <w:tc>
          <w:tcPr>
            <w:tcW w:w="405" w:type="dxa"/>
            <w:vAlign w:val="center"/>
          </w:tcPr>
          <w:p>
            <w:pPr>
              <w:rPr>
                <w:rFonts w:ascii="宋体" w:hAnsi="宋体"/>
                <w:szCs w:val="21"/>
              </w:rPr>
            </w:pPr>
            <w:r>
              <w:rPr>
                <w:rFonts w:hint="eastAsia" w:ascii="宋体" w:hAnsi="宋体"/>
                <w:szCs w:val="21"/>
              </w:rPr>
              <w:t>2</w:t>
            </w:r>
          </w:p>
        </w:tc>
        <w:tc>
          <w:tcPr>
            <w:tcW w:w="406" w:type="dxa"/>
            <w:vAlign w:val="center"/>
          </w:tcPr>
          <w:p>
            <w:pPr>
              <w:rPr>
                <w:rFonts w:ascii="宋体" w:hAnsi="宋体"/>
                <w:szCs w:val="21"/>
              </w:rPr>
            </w:pPr>
            <w:r>
              <w:rPr>
                <w:rFonts w:hint="eastAsia" w:ascii="宋体" w:hAnsi="宋体"/>
                <w:szCs w:val="21"/>
              </w:rPr>
              <w:t>3</w:t>
            </w:r>
          </w:p>
        </w:tc>
        <w:tc>
          <w:tcPr>
            <w:tcW w:w="406" w:type="dxa"/>
            <w:vAlign w:val="center"/>
          </w:tcPr>
          <w:p>
            <w:pPr>
              <w:rPr>
                <w:rFonts w:ascii="宋体" w:hAnsi="宋体"/>
                <w:szCs w:val="21"/>
              </w:rPr>
            </w:pPr>
            <w:r>
              <w:rPr>
                <w:rFonts w:hint="eastAsia" w:ascii="宋体" w:hAnsi="宋体"/>
                <w:szCs w:val="21"/>
              </w:rPr>
              <w:t>4</w:t>
            </w:r>
          </w:p>
        </w:tc>
        <w:tc>
          <w:tcPr>
            <w:tcW w:w="406" w:type="dxa"/>
            <w:vAlign w:val="center"/>
          </w:tcPr>
          <w:p>
            <w:pPr>
              <w:rPr>
                <w:rFonts w:ascii="宋体" w:hAnsi="宋体"/>
                <w:szCs w:val="21"/>
              </w:rPr>
            </w:pPr>
            <w:r>
              <w:rPr>
                <w:rFonts w:hint="eastAsia" w:ascii="宋体" w:hAnsi="宋体"/>
                <w:szCs w:val="21"/>
              </w:rPr>
              <w:t>5</w:t>
            </w:r>
          </w:p>
        </w:tc>
        <w:tc>
          <w:tcPr>
            <w:tcW w:w="406" w:type="dxa"/>
            <w:vAlign w:val="center"/>
          </w:tcPr>
          <w:p>
            <w:pPr>
              <w:rPr>
                <w:rFonts w:ascii="宋体" w:hAnsi="宋体"/>
                <w:szCs w:val="21"/>
              </w:rPr>
            </w:pPr>
            <w:r>
              <w:rPr>
                <w:rFonts w:hint="eastAsia" w:ascii="宋体" w:hAnsi="宋体"/>
                <w:szCs w:val="21"/>
              </w:rPr>
              <w:t>6</w:t>
            </w:r>
          </w:p>
        </w:tc>
        <w:tc>
          <w:tcPr>
            <w:tcW w:w="406" w:type="dxa"/>
            <w:vAlign w:val="center"/>
          </w:tcPr>
          <w:p>
            <w:pPr>
              <w:rPr>
                <w:rFonts w:ascii="宋体" w:hAnsi="宋体"/>
                <w:szCs w:val="21"/>
              </w:rPr>
            </w:pPr>
            <w:r>
              <w:rPr>
                <w:rFonts w:hint="eastAsia" w:ascii="宋体" w:hAnsi="宋体"/>
                <w:szCs w:val="21"/>
              </w:rPr>
              <w:t>7</w:t>
            </w:r>
          </w:p>
        </w:tc>
        <w:tc>
          <w:tcPr>
            <w:tcW w:w="406" w:type="dxa"/>
            <w:vAlign w:val="center"/>
          </w:tcPr>
          <w:p>
            <w:pPr>
              <w:rPr>
                <w:rFonts w:ascii="宋体" w:hAnsi="宋体"/>
                <w:szCs w:val="21"/>
              </w:rPr>
            </w:pPr>
            <w:r>
              <w:rPr>
                <w:rFonts w:hint="eastAsia" w:ascii="宋体" w:hAnsi="宋体"/>
                <w:szCs w:val="21"/>
              </w:rPr>
              <w:t>8</w:t>
            </w:r>
          </w:p>
        </w:tc>
        <w:tc>
          <w:tcPr>
            <w:tcW w:w="406" w:type="dxa"/>
            <w:vAlign w:val="center"/>
          </w:tcPr>
          <w:p>
            <w:pPr>
              <w:rPr>
                <w:rFonts w:ascii="宋体" w:hAnsi="宋体"/>
                <w:szCs w:val="21"/>
              </w:rPr>
            </w:pPr>
            <w:r>
              <w:rPr>
                <w:rFonts w:hint="eastAsia" w:ascii="宋体" w:hAnsi="宋体"/>
                <w:szCs w:val="21"/>
              </w:rPr>
              <w:t>9</w:t>
            </w:r>
          </w:p>
        </w:tc>
        <w:tc>
          <w:tcPr>
            <w:tcW w:w="427" w:type="dxa"/>
            <w:vAlign w:val="center"/>
          </w:tcPr>
          <w:p>
            <w:pPr>
              <w:rPr>
                <w:rFonts w:ascii="宋体" w:hAnsi="宋体"/>
                <w:szCs w:val="21"/>
              </w:rPr>
            </w:pPr>
            <w:r>
              <w:rPr>
                <w:rFonts w:hint="eastAsia" w:ascii="宋体" w:hAnsi="宋体"/>
                <w:szCs w:val="21"/>
              </w:rPr>
              <w:t>10</w:t>
            </w:r>
          </w:p>
        </w:tc>
        <w:tc>
          <w:tcPr>
            <w:tcW w:w="427" w:type="dxa"/>
            <w:vAlign w:val="center"/>
          </w:tcPr>
          <w:p>
            <w:pPr>
              <w:rPr>
                <w:rFonts w:ascii="宋体" w:hAnsi="宋体"/>
                <w:szCs w:val="21"/>
              </w:rPr>
            </w:pPr>
            <w:r>
              <w:rPr>
                <w:rFonts w:hint="eastAsia" w:ascii="宋体" w:hAnsi="宋体"/>
                <w:szCs w:val="21"/>
              </w:rPr>
              <w:t>11</w:t>
            </w:r>
          </w:p>
        </w:tc>
        <w:tc>
          <w:tcPr>
            <w:tcW w:w="450" w:type="dxa"/>
            <w:vAlign w:val="center"/>
          </w:tcPr>
          <w:p>
            <w:pPr>
              <w:rPr>
                <w:rFonts w:ascii="宋体" w:hAnsi="宋体"/>
                <w:szCs w:val="21"/>
              </w:rPr>
            </w:pPr>
            <w:r>
              <w:rPr>
                <w:rFonts w:hint="eastAsia" w:ascii="宋体" w:hAnsi="宋体"/>
                <w:szCs w:val="21"/>
              </w:rPr>
              <w:t>12</w:t>
            </w:r>
          </w:p>
        </w:tc>
        <w:tc>
          <w:tcPr>
            <w:tcW w:w="406" w:type="dxa"/>
            <w:vAlign w:val="center"/>
          </w:tcPr>
          <w:p>
            <w:pPr>
              <w:rPr>
                <w:rFonts w:ascii="宋体" w:hAnsi="宋体"/>
                <w:szCs w:val="21"/>
              </w:rPr>
            </w:pPr>
            <w:r>
              <w:rPr>
                <w:rFonts w:hint="eastAsia" w:ascii="宋体" w:hAnsi="宋体"/>
                <w:szCs w:val="21"/>
              </w:rPr>
              <w:t>1</w:t>
            </w:r>
          </w:p>
        </w:tc>
        <w:tc>
          <w:tcPr>
            <w:tcW w:w="406" w:type="dxa"/>
            <w:vAlign w:val="center"/>
          </w:tcPr>
          <w:p>
            <w:pPr>
              <w:rPr>
                <w:rFonts w:ascii="宋体" w:hAnsi="宋体"/>
                <w:szCs w:val="21"/>
              </w:rPr>
            </w:pPr>
            <w:r>
              <w:rPr>
                <w:rFonts w:hint="eastAsia" w:ascii="宋体" w:hAnsi="宋体"/>
                <w:szCs w:val="21"/>
              </w:rPr>
              <w:t>2</w:t>
            </w:r>
          </w:p>
        </w:tc>
        <w:tc>
          <w:tcPr>
            <w:tcW w:w="406" w:type="dxa"/>
            <w:vAlign w:val="center"/>
          </w:tcPr>
          <w:p>
            <w:pPr>
              <w:rPr>
                <w:rFonts w:ascii="宋体" w:hAnsi="宋体"/>
                <w:szCs w:val="21"/>
              </w:rPr>
            </w:pPr>
            <w:r>
              <w:rPr>
                <w:rFonts w:hint="eastAsia" w:ascii="宋体" w:hAnsi="宋体"/>
                <w:szCs w:val="21"/>
              </w:rPr>
              <w:t>3</w:t>
            </w:r>
          </w:p>
        </w:tc>
        <w:tc>
          <w:tcPr>
            <w:tcW w:w="406" w:type="dxa"/>
            <w:vAlign w:val="center"/>
          </w:tcPr>
          <w:p>
            <w:pPr>
              <w:rPr>
                <w:rFonts w:ascii="宋体" w:hAnsi="宋体"/>
                <w:szCs w:val="21"/>
              </w:rPr>
            </w:pPr>
            <w:r>
              <w:rPr>
                <w:rFonts w:hint="eastAsia" w:ascii="宋体" w:hAnsi="宋体"/>
                <w:szCs w:val="21"/>
              </w:rPr>
              <w:t>4</w:t>
            </w:r>
          </w:p>
        </w:tc>
        <w:tc>
          <w:tcPr>
            <w:tcW w:w="444" w:type="dxa"/>
            <w:gridSpan w:val="2"/>
            <w:vAlign w:val="center"/>
          </w:tcPr>
          <w:p>
            <w:pP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tcBorders>
              <w:top w:val="single" w:color="auto" w:sz="6" w:space="0"/>
            </w:tcBorders>
            <w:vAlign w:val="center"/>
          </w:tcPr>
          <w:p>
            <w:pPr>
              <w:ind w:left="105" w:leftChars="50"/>
              <w:rPr>
                <w:rFonts w:ascii="宋体" w:hAnsi="宋体"/>
                <w:szCs w:val="21"/>
              </w:rPr>
            </w:pPr>
            <w:r>
              <w:rPr>
                <w:rFonts w:hint="eastAsia" w:ascii="宋体" w:hAnsi="宋体"/>
                <w:szCs w:val="21"/>
              </w:rPr>
              <w:t>1.施工准备</w:t>
            </w:r>
          </w:p>
        </w:tc>
        <w:tc>
          <w:tcPr>
            <w:tcW w:w="403" w:type="dxa"/>
            <w:vAlign w:val="center"/>
          </w:tcPr>
          <w:p>
            <w:pPr>
              <w:rPr>
                <w:rFonts w:ascii="宋体" w:hAnsi="宋体"/>
                <w:szCs w:val="21"/>
              </w:rPr>
            </w:pPr>
          </w:p>
        </w:tc>
        <w:tc>
          <w:tcPr>
            <w:tcW w:w="403"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26" w:type="dxa"/>
            <w:vAlign w:val="center"/>
          </w:tcPr>
          <w:p>
            <w:pPr>
              <w:rPr>
                <w:rFonts w:ascii="宋体" w:hAnsi="宋体"/>
                <w:szCs w:val="21"/>
              </w:rPr>
            </w:pPr>
          </w:p>
        </w:tc>
        <w:tc>
          <w:tcPr>
            <w:tcW w:w="426" w:type="dxa"/>
            <w:vAlign w:val="center"/>
          </w:tcPr>
          <w:p>
            <w:pPr>
              <w:rPr>
                <w:rFonts w:ascii="宋体" w:hAnsi="宋体"/>
                <w:szCs w:val="21"/>
              </w:rPr>
            </w:pPr>
          </w:p>
        </w:tc>
        <w:tc>
          <w:tcPr>
            <w:tcW w:w="429"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27" w:type="dxa"/>
            <w:vAlign w:val="center"/>
          </w:tcPr>
          <w:p>
            <w:pPr>
              <w:rPr>
                <w:rFonts w:ascii="宋体" w:hAnsi="宋体"/>
                <w:szCs w:val="21"/>
              </w:rPr>
            </w:pPr>
          </w:p>
        </w:tc>
        <w:tc>
          <w:tcPr>
            <w:tcW w:w="427" w:type="dxa"/>
            <w:vAlign w:val="center"/>
          </w:tcPr>
          <w:p>
            <w:pPr>
              <w:rPr>
                <w:rFonts w:ascii="宋体" w:hAnsi="宋体"/>
                <w:szCs w:val="21"/>
              </w:rPr>
            </w:pPr>
          </w:p>
        </w:tc>
        <w:tc>
          <w:tcPr>
            <w:tcW w:w="450"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44" w:type="dxa"/>
            <w:gridSpan w:val="2"/>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rPr>
            </w:pPr>
            <w:r>
              <w:rPr>
                <w:rFonts w:hint="eastAsia" w:ascii="宋体" w:hAnsi="宋体"/>
                <w:szCs w:val="21"/>
              </w:rPr>
              <w:t>2.下部结构</w:t>
            </w:r>
          </w:p>
        </w:tc>
        <w:tc>
          <w:tcPr>
            <w:tcW w:w="403" w:type="dxa"/>
            <w:vAlign w:val="center"/>
          </w:tcPr>
          <w:p>
            <w:pPr>
              <w:rPr>
                <w:rFonts w:ascii="宋体" w:hAnsi="宋体"/>
                <w:szCs w:val="21"/>
              </w:rPr>
            </w:pPr>
          </w:p>
        </w:tc>
        <w:tc>
          <w:tcPr>
            <w:tcW w:w="403"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26" w:type="dxa"/>
            <w:vAlign w:val="center"/>
          </w:tcPr>
          <w:p>
            <w:pPr>
              <w:rPr>
                <w:rFonts w:ascii="宋体" w:hAnsi="宋体"/>
                <w:szCs w:val="21"/>
              </w:rPr>
            </w:pPr>
          </w:p>
        </w:tc>
        <w:tc>
          <w:tcPr>
            <w:tcW w:w="426" w:type="dxa"/>
            <w:vAlign w:val="center"/>
          </w:tcPr>
          <w:p>
            <w:pPr>
              <w:rPr>
                <w:rFonts w:ascii="宋体" w:hAnsi="宋体"/>
                <w:szCs w:val="21"/>
              </w:rPr>
            </w:pPr>
          </w:p>
        </w:tc>
        <w:tc>
          <w:tcPr>
            <w:tcW w:w="429"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27" w:type="dxa"/>
            <w:vAlign w:val="center"/>
          </w:tcPr>
          <w:p>
            <w:pPr>
              <w:rPr>
                <w:rFonts w:ascii="宋体" w:hAnsi="宋体"/>
                <w:szCs w:val="21"/>
              </w:rPr>
            </w:pPr>
          </w:p>
        </w:tc>
        <w:tc>
          <w:tcPr>
            <w:tcW w:w="427" w:type="dxa"/>
            <w:vAlign w:val="center"/>
          </w:tcPr>
          <w:p>
            <w:pPr>
              <w:rPr>
                <w:rFonts w:ascii="宋体" w:hAnsi="宋体"/>
                <w:szCs w:val="21"/>
              </w:rPr>
            </w:pPr>
          </w:p>
        </w:tc>
        <w:tc>
          <w:tcPr>
            <w:tcW w:w="450"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44" w:type="dxa"/>
            <w:gridSpan w:val="2"/>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rPr>
            </w:pPr>
            <w:r>
              <w:rPr>
                <w:rFonts w:hint="eastAsia" w:ascii="宋体" w:hAnsi="宋体"/>
                <w:szCs w:val="21"/>
              </w:rPr>
              <w:t>3.上部结构</w:t>
            </w:r>
          </w:p>
        </w:tc>
        <w:tc>
          <w:tcPr>
            <w:tcW w:w="403" w:type="dxa"/>
            <w:vAlign w:val="center"/>
          </w:tcPr>
          <w:p>
            <w:pPr>
              <w:rPr>
                <w:rFonts w:ascii="宋体" w:hAnsi="宋体"/>
                <w:szCs w:val="21"/>
              </w:rPr>
            </w:pPr>
          </w:p>
        </w:tc>
        <w:tc>
          <w:tcPr>
            <w:tcW w:w="403"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26" w:type="dxa"/>
            <w:vAlign w:val="center"/>
          </w:tcPr>
          <w:p>
            <w:pPr>
              <w:rPr>
                <w:rFonts w:ascii="宋体" w:hAnsi="宋体"/>
                <w:szCs w:val="21"/>
              </w:rPr>
            </w:pPr>
          </w:p>
        </w:tc>
        <w:tc>
          <w:tcPr>
            <w:tcW w:w="426" w:type="dxa"/>
            <w:vAlign w:val="center"/>
          </w:tcPr>
          <w:p>
            <w:pPr>
              <w:rPr>
                <w:rFonts w:ascii="宋体" w:hAnsi="宋体"/>
                <w:szCs w:val="21"/>
              </w:rPr>
            </w:pPr>
          </w:p>
        </w:tc>
        <w:tc>
          <w:tcPr>
            <w:tcW w:w="429"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27" w:type="dxa"/>
            <w:vAlign w:val="center"/>
          </w:tcPr>
          <w:p>
            <w:pPr>
              <w:rPr>
                <w:rFonts w:ascii="宋体" w:hAnsi="宋体"/>
                <w:szCs w:val="21"/>
              </w:rPr>
            </w:pPr>
          </w:p>
        </w:tc>
        <w:tc>
          <w:tcPr>
            <w:tcW w:w="427" w:type="dxa"/>
            <w:vAlign w:val="center"/>
          </w:tcPr>
          <w:p>
            <w:pPr>
              <w:rPr>
                <w:rFonts w:ascii="宋体" w:hAnsi="宋体"/>
                <w:szCs w:val="21"/>
              </w:rPr>
            </w:pPr>
          </w:p>
        </w:tc>
        <w:tc>
          <w:tcPr>
            <w:tcW w:w="450"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44" w:type="dxa"/>
            <w:gridSpan w:val="2"/>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rPr>
            </w:pPr>
            <w:r>
              <w:rPr>
                <w:rFonts w:hint="eastAsia" w:ascii="宋体" w:hAnsi="宋体"/>
                <w:szCs w:val="21"/>
              </w:rPr>
              <w:t>4.附属工程</w:t>
            </w:r>
          </w:p>
        </w:tc>
        <w:tc>
          <w:tcPr>
            <w:tcW w:w="403" w:type="dxa"/>
            <w:vAlign w:val="center"/>
          </w:tcPr>
          <w:p>
            <w:pPr>
              <w:rPr>
                <w:rFonts w:ascii="宋体" w:hAnsi="宋体"/>
                <w:szCs w:val="21"/>
              </w:rPr>
            </w:pPr>
          </w:p>
        </w:tc>
        <w:tc>
          <w:tcPr>
            <w:tcW w:w="403"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26" w:type="dxa"/>
            <w:vAlign w:val="center"/>
          </w:tcPr>
          <w:p>
            <w:pPr>
              <w:rPr>
                <w:rFonts w:ascii="宋体" w:hAnsi="宋体"/>
                <w:szCs w:val="21"/>
              </w:rPr>
            </w:pPr>
          </w:p>
        </w:tc>
        <w:tc>
          <w:tcPr>
            <w:tcW w:w="426" w:type="dxa"/>
            <w:vAlign w:val="center"/>
          </w:tcPr>
          <w:p>
            <w:pPr>
              <w:rPr>
                <w:rFonts w:ascii="宋体" w:hAnsi="宋体"/>
                <w:szCs w:val="21"/>
              </w:rPr>
            </w:pPr>
          </w:p>
        </w:tc>
        <w:tc>
          <w:tcPr>
            <w:tcW w:w="429"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27" w:type="dxa"/>
            <w:vAlign w:val="center"/>
          </w:tcPr>
          <w:p>
            <w:pPr>
              <w:rPr>
                <w:rFonts w:ascii="宋体" w:hAnsi="宋体"/>
                <w:szCs w:val="21"/>
              </w:rPr>
            </w:pPr>
          </w:p>
        </w:tc>
        <w:tc>
          <w:tcPr>
            <w:tcW w:w="427" w:type="dxa"/>
            <w:vAlign w:val="center"/>
          </w:tcPr>
          <w:p>
            <w:pPr>
              <w:rPr>
                <w:rFonts w:ascii="宋体" w:hAnsi="宋体"/>
                <w:szCs w:val="21"/>
              </w:rPr>
            </w:pPr>
          </w:p>
        </w:tc>
        <w:tc>
          <w:tcPr>
            <w:tcW w:w="450"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44" w:type="dxa"/>
            <w:gridSpan w:val="2"/>
            <w:vAlign w:val="center"/>
          </w:tcPr>
          <w:p>
            <w:pPr>
              <w:rPr>
                <w:rFonts w:ascii="宋体" w:hAnsi="宋体"/>
                <w:szCs w:val="21"/>
              </w:rPr>
            </w:pPr>
          </w:p>
        </w:tc>
      </w:tr>
    </w:tbl>
    <w:p>
      <w:pPr>
        <w:pStyle w:val="5"/>
        <w:spacing w:before="120" w:after="0" w:line="240" w:lineRule="auto"/>
      </w:pPr>
    </w:p>
    <w:p>
      <w:pPr>
        <w:pStyle w:val="5"/>
        <w:spacing w:before="120" w:after="0" w:line="240" w:lineRule="auto"/>
      </w:pPr>
      <w:r>
        <w:br w:type="page"/>
      </w:r>
      <w:r>
        <w:rPr>
          <w:rFonts w:hint="eastAsia"/>
        </w:rPr>
        <w:t>附表二   分项工程进度率计划（斜率图）</w:t>
      </w:r>
    </w:p>
    <w:tbl>
      <w:tblPr>
        <w:tblStyle w:val="16"/>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vAlign w:val="center"/>
          </w:tcPr>
          <w:p>
            <w:pPr>
              <w:rPr>
                <w:rFonts w:ascii="宋体" w:hAnsi="宋体"/>
                <w:szCs w:val="21"/>
              </w:rPr>
            </w:pPr>
            <w:r>
              <w:rPr>
                <w:rFonts w:hint="eastAsia" w:ascii="宋体" w:hAnsi="宋体"/>
                <w:szCs w:val="21"/>
              </w:rPr>
              <w:t>年  度</w:t>
            </w:r>
          </w:p>
        </w:tc>
        <w:tc>
          <w:tcPr>
            <w:tcW w:w="5605" w:type="dxa"/>
            <w:gridSpan w:val="12"/>
            <w:vAlign w:val="center"/>
          </w:tcPr>
          <w:p>
            <w:pPr>
              <w:rPr>
                <w:rFonts w:ascii="宋体" w:hAnsi="宋体"/>
                <w:szCs w:val="21"/>
              </w:rPr>
            </w:pPr>
            <w:r>
              <w:rPr>
                <w:rFonts w:hint="eastAsia" w:ascii="宋体" w:hAnsi="宋体"/>
                <w:szCs w:val="21"/>
              </w:rPr>
              <w:t>年</w:t>
            </w:r>
          </w:p>
        </w:tc>
        <w:tc>
          <w:tcPr>
            <w:tcW w:w="5139" w:type="dxa"/>
            <w:gridSpan w:val="11"/>
            <w:vAlign w:val="center"/>
          </w:tcPr>
          <w:p>
            <w:pP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vAlign w:val="center"/>
          </w:tcPr>
          <w:p>
            <w:pPr>
              <w:rPr>
                <w:rFonts w:ascii="宋体" w:hAnsi="宋体"/>
                <w:szCs w:val="21"/>
              </w:rPr>
            </w:pPr>
            <w:r>
              <w:rPr>
                <w:rFonts w:hint="eastAsia" w:ascii="宋体" w:hAnsi="宋体"/>
                <w:szCs w:val="21"/>
              </w:rPr>
              <w:t>季  度</w:t>
            </w:r>
          </w:p>
        </w:tc>
        <w:tc>
          <w:tcPr>
            <w:tcW w:w="1401" w:type="dxa"/>
            <w:gridSpan w:val="3"/>
            <w:vAlign w:val="center"/>
          </w:tcPr>
          <w:p>
            <w:pPr>
              <w:rPr>
                <w:rFonts w:ascii="宋体" w:hAnsi="宋体"/>
                <w:szCs w:val="21"/>
              </w:rPr>
            </w:pPr>
            <w:r>
              <w:rPr>
                <w:rFonts w:hint="eastAsia" w:ascii="宋体" w:hAnsi="宋体"/>
                <w:szCs w:val="21"/>
              </w:rPr>
              <w:t>一</w:t>
            </w:r>
          </w:p>
        </w:tc>
        <w:tc>
          <w:tcPr>
            <w:tcW w:w="1401" w:type="dxa"/>
            <w:gridSpan w:val="3"/>
            <w:vAlign w:val="center"/>
          </w:tcPr>
          <w:p>
            <w:pPr>
              <w:rPr>
                <w:rFonts w:ascii="宋体" w:hAnsi="宋体"/>
                <w:szCs w:val="21"/>
              </w:rPr>
            </w:pPr>
            <w:r>
              <w:rPr>
                <w:rFonts w:hint="eastAsia" w:ascii="宋体" w:hAnsi="宋体"/>
                <w:szCs w:val="21"/>
              </w:rPr>
              <w:t>二</w:t>
            </w:r>
          </w:p>
        </w:tc>
        <w:tc>
          <w:tcPr>
            <w:tcW w:w="1402" w:type="dxa"/>
            <w:gridSpan w:val="3"/>
            <w:vAlign w:val="center"/>
          </w:tcPr>
          <w:p>
            <w:pPr>
              <w:rPr>
                <w:rFonts w:ascii="宋体" w:hAnsi="宋体"/>
                <w:szCs w:val="21"/>
              </w:rPr>
            </w:pPr>
            <w:r>
              <w:rPr>
                <w:rFonts w:hint="eastAsia" w:ascii="宋体" w:hAnsi="宋体"/>
                <w:szCs w:val="21"/>
              </w:rPr>
              <w:t>三</w:t>
            </w:r>
          </w:p>
        </w:tc>
        <w:tc>
          <w:tcPr>
            <w:tcW w:w="1401" w:type="dxa"/>
            <w:gridSpan w:val="3"/>
            <w:vAlign w:val="center"/>
          </w:tcPr>
          <w:p>
            <w:pPr>
              <w:rPr>
                <w:rFonts w:ascii="宋体" w:hAnsi="宋体"/>
                <w:szCs w:val="21"/>
              </w:rPr>
            </w:pPr>
            <w:r>
              <w:rPr>
                <w:rFonts w:hint="eastAsia" w:ascii="宋体" w:hAnsi="宋体"/>
                <w:szCs w:val="21"/>
              </w:rPr>
              <w:t>四</w:t>
            </w:r>
          </w:p>
        </w:tc>
        <w:tc>
          <w:tcPr>
            <w:tcW w:w="1401" w:type="dxa"/>
            <w:gridSpan w:val="3"/>
            <w:vAlign w:val="center"/>
          </w:tcPr>
          <w:p>
            <w:pPr>
              <w:rPr>
                <w:rFonts w:ascii="宋体" w:hAnsi="宋体"/>
                <w:szCs w:val="21"/>
              </w:rPr>
            </w:pPr>
            <w:r>
              <w:rPr>
                <w:rFonts w:hint="eastAsia" w:ascii="宋体" w:hAnsi="宋体"/>
                <w:szCs w:val="21"/>
              </w:rPr>
              <w:t>一</w:t>
            </w:r>
          </w:p>
        </w:tc>
        <w:tc>
          <w:tcPr>
            <w:tcW w:w="1402" w:type="dxa"/>
            <w:gridSpan w:val="3"/>
            <w:vAlign w:val="center"/>
          </w:tcPr>
          <w:p>
            <w:pPr>
              <w:rPr>
                <w:rFonts w:ascii="宋体" w:hAnsi="宋体"/>
                <w:szCs w:val="21"/>
              </w:rPr>
            </w:pPr>
            <w:r>
              <w:rPr>
                <w:rFonts w:hint="eastAsia" w:ascii="宋体" w:hAnsi="宋体"/>
                <w:szCs w:val="21"/>
              </w:rPr>
              <w:t>二</w:t>
            </w:r>
          </w:p>
        </w:tc>
        <w:tc>
          <w:tcPr>
            <w:tcW w:w="1401" w:type="dxa"/>
            <w:gridSpan w:val="3"/>
            <w:vAlign w:val="center"/>
          </w:tcPr>
          <w:p>
            <w:pPr>
              <w:rPr>
                <w:rFonts w:ascii="宋体" w:hAnsi="宋体"/>
                <w:szCs w:val="21"/>
              </w:rPr>
            </w:pPr>
            <w:r>
              <w:rPr>
                <w:rFonts w:hint="eastAsia" w:ascii="宋体" w:hAnsi="宋体"/>
                <w:szCs w:val="21"/>
              </w:rPr>
              <w:t>三</w:t>
            </w:r>
          </w:p>
        </w:tc>
        <w:tc>
          <w:tcPr>
            <w:tcW w:w="935" w:type="dxa"/>
            <w:gridSpan w:val="2"/>
            <w:vAlign w:val="center"/>
          </w:tcPr>
          <w:p>
            <w:pPr>
              <w:rPr>
                <w:rFonts w:ascii="宋体" w:hAnsi="宋体"/>
                <w:szCs w:val="21"/>
              </w:rPr>
            </w:pPr>
            <w:r>
              <w:rPr>
                <w:rFonts w:hint="eastAsia" w:ascii="宋体" w:hAnsi="宋体"/>
                <w:szCs w:val="21"/>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tcBorders>
              <w:bottom w:val="single" w:color="auto" w:sz="6" w:space="0"/>
            </w:tcBorders>
            <w:vAlign w:val="center"/>
          </w:tcPr>
          <w:p>
            <w:pPr>
              <w:rPr>
                <w:rFonts w:ascii="宋体" w:hAnsi="宋体"/>
                <w:szCs w:val="21"/>
              </w:rPr>
            </w:pPr>
            <w:r>
              <w:rPr>
                <w:rFonts w:hint="eastAsia" w:ascii="宋体" w:hAnsi="宋体"/>
                <w:szCs w:val="21"/>
              </w:rPr>
              <w:t>月  份</w:t>
            </w:r>
          </w:p>
        </w:tc>
        <w:tc>
          <w:tcPr>
            <w:tcW w:w="467" w:type="dxa"/>
            <w:vAlign w:val="center"/>
          </w:tcPr>
          <w:p>
            <w:pPr>
              <w:rPr>
                <w:rFonts w:ascii="宋体" w:hAnsi="宋体"/>
                <w:szCs w:val="21"/>
              </w:rPr>
            </w:pPr>
            <w:r>
              <w:rPr>
                <w:rFonts w:hint="eastAsia" w:ascii="宋体" w:hAnsi="宋体"/>
                <w:szCs w:val="21"/>
              </w:rPr>
              <w:t>1</w:t>
            </w:r>
          </w:p>
        </w:tc>
        <w:tc>
          <w:tcPr>
            <w:tcW w:w="467" w:type="dxa"/>
            <w:vAlign w:val="center"/>
          </w:tcPr>
          <w:p>
            <w:pPr>
              <w:rPr>
                <w:rFonts w:ascii="宋体" w:hAnsi="宋体"/>
                <w:szCs w:val="21"/>
              </w:rPr>
            </w:pPr>
            <w:r>
              <w:rPr>
                <w:rFonts w:hint="eastAsia" w:ascii="宋体" w:hAnsi="宋体"/>
                <w:szCs w:val="21"/>
              </w:rPr>
              <w:t>2</w:t>
            </w:r>
          </w:p>
        </w:tc>
        <w:tc>
          <w:tcPr>
            <w:tcW w:w="467" w:type="dxa"/>
            <w:vAlign w:val="center"/>
          </w:tcPr>
          <w:p>
            <w:pPr>
              <w:rPr>
                <w:rFonts w:ascii="宋体" w:hAnsi="宋体"/>
                <w:szCs w:val="21"/>
              </w:rPr>
            </w:pPr>
            <w:r>
              <w:rPr>
                <w:rFonts w:hint="eastAsia" w:ascii="宋体" w:hAnsi="宋体"/>
                <w:szCs w:val="21"/>
              </w:rPr>
              <w:t>3</w:t>
            </w:r>
          </w:p>
        </w:tc>
        <w:tc>
          <w:tcPr>
            <w:tcW w:w="467" w:type="dxa"/>
            <w:vAlign w:val="center"/>
          </w:tcPr>
          <w:p>
            <w:pPr>
              <w:rPr>
                <w:rFonts w:ascii="宋体" w:hAnsi="宋体"/>
                <w:szCs w:val="21"/>
              </w:rPr>
            </w:pPr>
            <w:r>
              <w:rPr>
                <w:rFonts w:hint="eastAsia" w:ascii="宋体" w:hAnsi="宋体"/>
                <w:szCs w:val="21"/>
              </w:rPr>
              <w:t>4</w:t>
            </w:r>
          </w:p>
        </w:tc>
        <w:tc>
          <w:tcPr>
            <w:tcW w:w="467" w:type="dxa"/>
            <w:vAlign w:val="center"/>
          </w:tcPr>
          <w:p>
            <w:pPr>
              <w:rPr>
                <w:rFonts w:ascii="宋体" w:hAnsi="宋体"/>
                <w:szCs w:val="21"/>
              </w:rPr>
            </w:pPr>
            <w:r>
              <w:rPr>
                <w:rFonts w:hint="eastAsia" w:ascii="宋体" w:hAnsi="宋体"/>
                <w:szCs w:val="21"/>
              </w:rPr>
              <w:t>5</w:t>
            </w:r>
          </w:p>
        </w:tc>
        <w:tc>
          <w:tcPr>
            <w:tcW w:w="467" w:type="dxa"/>
            <w:vAlign w:val="center"/>
          </w:tcPr>
          <w:p>
            <w:pPr>
              <w:rPr>
                <w:rFonts w:ascii="宋体" w:hAnsi="宋体"/>
                <w:szCs w:val="21"/>
              </w:rPr>
            </w:pPr>
            <w:r>
              <w:rPr>
                <w:rFonts w:hint="eastAsia" w:ascii="宋体" w:hAnsi="宋体"/>
                <w:szCs w:val="21"/>
              </w:rPr>
              <w:t>6</w:t>
            </w:r>
          </w:p>
        </w:tc>
        <w:tc>
          <w:tcPr>
            <w:tcW w:w="467" w:type="dxa"/>
            <w:vAlign w:val="center"/>
          </w:tcPr>
          <w:p>
            <w:pPr>
              <w:rPr>
                <w:rFonts w:ascii="宋体" w:hAnsi="宋体"/>
                <w:szCs w:val="21"/>
              </w:rPr>
            </w:pPr>
            <w:r>
              <w:rPr>
                <w:rFonts w:hint="eastAsia" w:ascii="宋体" w:hAnsi="宋体"/>
                <w:szCs w:val="21"/>
              </w:rPr>
              <w:t>7</w:t>
            </w:r>
          </w:p>
        </w:tc>
        <w:tc>
          <w:tcPr>
            <w:tcW w:w="468" w:type="dxa"/>
            <w:vAlign w:val="center"/>
          </w:tcPr>
          <w:p>
            <w:pPr>
              <w:rPr>
                <w:rFonts w:ascii="宋体" w:hAnsi="宋体"/>
                <w:szCs w:val="21"/>
              </w:rPr>
            </w:pPr>
            <w:r>
              <w:rPr>
                <w:rFonts w:hint="eastAsia" w:ascii="宋体" w:hAnsi="宋体"/>
                <w:szCs w:val="21"/>
              </w:rPr>
              <w:t>8</w:t>
            </w:r>
          </w:p>
        </w:tc>
        <w:tc>
          <w:tcPr>
            <w:tcW w:w="467" w:type="dxa"/>
            <w:vAlign w:val="center"/>
          </w:tcPr>
          <w:p>
            <w:pPr>
              <w:rPr>
                <w:rFonts w:ascii="宋体" w:hAnsi="宋体"/>
                <w:szCs w:val="21"/>
              </w:rPr>
            </w:pPr>
            <w:r>
              <w:rPr>
                <w:rFonts w:hint="eastAsia" w:ascii="宋体" w:hAnsi="宋体"/>
                <w:szCs w:val="21"/>
              </w:rPr>
              <w:t>9</w:t>
            </w:r>
          </w:p>
        </w:tc>
        <w:tc>
          <w:tcPr>
            <w:tcW w:w="467" w:type="dxa"/>
            <w:vAlign w:val="center"/>
          </w:tcPr>
          <w:p>
            <w:pPr>
              <w:rPr>
                <w:rFonts w:ascii="宋体" w:hAnsi="宋体"/>
                <w:szCs w:val="21"/>
              </w:rPr>
            </w:pPr>
            <w:r>
              <w:rPr>
                <w:rFonts w:hint="eastAsia" w:ascii="宋体" w:hAnsi="宋体"/>
                <w:szCs w:val="21"/>
              </w:rPr>
              <w:t>10</w:t>
            </w:r>
          </w:p>
        </w:tc>
        <w:tc>
          <w:tcPr>
            <w:tcW w:w="467" w:type="dxa"/>
            <w:vAlign w:val="center"/>
          </w:tcPr>
          <w:p>
            <w:pPr>
              <w:rPr>
                <w:rFonts w:ascii="宋体" w:hAnsi="宋体"/>
                <w:szCs w:val="21"/>
              </w:rPr>
            </w:pPr>
            <w:r>
              <w:rPr>
                <w:rFonts w:hint="eastAsia" w:ascii="宋体" w:hAnsi="宋体"/>
                <w:szCs w:val="21"/>
              </w:rPr>
              <w:t>11</w:t>
            </w:r>
          </w:p>
        </w:tc>
        <w:tc>
          <w:tcPr>
            <w:tcW w:w="467" w:type="dxa"/>
            <w:vAlign w:val="center"/>
          </w:tcPr>
          <w:p>
            <w:pPr>
              <w:rPr>
                <w:rFonts w:ascii="宋体" w:hAnsi="宋体"/>
                <w:szCs w:val="21"/>
              </w:rPr>
            </w:pPr>
            <w:r>
              <w:rPr>
                <w:rFonts w:hint="eastAsia" w:ascii="宋体" w:hAnsi="宋体"/>
                <w:szCs w:val="21"/>
              </w:rPr>
              <w:t>12</w:t>
            </w:r>
          </w:p>
        </w:tc>
        <w:tc>
          <w:tcPr>
            <w:tcW w:w="467" w:type="dxa"/>
            <w:vAlign w:val="center"/>
          </w:tcPr>
          <w:p>
            <w:pPr>
              <w:rPr>
                <w:rFonts w:ascii="宋体" w:hAnsi="宋体"/>
                <w:szCs w:val="21"/>
              </w:rPr>
            </w:pPr>
            <w:r>
              <w:rPr>
                <w:rFonts w:hint="eastAsia" w:ascii="宋体" w:hAnsi="宋体"/>
                <w:szCs w:val="21"/>
              </w:rPr>
              <w:t>1</w:t>
            </w:r>
          </w:p>
        </w:tc>
        <w:tc>
          <w:tcPr>
            <w:tcW w:w="467" w:type="dxa"/>
            <w:vAlign w:val="center"/>
          </w:tcPr>
          <w:p>
            <w:pPr>
              <w:rPr>
                <w:rFonts w:ascii="宋体" w:hAnsi="宋体"/>
                <w:szCs w:val="21"/>
              </w:rPr>
            </w:pPr>
            <w:r>
              <w:rPr>
                <w:rFonts w:hint="eastAsia" w:ascii="宋体" w:hAnsi="宋体"/>
                <w:szCs w:val="21"/>
              </w:rPr>
              <w:t>2</w:t>
            </w:r>
          </w:p>
        </w:tc>
        <w:tc>
          <w:tcPr>
            <w:tcW w:w="467" w:type="dxa"/>
            <w:vAlign w:val="center"/>
          </w:tcPr>
          <w:p>
            <w:pPr>
              <w:rPr>
                <w:rFonts w:ascii="宋体" w:hAnsi="宋体"/>
                <w:szCs w:val="21"/>
              </w:rPr>
            </w:pPr>
            <w:r>
              <w:rPr>
                <w:rFonts w:hint="eastAsia" w:ascii="宋体" w:hAnsi="宋体"/>
                <w:szCs w:val="21"/>
              </w:rPr>
              <w:t>3</w:t>
            </w:r>
          </w:p>
        </w:tc>
        <w:tc>
          <w:tcPr>
            <w:tcW w:w="468" w:type="dxa"/>
            <w:vAlign w:val="center"/>
          </w:tcPr>
          <w:p>
            <w:pPr>
              <w:rPr>
                <w:rFonts w:ascii="宋体" w:hAnsi="宋体"/>
                <w:szCs w:val="21"/>
              </w:rPr>
            </w:pPr>
            <w:r>
              <w:rPr>
                <w:rFonts w:hint="eastAsia" w:ascii="宋体" w:hAnsi="宋体"/>
                <w:szCs w:val="21"/>
              </w:rPr>
              <w:t>4</w:t>
            </w:r>
          </w:p>
        </w:tc>
        <w:tc>
          <w:tcPr>
            <w:tcW w:w="467" w:type="dxa"/>
            <w:vAlign w:val="center"/>
          </w:tcPr>
          <w:p>
            <w:pPr>
              <w:rPr>
                <w:rFonts w:ascii="宋体" w:hAnsi="宋体"/>
                <w:szCs w:val="21"/>
              </w:rPr>
            </w:pPr>
            <w:r>
              <w:rPr>
                <w:rFonts w:hint="eastAsia" w:ascii="宋体" w:hAnsi="宋体"/>
                <w:szCs w:val="21"/>
              </w:rPr>
              <w:t>5</w:t>
            </w:r>
          </w:p>
        </w:tc>
        <w:tc>
          <w:tcPr>
            <w:tcW w:w="467" w:type="dxa"/>
            <w:vAlign w:val="center"/>
          </w:tcPr>
          <w:p>
            <w:pPr>
              <w:rPr>
                <w:rFonts w:ascii="宋体" w:hAnsi="宋体"/>
                <w:szCs w:val="21"/>
              </w:rPr>
            </w:pPr>
            <w:r>
              <w:rPr>
                <w:rFonts w:hint="eastAsia" w:ascii="宋体" w:hAnsi="宋体"/>
                <w:szCs w:val="21"/>
              </w:rPr>
              <w:t>6</w:t>
            </w:r>
          </w:p>
        </w:tc>
        <w:tc>
          <w:tcPr>
            <w:tcW w:w="467" w:type="dxa"/>
            <w:vAlign w:val="center"/>
          </w:tcPr>
          <w:p>
            <w:pPr>
              <w:rPr>
                <w:rFonts w:ascii="宋体" w:hAnsi="宋体"/>
                <w:szCs w:val="21"/>
              </w:rPr>
            </w:pPr>
            <w:r>
              <w:rPr>
                <w:rFonts w:hint="eastAsia" w:ascii="宋体" w:hAnsi="宋体"/>
                <w:szCs w:val="21"/>
              </w:rPr>
              <w:t>7</w:t>
            </w:r>
          </w:p>
        </w:tc>
        <w:tc>
          <w:tcPr>
            <w:tcW w:w="467" w:type="dxa"/>
            <w:vAlign w:val="center"/>
          </w:tcPr>
          <w:p>
            <w:pPr>
              <w:rPr>
                <w:rFonts w:ascii="宋体" w:hAnsi="宋体"/>
                <w:szCs w:val="21"/>
              </w:rPr>
            </w:pPr>
            <w:r>
              <w:rPr>
                <w:rFonts w:hint="eastAsia" w:ascii="宋体" w:hAnsi="宋体"/>
                <w:szCs w:val="21"/>
              </w:rPr>
              <w:t>8</w:t>
            </w:r>
          </w:p>
        </w:tc>
        <w:tc>
          <w:tcPr>
            <w:tcW w:w="467" w:type="dxa"/>
            <w:vAlign w:val="center"/>
          </w:tcPr>
          <w:p>
            <w:pPr>
              <w:rPr>
                <w:rFonts w:ascii="宋体" w:hAnsi="宋体"/>
                <w:szCs w:val="21"/>
              </w:rPr>
            </w:pPr>
            <w:r>
              <w:rPr>
                <w:rFonts w:hint="eastAsia" w:ascii="宋体" w:hAnsi="宋体"/>
                <w:szCs w:val="21"/>
              </w:rPr>
              <w:t>9</w:t>
            </w:r>
          </w:p>
        </w:tc>
        <w:tc>
          <w:tcPr>
            <w:tcW w:w="467" w:type="dxa"/>
            <w:vAlign w:val="center"/>
          </w:tcPr>
          <w:p>
            <w:pPr>
              <w:rPr>
                <w:rFonts w:ascii="宋体" w:hAnsi="宋体"/>
                <w:szCs w:val="21"/>
              </w:rPr>
            </w:pPr>
            <w:r>
              <w:rPr>
                <w:rFonts w:hint="eastAsia" w:ascii="宋体" w:hAnsi="宋体"/>
                <w:szCs w:val="21"/>
              </w:rPr>
              <w:t>10</w:t>
            </w:r>
          </w:p>
        </w:tc>
        <w:tc>
          <w:tcPr>
            <w:tcW w:w="468" w:type="dxa"/>
            <w:vAlign w:val="center"/>
          </w:tcPr>
          <w:p>
            <w:pPr>
              <w:rPr>
                <w:rFonts w:ascii="宋体" w:hAnsi="宋体"/>
                <w:szCs w:val="21"/>
              </w:rPr>
            </w:pP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6" w:space="0"/>
              <w:bottom w:val="nil"/>
              <w:right w:val="nil"/>
            </w:tcBorders>
            <w:vAlign w:val="center"/>
          </w:tcPr>
          <w:p>
            <w:pPr>
              <w:jc w:val="left"/>
              <w:rPr>
                <w:rFonts w:ascii="宋体" w:hAnsi="宋体"/>
                <w:szCs w:val="21"/>
              </w:rPr>
            </w:pPr>
            <w:r>
              <w:rPr>
                <w:rFonts w:hint="eastAsia" w:ascii="宋体" w:hAnsi="宋体"/>
                <w:szCs w:val="21"/>
              </w:rPr>
              <w:t>图例：</w:t>
            </w:r>
          </w:p>
        </w:tc>
        <w:tc>
          <w:tcPr>
            <w:tcW w:w="1276" w:type="dxa"/>
            <w:tcBorders>
              <w:top w:val="single" w:color="auto" w:sz="6" w:space="0"/>
              <w:left w:val="nil"/>
              <w:bottom w:val="nil"/>
            </w:tcBorders>
            <w:vAlign w:val="center"/>
          </w:tcPr>
          <w:p>
            <w:pPr>
              <w:jc w:val="right"/>
              <w:rPr>
                <w:rFonts w:ascii="宋体" w:hAnsi="宋体"/>
                <w:szCs w:val="21"/>
              </w:rPr>
            </w:pPr>
            <w:r>
              <w:rPr>
                <w:rFonts w:hint="eastAsia" w:ascii="宋体" w:hAnsi="宋体"/>
                <w:szCs w:val="21"/>
              </w:rPr>
              <w:t>100（%）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vAlign w:val="center"/>
          </w:tcPr>
          <w:p>
            <w:pPr>
              <w:rPr>
                <w:rFonts w:ascii="宋体" w:hAnsi="宋体"/>
                <w:szCs w:val="21"/>
              </w:rPr>
            </w:pPr>
          </w:p>
        </w:tc>
        <w:tc>
          <w:tcPr>
            <w:tcW w:w="1276" w:type="dxa"/>
            <w:tcBorders>
              <w:top w:val="nil"/>
              <w:left w:val="nil"/>
              <w:bottom w:val="nil"/>
            </w:tcBorders>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24" w:space="0"/>
              <w:bottom w:val="nil"/>
              <w:right w:val="nil"/>
            </w:tcBorders>
            <w:vAlign w:val="center"/>
          </w:tcPr>
          <w:p>
            <w:pPr>
              <w:rPr>
                <w:rFonts w:ascii="宋体" w:hAnsi="宋体"/>
                <w:szCs w:val="21"/>
              </w:rPr>
            </w:pPr>
            <w:r>
              <w:rPr>
                <w:rFonts w:hint="eastAsia" w:ascii="宋体" w:hAnsi="宋体"/>
                <w:szCs w:val="21"/>
              </w:rPr>
              <w:t>施工准备</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90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ouble" w:color="auto" w:sz="4" w:space="0"/>
              <w:right w:val="nil"/>
            </w:tcBorders>
            <w:vAlign w:val="center"/>
          </w:tcPr>
          <w:p>
            <w:pP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ouble" w:color="auto" w:sz="4" w:space="0"/>
              <w:bottom w:val="nil"/>
              <w:right w:val="nil"/>
            </w:tcBorders>
            <w:vAlign w:val="center"/>
          </w:tcPr>
          <w:p>
            <w:pPr>
              <w:rPr>
                <w:rFonts w:ascii="宋体" w:hAnsi="宋体"/>
                <w:szCs w:val="21"/>
              </w:rPr>
            </w:pPr>
            <w:r>
              <w:rPr>
                <w:rFonts w:hint="eastAsia" w:ascii="宋体" w:hAnsi="宋体"/>
                <w:szCs w:val="21"/>
              </w:rPr>
              <w:t>下部结构</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80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ashDotStroked" w:color="auto" w:sz="24" w:space="0"/>
              <w:right w:val="nil"/>
            </w:tcBorders>
            <w:vAlign w:val="center"/>
          </w:tcPr>
          <w:p>
            <w:pP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ashDotStroked" w:color="auto" w:sz="24" w:space="0"/>
              <w:bottom w:val="nil"/>
              <w:right w:val="nil"/>
            </w:tcBorders>
            <w:vAlign w:val="center"/>
          </w:tcPr>
          <w:p>
            <w:pPr>
              <w:rPr>
                <w:rFonts w:ascii="宋体" w:hAnsi="宋体"/>
                <w:szCs w:val="21"/>
              </w:rPr>
            </w:pPr>
            <w:r>
              <w:rPr>
                <w:rFonts w:hint="eastAsia" w:ascii="宋体" w:hAnsi="宋体"/>
                <w:szCs w:val="21"/>
              </w:rPr>
              <w:t>上部结构</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70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triple" w:color="auto" w:sz="4" w:space="0"/>
              <w:right w:val="nil"/>
            </w:tcBorders>
            <w:vAlign w:val="center"/>
          </w:tcPr>
          <w:p>
            <w:pP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Layout w:type="fixed"/>
          <w:tblCellMar>
            <w:top w:w="0" w:type="dxa"/>
            <w:left w:w="108" w:type="dxa"/>
            <w:bottom w:w="0" w:type="dxa"/>
            <w:right w:w="108" w:type="dxa"/>
          </w:tblCellMar>
        </w:tblPrEx>
        <w:trPr>
          <w:trHeight w:val="340" w:hRule="exact"/>
          <w:jc w:val="center"/>
        </w:trPr>
        <w:tc>
          <w:tcPr>
            <w:tcW w:w="2722" w:type="dxa"/>
            <w:tcBorders>
              <w:top w:val="triple" w:color="auto" w:sz="4" w:space="0"/>
              <w:bottom w:val="nil"/>
              <w:right w:val="nil"/>
            </w:tcBorders>
            <w:vAlign w:val="center"/>
          </w:tcPr>
          <w:p>
            <w:pPr>
              <w:rPr>
                <w:rFonts w:ascii="宋体" w:hAnsi="宋体"/>
                <w:szCs w:val="21"/>
              </w:rPr>
            </w:pPr>
            <w:r>
              <w:rPr>
                <w:rFonts w:hint="eastAsia" w:ascii="宋体" w:hAnsi="宋体"/>
                <w:szCs w:val="21"/>
              </w:rPr>
              <w:t>附属工程</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60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wave" w:color="auto" w:sz="6" w:space="0"/>
              <w:right w:val="nil"/>
            </w:tcBorders>
            <w:vAlign w:val="center"/>
          </w:tcPr>
          <w:p>
            <w:pP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12" w:space="0"/>
              <w:right w:val="nil"/>
            </w:tcBorders>
            <w:vAlign w:val="center"/>
          </w:tcPr>
          <w:p>
            <w:pPr>
              <w:rPr>
                <w:rFonts w:ascii="宋体" w:hAnsi="宋体"/>
                <w:szCs w:val="21"/>
              </w:rPr>
            </w:pPr>
          </w:p>
        </w:tc>
        <w:tc>
          <w:tcPr>
            <w:tcW w:w="1276" w:type="dxa"/>
            <w:tcBorders>
              <w:top w:val="nil"/>
              <w:left w:val="nil"/>
              <w:bottom w:val="single" w:color="auto" w:sz="12" w:space="0"/>
            </w:tcBorders>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bl>
    <w:p>
      <w:pPr>
        <w:rPr>
          <w:rFonts w:ascii="宋体" w:hAnsi="宋体"/>
          <w:szCs w:val="21"/>
        </w:rPr>
      </w:pPr>
      <w:r>
        <w:rPr>
          <w:rFonts w:hint="eastAsia" w:ascii="宋体" w:hAnsi="宋体"/>
          <w:szCs w:val="21"/>
        </w:rPr>
        <w:t>注：1.应按各标段实际工程内容填写。</w:t>
      </w:r>
    </w:p>
    <w:p>
      <w:pPr>
        <w:pStyle w:val="2"/>
        <w:ind w:firstLine="210"/>
      </w:pPr>
      <w:r>
        <w:rPr>
          <w:rFonts w:hint="eastAsia" w:ascii="宋体" w:hAnsi="宋体"/>
          <w:szCs w:val="21"/>
        </w:rPr>
        <w:t xml:space="preserve">    2.各个项目的进程可用线条的长短来表示。</w:t>
      </w: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sectPr>
          <w:headerReference r:id="rId10" w:type="first"/>
          <w:headerReference r:id="rId9" w:type="default"/>
          <w:pgSz w:w="16838" w:h="11906" w:orient="landscape"/>
          <w:pgMar w:top="1797" w:right="1440" w:bottom="1797" w:left="1440" w:header="851" w:footer="992" w:gutter="0"/>
          <w:cols w:space="425" w:num="1"/>
          <w:titlePg/>
          <w:docGrid w:type="linesAndChars" w:linePitch="312" w:charSpace="0"/>
        </w:sectPr>
      </w:pPr>
    </w:p>
    <w:p>
      <w:pPr>
        <w:pStyle w:val="4"/>
        <w:spacing w:beforeLines="50" w:after="0" w:line="400" w:lineRule="exact"/>
        <w:rPr>
          <w:rFonts w:ascii="Arial" w:hAnsi="Arial" w:eastAsia="黑体"/>
          <w:kern w:val="2"/>
          <w:sz w:val="28"/>
          <w:szCs w:val="28"/>
        </w:rPr>
      </w:pPr>
      <w:bookmarkStart w:id="241" w:name="_Toc234382967"/>
      <w:r>
        <w:rPr>
          <w:rFonts w:ascii="Arial" w:hAnsi="Arial" w:eastAsia="黑体"/>
          <w:kern w:val="2"/>
          <w:sz w:val="28"/>
          <w:szCs w:val="28"/>
        </w:rPr>
        <w:t>附表三</w:t>
      </w:r>
      <w:r>
        <w:rPr>
          <w:rFonts w:hint="eastAsia" w:ascii="Arial" w:hAnsi="Arial" w:eastAsia="黑体"/>
          <w:kern w:val="2"/>
          <w:sz w:val="28"/>
          <w:szCs w:val="28"/>
        </w:rPr>
        <w:t xml:space="preserve">   工程管理曲线</w:t>
      </w:r>
      <w:bookmarkEnd w:id="241"/>
    </w:p>
    <w:tbl>
      <w:tblPr>
        <w:tblStyle w:val="16"/>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single" w:color="auto" w:sz="12" w:space="0"/>
              <w:bottom w:val="nil"/>
              <w:tl2br w:val="single" w:color="auto" w:sz="6" w:space="0"/>
            </w:tcBorders>
            <w:vAlign w:val="center"/>
          </w:tcPr>
          <w:p>
            <w:r>
              <w:pict>
                <v:shape id="_x0000_s1027" o:spid="_x0000_s1027" o:spt="32" type="#_x0000_t32" style="position:absolute;left:0pt;margin-left:-5.9pt;margin-top:-0.3pt;height:44.35pt;width:110pt;z-index:251661312;mso-width-relative:page;mso-height-relative:page;" filled="t" o:preferrelative="t" coordsize="21600,21600">
                  <v:path arrowok="t"/>
                  <v:fill on="t" focussize="0,0"/>
                  <v:stroke miterlimit="2"/>
                  <v:imagedata o:title=""/>
                  <o:lock v:ext="edit"/>
                </v:shape>
              </w:pict>
            </w:r>
            <w:r>
              <w:rPr>
                <w:rFonts w:hint="eastAsia"/>
              </w:rPr>
              <w:t xml:space="preserve">            年  度</w:t>
            </w:r>
          </w:p>
          <w:p>
            <w:r>
              <w:pict>
                <v:rect id="_x0000_s1028" o:spid="_x0000_s1028" o:spt="1" style="position:absolute;left:0pt;margin-left:61.5pt;margin-top:1.6pt;height:21.55pt;width:17.15pt;z-index:251662336;mso-width-relative:page;mso-height-relative:page;" filled="f" o:preferrelative="t" stroked="f" coordsize="21600,21600">
                  <v:path/>
                  <v:fill on="f" focussize="0,0"/>
                  <v:stroke on="f"/>
                  <v:imagedata o:title=""/>
                  <o:lock v:ext="edit"/>
                  <v:textbox>
                    <w:txbxContent>
                      <w:p>
                        <w:r>
                          <w:rPr>
                            <w:rFonts w:hint="eastAsia"/>
                          </w:rPr>
                          <w:t>季</w:t>
                        </w:r>
                      </w:p>
                    </w:txbxContent>
                  </v:textbox>
                </v:rect>
              </w:pict>
            </w:r>
          </w:p>
          <w:p/>
        </w:tc>
        <w:tc>
          <w:tcPr>
            <w:tcW w:w="4537" w:type="dxa"/>
            <w:gridSpan w:val="12"/>
            <w:vAlign w:val="center"/>
          </w:tcPr>
          <w:p>
            <w:r>
              <w:rPr>
                <w:rFonts w:hint="eastAsia" w:ascii="宋体" w:hAnsi="宋体"/>
                <w:szCs w:val="21"/>
              </w:rPr>
              <w:t>年</w:t>
            </w:r>
          </w:p>
        </w:tc>
        <w:tc>
          <w:tcPr>
            <w:tcW w:w="2896" w:type="dxa"/>
            <w:gridSpan w:val="8"/>
            <w:vAlign w:val="center"/>
          </w:tcPr>
          <w:p>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restart"/>
            <w:tcBorders>
              <w:top w:val="nil"/>
            </w:tcBorders>
            <w:vAlign w:val="center"/>
          </w:tcPr>
          <w:p>
            <w:r>
              <w:pict>
                <v:rect id="_x0000_s1029" o:spid="_x0000_s1029" o:spt="1" style="position:absolute;left:0pt;margin-left:84pt;margin-top:-0.45pt;height:21.55pt;width:17.15pt;z-index:251663360;mso-width-relative:page;mso-height-relative:page;" filled="f" o:preferrelative="t" stroked="f" coordsize="21600,21600">
                  <v:path/>
                  <v:fill on="f" focussize="0,0"/>
                  <v:stroke on="f"/>
                  <v:imagedata o:title=""/>
                  <o:lock v:ext="edit"/>
                  <v:textbox>
                    <w:txbxContent>
                      <w:p>
                        <w:r>
                          <w:rPr>
                            <w:rFonts w:hint="eastAsia"/>
                          </w:rPr>
                          <w:t>度</w:t>
                        </w:r>
                      </w:p>
                    </w:txbxContent>
                  </v:textbox>
                </v:rect>
              </w:pict>
            </w:r>
          </w:p>
          <w:p>
            <w:pPr>
              <w:jc w:val="left"/>
            </w:pPr>
          </w:p>
          <w:p>
            <w:pPr>
              <w:jc w:val="left"/>
            </w:pPr>
            <w:r>
              <w:pict>
                <v:rect id="_x0000_s1030" o:spid="_x0000_s1030" o:spt="1" style="position:absolute;left:0pt;margin-left:-5.55pt;margin-top:19.35pt;height:454.5pt;width:89.9pt;z-index:251664384;mso-width-relative:page;mso-height-relative:page;" filled="f" o:preferrelative="t" stroked="f" coordsize="21600,21600">
                  <v:path/>
                  <v:fill on="f" focussize="0,0"/>
                  <v:stroke on="f"/>
                  <v:imagedata o:title=""/>
                  <o:lock v:ext="edit"/>
                  <v:textbox>
                    <w:txbxContent>
                      <w:p/>
                      <w:p/>
                      <w:p/>
                      <w:p/>
                      <w:p/>
                      <w:p/>
                      <w:p/>
                      <w:p/>
                      <w:p/>
                      <w:p/>
                      <w:p/>
                      <w:p/>
                      <w:p>
                        <w:pPr>
                          <w:spacing w:line="240" w:lineRule="exact"/>
                        </w:pPr>
                        <w:r>
                          <w:rPr>
                            <w:rFonts w:hint="eastAsia"/>
                          </w:rPr>
                          <w:t>工</w:t>
                        </w:r>
                      </w:p>
                      <w:p>
                        <w:pPr>
                          <w:spacing w:line="240" w:lineRule="exact"/>
                        </w:pPr>
                      </w:p>
                      <w:p>
                        <w:pPr>
                          <w:spacing w:line="240" w:lineRule="exact"/>
                        </w:pPr>
                        <w:r>
                          <w:rPr>
                            <w:rFonts w:hint="eastAsia"/>
                          </w:rPr>
                          <w:t>程</w:t>
                        </w:r>
                      </w:p>
                      <w:p>
                        <w:pPr>
                          <w:spacing w:line="240" w:lineRule="exact"/>
                        </w:pPr>
                      </w:p>
                      <w:p>
                        <w:pPr>
                          <w:spacing w:line="240" w:lineRule="exact"/>
                        </w:pPr>
                        <w:r>
                          <w:rPr>
                            <w:rFonts w:hint="eastAsia"/>
                          </w:rPr>
                          <w:t>完</w:t>
                        </w:r>
                      </w:p>
                      <w:p>
                        <w:pPr>
                          <w:spacing w:line="240" w:lineRule="exact"/>
                        </w:pPr>
                      </w:p>
                      <w:p>
                        <w:pPr>
                          <w:spacing w:line="240" w:lineRule="exact"/>
                        </w:pPr>
                        <w:r>
                          <w:rPr>
                            <w:rFonts w:hint="eastAsia"/>
                          </w:rPr>
                          <w:t>成</w:t>
                        </w:r>
                      </w:p>
                      <w:p>
                        <w:pPr>
                          <w:spacing w:line="240" w:lineRule="exact"/>
                        </w:pPr>
                      </w:p>
                      <w:p>
                        <w:pPr>
                          <w:spacing w:line="240" w:lineRule="exact"/>
                        </w:pPr>
                        <w:r>
                          <w:rPr>
                            <w:rFonts w:hint="eastAsia"/>
                          </w:rPr>
                          <w:t>的</w:t>
                        </w:r>
                      </w:p>
                      <w:p>
                        <w:pPr>
                          <w:spacing w:line="240" w:lineRule="exact"/>
                        </w:pPr>
                      </w:p>
                      <w:p>
                        <w:pPr>
                          <w:spacing w:line="240" w:lineRule="exact"/>
                        </w:pPr>
                        <w:r>
                          <w:rPr>
                            <w:rFonts w:hint="eastAsia"/>
                          </w:rPr>
                          <w:t>百</w:t>
                        </w:r>
                      </w:p>
                      <w:p>
                        <w:pPr>
                          <w:spacing w:line="240" w:lineRule="exact"/>
                        </w:pPr>
                      </w:p>
                      <w:p>
                        <w:pPr>
                          <w:spacing w:line="240" w:lineRule="exact"/>
                        </w:pPr>
                        <w:r>
                          <w:rPr>
                            <w:rFonts w:hint="eastAsia"/>
                          </w:rPr>
                          <w:t>分</w:t>
                        </w:r>
                      </w:p>
                      <w:p>
                        <w:pPr>
                          <w:spacing w:line="240" w:lineRule="exact"/>
                        </w:pPr>
                      </w:p>
                      <w:p>
                        <w:pPr>
                          <w:spacing w:line="240" w:lineRule="exact"/>
                        </w:pPr>
                        <w:r>
                          <w:rPr>
                            <w:rFonts w:hint="eastAsia"/>
                          </w:rPr>
                          <w:t>比</w:t>
                        </w:r>
                      </w:p>
                      <w:p>
                        <w:pPr>
                          <w:spacing w:line="240" w:lineRule="exact"/>
                        </w:pPr>
                      </w:p>
                      <w:p>
                        <w:pPr>
                          <w:spacing w:line="240" w:lineRule="exact"/>
                        </w:pPr>
                        <w:r>
                          <w:rPr>
                            <w:rFonts w:hint="eastAsia"/>
                          </w:rPr>
                          <w:t>（%）</w:t>
                        </w:r>
                      </w:p>
                    </w:txbxContent>
                  </v:textbox>
                </v:rect>
              </w:pict>
            </w:r>
            <w:r>
              <w:rPr>
                <w:rFonts w:hint="eastAsia"/>
              </w:rPr>
              <w:t>进  度</w:t>
            </w:r>
          </w:p>
        </w:tc>
        <w:tc>
          <w:tcPr>
            <w:tcW w:w="1093" w:type="dxa"/>
            <w:gridSpan w:val="3"/>
            <w:vAlign w:val="center"/>
          </w:tcPr>
          <w:p>
            <w:r>
              <w:rPr>
                <w:rFonts w:hint="eastAsia"/>
              </w:rPr>
              <w:t>一</w:t>
            </w:r>
          </w:p>
        </w:tc>
        <w:tc>
          <w:tcPr>
            <w:tcW w:w="1089" w:type="dxa"/>
            <w:gridSpan w:val="3"/>
            <w:vAlign w:val="center"/>
          </w:tcPr>
          <w:p>
            <w:r>
              <w:rPr>
                <w:rFonts w:hint="eastAsia"/>
              </w:rPr>
              <w:t>二</w:t>
            </w:r>
          </w:p>
        </w:tc>
        <w:tc>
          <w:tcPr>
            <w:tcW w:w="1084" w:type="dxa"/>
            <w:gridSpan w:val="3"/>
            <w:vAlign w:val="center"/>
          </w:tcPr>
          <w:p>
            <w:r>
              <w:rPr>
                <w:rFonts w:hint="eastAsia"/>
              </w:rPr>
              <w:t>三</w:t>
            </w:r>
          </w:p>
        </w:tc>
        <w:tc>
          <w:tcPr>
            <w:tcW w:w="1271" w:type="dxa"/>
            <w:gridSpan w:val="3"/>
            <w:vAlign w:val="center"/>
          </w:tcPr>
          <w:p>
            <w:r>
              <w:rPr>
                <w:rFonts w:hint="eastAsia"/>
              </w:rPr>
              <w:t>四</w:t>
            </w:r>
          </w:p>
        </w:tc>
        <w:tc>
          <w:tcPr>
            <w:tcW w:w="1084" w:type="dxa"/>
            <w:gridSpan w:val="3"/>
            <w:vAlign w:val="center"/>
          </w:tcPr>
          <w:p>
            <w:r>
              <w:rPr>
                <w:rFonts w:hint="eastAsia"/>
              </w:rPr>
              <w:t>一</w:t>
            </w:r>
          </w:p>
        </w:tc>
        <w:tc>
          <w:tcPr>
            <w:tcW w:w="1088" w:type="dxa"/>
            <w:gridSpan w:val="3"/>
            <w:vAlign w:val="center"/>
          </w:tcPr>
          <w:p>
            <w:r>
              <w:rPr>
                <w:rFonts w:hint="eastAsia"/>
              </w:rPr>
              <w:t>二</w:t>
            </w:r>
          </w:p>
        </w:tc>
        <w:tc>
          <w:tcPr>
            <w:tcW w:w="724" w:type="dxa"/>
            <w:gridSpan w:val="2"/>
            <w:vAlign w:val="center"/>
          </w:tcPr>
          <w:p>
            <w:r>
              <w:rPr>
                <w:rFonts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tcBorders>
              <w:bottom w:val="single" w:color="auto" w:sz="6" w:space="0"/>
            </w:tcBorders>
            <w:vAlign w:val="center"/>
          </w:tcPr>
          <w:p/>
        </w:tc>
        <w:tc>
          <w:tcPr>
            <w:tcW w:w="361" w:type="dxa"/>
            <w:vAlign w:val="center"/>
          </w:tcPr>
          <w:p>
            <w:r>
              <w:rPr>
                <w:rFonts w:hint="eastAsia"/>
              </w:rPr>
              <w:t>1</w:t>
            </w:r>
          </w:p>
        </w:tc>
        <w:tc>
          <w:tcPr>
            <w:tcW w:w="361" w:type="dxa"/>
            <w:vAlign w:val="center"/>
          </w:tcPr>
          <w:p>
            <w:r>
              <w:rPr>
                <w:rFonts w:hint="eastAsia"/>
              </w:rPr>
              <w:t>2</w:t>
            </w:r>
          </w:p>
        </w:tc>
        <w:tc>
          <w:tcPr>
            <w:tcW w:w="371" w:type="dxa"/>
            <w:vAlign w:val="center"/>
          </w:tcPr>
          <w:p>
            <w:r>
              <w:rPr>
                <w:rFonts w:hint="eastAsia"/>
              </w:rPr>
              <w:t>3</w:t>
            </w:r>
          </w:p>
        </w:tc>
        <w:tc>
          <w:tcPr>
            <w:tcW w:w="361" w:type="dxa"/>
            <w:vAlign w:val="center"/>
          </w:tcPr>
          <w:p>
            <w:r>
              <w:rPr>
                <w:rFonts w:hint="eastAsia"/>
              </w:rPr>
              <w:t>4</w:t>
            </w:r>
          </w:p>
        </w:tc>
        <w:tc>
          <w:tcPr>
            <w:tcW w:w="361" w:type="dxa"/>
            <w:vAlign w:val="center"/>
          </w:tcPr>
          <w:p>
            <w:r>
              <w:rPr>
                <w:rFonts w:hint="eastAsia"/>
              </w:rPr>
              <w:t>5</w:t>
            </w:r>
          </w:p>
        </w:tc>
        <w:tc>
          <w:tcPr>
            <w:tcW w:w="367" w:type="dxa"/>
            <w:vAlign w:val="center"/>
          </w:tcPr>
          <w:p>
            <w:r>
              <w:rPr>
                <w:rFonts w:hint="eastAsia"/>
              </w:rPr>
              <w:t>6</w:t>
            </w:r>
          </w:p>
        </w:tc>
        <w:tc>
          <w:tcPr>
            <w:tcW w:w="360" w:type="dxa"/>
            <w:vAlign w:val="center"/>
          </w:tcPr>
          <w:p>
            <w:r>
              <w:rPr>
                <w:rFonts w:hint="eastAsia"/>
              </w:rPr>
              <w:t>7</w:t>
            </w:r>
          </w:p>
        </w:tc>
        <w:tc>
          <w:tcPr>
            <w:tcW w:w="360" w:type="dxa"/>
            <w:vAlign w:val="center"/>
          </w:tcPr>
          <w:p>
            <w:r>
              <w:rPr>
                <w:rFonts w:hint="eastAsia"/>
              </w:rPr>
              <w:t>8</w:t>
            </w:r>
          </w:p>
        </w:tc>
        <w:tc>
          <w:tcPr>
            <w:tcW w:w="364" w:type="dxa"/>
            <w:vAlign w:val="center"/>
          </w:tcPr>
          <w:p>
            <w:r>
              <w:rPr>
                <w:rFonts w:hint="eastAsia"/>
              </w:rPr>
              <w:t>9</w:t>
            </w:r>
          </w:p>
        </w:tc>
        <w:tc>
          <w:tcPr>
            <w:tcW w:w="426" w:type="dxa"/>
            <w:vAlign w:val="center"/>
          </w:tcPr>
          <w:p>
            <w:r>
              <w:rPr>
                <w:rFonts w:hint="eastAsia"/>
              </w:rPr>
              <w:t>10</w:t>
            </w:r>
          </w:p>
        </w:tc>
        <w:tc>
          <w:tcPr>
            <w:tcW w:w="419" w:type="dxa"/>
            <w:vAlign w:val="center"/>
          </w:tcPr>
          <w:p>
            <w:r>
              <w:rPr>
                <w:rFonts w:hint="eastAsia"/>
              </w:rPr>
              <w:t>11</w:t>
            </w:r>
          </w:p>
        </w:tc>
        <w:tc>
          <w:tcPr>
            <w:tcW w:w="426" w:type="dxa"/>
            <w:vAlign w:val="center"/>
          </w:tcPr>
          <w:p>
            <w:r>
              <w:rPr>
                <w:rFonts w:hint="eastAsia"/>
              </w:rPr>
              <w:t>12</w:t>
            </w:r>
          </w:p>
        </w:tc>
        <w:tc>
          <w:tcPr>
            <w:tcW w:w="360" w:type="dxa"/>
            <w:vAlign w:val="center"/>
          </w:tcPr>
          <w:p>
            <w:r>
              <w:rPr>
                <w:rFonts w:hint="eastAsia"/>
              </w:rPr>
              <w:t>1</w:t>
            </w:r>
          </w:p>
        </w:tc>
        <w:tc>
          <w:tcPr>
            <w:tcW w:w="360" w:type="dxa"/>
            <w:vAlign w:val="center"/>
          </w:tcPr>
          <w:p>
            <w:r>
              <w:rPr>
                <w:rFonts w:hint="eastAsia"/>
              </w:rPr>
              <w:t>2</w:t>
            </w:r>
          </w:p>
        </w:tc>
        <w:tc>
          <w:tcPr>
            <w:tcW w:w="364" w:type="dxa"/>
            <w:vAlign w:val="center"/>
          </w:tcPr>
          <w:p>
            <w:r>
              <w:rPr>
                <w:rFonts w:hint="eastAsia"/>
              </w:rPr>
              <w:t>3</w:t>
            </w:r>
          </w:p>
        </w:tc>
        <w:tc>
          <w:tcPr>
            <w:tcW w:w="362" w:type="dxa"/>
            <w:vAlign w:val="center"/>
          </w:tcPr>
          <w:p>
            <w:r>
              <w:rPr>
                <w:rFonts w:hint="eastAsia"/>
              </w:rPr>
              <w:t>4</w:t>
            </w:r>
          </w:p>
        </w:tc>
        <w:tc>
          <w:tcPr>
            <w:tcW w:w="362" w:type="dxa"/>
            <w:vAlign w:val="center"/>
          </w:tcPr>
          <w:p>
            <w:r>
              <w:rPr>
                <w:rFonts w:hint="eastAsia"/>
              </w:rPr>
              <w:t>5</w:t>
            </w:r>
          </w:p>
        </w:tc>
        <w:tc>
          <w:tcPr>
            <w:tcW w:w="364" w:type="dxa"/>
            <w:vAlign w:val="center"/>
          </w:tcPr>
          <w:p>
            <w:r>
              <w:rPr>
                <w:rFonts w:hint="eastAsia"/>
              </w:rPr>
              <w:t>6</w:t>
            </w:r>
          </w:p>
        </w:tc>
        <w:tc>
          <w:tcPr>
            <w:tcW w:w="724" w:type="dxa"/>
            <w:gridSpan w:val="2"/>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single" w:color="auto" w:sz="6" w:space="0"/>
              <w:bottom w:val="nil"/>
            </w:tcBorders>
            <w:vAlign w:val="center"/>
          </w:tcPr>
          <w:p>
            <w:pPr>
              <w:jc w:val="right"/>
            </w:pPr>
            <w:r>
              <w:rPr>
                <w:rFonts w:hint="eastAsia"/>
              </w:rPr>
              <w:t>100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90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80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70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60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50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40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30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20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10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single" w:color="auto" w:sz="12" w:space="0"/>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bl>
    <w:p>
      <w:r>
        <w:rPr>
          <w:rFonts w:ascii="隶书" w:eastAsia="隶书"/>
          <w:sz w:val="24"/>
        </w:rPr>
        <w:pict>
          <v:rect id="文本框 2" o:spid="_x0000_s1026" o:spt="1" style="position:absolute;left:0pt;margin-left:72.35pt;margin-top:29.85pt;height:23pt;width:288pt;z-index:251660288;mso-width-relative:page;mso-height-relative:page;" filled="f" o:preferrelative="t" stroked="f" coordsize="21600,21600">
            <v:path/>
            <v:fill on="f" focussize="0,0"/>
            <v:stroke on="f"/>
            <v:imagedata o:title=""/>
            <o:lock v:ext="edit"/>
            <v:textbox>
              <w:txbxContent>
                <w:p>
                  <w:pPr>
                    <w:jc w:val="center"/>
                    <w:rPr>
                      <w:rFonts w:ascii="宋体" w:hAnsi="宋体"/>
                    </w:rPr>
                  </w:pPr>
                  <w:r>
                    <w:rPr>
                      <w:rFonts w:hint="eastAsia" w:ascii="宋体" w:hAnsi="宋体"/>
                    </w:rPr>
                    <w:t>工期历程的百分比（%）</w:t>
                  </w:r>
                </w:p>
              </w:txbxContent>
            </v:textbox>
          </v:rect>
        </w:pict>
      </w:r>
      <w:r>
        <w:pict>
          <v:rect id="矩形 19" o:spid="_x0000_s1031" o:spt="1" style="position:absolute;left:0pt;margin-left:90.5pt;margin-top:1.65pt;height:21.05pt;width:410.9pt;z-index:251665408;mso-width-relative:page;mso-height-relative:page;" filled="f" o:preferrelative="t" stroked="f" coordsize="21600,21600">
            <v:path/>
            <v:fill on="f" focussize="0,0"/>
            <v:stroke on="f"/>
            <v:imagedata o:title=""/>
            <o:lock v:ext="edit"/>
            <v:textbox>
              <w:txbxContent>
                <w:p>
                  <w:r>
                    <w:rPr>
                      <w:rFonts w:hint="eastAsia"/>
                    </w:rPr>
                    <w:t>0     10     20     30     40      50     60     70     80     90    100</w:t>
                  </w:r>
                </w:p>
              </w:txbxContent>
            </v:textbox>
          </v:rect>
        </w:pict>
      </w:r>
    </w:p>
    <w:p/>
    <w:p/>
    <w:p/>
    <w:p/>
    <w:p/>
    <w:p/>
    <w:p/>
    <w:p/>
    <w:p>
      <w:pPr>
        <w:sectPr>
          <w:headerReference r:id="rId11" w:type="first"/>
          <w:pgSz w:w="11906" w:h="16838"/>
          <w:pgMar w:top="1440" w:right="1797" w:bottom="1440" w:left="1797" w:header="851" w:footer="992" w:gutter="0"/>
          <w:cols w:space="425" w:num="1"/>
          <w:titlePg/>
          <w:docGrid w:type="lines" w:linePitch="312" w:charSpace="0"/>
        </w:sectPr>
      </w:pPr>
    </w:p>
    <w:p>
      <w:pPr>
        <w:pStyle w:val="4"/>
        <w:spacing w:beforeLines="50" w:after="240" w:line="400" w:lineRule="exact"/>
        <w:rPr>
          <w:rFonts w:ascii="Arial" w:hAnsi="Arial" w:eastAsia="黑体"/>
          <w:kern w:val="2"/>
          <w:sz w:val="28"/>
          <w:szCs w:val="28"/>
        </w:rPr>
      </w:pPr>
      <w:bookmarkStart w:id="242" w:name="_Toc234382968"/>
      <w:r>
        <w:rPr>
          <w:rFonts w:ascii="Arial" w:hAnsi="Arial" w:eastAsia="黑体"/>
          <w:kern w:val="2"/>
          <w:sz w:val="28"/>
          <w:szCs w:val="28"/>
        </w:rPr>
        <w:t>附表四</w:t>
      </w:r>
      <w:r>
        <w:rPr>
          <w:rFonts w:hint="eastAsia" w:ascii="Arial" w:hAnsi="Arial" w:eastAsia="黑体"/>
          <w:kern w:val="2"/>
          <w:sz w:val="28"/>
          <w:szCs w:val="28"/>
        </w:rPr>
        <w:t xml:space="preserve">   分项工程生产率和施工周期表</w:t>
      </w:r>
      <w:bookmarkEnd w:id="242"/>
    </w:p>
    <w:tbl>
      <w:tblPr>
        <w:tblStyle w:val="16"/>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6"/>
        <w:gridCol w:w="2125"/>
        <w:gridCol w:w="923"/>
        <w:gridCol w:w="923"/>
        <w:gridCol w:w="3400"/>
        <w:gridCol w:w="2185"/>
        <w:gridCol w:w="2185"/>
        <w:gridCol w:w="2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3" w:hRule="atLeast"/>
          <w:jc w:val="center"/>
        </w:trPr>
        <w:tc>
          <w:tcPr>
            <w:tcW w:w="816" w:type="dxa"/>
            <w:vAlign w:val="center"/>
          </w:tcPr>
          <w:p>
            <w:pPr>
              <w:jc w:val="center"/>
              <w:rPr>
                <w:rFonts w:ascii="宋体" w:hAnsi="宋体"/>
                <w:szCs w:val="21"/>
              </w:rPr>
            </w:pPr>
            <w:r>
              <w:rPr>
                <w:rFonts w:hint="eastAsia" w:ascii="宋体" w:hAnsi="宋体"/>
                <w:szCs w:val="21"/>
              </w:rPr>
              <w:t>序号</w:t>
            </w:r>
          </w:p>
        </w:tc>
        <w:tc>
          <w:tcPr>
            <w:tcW w:w="2125" w:type="dxa"/>
            <w:vAlign w:val="center"/>
          </w:tcPr>
          <w:p>
            <w:pPr>
              <w:jc w:val="center"/>
              <w:rPr>
                <w:rFonts w:ascii="宋体" w:hAnsi="宋体"/>
                <w:szCs w:val="21"/>
              </w:rPr>
            </w:pPr>
            <w:r>
              <w:rPr>
                <w:rFonts w:hint="eastAsia" w:ascii="宋体" w:hAnsi="宋体"/>
                <w:szCs w:val="21"/>
              </w:rPr>
              <w:t>工程项目</w:t>
            </w:r>
          </w:p>
        </w:tc>
        <w:tc>
          <w:tcPr>
            <w:tcW w:w="923" w:type="dxa"/>
            <w:vAlign w:val="center"/>
          </w:tcPr>
          <w:p>
            <w:pPr>
              <w:jc w:val="center"/>
              <w:rPr>
                <w:rFonts w:ascii="宋体" w:hAnsi="宋体"/>
                <w:szCs w:val="21"/>
              </w:rPr>
            </w:pPr>
            <w:r>
              <w:rPr>
                <w:rFonts w:hint="eastAsia" w:ascii="宋体" w:hAnsi="宋体"/>
                <w:szCs w:val="21"/>
              </w:rPr>
              <w:t>单位</w:t>
            </w:r>
          </w:p>
        </w:tc>
        <w:tc>
          <w:tcPr>
            <w:tcW w:w="923" w:type="dxa"/>
            <w:vAlign w:val="center"/>
          </w:tcPr>
          <w:p>
            <w:pPr>
              <w:jc w:val="center"/>
              <w:rPr>
                <w:rFonts w:ascii="宋体" w:hAnsi="宋体"/>
                <w:szCs w:val="21"/>
              </w:rPr>
            </w:pPr>
            <w:r>
              <w:rPr>
                <w:rFonts w:hint="eastAsia" w:ascii="宋体" w:hAnsi="宋体"/>
                <w:szCs w:val="21"/>
              </w:rPr>
              <w:t>数量</w:t>
            </w:r>
          </w:p>
        </w:tc>
        <w:tc>
          <w:tcPr>
            <w:tcW w:w="3400" w:type="dxa"/>
            <w:vAlign w:val="center"/>
          </w:tcPr>
          <w:p>
            <w:pPr>
              <w:jc w:val="center"/>
              <w:rPr>
                <w:rFonts w:ascii="宋体" w:hAnsi="宋体"/>
                <w:szCs w:val="21"/>
              </w:rPr>
            </w:pPr>
            <w:r>
              <w:rPr>
                <w:rFonts w:hint="eastAsia" w:ascii="宋体" w:hAnsi="宋体"/>
                <w:szCs w:val="21"/>
              </w:rPr>
              <w:t>平均每生产单位规模（人，各种机械台）</w:t>
            </w:r>
          </w:p>
        </w:tc>
        <w:tc>
          <w:tcPr>
            <w:tcW w:w="2185" w:type="dxa"/>
            <w:vAlign w:val="center"/>
          </w:tcPr>
          <w:p>
            <w:pPr>
              <w:jc w:val="center"/>
              <w:rPr>
                <w:rFonts w:ascii="宋体" w:hAnsi="宋体"/>
                <w:szCs w:val="21"/>
              </w:rPr>
            </w:pPr>
            <w:r>
              <w:rPr>
                <w:rFonts w:hint="eastAsia" w:ascii="宋体" w:hAnsi="宋体"/>
                <w:szCs w:val="21"/>
              </w:rPr>
              <w:t>平均每生产单位生产率（数量，每周）</w:t>
            </w:r>
          </w:p>
        </w:tc>
        <w:tc>
          <w:tcPr>
            <w:tcW w:w="2185" w:type="dxa"/>
            <w:vAlign w:val="center"/>
          </w:tcPr>
          <w:p>
            <w:pPr>
              <w:jc w:val="center"/>
              <w:rPr>
                <w:rFonts w:ascii="宋体" w:hAnsi="宋体"/>
                <w:szCs w:val="21"/>
              </w:rPr>
            </w:pPr>
            <w:r>
              <w:rPr>
                <w:rFonts w:hint="eastAsia" w:ascii="宋体" w:hAnsi="宋体"/>
                <w:szCs w:val="21"/>
              </w:rPr>
              <w:t>每生产单位</w:t>
            </w:r>
          </w:p>
          <w:p>
            <w:pPr>
              <w:jc w:val="center"/>
              <w:rPr>
                <w:rFonts w:ascii="宋体" w:hAnsi="宋体"/>
                <w:szCs w:val="21"/>
              </w:rPr>
            </w:pPr>
            <w:r>
              <w:rPr>
                <w:rFonts w:hint="eastAsia" w:ascii="宋体" w:hAnsi="宋体"/>
                <w:szCs w:val="21"/>
              </w:rPr>
              <w:t>平均施工时间（周）</w:t>
            </w:r>
          </w:p>
        </w:tc>
        <w:tc>
          <w:tcPr>
            <w:tcW w:w="2185" w:type="dxa"/>
            <w:vAlign w:val="center"/>
          </w:tcPr>
          <w:p>
            <w:pPr>
              <w:jc w:val="center"/>
              <w:rPr>
                <w:rFonts w:ascii="宋体" w:hAnsi="宋体"/>
                <w:szCs w:val="21"/>
              </w:rPr>
            </w:pPr>
            <w:r>
              <w:rPr>
                <w:rFonts w:hint="eastAsia" w:ascii="宋体" w:hAnsi="宋体"/>
                <w:szCs w:val="21"/>
              </w:rPr>
              <w:t>生产单位总数</w:t>
            </w:r>
          </w:p>
          <w:p>
            <w:pPr>
              <w:jc w:val="center"/>
              <w:rPr>
                <w:rFonts w:ascii="宋体" w:hAnsi="宋体"/>
                <w:szCs w:val="21"/>
              </w:rPr>
            </w:pPr>
            <w:r>
              <w:rPr>
                <w:rFonts w:hint="eastAsia" w:ascii="宋体" w:hAnsi="宋体"/>
                <w:szCs w:val="21"/>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1</w:t>
            </w:r>
          </w:p>
        </w:tc>
        <w:tc>
          <w:tcPr>
            <w:tcW w:w="2125" w:type="dxa"/>
            <w:vAlign w:val="center"/>
          </w:tcPr>
          <w:p>
            <w:pPr>
              <w:ind w:left="113"/>
              <w:jc w:val="center"/>
              <w:rPr>
                <w:rFonts w:ascii="宋体" w:hAnsi="宋体"/>
                <w:szCs w:val="21"/>
              </w:rPr>
            </w:pPr>
            <w:r>
              <w:rPr>
                <w:rFonts w:hint="eastAsia" w:ascii="宋体" w:hAnsi="宋体"/>
                <w:szCs w:val="21"/>
              </w:rPr>
              <w:t>下部结构</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3</w:t>
            </w:r>
          </w:p>
        </w:tc>
        <w:tc>
          <w:tcPr>
            <w:tcW w:w="923" w:type="dxa"/>
            <w:vAlign w:val="center"/>
          </w:tcPr>
          <w:p>
            <w:pPr>
              <w:rPr>
                <w:rFonts w:ascii="宋体" w:hAnsi="宋体"/>
                <w:szCs w:val="21"/>
              </w:rPr>
            </w:pPr>
          </w:p>
        </w:tc>
        <w:tc>
          <w:tcPr>
            <w:tcW w:w="3400"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2</w:t>
            </w:r>
          </w:p>
        </w:tc>
        <w:tc>
          <w:tcPr>
            <w:tcW w:w="2125" w:type="dxa"/>
            <w:vAlign w:val="center"/>
          </w:tcPr>
          <w:p>
            <w:pPr>
              <w:ind w:left="113"/>
              <w:jc w:val="center"/>
              <w:rPr>
                <w:rFonts w:ascii="宋体" w:hAnsi="宋体"/>
                <w:szCs w:val="21"/>
              </w:rPr>
            </w:pPr>
            <w:r>
              <w:rPr>
                <w:rFonts w:hint="eastAsia" w:ascii="宋体" w:hAnsi="宋体"/>
                <w:szCs w:val="21"/>
              </w:rPr>
              <w:t>上部结构</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2</w:t>
            </w:r>
          </w:p>
        </w:tc>
        <w:tc>
          <w:tcPr>
            <w:tcW w:w="923" w:type="dxa"/>
            <w:vAlign w:val="center"/>
          </w:tcPr>
          <w:p>
            <w:pPr>
              <w:rPr>
                <w:rFonts w:ascii="宋体" w:hAnsi="宋体"/>
                <w:szCs w:val="21"/>
              </w:rPr>
            </w:pPr>
          </w:p>
        </w:tc>
        <w:tc>
          <w:tcPr>
            <w:tcW w:w="3400"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3</w:t>
            </w:r>
          </w:p>
        </w:tc>
        <w:tc>
          <w:tcPr>
            <w:tcW w:w="2125" w:type="dxa"/>
            <w:vAlign w:val="center"/>
          </w:tcPr>
          <w:p>
            <w:pPr>
              <w:ind w:left="113"/>
              <w:jc w:val="center"/>
              <w:rPr>
                <w:rFonts w:ascii="宋体" w:hAnsi="宋体"/>
                <w:szCs w:val="21"/>
              </w:rPr>
            </w:pPr>
            <w:r>
              <w:rPr>
                <w:rFonts w:hint="eastAsia" w:ascii="宋体" w:hAnsi="宋体"/>
                <w:szCs w:val="21"/>
              </w:rPr>
              <w:t>附属工程</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2</w:t>
            </w:r>
          </w:p>
        </w:tc>
        <w:tc>
          <w:tcPr>
            <w:tcW w:w="923" w:type="dxa"/>
            <w:vAlign w:val="center"/>
          </w:tcPr>
          <w:p>
            <w:pPr>
              <w:rPr>
                <w:rFonts w:ascii="宋体" w:hAnsi="宋体"/>
                <w:szCs w:val="21"/>
              </w:rPr>
            </w:pPr>
          </w:p>
        </w:tc>
        <w:tc>
          <w:tcPr>
            <w:tcW w:w="3400"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r>
    </w:tbl>
    <w:p>
      <w:pPr>
        <w:sectPr>
          <w:footnotePr>
            <w:numFmt w:val="decimalEnclosedCircleChinese"/>
            <w:numRestart w:val="eachPage"/>
          </w:footnotePr>
          <w:pgSz w:w="16840" w:h="11907" w:orient="landscape"/>
          <w:pgMar w:top="1361" w:right="1440" w:bottom="1361" w:left="1440" w:header="720" w:footer="907" w:gutter="0"/>
          <w:cols w:space="720" w:num="1"/>
        </w:sectPr>
      </w:pPr>
    </w:p>
    <w:p>
      <w:pPr>
        <w:pStyle w:val="4"/>
        <w:spacing w:beforeLines="50" w:after="240" w:line="400" w:lineRule="exact"/>
        <w:rPr>
          <w:rFonts w:ascii="Arial" w:hAnsi="Arial" w:eastAsia="黑体"/>
          <w:kern w:val="2"/>
          <w:sz w:val="28"/>
          <w:szCs w:val="28"/>
        </w:rPr>
      </w:pPr>
      <w:bookmarkStart w:id="243" w:name="_Toc234382969"/>
      <w:r>
        <w:rPr>
          <w:rFonts w:ascii="Arial" w:hAnsi="Arial" w:eastAsia="黑体"/>
          <w:kern w:val="2"/>
          <w:sz w:val="28"/>
          <w:szCs w:val="28"/>
        </w:rPr>
        <w:t>附表五</w:t>
      </w:r>
      <w:r>
        <w:rPr>
          <w:rFonts w:hint="eastAsia" w:ascii="Arial" w:hAnsi="Arial" w:eastAsia="黑体"/>
          <w:kern w:val="2"/>
          <w:sz w:val="28"/>
          <w:szCs w:val="28"/>
        </w:rPr>
        <w:t xml:space="preserve">  </w:t>
      </w:r>
      <w:r>
        <w:rPr>
          <w:rFonts w:ascii="Arial" w:hAnsi="Arial" w:eastAsia="黑体"/>
          <w:kern w:val="2"/>
          <w:sz w:val="28"/>
          <w:szCs w:val="28"/>
        </w:rPr>
        <w:t>施工总平面图</w:t>
      </w:r>
      <w:bookmarkEnd w:id="243"/>
    </w:p>
    <w:p>
      <w:pPr>
        <w:rPr>
          <w:rFonts w:ascii="宋体" w:hAnsi="宋体"/>
          <w:sz w:val="24"/>
        </w:rPr>
      </w:pPr>
    </w:p>
    <w:p>
      <w:pPr>
        <w:spacing w:line="400" w:lineRule="exact"/>
        <w:ind w:firstLine="480" w:firstLineChars="200"/>
        <w:rPr>
          <w:rFonts w:ascii="宋体" w:hAnsi="宋体"/>
          <w:sz w:val="24"/>
        </w:rPr>
      </w:pPr>
      <w:r>
        <w:rPr>
          <w:rFonts w:ascii="宋体" w:hAnsi="宋体"/>
          <w:sz w:val="24"/>
        </w:rPr>
        <w:t>投标人应递交一份施工总平面图，绘出现场临时设施布置图表并附文字说明，说明</w:t>
      </w:r>
      <w:r>
        <w:rPr>
          <w:rFonts w:hint="eastAsia" w:ascii="宋体" w:hAnsi="宋体"/>
          <w:sz w:val="24"/>
        </w:rPr>
        <w:t>施工营地、料场、</w:t>
      </w:r>
      <w:r>
        <w:rPr>
          <w:rFonts w:ascii="宋体" w:hAnsi="宋体"/>
          <w:sz w:val="24"/>
        </w:rPr>
        <w:t>临时设施、加工车间、现场办公、设备及仓储、供电、供水、卫生、生活、道路、消防等设施的情况和布置。</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4"/>
        <w:spacing w:beforeLines="50" w:after="240" w:line="400" w:lineRule="exact"/>
        <w:rPr>
          <w:rFonts w:ascii="Arial" w:hAnsi="Arial" w:eastAsia="黑体"/>
          <w:kern w:val="2"/>
          <w:sz w:val="28"/>
          <w:szCs w:val="28"/>
        </w:rPr>
      </w:pPr>
      <w:bookmarkStart w:id="244" w:name="_Toc234382970"/>
      <w:r>
        <w:rPr>
          <w:rFonts w:ascii="Arial" w:hAnsi="Arial" w:eastAsia="黑体"/>
          <w:kern w:val="2"/>
          <w:sz w:val="28"/>
          <w:szCs w:val="28"/>
        </w:rPr>
        <w:t>附表</w:t>
      </w:r>
      <w:r>
        <w:rPr>
          <w:rFonts w:hint="eastAsia" w:ascii="Arial" w:hAnsi="Arial" w:eastAsia="黑体"/>
          <w:kern w:val="2"/>
          <w:sz w:val="28"/>
          <w:szCs w:val="28"/>
        </w:rPr>
        <w:t>六   劳动力计划表</w:t>
      </w:r>
      <w:bookmarkEnd w:id="244"/>
    </w:p>
    <w:p>
      <w:pPr>
        <w:jc w:val="right"/>
        <w:rPr>
          <w:rFonts w:ascii="宋体" w:hAnsi="宋体"/>
          <w:sz w:val="24"/>
        </w:rPr>
      </w:pPr>
      <w:r>
        <w:rPr>
          <w:rFonts w:hint="eastAsia" w:ascii="宋体" w:hAnsi="宋体"/>
          <w:sz w:val="24"/>
        </w:rPr>
        <w:t>单位：人</w:t>
      </w:r>
    </w:p>
    <w:tbl>
      <w:tblPr>
        <w:tblStyle w:val="16"/>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205"/>
        <w:gridCol w:w="1205"/>
        <w:gridCol w:w="1204"/>
        <w:gridCol w:w="1205"/>
        <w:gridCol w:w="1205"/>
        <w:gridCol w:w="1205"/>
        <w:gridCol w:w="1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Cs w:val="21"/>
              </w:rPr>
            </w:pPr>
            <w:r>
              <w:rPr>
                <w:rFonts w:hint="eastAsia" w:ascii="宋体" w:hAnsi="宋体"/>
                <w:szCs w:val="21"/>
              </w:rPr>
              <w:t>工种</w:t>
            </w:r>
          </w:p>
        </w:tc>
        <w:tc>
          <w:tcPr>
            <w:tcW w:w="8434" w:type="dxa"/>
            <w:gridSpan w:val="7"/>
            <w:vAlign w:val="center"/>
          </w:tcPr>
          <w:p>
            <w:pPr>
              <w:jc w:val="center"/>
              <w:rPr>
                <w:rFonts w:ascii="宋体" w:hAnsi="宋体"/>
                <w:szCs w:val="21"/>
              </w:rPr>
            </w:pPr>
            <w:r>
              <w:rPr>
                <w:rFonts w:hint="eastAsia" w:ascii="宋体" w:hAnsi="宋体"/>
                <w:szCs w:val="21"/>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bl>
    <w:p>
      <w:pPr>
        <w:ind w:firstLine="6600" w:firstLineChars="2750"/>
        <w:rPr>
          <w:rFonts w:ascii="宋体" w:hAnsi="宋体"/>
          <w:sz w:val="24"/>
        </w:rPr>
      </w:pPr>
    </w:p>
    <w:p>
      <w:pPr>
        <w:pStyle w:val="4"/>
        <w:spacing w:beforeLines="50" w:after="240" w:line="400" w:lineRule="exact"/>
        <w:rPr>
          <w:rFonts w:ascii="Arial" w:hAnsi="Arial" w:eastAsia="黑体"/>
          <w:kern w:val="2"/>
          <w:sz w:val="28"/>
          <w:szCs w:val="28"/>
        </w:rPr>
      </w:pPr>
      <w:r>
        <w:rPr>
          <w:rFonts w:ascii="宋体"/>
          <w:sz w:val="24"/>
        </w:rPr>
        <w:br w:type="page"/>
      </w:r>
      <w:bookmarkStart w:id="245" w:name="_Toc234382971"/>
      <w:r>
        <w:rPr>
          <w:rFonts w:ascii="Arial" w:hAnsi="Arial" w:eastAsia="黑体"/>
          <w:kern w:val="2"/>
          <w:sz w:val="28"/>
          <w:szCs w:val="28"/>
        </w:rPr>
        <w:t>附表</w:t>
      </w:r>
      <w:r>
        <w:rPr>
          <w:rFonts w:hint="eastAsia" w:ascii="Arial" w:hAnsi="Arial" w:eastAsia="黑体"/>
          <w:kern w:val="2"/>
          <w:sz w:val="28"/>
          <w:szCs w:val="28"/>
        </w:rPr>
        <w:t>七  临时用地计划表</w:t>
      </w:r>
      <w:bookmarkEnd w:id="245"/>
    </w:p>
    <w:tbl>
      <w:tblPr>
        <w:tblStyle w:val="16"/>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97" w:type="dxa"/>
            <w:vMerge w:val="restart"/>
            <w:vAlign w:val="center"/>
          </w:tcPr>
          <w:p>
            <w:pPr>
              <w:jc w:val="center"/>
              <w:rPr>
                <w:rFonts w:ascii="宋体" w:hAnsi="宋体"/>
                <w:szCs w:val="21"/>
              </w:rPr>
            </w:pPr>
            <w:r>
              <w:rPr>
                <w:rFonts w:hint="eastAsia" w:ascii="宋体" w:hAnsi="宋体"/>
                <w:szCs w:val="21"/>
              </w:rPr>
              <w:t>用   途</w:t>
            </w:r>
          </w:p>
        </w:tc>
        <w:tc>
          <w:tcPr>
            <w:tcW w:w="3507" w:type="dxa"/>
            <w:gridSpan w:val="5"/>
            <w:vAlign w:val="center"/>
          </w:tcPr>
          <w:p>
            <w:pPr>
              <w:jc w:val="center"/>
              <w:rPr>
                <w:rFonts w:ascii="宋体" w:hAnsi="宋体"/>
                <w:szCs w:val="21"/>
              </w:rPr>
            </w:pPr>
            <w:r>
              <w:rPr>
                <w:rFonts w:hint="eastAsia" w:ascii="宋体" w:hAnsi="宋体"/>
                <w:szCs w:val="21"/>
              </w:rPr>
              <w:t>面积（m</w:t>
            </w:r>
            <w:r>
              <w:rPr>
                <w:rFonts w:hint="eastAsia" w:ascii="宋体" w:hAnsi="宋体"/>
                <w:szCs w:val="21"/>
                <w:vertAlign w:val="superscript"/>
              </w:rPr>
              <w:t>2</w:t>
            </w:r>
            <w:r>
              <w:rPr>
                <w:rFonts w:hint="eastAsia" w:ascii="宋体" w:hAnsi="宋体"/>
                <w:szCs w:val="21"/>
              </w:rPr>
              <w:t>）</w:t>
            </w:r>
          </w:p>
        </w:tc>
        <w:tc>
          <w:tcPr>
            <w:tcW w:w="1779" w:type="dxa"/>
            <w:vMerge w:val="restart"/>
            <w:vAlign w:val="center"/>
          </w:tcPr>
          <w:p>
            <w:pPr>
              <w:jc w:val="center"/>
              <w:rPr>
                <w:rFonts w:ascii="宋体" w:hAnsi="宋体"/>
                <w:szCs w:val="21"/>
              </w:rPr>
            </w:pPr>
            <w:r>
              <w:rPr>
                <w:rFonts w:hint="eastAsia" w:ascii="宋体" w:hAnsi="宋体"/>
                <w:szCs w:val="21"/>
              </w:rPr>
              <w:t>需用时间</w:t>
            </w:r>
          </w:p>
          <w:p>
            <w:pPr>
              <w:ind w:firstLine="5"/>
              <w:jc w:val="center"/>
              <w:rPr>
                <w:rFonts w:ascii="宋体" w:hAnsi="宋体"/>
                <w:szCs w:val="21"/>
              </w:rPr>
            </w:pPr>
            <w:r>
              <w:rPr>
                <w:rFonts w:hint="eastAsia" w:ascii="宋体" w:hAnsi="宋体"/>
                <w:szCs w:val="21"/>
              </w:rPr>
              <w:t>年月至年月</w:t>
            </w:r>
          </w:p>
        </w:tc>
        <w:tc>
          <w:tcPr>
            <w:tcW w:w="2156" w:type="dxa"/>
            <w:gridSpan w:val="3"/>
            <w:vAlign w:val="center"/>
          </w:tcPr>
          <w:p>
            <w:pPr>
              <w:jc w:val="center"/>
              <w:rPr>
                <w:rFonts w:ascii="宋体" w:hAnsi="宋体"/>
                <w:szCs w:val="21"/>
              </w:rPr>
            </w:pPr>
            <w:r>
              <w:rPr>
                <w:rFonts w:hint="eastAsia" w:ascii="宋体" w:hAnsi="宋体"/>
                <w:szCs w:val="21"/>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197" w:type="dxa"/>
            <w:vMerge w:val="continue"/>
            <w:vAlign w:val="center"/>
          </w:tcPr>
          <w:p>
            <w:pPr>
              <w:rPr>
                <w:rFonts w:ascii="宋体" w:hAnsi="宋体"/>
                <w:szCs w:val="21"/>
              </w:rPr>
            </w:pPr>
          </w:p>
        </w:tc>
        <w:tc>
          <w:tcPr>
            <w:tcW w:w="699" w:type="dxa"/>
            <w:vAlign w:val="center"/>
          </w:tcPr>
          <w:p>
            <w:pPr>
              <w:rPr>
                <w:rFonts w:ascii="宋体" w:hAnsi="宋体"/>
                <w:szCs w:val="21"/>
              </w:rPr>
            </w:pPr>
            <w:r>
              <w:rPr>
                <w:rFonts w:hint="eastAsia" w:ascii="宋体" w:hAnsi="宋体"/>
                <w:szCs w:val="21"/>
              </w:rPr>
              <w:t>菜地</w:t>
            </w:r>
          </w:p>
        </w:tc>
        <w:tc>
          <w:tcPr>
            <w:tcW w:w="700" w:type="dxa"/>
            <w:vAlign w:val="center"/>
          </w:tcPr>
          <w:p>
            <w:pPr>
              <w:rPr>
                <w:rFonts w:ascii="宋体" w:hAnsi="宋体"/>
                <w:szCs w:val="21"/>
              </w:rPr>
            </w:pPr>
            <w:r>
              <w:rPr>
                <w:rFonts w:hint="eastAsia" w:ascii="宋体" w:hAnsi="宋体"/>
                <w:szCs w:val="21"/>
              </w:rPr>
              <w:t>水田</w:t>
            </w:r>
          </w:p>
        </w:tc>
        <w:tc>
          <w:tcPr>
            <w:tcW w:w="702" w:type="dxa"/>
            <w:vAlign w:val="center"/>
          </w:tcPr>
          <w:p>
            <w:pPr>
              <w:rPr>
                <w:rFonts w:ascii="宋体" w:hAnsi="宋体"/>
                <w:szCs w:val="21"/>
              </w:rPr>
            </w:pPr>
            <w:r>
              <w:rPr>
                <w:rFonts w:hint="eastAsia" w:ascii="宋体" w:hAnsi="宋体"/>
                <w:szCs w:val="21"/>
              </w:rPr>
              <w:t>旱地</w:t>
            </w:r>
          </w:p>
        </w:tc>
        <w:tc>
          <w:tcPr>
            <w:tcW w:w="700" w:type="dxa"/>
            <w:vAlign w:val="center"/>
          </w:tcPr>
          <w:p>
            <w:pPr>
              <w:rPr>
                <w:rFonts w:ascii="宋体" w:hAnsi="宋体"/>
                <w:szCs w:val="21"/>
              </w:rPr>
            </w:pPr>
            <w:r>
              <w:rPr>
                <w:rFonts w:hint="eastAsia" w:ascii="宋体" w:hAnsi="宋体"/>
                <w:szCs w:val="21"/>
              </w:rPr>
              <w:t>果园</w:t>
            </w:r>
          </w:p>
        </w:tc>
        <w:tc>
          <w:tcPr>
            <w:tcW w:w="706" w:type="dxa"/>
            <w:vAlign w:val="center"/>
          </w:tcPr>
          <w:p>
            <w:pPr>
              <w:rPr>
                <w:rFonts w:ascii="宋体" w:hAnsi="宋体"/>
                <w:szCs w:val="21"/>
              </w:rPr>
            </w:pPr>
            <w:r>
              <w:rPr>
                <w:rFonts w:hint="eastAsia" w:ascii="宋体" w:hAnsi="宋体"/>
                <w:szCs w:val="21"/>
              </w:rPr>
              <w:t>荒地</w:t>
            </w:r>
          </w:p>
        </w:tc>
        <w:tc>
          <w:tcPr>
            <w:tcW w:w="1779" w:type="dxa"/>
            <w:vMerge w:val="continue"/>
            <w:vAlign w:val="center"/>
          </w:tcPr>
          <w:p>
            <w:pPr>
              <w:rPr>
                <w:rFonts w:ascii="宋体" w:hAnsi="宋体"/>
                <w:szCs w:val="21"/>
              </w:rPr>
            </w:pPr>
          </w:p>
        </w:tc>
        <w:tc>
          <w:tcPr>
            <w:tcW w:w="673" w:type="dxa"/>
            <w:vAlign w:val="center"/>
          </w:tcPr>
          <w:p>
            <w:pPr>
              <w:rPr>
                <w:rFonts w:ascii="宋体" w:hAnsi="宋体"/>
                <w:szCs w:val="21"/>
              </w:rPr>
            </w:pPr>
            <w:r>
              <w:rPr>
                <w:rFonts w:hint="eastAsia" w:ascii="宋体" w:hAnsi="宋体"/>
                <w:szCs w:val="21"/>
              </w:rPr>
              <w:t>桩</w:t>
            </w:r>
          </w:p>
          <w:p>
            <w:pPr>
              <w:rPr>
                <w:rFonts w:ascii="宋体" w:hAnsi="宋体"/>
                <w:szCs w:val="21"/>
              </w:rPr>
            </w:pPr>
            <w:r>
              <w:rPr>
                <w:rFonts w:hint="eastAsia" w:ascii="宋体" w:hAnsi="宋体"/>
                <w:szCs w:val="21"/>
              </w:rPr>
              <w:t>号</w:t>
            </w:r>
          </w:p>
        </w:tc>
        <w:tc>
          <w:tcPr>
            <w:tcW w:w="741" w:type="dxa"/>
            <w:vAlign w:val="center"/>
          </w:tcPr>
          <w:p>
            <w:pPr>
              <w:rPr>
                <w:rFonts w:ascii="宋体" w:hAnsi="宋体"/>
                <w:szCs w:val="21"/>
              </w:rPr>
            </w:pPr>
            <w:r>
              <w:rPr>
                <w:rFonts w:hint="eastAsia" w:ascii="宋体" w:hAnsi="宋体"/>
                <w:szCs w:val="21"/>
              </w:rPr>
              <w:t>左侧（m）</w:t>
            </w:r>
          </w:p>
        </w:tc>
        <w:tc>
          <w:tcPr>
            <w:tcW w:w="742" w:type="dxa"/>
            <w:vAlign w:val="center"/>
          </w:tcPr>
          <w:p>
            <w:pPr>
              <w:rPr>
                <w:rFonts w:ascii="宋体" w:hAnsi="宋体"/>
                <w:szCs w:val="21"/>
              </w:rPr>
            </w:pPr>
            <w:r>
              <w:rPr>
                <w:rFonts w:hint="eastAsia" w:ascii="宋体" w:hAnsi="宋体"/>
                <w:szCs w:val="21"/>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210" w:firstLineChars="100"/>
              <w:rPr>
                <w:rFonts w:ascii="宋体" w:hAnsi="宋体"/>
                <w:szCs w:val="21"/>
              </w:rPr>
            </w:pPr>
            <w:r>
              <w:rPr>
                <w:rFonts w:hint="eastAsia" w:ascii="宋体" w:hAnsi="宋体"/>
                <w:szCs w:val="21"/>
              </w:rPr>
              <w:t>一、临时工程</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1.便道</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2.……</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vAlign w:val="center"/>
          </w:tcPr>
          <w:p>
            <w:pPr>
              <w:ind w:firstLine="210" w:firstLineChars="100"/>
              <w:rPr>
                <w:rFonts w:ascii="宋体" w:hAnsi="宋体"/>
                <w:szCs w:val="21"/>
              </w:rPr>
            </w:pPr>
            <w:r>
              <w:rPr>
                <w:rFonts w:hint="eastAsia" w:ascii="宋体" w:hAnsi="宋体"/>
                <w:szCs w:val="21"/>
              </w:rPr>
              <w:t>二、生产及生活临时设施</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1.临时住房</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vAlign w:val="center"/>
          </w:tcPr>
          <w:p>
            <w:pPr>
              <w:ind w:firstLine="420" w:firstLineChars="200"/>
              <w:rPr>
                <w:rFonts w:ascii="宋体" w:hAnsi="宋体"/>
                <w:szCs w:val="21"/>
              </w:rPr>
            </w:pPr>
            <w:r>
              <w:rPr>
                <w:rFonts w:hint="eastAsia" w:ascii="宋体" w:hAnsi="宋体"/>
                <w:szCs w:val="21"/>
              </w:rPr>
              <w:t>2.办公等公用房屋</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3.料场</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r>
              <w:rPr>
                <w:rFonts w:hint="eastAsia" w:ascii="宋体" w:hAnsi="宋体"/>
                <w:szCs w:val="21"/>
              </w:rPr>
              <w:t>租用面积合计</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bl>
    <w:p>
      <w:pPr>
        <w:pStyle w:val="4"/>
        <w:spacing w:beforeLines="50" w:after="240" w:line="400" w:lineRule="exact"/>
        <w:rPr>
          <w:rFonts w:ascii="隶书" w:hAnsi="宋体" w:eastAsia="隶书"/>
          <w:sz w:val="30"/>
          <w:szCs w:val="30"/>
        </w:rPr>
      </w:pPr>
      <w:r>
        <w:rPr>
          <w:rFonts w:ascii="宋体" w:hAnsi="宋体"/>
          <w:sz w:val="24"/>
        </w:rPr>
        <w:br w:type="page"/>
      </w:r>
      <w:bookmarkStart w:id="246" w:name="_Toc234382972"/>
      <w:r>
        <w:rPr>
          <w:rFonts w:hint="eastAsia" w:ascii="Arial" w:hAnsi="Arial" w:eastAsia="黑体"/>
          <w:kern w:val="2"/>
          <w:sz w:val="28"/>
          <w:szCs w:val="28"/>
        </w:rPr>
        <w:t>附表八  外供电力需求计划表</w:t>
      </w:r>
      <w:bookmarkEnd w:id="246"/>
    </w:p>
    <w:tbl>
      <w:tblPr>
        <w:tblStyle w:val="16"/>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2212" w:type="dxa"/>
            <w:gridSpan w:val="2"/>
            <w:vAlign w:val="center"/>
          </w:tcPr>
          <w:p>
            <w:pPr>
              <w:jc w:val="center"/>
              <w:rPr>
                <w:rFonts w:ascii="宋体" w:hAnsi="宋体"/>
                <w:szCs w:val="21"/>
              </w:rPr>
            </w:pPr>
            <w:r>
              <w:rPr>
                <w:rFonts w:hint="eastAsia" w:ascii="宋体" w:hAnsi="宋体"/>
                <w:szCs w:val="21"/>
              </w:rPr>
              <w:t>用电位置</w:t>
            </w:r>
          </w:p>
        </w:tc>
        <w:tc>
          <w:tcPr>
            <w:tcW w:w="1984" w:type="dxa"/>
            <w:vMerge w:val="restart"/>
            <w:vAlign w:val="center"/>
          </w:tcPr>
          <w:p>
            <w:pPr>
              <w:jc w:val="center"/>
              <w:rPr>
                <w:rFonts w:ascii="宋体" w:hAnsi="宋体"/>
                <w:szCs w:val="21"/>
              </w:rPr>
            </w:pPr>
            <w:r>
              <w:rPr>
                <w:rFonts w:hint="eastAsia" w:ascii="宋体" w:hAnsi="宋体"/>
                <w:szCs w:val="21"/>
              </w:rPr>
              <w:t>计划用电数量（KW·h）</w:t>
            </w:r>
          </w:p>
        </w:tc>
        <w:tc>
          <w:tcPr>
            <w:tcW w:w="1701" w:type="dxa"/>
            <w:vMerge w:val="restart"/>
            <w:vAlign w:val="center"/>
          </w:tcPr>
          <w:p>
            <w:pPr>
              <w:jc w:val="center"/>
              <w:rPr>
                <w:rFonts w:ascii="宋体" w:hAnsi="宋体"/>
                <w:szCs w:val="21"/>
              </w:rPr>
            </w:pPr>
            <w:r>
              <w:rPr>
                <w:rFonts w:hint="eastAsia" w:ascii="宋体" w:hAnsi="宋体"/>
                <w:szCs w:val="21"/>
              </w:rPr>
              <w:t>用  途</w:t>
            </w:r>
          </w:p>
        </w:tc>
        <w:tc>
          <w:tcPr>
            <w:tcW w:w="2552" w:type="dxa"/>
            <w:vMerge w:val="restart"/>
            <w:vAlign w:val="center"/>
          </w:tcPr>
          <w:p>
            <w:pPr>
              <w:jc w:val="center"/>
              <w:rPr>
                <w:rFonts w:ascii="宋体" w:hAnsi="宋体"/>
                <w:szCs w:val="21"/>
              </w:rPr>
            </w:pPr>
            <w:r>
              <w:rPr>
                <w:rFonts w:hint="eastAsia" w:ascii="宋体" w:hAnsi="宋体"/>
                <w:szCs w:val="21"/>
              </w:rPr>
              <w:t>需 用 时 间</w:t>
            </w:r>
          </w:p>
          <w:p>
            <w:pPr>
              <w:ind w:left="735" w:hanging="735" w:hangingChars="350"/>
              <w:jc w:val="center"/>
              <w:rPr>
                <w:rFonts w:ascii="宋体" w:hAnsi="宋体"/>
                <w:szCs w:val="21"/>
              </w:rPr>
            </w:pPr>
            <w:r>
              <w:rPr>
                <w:rFonts w:hint="eastAsia" w:ascii="宋体" w:hAnsi="宋体"/>
                <w:szCs w:val="21"/>
              </w:rPr>
              <w:t>年   月</w:t>
            </w:r>
          </w:p>
          <w:p>
            <w:pPr>
              <w:ind w:left="735" w:leftChars="300" w:hanging="105" w:hangingChars="50"/>
              <w:jc w:val="left"/>
              <w:rPr>
                <w:rFonts w:ascii="宋体" w:hAnsi="宋体"/>
                <w:szCs w:val="21"/>
              </w:rPr>
            </w:pPr>
            <w:r>
              <w:rPr>
                <w:rFonts w:hint="eastAsia" w:ascii="宋体" w:hAnsi="宋体"/>
                <w:szCs w:val="21"/>
              </w:rPr>
              <w:t>至年   月</w:t>
            </w:r>
          </w:p>
        </w:tc>
        <w:tc>
          <w:tcPr>
            <w:tcW w:w="1190" w:type="dxa"/>
            <w:vMerge w:val="restart"/>
            <w:vAlign w:val="center"/>
          </w:tcPr>
          <w:p>
            <w:pPr>
              <w:jc w:val="center"/>
              <w:rPr>
                <w:rFonts w:ascii="宋体" w:hAnsi="宋体"/>
                <w:szCs w:val="21"/>
              </w:rPr>
            </w:pPr>
            <w:r>
              <w:rPr>
                <w:rFonts w:hint="eastAsia" w:ascii="宋体" w:hAnsi="宋体"/>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1106" w:type="dxa"/>
            <w:vAlign w:val="center"/>
          </w:tcPr>
          <w:p>
            <w:pPr>
              <w:jc w:val="center"/>
              <w:rPr>
                <w:rFonts w:ascii="宋体" w:hAnsi="宋体"/>
                <w:szCs w:val="21"/>
              </w:rPr>
            </w:pPr>
            <w:r>
              <w:rPr>
                <w:rFonts w:hint="eastAsia" w:ascii="宋体" w:hAnsi="宋体"/>
                <w:szCs w:val="21"/>
              </w:rPr>
              <w:t>桩号</w:t>
            </w:r>
          </w:p>
        </w:tc>
        <w:tc>
          <w:tcPr>
            <w:tcW w:w="1106" w:type="dxa"/>
            <w:vAlign w:val="center"/>
          </w:tcPr>
          <w:p>
            <w:pPr>
              <w:jc w:val="center"/>
              <w:rPr>
                <w:rFonts w:ascii="宋体" w:hAnsi="宋体"/>
                <w:szCs w:val="21"/>
              </w:rPr>
            </w:pPr>
            <w:r>
              <w:rPr>
                <w:rFonts w:hint="eastAsia" w:ascii="宋体" w:hAnsi="宋体"/>
                <w:szCs w:val="21"/>
              </w:rPr>
              <w:t>左或右（m）</w:t>
            </w:r>
          </w:p>
        </w:tc>
        <w:tc>
          <w:tcPr>
            <w:tcW w:w="1984" w:type="dxa"/>
            <w:vMerge w:val="continue"/>
            <w:vAlign w:val="center"/>
          </w:tcPr>
          <w:p>
            <w:pPr>
              <w:jc w:val="center"/>
              <w:rPr>
                <w:rFonts w:ascii="宋体" w:hAnsi="宋体"/>
                <w:szCs w:val="21"/>
              </w:rPr>
            </w:pPr>
          </w:p>
        </w:tc>
        <w:tc>
          <w:tcPr>
            <w:tcW w:w="1701" w:type="dxa"/>
            <w:vMerge w:val="continue"/>
            <w:vAlign w:val="center"/>
          </w:tcPr>
          <w:p>
            <w:pPr>
              <w:jc w:val="center"/>
              <w:rPr>
                <w:rFonts w:ascii="宋体" w:hAnsi="宋体"/>
                <w:szCs w:val="21"/>
              </w:rPr>
            </w:pPr>
          </w:p>
        </w:tc>
        <w:tc>
          <w:tcPr>
            <w:tcW w:w="2552" w:type="dxa"/>
            <w:vMerge w:val="continue"/>
            <w:vAlign w:val="center"/>
          </w:tcPr>
          <w:p>
            <w:pPr>
              <w:jc w:val="center"/>
              <w:rPr>
                <w:rFonts w:ascii="宋体" w:hAnsi="宋体"/>
                <w:szCs w:val="21"/>
              </w:rPr>
            </w:pPr>
          </w:p>
        </w:tc>
        <w:tc>
          <w:tcPr>
            <w:tcW w:w="119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bl>
    <w:p>
      <w:pPr>
        <w:pStyle w:val="4"/>
        <w:spacing w:beforeLines="50" w:after="240" w:line="400" w:lineRule="exact"/>
        <w:rPr>
          <w:rFonts w:ascii="Arial" w:hAnsi="Arial" w:eastAsia="黑体"/>
          <w:kern w:val="2"/>
          <w:sz w:val="28"/>
          <w:szCs w:val="28"/>
        </w:rPr>
      </w:pPr>
      <w:r>
        <w:rPr>
          <w:rFonts w:hint="eastAsia" w:ascii="Arial" w:hAnsi="Arial" w:eastAsia="黑体"/>
          <w:kern w:val="2"/>
          <w:sz w:val="28"/>
          <w:szCs w:val="28"/>
        </w:rPr>
        <w:t>附表九   合同用款估算表</w:t>
      </w:r>
    </w:p>
    <w:tbl>
      <w:tblPr>
        <w:tblStyle w:val="16"/>
        <w:tblpPr w:leftFromText="180" w:rightFromText="180" w:vertAnchor="text" w:horzAnchor="margin" w:tblpXSpec="center"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rPr>
            </w:pPr>
            <w:r>
              <w:rPr>
                <w:rFonts w:hint="eastAsia" w:ascii="宋体" w:hAnsi="宋体"/>
                <w:szCs w:val="21"/>
              </w:rPr>
              <w:t>从开工月算起的时间（月）</w:t>
            </w:r>
          </w:p>
        </w:tc>
        <w:tc>
          <w:tcPr>
            <w:tcW w:w="6925" w:type="dxa"/>
            <w:gridSpan w:val="4"/>
            <w:vAlign w:val="center"/>
          </w:tcPr>
          <w:p>
            <w:pPr>
              <w:jc w:val="center"/>
              <w:rPr>
                <w:rFonts w:ascii="宋体" w:hAnsi="宋体"/>
                <w:szCs w:val="21"/>
              </w:rPr>
            </w:pPr>
            <w:r>
              <w:rPr>
                <w:rFonts w:hint="eastAsia" w:ascii="宋体" w:hAnsi="宋体"/>
                <w:szCs w:val="21"/>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3462" w:type="dxa"/>
            <w:gridSpan w:val="2"/>
            <w:vAlign w:val="center"/>
          </w:tcPr>
          <w:p>
            <w:pPr>
              <w:tabs>
                <w:tab w:val="left" w:pos="4863"/>
              </w:tabs>
              <w:jc w:val="center"/>
              <w:rPr>
                <w:rFonts w:ascii="宋体" w:hAnsi="宋体"/>
                <w:szCs w:val="21"/>
              </w:rPr>
            </w:pPr>
            <w:r>
              <w:rPr>
                <w:rFonts w:hint="eastAsia" w:ascii="宋体" w:hAnsi="宋体"/>
                <w:szCs w:val="21"/>
              </w:rPr>
              <w:t>分  期</w:t>
            </w:r>
          </w:p>
        </w:tc>
        <w:tc>
          <w:tcPr>
            <w:tcW w:w="3463" w:type="dxa"/>
            <w:gridSpan w:val="2"/>
            <w:vAlign w:val="center"/>
          </w:tcPr>
          <w:p>
            <w:pPr>
              <w:tabs>
                <w:tab w:val="left" w:pos="4863"/>
              </w:tabs>
              <w:jc w:val="center"/>
              <w:rPr>
                <w:rFonts w:ascii="宋体" w:hAnsi="宋体"/>
                <w:szCs w:val="21"/>
              </w:rPr>
            </w:pPr>
            <w:r>
              <w:rPr>
                <w:rFonts w:hint="eastAsia" w:ascii="宋体" w:hAnsi="宋体"/>
                <w:szCs w:val="21"/>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金额（元）</w:t>
            </w:r>
          </w:p>
        </w:tc>
        <w:tc>
          <w:tcPr>
            <w:tcW w:w="1731" w:type="dxa"/>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r>
              <w:rPr>
                <w:rFonts w:hint="eastAsia" w:ascii="宋体" w:hAnsi="宋体"/>
                <w:szCs w:val="21"/>
              </w:rPr>
              <w:t>金额（元）</w:t>
            </w:r>
          </w:p>
        </w:tc>
        <w:tc>
          <w:tcPr>
            <w:tcW w:w="1732" w:type="dxa"/>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第一次开工预付款</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1～3</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4～6</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7～9</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10～12</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13～15</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缺陷责任期</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小计</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100．00</w:t>
            </w: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9639" w:type="dxa"/>
            <w:gridSpan w:val="6"/>
            <w:vAlign w:val="center"/>
          </w:tcPr>
          <w:p>
            <w:pPr>
              <w:jc w:val="left"/>
              <w:rPr>
                <w:rFonts w:ascii="宋体" w:hAnsi="宋体"/>
                <w:szCs w:val="21"/>
              </w:rPr>
            </w:pPr>
            <w:r>
              <w:rPr>
                <w:rFonts w:hint="eastAsia" w:ascii="宋体" w:hAnsi="宋体"/>
                <w:szCs w:val="21"/>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7" w:hRule="atLeast"/>
        </w:trPr>
        <w:tc>
          <w:tcPr>
            <w:tcW w:w="717" w:type="dxa"/>
            <w:vAlign w:val="center"/>
          </w:tcPr>
          <w:p>
            <w:pPr>
              <w:jc w:val="center"/>
              <w:rPr>
                <w:rFonts w:ascii="宋体" w:hAnsi="宋体"/>
                <w:szCs w:val="21"/>
              </w:rPr>
            </w:pPr>
            <w:r>
              <w:rPr>
                <w:rFonts w:hint="eastAsia" w:ascii="宋体" w:hAnsi="宋体"/>
                <w:szCs w:val="21"/>
              </w:rPr>
              <w:t>说</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明</w:t>
            </w:r>
          </w:p>
        </w:tc>
        <w:tc>
          <w:tcPr>
            <w:tcW w:w="8922" w:type="dxa"/>
            <w:gridSpan w:val="5"/>
            <w:vAlign w:val="center"/>
          </w:tcPr>
          <w:p>
            <w:pPr>
              <w:widowControl/>
              <w:jc w:val="center"/>
              <w:rPr>
                <w:rFonts w:ascii="宋体" w:hAnsi="宋体"/>
                <w:szCs w:val="21"/>
              </w:rPr>
            </w:pPr>
          </w:p>
          <w:p>
            <w:pPr>
              <w:jc w:val="center"/>
              <w:rPr>
                <w:rFonts w:ascii="宋体" w:hAnsi="宋体"/>
                <w:szCs w:val="21"/>
              </w:rPr>
            </w:pPr>
          </w:p>
        </w:tc>
      </w:tr>
    </w:tbl>
    <w:p>
      <w:pPr>
        <w:jc w:val="center"/>
        <w:rPr>
          <w:rFonts w:ascii="隶书" w:hAnsi="宋体" w:eastAsia="隶书"/>
          <w:sz w:val="24"/>
        </w:rPr>
      </w:pPr>
    </w:p>
    <w:p>
      <w:pPr>
        <w:rPr>
          <w:rFonts w:ascii="宋体" w:hAnsi="宋体"/>
          <w:szCs w:val="21"/>
        </w:rPr>
      </w:pPr>
      <w:r>
        <w:rPr>
          <w:rFonts w:hint="eastAsia" w:ascii="宋体" w:hAnsi="宋体"/>
          <w:szCs w:val="21"/>
        </w:rPr>
        <w:t>注：1.投标人可按附表一的工程进度估算并填写本表。</w:t>
      </w:r>
    </w:p>
    <w:p>
      <w:pPr>
        <w:ind w:left="630" w:hanging="630"/>
        <w:rPr>
          <w:rFonts w:ascii="宋体" w:hAnsi="宋体"/>
          <w:szCs w:val="21"/>
        </w:rPr>
      </w:pPr>
      <w:r>
        <w:rPr>
          <w:rFonts w:hint="eastAsia" w:ascii="宋体" w:hAnsi="宋体"/>
          <w:szCs w:val="21"/>
        </w:rPr>
        <w:t xml:space="preserve">    2.用款额按所报单价和总额价估算，不包括价格调整和暂列金额、暂估价，但应考虑开工预付款的扣回、质量保证金的扣留以及签发付款证书后到实际支付的时间间隔。</w:t>
      </w:r>
    </w:p>
    <w:p>
      <w:pPr>
        <w:rPr>
          <w:rFonts w:ascii="宋体" w:hAnsi="宋体"/>
          <w:sz w:val="24"/>
        </w:rPr>
      </w:pPr>
    </w:p>
    <w:p>
      <w:pPr>
        <w:pStyle w:val="4"/>
        <w:pageBreakBefore/>
        <w:spacing w:beforeLines="100" w:afterLines="150" w:line="360" w:lineRule="exact"/>
        <w:jc w:val="center"/>
        <w:rPr>
          <w:rFonts w:ascii="黑体" w:hAnsi="宋体" w:eastAsia="黑体"/>
          <w:sz w:val="28"/>
          <w:szCs w:val="28"/>
        </w:rPr>
      </w:pPr>
      <w:r>
        <w:rPr>
          <w:rFonts w:hint="eastAsia" w:ascii="黑体" w:hAnsi="宋体" w:eastAsia="黑体"/>
          <w:sz w:val="28"/>
          <w:szCs w:val="28"/>
        </w:rPr>
        <w:t>五</w:t>
      </w:r>
      <w:r>
        <w:rPr>
          <w:rFonts w:ascii="黑体" w:hAnsi="宋体" w:eastAsia="黑体"/>
          <w:sz w:val="28"/>
          <w:szCs w:val="28"/>
        </w:rPr>
        <w:t>、项目管理机构</w:t>
      </w:r>
    </w:p>
    <w:tbl>
      <w:tblPr>
        <w:tblStyle w:val="16"/>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73" w:hRule="atLeast"/>
          <w:jc w:val="center"/>
        </w:trPr>
        <w:tc>
          <w:tcPr>
            <w:tcW w:w="9639" w:type="dxa"/>
          </w:tcPr>
          <w:p>
            <w:pPr>
              <w:rPr>
                <w:rFonts w:ascii="宋体" w:hAnsi="宋体"/>
                <w:szCs w:val="21"/>
              </w:rPr>
            </w:pPr>
          </w:p>
          <w:p>
            <w:pPr>
              <w:rPr>
                <w:rFonts w:ascii="宋体" w:hAnsi="宋体"/>
                <w:szCs w:val="21"/>
              </w:rPr>
            </w:pPr>
            <w:r>
              <w:rPr>
                <w:rFonts w:hint="eastAsia" w:ascii="宋体" w:hAnsi="宋体"/>
                <w:szCs w:val="21"/>
              </w:rPr>
              <w:t>拟为承包本工程设立的组织机构以框图方式表示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8" w:hRule="atLeast"/>
          <w:jc w:val="center"/>
        </w:trPr>
        <w:tc>
          <w:tcPr>
            <w:tcW w:w="9639" w:type="dxa"/>
          </w:tcPr>
          <w:p>
            <w:pPr>
              <w:rPr>
                <w:rFonts w:ascii="宋体" w:hAnsi="宋体"/>
                <w:szCs w:val="21"/>
              </w:rPr>
            </w:pPr>
          </w:p>
          <w:p>
            <w:pPr>
              <w:rPr>
                <w:rFonts w:ascii="宋体" w:hAnsi="宋体"/>
                <w:szCs w:val="21"/>
              </w:rPr>
            </w:pPr>
            <w:r>
              <w:rPr>
                <w:rFonts w:hint="eastAsia" w:ascii="宋体" w:hAnsi="宋体"/>
                <w:szCs w:val="21"/>
              </w:rPr>
              <w:t>说明</w:t>
            </w:r>
          </w:p>
        </w:tc>
      </w:tr>
    </w:tbl>
    <w:p/>
    <w:p>
      <w:pPr>
        <w:pStyle w:val="4"/>
        <w:spacing w:beforeLines="100" w:afterLines="150" w:line="360" w:lineRule="exact"/>
        <w:jc w:val="center"/>
        <w:rPr>
          <w:rFonts w:ascii="黑体" w:hAnsi="宋体" w:eastAsia="黑体"/>
          <w:sz w:val="28"/>
          <w:szCs w:val="28"/>
        </w:rPr>
      </w:pPr>
      <w:bookmarkStart w:id="247" w:name="_Toc234382977"/>
      <w:bookmarkStart w:id="248" w:name="_Toc485889072"/>
      <w:bookmarkStart w:id="249" w:name="_Toc486277938"/>
      <w:bookmarkStart w:id="250" w:name="_Toc18211"/>
      <w:r>
        <w:rPr>
          <w:rFonts w:hint="eastAsia" w:ascii="黑体" w:hAnsi="宋体" w:eastAsia="黑体"/>
          <w:sz w:val="28"/>
          <w:szCs w:val="28"/>
        </w:rPr>
        <w:t>六、资格审查资料</w:t>
      </w:r>
      <w:bookmarkEnd w:id="247"/>
      <w:bookmarkEnd w:id="248"/>
      <w:bookmarkEnd w:id="249"/>
      <w:bookmarkEnd w:id="250"/>
    </w:p>
    <w:p>
      <w:pPr>
        <w:pStyle w:val="4"/>
        <w:spacing w:beforeLines="100" w:afterLines="150" w:line="360" w:lineRule="exact"/>
        <w:jc w:val="center"/>
        <w:rPr>
          <w:rFonts w:ascii="黑体" w:hAnsi="宋体" w:eastAsia="黑体"/>
          <w:sz w:val="28"/>
          <w:szCs w:val="28"/>
        </w:rPr>
      </w:pPr>
      <w:bookmarkStart w:id="251" w:name="_Toc486277939"/>
      <w:bookmarkStart w:id="252" w:name="_Toc234382978"/>
      <w:bookmarkStart w:id="253" w:name="_Toc485889073"/>
      <w:bookmarkStart w:id="254" w:name="_Toc9432"/>
      <w:r>
        <w:rPr>
          <w:rFonts w:hint="eastAsia" w:ascii="黑体" w:hAnsi="宋体" w:eastAsia="黑体"/>
          <w:sz w:val="28"/>
          <w:szCs w:val="28"/>
        </w:rPr>
        <w:t>（一）投标人基本情况表</w:t>
      </w:r>
      <w:bookmarkEnd w:id="251"/>
      <w:bookmarkEnd w:id="252"/>
      <w:bookmarkEnd w:id="253"/>
      <w:bookmarkEnd w:id="254"/>
    </w:p>
    <w:tbl>
      <w:tblPr>
        <w:tblStyle w:val="16"/>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42"/>
        <w:gridCol w:w="1010"/>
        <w:gridCol w:w="1070"/>
        <w:gridCol w:w="1416"/>
        <w:gridCol w:w="350"/>
        <w:gridCol w:w="1212"/>
        <w:gridCol w:w="557"/>
        <w:gridCol w:w="966"/>
        <w:gridCol w:w="11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投标人名称</w:t>
            </w:r>
          </w:p>
        </w:tc>
        <w:tc>
          <w:tcPr>
            <w:tcW w:w="7697" w:type="dxa"/>
            <w:gridSpan w:val="8"/>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注册地址</w:t>
            </w:r>
          </w:p>
        </w:tc>
        <w:tc>
          <w:tcPr>
            <w:tcW w:w="3846" w:type="dxa"/>
            <w:gridSpan w:val="4"/>
            <w:vAlign w:val="center"/>
          </w:tcPr>
          <w:p>
            <w:pPr>
              <w:autoSpaceDE w:val="0"/>
              <w:autoSpaceDN w:val="0"/>
              <w:adjustRightInd w:val="0"/>
              <w:jc w:val="center"/>
              <w:rPr>
                <w:rFonts w:ascii="宋体" w:hAnsi="宋体"/>
                <w:kern w:val="0"/>
                <w:szCs w:val="21"/>
              </w:rPr>
            </w:pPr>
          </w:p>
        </w:tc>
        <w:tc>
          <w:tcPr>
            <w:tcW w:w="121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邮政编码</w:t>
            </w:r>
          </w:p>
        </w:tc>
        <w:tc>
          <w:tcPr>
            <w:tcW w:w="2639" w:type="dxa"/>
            <w:gridSpan w:val="3"/>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Merge w:val="restart"/>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联系方式</w:t>
            </w:r>
          </w:p>
        </w:tc>
        <w:tc>
          <w:tcPr>
            <w:tcW w:w="1010"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联系人</w:t>
            </w:r>
          </w:p>
        </w:tc>
        <w:tc>
          <w:tcPr>
            <w:tcW w:w="2836" w:type="dxa"/>
            <w:gridSpan w:val="3"/>
            <w:vAlign w:val="center"/>
          </w:tcPr>
          <w:p>
            <w:pPr>
              <w:autoSpaceDE w:val="0"/>
              <w:autoSpaceDN w:val="0"/>
              <w:adjustRightInd w:val="0"/>
              <w:jc w:val="center"/>
              <w:rPr>
                <w:rFonts w:ascii="宋体" w:hAnsi="宋体"/>
                <w:kern w:val="0"/>
                <w:szCs w:val="21"/>
              </w:rPr>
            </w:pPr>
          </w:p>
        </w:tc>
        <w:tc>
          <w:tcPr>
            <w:tcW w:w="121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电话</w:t>
            </w:r>
          </w:p>
        </w:tc>
        <w:tc>
          <w:tcPr>
            <w:tcW w:w="2639" w:type="dxa"/>
            <w:gridSpan w:val="3"/>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Merge w:val="continue"/>
            <w:vAlign w:val="center"/>
          </w:tcPr>
          <w:p>
            <w:pPr>
              <w:autoSpaceDE w:val="0"/>
              <w:autoSpaceDN w:val="0"/>
              <w:adjustRightInd w:val="0"/>
              <w:jc w:val="center"/>
              <w:rPr>
                <w:rFonts w:ascii="宋体" w:hAnsi="宋体"/>
                <w:kern w:val="0"/>
                <w:szCs w:val="21"/>
              </w:rPr>
            </w:pPr>
          </w:p>
        </w:tc>
        <w:tc>
          <w:tcPr>
            <w:tcW w:w="1010" w:type="dxa"/>
            <w:vAlign w:val="center"/>
          </w:tcPr>
          <w:p>
            <w:pPr>
              <w:tabs>
                <w:tab w:val="left" w:pos="540"/>
              </w:tabs>
              <w:autoSpaceDE w:val="0"/>
              <w:autoSpaceDN w:val="0"/>
              <w:adjustRightInd w:val="0"/>
              <w:jc w:val="center"/>
              <w:rPr>
                <w:rFonts w:ascii="宋体" w:hAnsi="宋体"/>
                <w:kern w:val="0"/>
                <w:szCs w:val="21"/>
              </w:rPr>
            </w:pPr>
            <w:r>
              <w:rPr>
                <w:rFonts w:hint="eastAsia" w:ascii="宋体" w:hAnsi="宋体" w:cs="MingLiU"/>
                <w:kern w:val="0"/>
                <w:szCs w:val="21"/>
              </w:rPr>
              <w:t>传真</w:t>
            </w:r>
          </w:p>
        </w:tc>
        <w:tc>
          <w:tcPr>
            <w:tcW w:w="2836" w:type="dxa"/>
            <w:gridSpan w:val="3"/>
            <w:vAlign w:val="center"/>
          </w:tcPr>
          <w:p>
            <w:pPr>
              <w:autoSpaceDE w:val="0"/>
              <w:autoSpaceDN w:val="0"/>
              <w:adjustRightInd w:val="0"/>
              <w:jc w:val="center"/>
              <w:rPr>
                <w:rFonts w:ascii="宋体" w:hAnsi="宋体"/>
                <w:kern w:val="0"/>
                <w:szCs w:val="21"/>
              </w:rPr>
            </w:pPr>
          </w:p>
        </w:tc>
        <w:tc>
          <w:tcPr>
            <w:tcW w:w="121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电子邮件</w:t>
            </w:r>
          </w:p>
        </w:tc>
        <w:tc>
          <w:tcPr>
            <w:tcW w:w="2639" w:type="dxa"/>
            <w:gridSpan w:val="3"/>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法定代表人</w:t>
            </w:r>
          </w:p>
        </w:tc>
        <w:tc>
          <w:tcPr>
            <w:tcW w:w="1010"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姓名</w:t>
            </w:r>
          </w:p>
        </w:tc>
        <w:tc>
          <w:tcPr>
            <w:tcW w:w="1070" w:type="dxa"/>
            <w:vAlign w:val="center"/>
          </w:tcPr>
          <w:p>
            <w:pPr>
              <w:autoSpaceDE w:val="0"/>
              <w:autoSpaceDN w:val="0"/>
              <w:adjustRightInd w:val="0"/>
              <w:jc w:val="center"/>
              <w:rPr>
                <w:rFonts w:ascii="宋体" w:hAnsi="宋体"/>
                <w:kern w:val="0"/>
                <w:szCs w:val="21"/>
              </w:rPr>
            </w:pPr>
          </w:p>
        </w:tc>
        <w:tc>
          <w:tcPr>
            <w:tcW w:w="1416"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技术职称</w:t>
            </w:r>
          </w:p>
        </w:tc>
        <w:tc>
          <w:tcPr>
            <w:tcW w:w="2119" w:type="dxa"/>
            <w:gridSpan w:val="3"/>
            <w:vAlign w:val="center"/>
          </w:tcPr>
          <w:p>
            <w:pPr>
              <w:autoSpaceDE w:val="0"/>
              <w:autoSpaceDN w:val="0"/>
              <w:adjustRightInd w:val="0"/>
              <w:jc w:val="center"/>
              <w:rPr>
                <w:rFonts w:ascii="宋体" w:hAnsi="宋体"/>
                <w:kern w:val="0"/>
                <w:szCs w:val="21"/>
              </w:rPr>
            </w:pPr>
          </w:p>
        </w:tc>
        <w:tc>
          <w:tcPr>
            <w:tcW w:w="966"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电话</w:t>
            </w:r>
          </w:p>
        </w:tc>
        <w:tc>
          <w:tcPr>
            <w:tcW w:w="1116" w:type="dxa"/>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技术负责人</w:t>
            </w:r>
          </w:p>
        </w:tc>
        <w:tc>
          <w:tcPr>
            <w:tcW w:w="1010"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姓名</w:t>
            </w:r>
          </w:p>
        </w:tc>
        <w:tc>
          <w:tcPr>
            <w:tcW w:w="1070" w:type="dxa"/>
            <w:vAlign w:val="center"/>
          </w:tcPr>
          <w:p>
            <w:pPr>
              <w:autoSpaceDE w:val="0"/>
              <w:autoSpaceDN w:val="0"/>
              <w:adjustRightInd w:val="0"/>
              <w:jc w:val="center"/>
              <w:rPr>
                <w:rFonts w:ascii="宋体" w:hAnsi="宋体"/>
                <w:kern w:val="0"/>
                <w:szCs w:val="21"/>
              </w:rPr>
            </w:pPr>
          </w:p>
        </w:tc>
        <w:tc>
          <w:tcPr>
            <w:tcW w:w="1416"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技术职称</w:t>
            </w:r>
          </w:p>
        </w:tc>
        <w:tc>
          <w:tcPr>
            <w:tcW w:w="2119" w:type="dxa"/>
            <w:gridSpan w:val="3"/>
            <w:vAlign w:val="center"/>
          </w:tcPr>
          <w:p>
            <w:pPr>
              <w:autoSpaceDE w:val="0"/>
              <w:autoSpaceDN w:val="0"/>
              <w:adjustRightInd w:val="0"/>
              <w:jc w:val="center"/>
              <w:rPr>
                <w:rFonts w:ascii="宋体" w:hAnsi="宋体"/>
                <w:kern w:val="0"/>
                <w:szCs w:val="21"/>
              </w:rPr>
            </w:pPr>
          </w:p>
        </w:tc>
        <w:tc>
          <w:tcPr>
            <w:tcW w:w="966"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电话</w:t>
            </w:r>
          </w:p>
        </w:tc>
        <w:tc>
          <w:tcPr>
            <w:tcW w:w="1116" w:type="dxa"/>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成立时间</w:t>
            </w:r>
          </w:p>
        </w:tc>
        <w:tc>
          <w:tcPr>
            <w:tcW w:w="2080" w:type="dxa"/>
            <w:gridSpan w:val="2"/>
            <w:vAlign w:val="center"/>
          </w:tcPr>
          <w:p>
            <w:pPr>
              <w:autoSpaceDE w:val="0"/>
              <w:autoSpaceDN w:val="0"/>
              <w:adjustRightInd w:val="0"/>
              <w:jc w:val="center"/>
              <w:rPr>
                <w:rFonts w:ascii="宋体" w:hAnsi="宋体"/>
                <w:kern w:val="0"/>
                <w:szCs w:val="21"/>
              </w:rPr>
            </w:pPr>
          </w:p>
        </w:tc>
        <w:tc>
          <w:tcPr>
            <w:tcW w:w="5617" w:type="dxa"/>
            <w:gridSpan w:val="6"/>
            <w:vAlign w:val="center"/>
          </w:tcPr>
          <w:p>
            <w:pPr>
              <w:autoSpaceDE w:val="0"/>
              <w:autoSpaceDN w:val="0"/>
              <w:adjustRightInd w:val="0"/>
              <w:ind w:left="105" w:leftChars="50"/>
              <w:jc w:val="center"/>
              <w:rPr>
                <w:rFonts w:ascii="宋体" w:hAnsi="宋体"/>
                <w:kern w:val="0"/>
                <w:szCs w:val="21"/>
                <w:u w:val="single"/>
              </w:rPr>
            </w:pPr>
            <w:r>
              <w:rPr>
                <w:rFonts w:hint="eastAsia" w:ascii="宋体" w:hAnsi="宋体" w:cs="MingLiU"/>
                <w:kern w:val="0"/>
                <w:szCs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企业资质等级</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restart"/>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其中</w:t>
            </w:r>
          </w:p>
        </w:tc>
        <w:tc>
          <w:tcPr>
            <w:tcW w:w="2119" w:type="dxa"/>
            <w:gridSpan w:val="3"/>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项目经理</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营业执照号</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continue"/>
            <w:vAlign w:val="center"/>
          </w:tcPr>
          <w:p>
            <w:pPr>
              <w:autoSpaceDE w:val="0"/>
              <w:autoSpaceDN w:val="0"/>
              <w:adjustRightInd w:val="0"/>
              <w:jc w:val="center"/>
              <w:rPr>
                <w:rFonts w:ascii="宋体" w:hAnsi="宋体"/>
                <w:kern w:val="0"/>
                <w:szCs w:val="21"/>
              </w:rPr>
            </w:pPr>
          </w:p>
        </w:tc>
        <w:tc>
          <w:tcPr>
            <w:tcW w:w="2119" w:type="dxa"/>
            <w:gridSpan w:val="3"/>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高级职称人员</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注册资金</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continue"/>
            <w:vAlign w:val="center"/>
          </w:tcPr>
          <w:p>
            <w:pPr>
              <w:autoSpaceDE w:val="0"/>
              <w:autoSpaceDN w:val="0"/>
              <w:adjustRightInd w:val="0"/>
              <w:jc w:val="center"/>
              <w:rPr>
                <w:rFonts w:ascii="宋体" w:hAnsi="宋体"/>
                <w:kern w:val="0"/>
                <w:szCs w:val="21"/>
              </w:rPr>
            </w:pPr>
          </w:p>
        </w:tc>
        <w:tc>
          <w:tcPr>
            <w:tcW w:w="2119" w:type="dxa"/>
            <w:gridSpan w:val="3"/>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中级职称人员</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基本账户开户银行</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continue"/>
            <w:vAlign w:val="center"/>
          </w:tcPr>
          <w:p>
            <w:pPr>
              <w:autoSpaceDE w:val="0"/>
              <w:autoSpaceDN w:val="0"/>
              <w:adjustRightInd w:val="0"/>
              <w:jc w:val="center"/>
              <w:rPr>
                <w:rFonts w:ascii="宋体" w:hAnsi="宋体"/>
                <w:kern w:val="0"/>
                <w:szCs w:val="21"/>
              </w:rPr>
            </w:pPr>
          </w:p>
        </w:tc>
        <w:tc>
          <w:tcPr>
            <w:tcW w:w="2119" w:type="dxa"/>
            <w:gridSpan w:val="3"/>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初级职称人员</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基本账户账号</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continue"/>
            <w:vAlign w:val="center"/>
          </w:tcPr>
          <w:p>
            <w:pPr>
              <w:autoSpaceDE w:val="0"/>
              <w:autoSpaceDN w:val="0"/>
              <w:adjustRightInd w:val="0"/>
              <w:jc w:val="center"/>
              <w:rPr>
                <w:rFonts w:ascii="宋体" w:hAnsi="宋体"/>
                <w:kern w:val="0"/>
                <w:szCs w:val="21"/>
              </w:rPr>
            </w:pPr>
          </w:p>
        </w:tc>
        <w:tc>
          <w:tcPr>
            <w:tcW w:w="2119" w:type="dxa"/>
            <w:gridSpan w:val="3"/>
            <w:vAlign w:val="center"/>
          </w:tcPr>
          <w:p>
            <w:pPr>
              <w:tabs>
                <w:tab w:val="left" w:pos="1240"/>
              </w:tabs>
              <w:autoSpaceDE w:val="0"/>
              <w:autoSpaceDN w:val="0"/>
              <w:adjustRightInd w:val="0"/>
              <w:spacing w:before="98"/>
              <w:jc w:val="center"/>
              <w:rPr>
                <w:rFonts w:ascii="宋体" w:hAnsi="宋体"/>
                <w:kern w:val="0"/>
                <w:szCs w:val="21"/>
              </w:rPr>
            </w:pPr>
            <w:r>
              <w:rPr>
                <w:rFonts w:hint="eastAsia" w:ascii="宋体" w:hAnsi="宋体" w:cs="MingLiU"/>
                <w:kern w:val="0"/>
                <w:szCs w:val="21"/>
              </w:rPr>
              <w:t>技工</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58"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经营范围</w:t>
            </w:r>
          </w:p>
        </w:tc>
        <w:tc>
          <w:tcPr>
            <w:tcW w:w="7697" w:type="dxa"/>
            <w:gridSpan w:val="8"/>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23" w:hRule="exact"/>
          <w:jc w:val="center"/>
        </w:trPr>
        <w:tc>
          <w:tcPr>
            <w:tcW w:w="1942" w:type="dxa"/>
            <w:vAlign w:val="center"/>
          </w:tcPr>
          <w:p>
            <w:pPr>
              <w:autoSpaceDE w:val="0"/>
              <w:autoSpaceDN w:val="0"/>
              <w:adjustRightInd w:val="0"/>
              <w:jc w:val="center"/>
              <w:rPr>
                <w:rFonts w:ascii="宋体" w:hAnsi="宋体" w:cs="MingLiU"/>
                <w:kern w:val="0"/>
                <w:szCs w:val="21"/>
              </w:rPr>
            </w:pPr>
            <w:r>
              <w:rPr>
                <w:rFonts w:hint="eastAsia" w:ascii="宋体" w:hAnsi="宋体" w:cs="MingLiU"/>
                <w:kern w:val="0"/>
                <w:szCs w:val="21"/>
              </w:rPr>
              <w:t>资产构成情况及申请人投资参股的关联企业情况</w:t>
            </w:r>
          </w:p>
        </w:tc>
        <w:tc>
          <w:tcPr>
            <w:tcW w:w="7697" w:type="dxa"/>
            <w:gridSpan w:val="8"/>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备    注</w:t>
            </w:r>
          </w:p>
        </w:tc>
        <w:tc>
          <w:tcPr>
            <w:tcW w:w="7697" w:type="dxa"/>
            <w:gridSpan w:val="8"/>
            <w:vAlign w:val="center"/>
          </w:tcPr>
          <w:p>
            <w:pPr>
              <w:autoSpaceDE w:val="0"/>
              <w:autoSpaceDN w:val="0"/>
              <w:adjustRightInd w:val="0"/>
              <w:jc w:val="center"/>
              <w:rPr>
                <w:rFonts w:ascii="宋体" w:hAnsi="宋体"/>
                <w:kern w:val="0"/>
                <w:szCs w:val="21"/>
              </w:rPr>
            </w:pPr>
          </w:p>
        </w:tc>
      </w:tr>
    </w:tbl>
    <w:p>
      <w:pPr>
        <w:rPr>
          <w:rFonts w:ascii="宋体" w:hAnsi="宋体"/>
          <w:szCs w:val="21"/>
        </w:rPr>
      </w:pPr>
      <w:r>
        <w:rPr>
          <w:rFonts w:hint="eastAsia" w:ascii="宋体" w:hAnsi="宋体"/>
          <w:szCs w:val="21"/>
        </w:rPr>
        <w:t>注：</w:t>
      </w:r>
      <w:bookmarkStart w:id="255" w:name="_Toc10076"/>
      <w:bookmarkStart w:id="256" w:name="_Toc234382979"/>
      <w:bookmarkStart w:id="257" w:name="_Toc485889074"/>
      <w:bookmarkStart w:id="258" w:name="_Toc486277940"/>
      <w:r>
        <w:rPr>
          <w:rFonts w:hint="eastAsia" w:ascii="宋体" w:hAnsi="宋体"/>
          <w:szCs w:val="21"/>
        </w:rPr>
        <w:t>后</w:t>
      </w:r>
      <w:r>
        <w:rPr>
          <w:rFonts w:ascii="宋体" w:hAnsi="宋体"/>
          <w:szCs w:val="21"/>
        </w:rPr>
        <w:t>附</w:t>
      </w:r>
      <w:r>
        <w:rPr>
          <w:rFonts w:hint="eastAsia" w:ascii="宋体" w:hAnsi="宋体"/>
          <w:szCs w:val="21"/>
        </w:rPr>
        <w:t>企业法人</w:t>
      </w:r>
      <w:r>
        <w:rPr>
          <w:rFonts w:ascii="宋体" w:hAnsi="宋体"/>
          <w:szCs w:val="21"/>
        </w:rPr>
        <w:t>营业执照副本</w:t>
      </w:r>
      <w:r>
        <w:rPr>
          <w:rFonts w:hint="eastAsia" w:ascii="宋体" w:hAnsi="宋体"/>
          <w:szCs w:val="21"/>
        </w:rPr>
        <w:t>、施工资质证书副本、安全生产许可证副本、基本账户开户许可证的</w:t>
      </w:r>
      <w:r>
        <w:rPr>
          <w:rFonts w:hint="eastAsia" w:ascii="宋体" w:hAnsi="宋体"/>
          <w:szCs w:val="21"/>
          <w:lang w:val="en-US" w:eastAsia="zh-CN"/>
        </w:rPr>
        <w:t>原件扫描件（或图片）</w:t>
      </w:r>
      <w:r>
        <w:rPr>
          <w:rFonts w:hint="eastAsia" w:ascii="宋体" w:hAnsi="宋体"/>
          <w:szCs w:val="21"/>
        </w:rPr>
        <w:t>并加盖单位章</w:t>
      </w:r>
    </w:p>
    <w:p>
      <w:pPr>
        <w:rPr>
          <w:rFonts w:ascii="黑体" w:hAnsi="宋体" w:eastAsia="黑体"/>
          <w:sz w:val="28"/>
          <w:szCs w:val="28"/>
        </w:rPr>
      </w:pPr>
    </w:p>
    <w:p>
      <w:pPr>
        <w:pStyle w:val="2"/>
        <w:ind w:firstLine="210"/>
      </w:pPr>
    </w:p>
    <w:p>
      <w:pPr>
        <w:jc w:val="center"/>
        <w:rPr>
          <w:rFonts w:ascii="黑体" w:hAnsi="宋体" w:eastAsia="黑体"/>
          <w:sz w:val="28"/>
          <w:szCs w:val="28"/>
        </w:rPr>
      </w:pPr>
      <w:r>
        <w:rPr>
          <w:rFonts w:hint="eastAsia" w:ascii="黑体" w:hAnsi="宋体" w:eastAsia="黑体"/>
          <w:sz w:val="28"/>
          <w:szCs w:val="28"/>
        </w:rPr>
        <w:t>（二）投标人企业组织结构框图</w:t>
      </w:r>
      <w:bookmarkEnd w:id="255"/>
      <w:bookmarkEnd w:id="256"/>
      <w:bookmarkEnd w:id="257"/>
      <w:bookmarkEnd w:id="258"/>
    </w:p>
    <w:tbl>
      <w:tblPr>
        <w:tblStyle w:val="16"/>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76" w:hRule="atLeast"/>
          <w:jc w:val="center"/>
        </w:trPr>
        <w:tc>
          <w:tcPr>
            <w:tcW w:w="9639" w:type="dxa"/>
          </w:tcPr>
          <w:p/>
          <w:p>
            <w:pPr>
              <w:rPr>
                <w:rFonts w:cs="宋体"/>
                <w:szCs w:val="21"/>
              </w:rPr>
            </w:pPr>
            <w:r>
              <w:rPr>
                <w:rFonts w:hint="eastAsia" w:cs="宋体"/>
                <w:sz w:val="24"/>
                <w:szCs w:val="21"/>
              </w:rPr>
              <w:t>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13" w:hRule="atLeast"/>
          <w:jc w:val="center"/>
        </w:trPr>
        <w:tc>
          <w:tcPr>
            <w:tcW w:w="9639" w:type="dxa"/>
          </w:tcPr>
          <w:p>
            <w:pPr>
              <w:rPr>
                <w:rFonts w:cs="宋体"/>
                <w:sz w:val="24"/>
              </w:rPr>
            </w:pPr>
          </w:p>
          <w:p>
            <w:pPr>
              <w:rPr>
                <w:rFonts w:cs="宋体"/>
                <w:szCs w:val="21"/>
              </w:rPr>
            </w:pPr>
            <w:r>
              <w:rPr>
                <w:rFonts w:hint="eastAsia" w:cs="宋体"/>
                <w:szCs w:val="21"/>
              </w:rPr>
              <w:t>说明</w:t>
            </w:r>
          </w:p>
        </w:tc>
      </w:tr>
    </w:tbl>
    <w:p>
      <w:pPr>
        <w:pStyle w:val="4"/>
        <w:spacing w:beforeLines="100" w:afterLines="150" w:line="360" w:lineRule="exact"/>
        <w:jc w:val="center"/>
        <w:rPr>
          <w:rFonts w:ascii="黑体" w:hAnsi="宋体" w:eastAsia="黑体"/>
          <w:b w:val="0"/>
          <w:bCs w:val="0"/>
          <w:sz w:val="28"/>
          <w:szCs w:val="28"/>
        </w:rPr>
      </w:pPr>
      <w:r>
        <w:br w:type="page"/>
      </w:r>
      <w:bookmarkStart w:id="259" w:name="_Toc193904176"/>
      <w:bookmarkStart w:id="260" w:name="_Toc234382981"/>
      <w:bookmarkStart w:id="261" w:name="_Toc234242180"/>
      <w:bookmarkStart w:id="262" w:name="_Toc485889076"/>
    </w:p>
    <w:p>
      <w:pPr>
        <w:ind w:left="105" w:firstLine="315"/>
        <w:jc w:val="center"/>
        <w:rPr>
          <w:rFonts w:ascii="宋体" w:hAnsi="宋体"/>
          <w:szCs w:val="21"/>
        </w:rPr>
      </w:pPr>
      <w:r>
        <w:rPr>
          <w:rFonts w:hint="eastAsia" w:ascii="黑体" w:hAnsi="宋体" w:eastAsia="黑体"/>
          <w:b/>
          <w:bCs/>
          <w:kern w:val="44"/>
          <w:sz w:val="28"/>
          <w:szCs w:val="28"/>
        </w:rPr>
        <w:t>（三）近年财务状况表</w:t>
      </w:r>
      <w:bookmarkEnd w:id="259"/>
      <w:bookmarkEnd w:id="260"/>
      <w:bookmarkEnd w:id="261"/>
      <w:bookmarkEnd w:id="262"/>
    </w:p>
    <w:p>
      <w:pPr>
        <w:spacing w:after="120"/>
        <w:jc w:val="center"/>
        <w:rPr>
          <w:rFonts w:ascii="黑体" w:eastAsia="黑体"/>
          <w:b/>
          <w:sz w:val="24"/>
        </w:rPr>
      </w:pPr>
      <w:r>
        <w:rPr>
          <w:rFonts w:hint="eastAsia" w:ascii="黑体" w:eastAsia="黑体"/>
          <w:b/>
          <w:sz w:val="24"/>
        </w:rPr>
        <w:t>财务状况表</w:t>
      </w:r>
    </w:p>
    <w:tbl>
      <w:tblPr>
        <w:tblStyle w:val="16"/>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3"/>
        <w:gridCol w:w="990"/>
        <w:gridCol w:w="1258"/>
        <w:gridCol w:w="1259"/>
        <w:gridCol w:w="12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center"/>
              <w:rPr>
                <w:rFonts w:ascii="宋体" w:hAnsi="宋体"/>
                <w:szCs w:val="21"/>
              </w:rPr>
            </w:pPr>
            <w:r>
              <w:rPr>
                <w:rFonts w:hint="eastAsia" w:ascii="宋体" w:hAnsi="宋体"/>
                <w:szCs w:val="21"/>
              </w:rPr>
              <w:t>项目或指标</w:t>
            </w:r>
          </w:p>
        </w:tc>
        <w:tc>
          <w:tcPr>
            <w:tcW w:w="990" w:type="dxa"/>
            <w:vAlign w:val="center"/>
          </w:tcPr>
          <w:p>
            <w:pPr>
              <w:jc w:val="center"/>
              <w:rPr>
                <w:rFonts w:ascii="宋体" w:hAnsi="宋体"/>
                <w:szCs w:val="21"/>
              </w:rPr>
            </w:pPr>
            <w:r>
              <w:rPr>
                <w:rFonts w:hint="eastAsia" w:ascii="宋体" w:hAnsi="宋体"/>
                <w:szCs w:val="21"/>
              </w:rPr>
              <w:t>单位</w:t>
            </w:r>
          </w:p>
        </w:tc>
        <w:tc>
          <w:tcPr>
            <w:tcW w:w="1258" w:type="dxa"/>
            <w:vAlign w:val="center"/>
          </w:tcPr>
          <w:p>
            <w:pPr>
              <w:jc w:val="center"/>
              <w:rPr>
                <w:rFonts w:ascii="宋体" w:hAnsi="宋体"/>
                <w:szCs w:val="21"/>
              </w:rPr>
            </w:pPr>
            <w:r>
              <w:rPr>
                <w:rFonts w:hint="eastAsia" w:ascii="宋体" w:hAnsi="宋体"/>
                <w:szCs w:val="21"/>
              </w:rPr>
              <w:t>年</w:t>
            </w:r>
          </w:p>
        </w:tc>
        <w:tc>
          <w:tcPr>
            <w:tcW w:w="1259" w:type="dxa"/>
            <w:vAlign w:val="center"/>
          </w:tcPr>
          <w:p>
            <w:pPr>
              <w:jc w:val="center"/>
              <w:rPr>
                <w:rFonts w:ascii="宋体" w:hAnsi="宋体"/>
                <w:szCs w:val="21"/>
              </w:rPr>
            </w:pPr>
            <w:r>
              <w:rPr>
                <w:rFonts w:hint="eastAsia" w:ascii="宋体" w:hAnsi="宋体"/>
                <w:szCs w:val="21"/>
              </w:rPr>
              <w:t>年</w:t>
            </w:r>
          </w:p>
        </w:tc>
        <w:tc>
          <w:tcPr>
            <w:tcW w:w="1259" w:type="dxa"/>
            <w:vAlign w:val="center"/>
          </w:tcPr>
          <w:p>
            <w:pPr>
              <w:jc w:val="cente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一、注册资金</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二、净资产</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三、总资产</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四、固定资产</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五、流动资产</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六、流动负债</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七、负债合计</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八、营业收入</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九、净利润</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十、现金流量净额</w:t>
            </w:r>
          </w:p>
        </w:tc>
        <w:tc>
          <w:tcPr>
            <w:tcW w:w="990" w:type="dxa"/>
            <w:vAlign w:val="center"/>
          </w:tcPr>
          <w:p>
            <w:pPr>
              <w:jc w:val="center"/>
              <w:rPr>
                <w:rFonts w:ascii="宋体" w:hAnsi="宋体"/>
                <w:szCs w:val="21"/>
              </w:rPr>
            </w:pP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十一、主要财务指标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1．净资产收益率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2．总资产报酬</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3．主营业务利润率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4．资产负债率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5、流动比率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6、速动比率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bl>
    <w:p>
      <w:pPr>
        <w:spacing w:line="400" w:lineRule="exact"/>
        <w:rPr>
          <w:rFonts w:ascii="宋体" w:hAnsi="宋体"/>
          <w:szCs w:val="21"/>
        </w:rPr>
      </w:pPr>
      <w:r>
        <w:rPr>
          <w:rFonts w:hint="eastAsia" w:ascii="宋体" w:hAnsi="宋体"/>
          <w:szCs w:val="21"/>
        </w:rPr>
        <w:t>注：附经会计师事务所或审计机构审计的财务会计报表，包括资产负债表、利润表、现金流量表、所有者权益变动表及其附注的</w:t>
      </w:r>
      <w:r>
        <w:rPr>
          <w:rFonts w:hint="eastAsia" w:ascii="宋体" w:hAnsi="宋体"/>
          <w:szCs w:val="21"/>
          <w:lang w:val="en-US" w:eastAsia="zh-CN"/>
        </w:rPr>
        <w:t>原件扫描件（或图片）</w:t>
      </w:r>
      <w:r>
        <w:rPr>
          <w:rFonts w:hint="eastAsia" w:ascii="宋体" w:hAnsi="宋体"/>
          <w:szCs w:val="21"/>
        </w:rPr>
        <w:t>，具体年份要求见投标人须知前附表。</w:t>
      </w: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jc w:val="center"/>
        <w:rPr>
          <w:rFonts w:ascii="隶书" w:eastAsia="隶书"/>
          <w:sz w:val="24"/>
        </w:rPr>
      </w:pPr>
    </w:p>
    <w:p>
      <w:pPr>
        <w:jc w:val="center"/>
        <w:rPr>
          <w:rFonts w:ascii="隶书" w:eastAsia="隶书"/>
          <w:sz w:val="24"/>
        </w:rPr>
      </w:pPr>
    </w:p>
    <w:p>
      <w:pPr>
        <w:pStyle w:val="4"/>
        <w:spacing w:beforeLines="100" w:afterLines="100" w:line="360" w:lineRule="exact"/>
        <w:jc w:val="center"/>
        <w:rPr>
          <w:rFonts w:ascii="黑体" w:hAnsi="宋体" w:eastAsia="黑体"/>
          <w:sz w:val="28"/>
          <w:szCs w:val="28"/>
        </w:rPr>
      </w:pPr>
      <w:bookmarkStart w:id="263" w:name="_Toc234242181"/>
      <w:bookmarkStart w:id="264" w:name="_Toc234382982"/>
      <w:bookmarkStart w:id="265" w:name="_Toc30568"/>
      <w:bookmarkStart w:id="266" w:name="_Toc485889077"/>
      <w:bookmarkStart w:id="267" w:name="_Toc486277942"/>
      <w:r>
        <w:rPr>
          <w:rFonts w:hint="eastAsia" w:ascii="黑体" w:hAnsi="宋体" w:eastAsia="黑体"/>
          <w:sz w:val="28"/>
          <w:szCs w:val="28"/>
        </w:rPr>
        <w:t>（四）近年完成的类似项目情况表</w:t>
      </w:r>
      <w:bookmarkEnd w:id="263"/>
      <w:bookmarkEnd w:id="264"/>
      <w:bookmarkEnd w:id="265"/>
      <w:bookmarkEnd w:id="266"/>
      <w:bookmarkEnd w:id="267"/>
    </w:p>
    <w:tbl>
      <w:tblPr>
        <w:tblStyle w:val="16"/>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项目名称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项目所在地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发包人名称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发包人地址</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发包人电话</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合同价格</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开工日期</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交工日期</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承担的工作</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工程质量</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项目经理</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项目总工</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总监理工程师及电话</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szCs w:val="21"/>
              </w:rPr>
            </w:pPr>
            <w:r>
              <w:rPr>
                <w:rFonts w:hint="eastAsia" w:ascii="宋体" w:hAnsi="宋体"/>
                <w:szCs w:val="21"/>
              </w:rPr>
              <w:t>项目描述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szCs w:val="21"/>
              </w:rPr>
            </w:pPr>
            <w:r>
              <w:rPr>
                <w:rFonts w:hint="eastAsia" w:ascii="宋体" w:hAnsi="宋体"/>
                <w:szCs w:val="21"/>
              </w:rPr>
              <w:t>备注</w:t>
            </w:r>
          </w:p>
        </w:tc>
        <w:tc>
          <w:tcPr>
            <w:tcW w:w="7029" w:type="dxa"/>
            <w:vAlign w:val="center"/>
          </w:tcPr>
          <w:p>
            <w:pPr>
              <w:jc w:val="center"/>
              <w:rPr>
                <w:rFonts w:ascii="宋体" w:hAnsi="宋体"/>
                <w:szCs w:val="21"/>
              </w:rPr>
            </w:pPr>
          </w:p>
        </w:tc>
      </w:tr>
    </w:tbl>
    <w:p>
      <w:pPr>
        <w:rPr>
          <w:rFonts w:ascii="宋体" w:hAnsi="宋体"/>
          <w:szCs w:val="21"/>
          <w:lang w:bidi="zh-CN"/>
        </w:rPr>
      </w:pPr>
      <w:r>
        <w:rPr>
          <w:rFonts w:ascii="宋体" w:hAnsi="宋体"/>
          <w:szCs w:val="21"/>
          <w:lang w:bidi="zh-CN"/>
        </w:rPr>
        <w:t>注：1.每张表格只填写一个项目，并标明序号。</w:t>
      </w:r>
    </w:p>
    <w:p>
      <w:pPr>
        <w:ind w:firstLine="420" w:firstLineChars="200"/>
        <w:rPr>
          <w:rFonts w:ascii="宋体" w:hAnsi="宋体"/>
          <w:szCs w:val="21"/>
          <w:lang w:bidi="zh-CN"/>
        </w:rPr>
      </w:pPr>
      <w:r>
        <w:rPr>
          <w:rFonts w:ascii="宋体" w:hAnsi="宋体"/>
          <w:szCs w:val="21"/>
          <w:lang w:bidi="zh-CN"/>
        </w:rPr>
        <w:t>2.</w:t>
      </w:r>
      <w:r>
        <w:rPr>
          <w:rFonts w:hint="eastAsia" w:ascii="宋体" w:hAnsi="宋体"/>
          <w:szCs w:val="21"/>
          <w:lang w:bidi="zh-CN"/>
        </w:rPr>
        <w:t>后</w:t>
      </w:r>
      <w:r>
        <w:rPr>
          <w:rFonts w:ascii="宋体" w:hAnsi="宋体"/>
          <w:szCs w:val="21"/>
          <w:lang w:bidi="zh-CN"/>
        </w:rPr>
        <w:t>附中标通知书</w:t>
      </w:r>
      <w:r>
        <w:rPr>
          <w:rFonts w:hint="eastAsia" w:ascii="宋体" w:hAnsi="宋体"/>
          <w:szCs w:val="21"/>
          <w:lang w:bidi="zh-CN"/>
        </w:rPr>
        <w:t>、</w:t>
      </w:r>
      <w:r>
        <w:rPr>
          <w:rFonts w:ascii="宋体" w:hAnsi="宋体"/>
          <w:szCs w:val="21"/>
          <w:lang w:bidi="zh-CN"/>
        </w:rPr>
        <w:t>合同协议书</w:t>
      </w:r>
      <w:r>
        <w:rPr>
          <w:rFonts w:hint="eastAsia" w:ascii="宋体" w:hAnsi="宋体"/>
          <w:szCs w:val="21"/>
          <w:lang w:bidi="zh-CN"/>
        </w:rPr>
        <w:t>、</w:t>
      </w:r>
      <w:r>
        <w:rPr>
          <w:rFonts w:ascii="宋体" w:hAnsi="宋体"/>
          <w:szCs w:val="21"/>
          <w:lang w:bidi="zh-CN"/>
        </w:rPr>
        <w:t>工程接收证书（工程竣工验收证书）的</w:t>
      </w:r>
      <w:r>
        <w:rPr>
          <w:rFonts w:hint="eastAsia" w:ascii="宋体" w:hAnsi="宋体"/>
          <w:szCs w:val="21"/>
          <w:lang w:val="en-US" w:eastAsia="zh-CN"/>
        </w:rPr>
        <w:t>原件扫描件（或图片）</w:t>
      </w:r>
      <w:r>
        <w:rPr>
          <w:rFonts w:ascii="宋体" w:hAnsi="宋体"/>
          <w:szCs w:val="21"/>
          <w:lang w:bidi="zh-CN"/>
        </w:rPr>
        <w:t>。</w:t>
      </w:r>
    </w:p>
    <w:p>
      <w:pPr>
        <w:ind w:firstLine="420" w:firstLineChars="200"/>
        <w:rPr>
          <w:rFonts w:ascii="宋体" w:hAnsi="宋体"/>
          <w:szCs w:val="21"/>
          <w:lang w:bidi="zh-CN"/>
        </w:rPr>
      </w:pPr>
      <w:r>
        <w:rPr>
          <w:rFonts w:ascii="宋体" w:hAnsi="宋体"/>
          <w:szCs w:val="21"/>
          <w:lang w:bidi="zh-CN"/>
        </w:rPr>
        <w:t>3.如近年来，投标人法人机构发生合法变更或重组或法人名称变更时，应提供相关部门的合法批件或其他相关证明材料来证明其所附业绩的继承性。</w:t>
      </w:r>
    </w:p>
    <w:p>
      <w:pPr>
        <w:ind w:firstLine="420" w:firstLineChars="200"/>
        <w:rPr>
          <w:rFonts w:ascii="宋体" w:hAnsi="宋体"/>
          <w:szCs w:val="21"/>
        </w:rPr>
      </w:pPr>
      <w:r>
        <w:rPr>
          <w:rFonts w:hint="eastAsia" w:ascii="宋体" w:hAnsi="宋体"/>
          <w:szCs w:val="21"/>
        </w:rPr>
        <w:t>4.当本表内容与所附证据材料不一致时，应以所附证据材料为准。</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pStyle w:val="4"/>
        <w:spacing w:beforeLines="100" w:afterLines="100" w:line="360" w:lineRule="exact"/>
        <w:jc w:val="center"/>
        <w:rPr>
          <w:rFonts w:ascii="黑体" w:hAnsi="宋体" w:eastAsia="黑体"/>
          <w:sz w:val="28"/>
          <w:szCs w:val="28"/>
        </w:rPr>
      </w:pPr>
      <w:bookmarkStart w:id="268" w:name="_Toc486277943"/>
      <w:bookmarkStart w:id="269" w:name="_Toc193904177"/>
      <w:bookmarkStart w:id="270" w:name="_Toc485889078"/>
      <w:bookmarkStart w:id="271" w:name="_Toc234382983"/>
      <w:bookmarkStart w:id="272" w:name="_Toc234242182"/>
      <w:bookmarkStart w:id="273" w:name="_Toc7313"/>
      <w:r>
        <w:rPr>
          <w:rFonts w:hint="eastAsia" w:ascii="黑体" w:hAnsi="宋体" w:eastAsia="黑体"/>
          <w:sz w:val="28"/>
          <w:szCs w:val="28"/>
        </w:rPr>
        <w:t>（五）正在施工和新承接的项目情况表</w:t>
      </w:r>
      <w:bookmarkEnd w:id="268"/>
      <w:bookmarkEnd w:id="269"/>
      <w:bookmarkEnd w:id="270"/>
      <w:bookmarkEnd w:id="271"/>
      <w:bookmarkEnd w:id="272"/>
      <w:bookmarkEnd w:id="273"/>
    </w:p>
    <w:tbl>
      <w:tblPr>
        <w:tblStyle w:val="16"/>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项目名称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项目所在地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发包人名称</w:t>
            </w:r>
          </w:p>
        </w:tc>
        <w:tc>
          <w:tcPr>
            <w:tcW w:w="7029" w:type="dxa"/>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发包人地址</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发包人电话</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签约合同价</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开工日期</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计划交工日期</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承担的工作</w:t>
            </w:r>
          </w:p>
        </w:tc>
        <w:tc>
          <w:tcPr>
            <w:tcW w:w="7029" w:type="dxa"/>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工程质量要求</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项目经理</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项目总工</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总监理工程师及电话</w:t>
            </w:r>
          </w:p>
        </w:tc>
        <w:tc>
          <w:tcPr>
            <w:tcW w:w="7029" w:type="dxa"/>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szCs w:val="21"/>
              </w:rPr>
            </w:pPr>
            <w:r>
              <w:rPr>
                <w:rFonts w:hint="eastAsia" w:ascii="宋体" w:hAnsi="宋体"/>
                <w:szCs w:val="21"/>
              </w:rPr>
              <w:t>项目描述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szCs w:val="21"/>
              </w:rPr>
            </w:pPr>
            <w:r>
              <w:rPr>
                <w:rFonts w:hint="eastAsia" w:ascii="宋体" w:hAnsi="宋体"/>
                <w:szCs w:val="21"/>
              </w:rPr>
              <w:t>备注</w:t>
            </w:r>
          </w:p>
        </w:tc>
        <w:tc>
          <w:tcPr>
            <w:tcW w:w="7029" w:type="dxa"/>
            <w:vAlign w:val="center"/>
          </w:tcPr>
          <w:p>
            <w:pPr>
              <w:jc w:val="center"/>
              <w:rPr>
                <w:rFonts w:ascii="宋体" w:hAnsi="宋体"/>
                <w:szCs w:val="21"/>
              </w:rPr>
            </w:pPr>
          </w:p>
        </w:tc>
      </w:tr>
    </w:tbl>
    <w:p>
      <w:pPr>
        <w:autoSpaceDE w:val="0"/>
        <w:autoSpaceDN w:val="0"/>
        <w:adjustRightInd w:val="0"/>
        <w:spacing w:before="4" w:line="100" w:lineRule="exact"/>
        <w:jc w:val="left"/>
        <w:rPr>
          <w:kern w:val="0"/>
          <w:sz w:val="10"/>
          <w:szCs w:val="10"/>
        </w:rPr>
      </w:pPr>
    </w:p>
    <w:p>
      <w:pPr>
        <w:rPr>
          <w:sz w:val="24"/>
        </w:rPr>
      </w:pPr>
      <w:r>
        <w:rPr>
          <w:rFonts w:hint="eastAsia" w:ascii="宋体" w:hAnsi="宋体"/>
          <w:sz w:val="24"/>
        </w:rPr>
        <w:t>注：后附中标通知书和合同协议书</w:t>
      </w:r>
      <w:r>
        <w:rPr>
          <w:rFonts w:hint="eastAsia" w:ascii="宋体" w:hAnsi="宋体"/>
          <w:sz w:val="24"/>
          <w:lang w:val="en-US" w:eastAsia="zh-CN"/>
        </w:rPr>
        <w:t>的原件扫描件（或图片）</w:t>
      </w:r>
      <w:r>
        <w:rPr>
          <w:rFonts w:hint="eastAsia" w:ascii="宋体" w:hAnsi="宋体"/>
          <w:sz w:val="24"/>
        </w:rPr>
        <w:t>。每张表格只填写一个项目，并标明序号。</w:t>
      </w:r>
    </w:p>
    <w:p>
      <w:pPr>
        <w:rPr>
          <w:sz w:val="24"/>
        </w:rPr>
      </w:pPr>
    </w:p>
    <w:p>
      <w:pPr>
        <w:rPr>
          <w:sz w:val="24"/>
        </w:rPr>
      </w:pPr>
    </w:p>
    <w:p>
      <w:pPr>
        <w:rPr>
          <w:sz w:val="24"/>
        </w:rPr>
      </w:pPr>
    </w:p>
    <w:p>
      <w:pPr>
        <w:rPr>
          <w:sz w:val="24"/>
        </w:rPr>
      </w:pPr>
    </w:p>
    <w:p>
      <w:pPr>
        <w:rPr>
          <w:sz w:val="24"/>
        </w:rPr>
      </w:pPr>
    </w:p>
    <w:p>
      <w:pPr>
        <w:pStyle w:val="4"/>
        <w:spacing w:beforeLines="100" w:afterLines="150" w:line="360" w:lineRule="exact"/>
        <w:jc w:val="center"/>
      </w:pPr>
      <w:bookmarkStart w:id="274" w:name="_Toc486277941"/>
      <w:bookmarkStart w:id="275" w:name="_Toc8347"/>
      <w:bookmarkStart w:id="276" w:name="_Toc485889075"/>
      <w:bookmarkStart w:id="277" w:name="_Toc234382980"/>
      <w:bookmarkStart w:id="278" w:name="_Toc485889079"/>
      <w:bookmarkStart w:id="279" w:name="_Toc234382984"/>
      <w:bookmarkStart w:id="280" w:name="_Toc486277944"/>
      <w:bookmarkStart w:id="281" w:name="_Toc7381"/>
      <w:r>
        <w:rPr>
          <w:rFonts w:hint="eastAsia" w:ascii="黑体" w:hAnsi="宋体" w:eastAsia="黑体"/>
          <w:sz w:val="28"/>
          <w:szCs w:val="28"/>
        </w:rPr>
        <w:t>（六）拟委任的项目经理和项目总工资历表</w:t>
      </w:r>
      <w:bookmarkEnd w:id="274"/>
      <w:bookmarkEnd w:id="275"/>
      <w:bookmarkEnd w:id="276"/>
      <w:bookmarkEnd w:id="277"/>
    </w:p>
    <w:tbl>
      <w:tblPr>
        <w:tblStyle w:val="16"/>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4"/>
        <w:gridCol w:w="1645"/>
        <w:gridCol w:w="1516"/>
        <w:gridCol w:w="862"/>
        <w:gridCol w:w="616"/>
        <w:gridCol w:w="776"/>
        <w:gridCol w:w="1393"/>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kern w:val="0"/>
                <w:szCs w:val="21"/>
              </w:rPr>
            </w:pPr>
            <w:r>
              <w:rPr>
                <w:rFonts w:hint="eastAsia" w:ascii="宋体" w:hAnsi="宋体" w:cs="MingLiU"/>
                <w:kern w:val="0"/>
                <w:szCs w:val="21"/>
              </w:rPr>
              <w:t>姓</w:t>
            </w:r>
            <w:r>
              <w:rPr>
                <w:rFonts w:hint="eastAsia" w:ascii="宋体" w:hAnsi="宋体"/>
                <w:kern w:val="0"/>
                <w:szCs w:val="21"/>
              </w:rPr>
              <w:tab/>
            </w:r>
            <w:r>
              <w:rPr>
                <w:rFonts w:hint="eastAsia" w:ascii="宋体" w:hAnsi="宋体" w:cs="MingLiU"/>
                <w:kern w:val="0"/>
                <w:szCs w:val="21"/>
              </w:rPr>
              <w:t>名</w:t>
            </w:r>
          </w:p>
        </w:tc>
        <w:tc>
          <w:tcPr>
            <w:tcW w:w="1645" w:type="dxa"/>
            <w:vAlign w:val="center"/>
          </w:tcPr>
          <w:p>
            <w:pPr>
              <w:autoSpaceDE w:val="0"/>
              <w:autoSpaceDN w:val="0"/>
              <w:adjustRightInd w:val="0"/>
              <w:jc w:val="center"/>
              <w:rPr>
                <w:rFonts w:ascii="宋体" w:hAnsi="宋体"/>
                <w:kern w:val="0"/>
                <w:szCs w:val="21"/>
              </w:rPr>
            </w:pPr>
          </w:p>
        </w:tc>
        <w:tc>
          <w:tcPr>
            <w:tcW w:w="1516" w:type="dxa"/>
            <w:vAlign w:val="center"/>
          </w:tcPr>
          <w:p>
            <w:pPr>
              <w:autoSpaceDE w:val="0"/>
              <w:autoSpaceDN w:val="0"/>
              <w:adjustRightInd w:val="0"/>
              <w:spacing w:before="73"/>
              <w:jc w:val="center"/>
              <w:rPr>
                <w:rFonts w:ascii="宋体" w:hAnsi="宋体"/>
                <w:kern w:val="0"/>
                <w:szCs w:val="21"/>
              </w:rPr>
            </w:pPr>
            <w:r>
              <w:rPr>
                <w:rFonts w:hint="eastAsia" w:ascii="宋体" w:hAnsi="宋体" w:cs="MingLiU"/>
                <w:kern w:val="0"/>
                <w:szCs w:val="21"/>
              </w:rPr>
              <w:t>年   龄</w:t>
            </w:r>
          </w:p>
        </w:tc>
        <w:tc>
          <w:tcPr>
            <w:tcW w:w="1478" w:type="dxa"/>
            <w:gridSpan w:val="2"/>
            <w:vAlign w:val="center"/>
          </w:tcPr>
          <w:p>
            <w:pPr>
              <w:autoSpaceDE w:val="0"/>
              <w:autoSpaceDN w:val="0"/>
              <w:adjustRightInd w:val="0"/>
              <w:jc w:val="center"/>
              <w:rPr>
                <w:rFonts w:ascii="宋体" w:hAnsi="宋体"/>
                <w:kern w:val="0"/>
                <w:szCs w:val="21"/>
              </w:rPr>
            </w:pPr>
          </w:p>
        </w:tc>
        <w:tc>
          <w:tcPr>
            <w:tcW w:w="2169" w:type="dxa"/>
            <w:gridSpan w:val="2"/>
            <w:vAlign w:val="center"/>
          </w:tcPr>
          <w:p>
            <w:pPr>
              <w:autoSpaceDE w:val="0"/>
              <w:autoSpaceDN w:val="0"/>
              <w:adjustRightInd w:val="0"/>
              <w:spacing w:before="73"/>
              <w:jc w:val="center"/>
              <w:rPr>
                <w:rFonts w:ascii="宋体" w:hAnsi="宋体"/>
                <w:kern w:val="0"/>
                <w:szCs w:val="21"/>
              </w:rPr>
            </w:pPr>
            <w:r>
              <w:rPr>
                <w:rFonts w:hint="eastAsia" w:ascii="宋体" w:hAnsi="宋体" w:cs="MingLiU"/>
                <w:kern w:val="0"/>
                <w:szCs w:val="21"/>
              </w:rPr>
              <w:t>专  业</w:t>
            </w:r>
          </w:p>
        </w:tc>
        <w:tc>
          <w:tcPr>
            <w:tcW w:w="1477"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kern w:val="0"/>
                <w:szCs w:val="21"/>
              </w:rPr>
            </w:pPr>
            <w:r>
              <w:rPr>
                <w:rFonts w:hint="eastAsia" w:ascii="宋体" w:hAnsi="宋体" w:cs="MingLiU"/>
                <w:kern w:val="0"/>
                <w:szCs w:val="21"/>
              </w:rPr>
              <w:t>职</w:t>
            </w:r>
            <w:r>
              <w:rPr>
                <w:rFonts w:hint="eastAsia" w:ascii="宋体" w:hAnsi="宋体"/>
                <w:kern w:val="0"/>
                <w:szCs w:val="21"/>
              </w:rPr>
              <w:tab/>
            </w:r>
            <w:r>
              <w:rPr>
                <w:rFonts w:hint="eastAsia" w:ascii="宋体" w:hAnsi="宋体" w:cs="MingLiU"/>
                <w:kern w:val="0"/>
                <w:szCs w:val="21"/>
              </w:rPr>
              <w:t>称</w:t>
            </w:r>
          </w:p>
        </w:tc>
        <w:tc>
          <w:tcPr>
            <w:tcW w:w="1645" w:type="dxa"/>
            <w:vAlign w:val="center"/>
          </w:tcPr>
          <w:p>
            <w:pPr>
              <w:autoSpaceDE w:val="0"/>
              <w:autoSpaceDN w:val="0"/>
              <w:adjustRightInd w:val="0"/>
              <w:jc w:val="center"/>
              <w:rPr>
                <w:rFonts w:ascii="宋体" w:hAnsi="宋体"/>
                <w:kern w:val="0"/>
                <w:szCs w:val="21"/>
              </w:rPr>
            </w:pPr>
          </w:p>
        </w:tc>
        <w:tc>
          <w:tcPr>
            <w:tcW w:w="1516" w:type="dxa"/>
            <w:vAlign w:val="center"/>
          </w:tcPr>
          <w:p>
            <w:pPr>
              <w:autoSpaceDE w:val="0"/>
              <w:autoSpaceDN w:val="0"/>
              <w:adjustRightInd w:val="0"/>
              <w:spacing w:before="73"/>
              <w:jc w:val="center"/>
              <w:rPr>
                <w:rFonts w:ascii="宋体" w:hAnsi="宋体" w:cs="MingLiU"/>
                <w:kern w:val="0"/>
                <w:szCs w:val="21"/>
              </w:rPr>
            </w:pPr>
            <w:r>
              <w:rPr>
                <w:rFonts w:hint="eastAsia" w:ascii="宋体" w:hAnsi="宋体" w:cs="MingLiU"/>
                <w:kern w:val="0"/>
                <w:szCs w:val="21"/>
              </w:rPr>
              <w:t>公司单位</w:t>
            </w:r>
          </w:p>
          <w:p>
            <w:pPr>
              <w:autoSpaceDE w:val="0"/>
              <w:autoSpaceDN w:val="0"/>
              <w:adjustRightInd w:val="0"/>
              <w:spacing w:before="73"/>
              <w:jc w:val="center"/>
              <w:rPr>
                <w:rFonts w:ascii="宋体" w:hAnsi="宋体"/>
                <w:kern w:val="0"/>
                <w:szCs w:val="21"/>
              </w:rPr>
            </w:pPr>
            <w:r>
              <w:rPr>
                <w:rFonts w:hint="eastAsia" w:ascii="宋体" w:hAnsi="宋体" w:cs="MingLiU"/>
                <w:kern w:val="0"/>
                <w:szCs w:val="21"/>
              </w:rPr>
              <w:t>职    务</w:t>
            </w:r>
          </w:p>
        </w:tc>
        <w:tc>
          <w:tcPr>
            <w:tcW w:w="1478" w:type="dxa"/>
            <w:gridSpan w:val="2"/>
            <w:vAlign w:val="center"/>
          </w:tcPr>
          <w:p>
            <w:pPr>
              <w:autoSpaceDE w:val="0"/>
              <w:autoSpaceDN w:val="0"/>
              <w:adjustRightInd w:val="0"/>
              <w:jc w:val="center"/>
              <w:rPr>
                <w:rFonts w:ascii="宋体" w:hAnsi="宋体"/>
                <w:kern w:val="0"/>
                <w:szCs w:val="21"/>
              </w:rPr>
            </w:pPr>
          </w:p>
        </w:tc>
        <w:tc>
          <w:tcPr>
            <w:tcW w:w="2169" w:type="dxa"/>
            <w:gridSpan w:val="2"/>
            <w:vAlign w:val="center"/>
          </w:tcPr>
          <w:p>
            <w:pPr>
              <w:autoSpaceDE w:val="0"/>
              <w:autoSpaceDN w:val="0"/>
              <w:adjustRightInd w:val="0"/>
              <w:spacing w:before="73"/>
              <w:jc w:val="center"/>
              <w:rPr>
                <w:rFonts w:ascii="宋体" w:hAnsi="宋体" w:cs="MingLiU"/>
                <w:kern w:val="0"/>
                <w:szCs w:val="21"/>
              </w:rPr>
            </w:pPr>
            <w:r>
              <w:rPr>
                <w:rFonts w:hint="eastAsia" w:ascii="宋体" w:hAnsi="宋体" w:cs="MingLiU"/>
                <w:kern w:val="0"/>
                <w:szCs w:val="21"/>
              </w:rPr>
              <w:t>拟在本工程</w:t>
            </w:r>
          </w:p>
          <w:p>
            <w:pPr>
              <w:autoSpaceDE w:val="0"/>
              <w:autoSpaceDN w:val="0"/>
              <w:adjustRightInd w:val="0"/>
              <w:spacing w:before="73"/>
              <w:jc w:val="center"/>
              <w:rPr>
                <w:rFonts w:ascii="宋体" w:hAnsi="宋体" w:cs="MingLiU"/>
                <w:kern w:val="0"/>
                <w:szCs w:val="21"/>
              </w:rPr>
            </w:pPr>
            <w:r>
              <w:rPr>
                <w:rFonts w:hint="eastAsia" w:ascii="宋体" w:hAnsi="宋体" w:cs="MingLiU"/>
                <w:kern w:val="0"/>
                <w:szCs w:val="21"/>
              </w:rPr>
              <w:t>担任职务</w:t>
            </w:r>
          </w:p>
        </w:tc>
        <w:tc>
          <w:tcPr>
            <w:tcW w:w="1477"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autoSpaceDE w:val="0"/>
              <w:autoSpaceDN w:val="0"/>
              <w:adjustRightInd w:val="0"/>
              <w:spacing w:before="73"/>
              <w:jc w:val="center"/>
              <w:rPr>
                <w:rFonts w:ascii="宋体" w:hAnsi="宋体"/>
                <w:kern w:val="0"/>
                <w:szCs w:val="21"/>
              </w:rPr>
            </w:pPr>
            <w:r>
              <w:rPr>
                <w:rFonts w:hint="eastAsia" w:ascii="宋体" w:hAnsi="宋体" w:cs="MingLiU"/>
                <w:kern w:val="0"/>
                <w:szCs w:val="21"/>
              </w:rPr>
              <w:t>毕业学校</w:t>
            </w:r>
          </w:p>
        </w:tc>
        <w:tc>
          <w:tcPr>
            <w:tcW w:w="8285" w:type="dxa"/>
            <w:gridSpan w:val="7"/>
            <w:vAlign w:val="center"/>
          </w:tcPr>
          <w:p>
            <w:pPr>
              <w:tabs>
                <w:tab w:val="left" w:pos="2820"/>
                <w:tab w:val="left" w:pos="4080"/>
              </w:tabs>
              <w:autoSpaceDE w:val="0"/>
              <w:autoSpaceDN w:val="0"/>
              <w:adjustRightInd w:val="0"/>
              <w:spacing w:before="73"/>
              <w:jc w:val="center"/>
              <w:rPr>
                <w:rFonts w:ascii="宋体" w:hAnsi="宋体"/>
                <w:kern w:val="0"/>
                <w:szCs w:val="21"/>
              </w:rPr>
            </w:pPr>
            <w:r>
              <w:rPr>
                <w:rFonts w:hint="eastAsia" w:ascii="宋体" w:hAnsi="宋体"/>
                <w:kern w:val="0"/>
                <w:szCs w:val="21"/>
              </w:rPr>
              <w:t>年月毕业于学校专业，学制年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639" w:type="dxa"/>
            <w:gridSpan w:val="8"/>
            <w:vAlign w:val="center"/>
          </w:tcPr>
          <w:p>
            <w:pPr>
              <w:jc w:val="center"/>
              <w:rPr>
                <w:rFonts w:ascii="宋体" w:hAnsi="宋体"/>
                <w:szCs w:val="21"/>
              </w:rPr>
            </w:pPr>
            <w:r>
              <w:rPr>
                <w:rFonts w:hint="eastAsia" w:ascii="宋体" w:hAnsi="宋体" w:cs="MingLiU"/>
                <w:kern w:val="0"/>
                <w:szCs w:val="21"/>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jc w:val="center"/>
              <w:rPr>
                <w:rFonts w:ascii="宋体" w:hAnsi="宋体"/>
                <w:szCs w:val="21"/>
              </w:rPr>
            </w:pPr>
            <w:r>
              <w:rPr>
                <w:rFonts w:hint="eastAsia" w:ascii="宋体" w:hAnsi="宋体"/>
                <w:szCs w:val="21"/>
              </w:rPr>
              <w:t>年～</w:t>
            </w:r>
          </w:p>
          <w:p>
            <w:pPr>
              <w:jc w:val="center"/>
              <w:rPr>
                <w:rFonts w:ascii="宋体" w:hAnsi="宋体"/>
                <w:szCs w:val="21"/>
              </w:rPr>
            </w:pPr>
            <w:r>
              <w:rPr>
                <w:rFonts w:hint="eastAsia" w:ascii="宋体" w:hAnsi="宋体"/>
                <w:szCs w:val="21"/>
              </w:rPr>
              <w:t>年</w:t>
            </w:r>
          </w:p>
        </w:tc>
        <w:tc>
          <w:tcPr>
            <w:tcW w:w="4023" w:type="dxa"/>
            <w:gridSpan w:val="3"/>
            <w:vAlign w:val="center"/>
          </w:tcPr>
          <w:p>
            <w:pPr>
              <w:jc w:val="center"/>
              <w:rPr>
                <w:rFonts w:ascii="宋体" w:hAnsi="宋体"/>
                <w:szCs w:val="21"/>
              </w:rPr>
            </w:pPr>
            <w:r>
              <w:rPr>
                <w:rFonts w:hint="eastAsia" w:ascii="宋体" w:hAnsi="宋体" w:cs="MingLiU"/>
                <w:kern w:val="0"/>
                <w:szCs w:val="21"/>
              </w:rPr>
              <w:t>参加过的工程项目名称</w:t>
            </w:r>
          </w:p>
        </w:tc>
        <w:tc>
          <w:tcPr>
            <w:tcW w:w="1392" w:type="dxa"/>
            <w:gridSpan w:val="2"/>
            <w:vAlign w:val="center"/>
          </w:tcPr>
          <w:p>
            <w:pPr>
              <w:jc w:val="center"/>
              <w:rPr>
                <w:rFonts w:ascii="宋体" w:hAnsi="宋体"/>
                <w:szCs w:val="21"/>
              </w:rPr>
            </w:pPr>
            <w:r>
              <w:rPr>
                <w:rFonts w:hint="eastAsia" w:ascii="宋体" w:hAnsi="宋体" w:cs="MingLiU"/>
                <w:kern w:val="0"/>
                <w:szCs w:val="21"/>
              </w:rPr>
              <w:t>担任何职</w:t>
            </w:r>
          </w:p>
        </w:tc>
        <w:tc>
          <w:tcPr>
            <w:tcW w:w="2870" w:type="dxa"/>
            <w:gridSpan w:val="2"/>
            <w:vAlign w:val="center"/>
          </w:tcPr>
          <w:p>
            <w:pPr>
              <w:jc w:val="center"/>
              <w:rPr>
                <w:rFonts w:ascii="宋体" w:hAnsi="宋体" w:cs="MingLiU"/>
                <w:kern w:val="0"/>
                <w:szCs w:val="21"/>
              </w:rPr>
            </w:pPr>
            <w:r>
              <w:rPr>
                <w:rFonts w:hint="eastAsia" w:ascii="宋体" w:hAnsi="宋体" w:cs="MingLiU"/>
                <w:kern w:val="0"/>
                <w:szCs w:val="21"/>
              </w:rPr>
              <w:t>发包人及</w:t>
            </w:r>
          </w:p>
          <w:p>
            <w:pPr>
              <w:jc w:val="center"/>
              <w:rPr>
                <w:rFonts w:ascii="宋体" w:hAnsi="宋体"/>
                <w:szCs w:val="21"/>
              </w:rPr>
            </w:pPr>
            <w:r>
              <w:rPr>
                <w:rFonts w:hint="eastAsia" w:ascii="宋体" w:hAnsi="宋体" w:cs="MingLiU"/>
                <w:kern w:val="0"/>
                <w:szCs w:val="21"/>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5377" w:type="dxa"/>
            <w:gridSpan w:val="4"/>
            <w:vAlign w:val="center"/>
          </w:tcPr>
          <w:p>
            <w:pPr>
              <w:jc w:val="center"/>
              <w:rPr>
                <w:rFonts w:ascii="宋体" w:hAnsi="宋体"/>
                <w:szCs w:val="21"/>
              </w:rPr>
            </w:pPr>
            <w:r>
              <w:rPr>
                <w:rFonts w:hint="eastAsia" w:ascii="宋体" w:hAnsi="宋体"/>
                <w:szCs w:val="21"/>
              </w:rPr>
              <w:t>获奖情况</w:t>
            </w: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restart"/>
            <w:vAlign w:val="center"/>
          </w:tcPr>
          <w:p>
            <w:pPr>
              <w:jc w:val="center"/>
              <w:rPr>
                <w:rFonts w:ascii="宋体" w:hAnsi="宋体"/>
                <w:szCs w:val="21"/>
              </w:rPr>
            </w:pPr>
            <w:r>
              <w:rPr>
                <w:rFonts w:hint="eastAsia" w:ascii="宋体" w:hAnsi="宋体"/>
                <w:szCs w:val="21"/>
              </w:rPr>
              <w:t>目前任职</w:t>
            </w:r>
          </w:p>
          <w:p>
            <w:pPr>
              <w:jc w:val="center"/>
              <w:rPr>
                <w:rFonts w:ascii="宋体" w:hAnsi="宋体"/>
                <w:szCs w:val="21"/>
              </w:rPr>
            </w:pPr>
            <w:r>
              <w:rPr>
                <w:rFonts w:hint="eastAsia" w:ascii="宋体" w:hAnsi="宋体"/>
                <w:szCs w:val="21"/>
              </w:rPr>
              <w:t>项目状况</w:t>
            </w:r>
          </w:p>
        </w:tc>
        <w:tc>
          <w:tcPr>
            <w:tcW w:w="4023" w:type="dxa"/>
            <w:gridSpan w:val="3"/>
            <w:vAlign w:val="center"/>
          </w:tcPr>
          <w:p>
            <w:pPr>
              <w:jc w:val="center"/>
              <w:rPr>
                <w:rFonts w:ascii="宋体" w:hAnsi="宋体"/>
                <w:szCs w:val="21"/>
              </w:rPr>
            </w:pPr>
            <w:r>
              <w:rPr>
                <w:rFonts w:hint="eastAsia" w:ascii="宋体" w:hAnsi="宋体"/>
                <w:szCs w:val="21"/>
              </w:rPr>
              <w:t>项目名称</w:t>
            </w:r>
          </w:p>
        </w:tc>
        <w:tc>
          <w:tcPr>
            <w:tcW w:w="4262" w:type="dxa"/>
            <w:gridSpan w:val="4"/>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szCs w:val="21"/>
              </w:rPr>
            </w:pPr>
          </w:p>
        </w:tc>
        <w:tc>
          <w:tcPr>
            <w:tcW w:w="4023" w:type="dxa"/>
            <w:gridSpan w:val="3"/>
            <w:vAlign w:val="center"/>
          </w:tcPr>
          <w:p>
            <w:pPr>
              <w:jc w:val="center"/>
              <w:rPr>
                <w:rFonts w:ascii="宋体" w:hAnsi="宋体"/>
                <w:szCs w:val="21"/>
              </w:rPr>
            </w:pPr>
            <w:r>
              <w:rPr>
                <w:rFonts w:hint="eastAsia" w:ascii="宋体" w:hAnsi="宋体"/>
                <w:szCs w:val="21"/>
              </w:rPr>
              <w:t>担任职位</w:t>
            </w:r>
          </w:p>
        </w:tc>
        <w:tc>
          <w:tcPr>
            <w:tcW w:w="4262" w:type="dxa"/>
            <w:gridSpan w:val="4"/>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szCs w:val="21"/>
              </w:rPr>
            </w:pPr>
          </w:p>
        </w:tc>
        <w:tc>
          <w:tcPr>
            <w:tcW w:w="4023" w:type="dxa"/>
            <w:gridSpan w:val="3"/>
            <w:vAlign w:val="center"/>
          </w:tcPr>
          <w:p>
            <w:pPr>
              <w:jc w:val="center"/>
              <w:rPr>
                <w:rFonts w:ascii="宋体" w:hAnsi="宋体"/>
                <w:szCs w:val="21"/>
              </w:rPr>
            </w:pPr>
            <w:r>
              <w:rPr>
                <w:rFonts w:hint="eastAsia" w:ascii="宋体" w:hAnsi="宋体"/>
                <w:szCs w:val="21"/>
              </w:rPr>
              <w:t>可以调离日期</w:t>
            </w:r>
          </w:p>
        </w:tc>
        <w:tc>
          <w:tcPr>
            <w:tcW w:w="4262" w:type="dxa"/>
            <w:gridSpan w:val="4"/>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8" w:hRule="atLeast"/>
          <w:jc w:val="center"/>
        </w:trPr>
        <w:tc>
          <w:tcPr>
            <w:tcW w:w="1354" w:type="dxa"/>
            <w:vAlign w:val="center"/>
          </w:tcPr>
          <w:p>
            <w:pPr>
              <w:jc w:val="center"/>
              <w:rPr>
                <w:rFonts w:ascii="宋体" w:hAnsi="宋体"/>
                <w:szCs w:val="21"/>
              </w:rPr>
            </w:pPr>
            <w:r>
              <w:rPr>
                <w:rFonts w:hint="eastAsia" w:ascii="宋体" w:hAnsi="宋体"/>
                <w:szCs w:val="21"/>
              </w:rPr>
              <w:t>备注</w:t>
            </w:r>
          </w:p>
        </w:tc>
        <w:tc>
          <w:tcPr>
            <w:tcW w:w="8285" w:type="dxa"/>
            <w:gridSpan w:val="7"/>
            <w:vAlign w:val="center"/>
          </w:tcPr>
          <w:p>
            <w:pPr>
              <w:jc w:val="center"/>
              <w:rPr>
                <w:rFonts w:ascii="宋体" w:hAnsi="宋体"/>
                <w:szCs w:val="21"/>
              </w:rPr>
            </w:pPr>
          </w:p>
        </w:tc>
      </w:tr>
    </w:tbl>
    <w:p>
      <w:pPr>
        <w:ind w:left="735" w:hanging="735" w:hangingChars="350"/>
        <w:rPr>
          <w:rFonts w:ascii="宋体" w:hAnsi="宋体"/>
          <w:szCs w:val="21"/>
        </w:rPr>
      </w:pPr>
      <w:r>
        <w:rPr>
          <w:rFonts w:hint="eastAsia" w:ascii="宋体" w:hAnsi="宋体"/>
          <w:szCs w:val="21"/>
        </w:rPr>
        <w:t>注：1、本表后附项目经理和项目总工的身份证、职称资格证书以及资格预审条件所要求其他相关证书（如建造师注册证书、安全生产考核合格证书等）的</w:t>
      </w:r>
      <w:r>
        <w:rPr>
          <w:rFonts w:hint="eastAsia" w:ascii="宋体" w:hAnsi="宋体"/>
          <w:szCs w:val="21"/>
          <w:lang w:eastAsia="zh-CN"/>
        </w:rPr>
        <w:t>原件扫描件（或图片）</w:t>
      </w:r>
      <w:r>
        <w:rPr>
          <w:rFonts w:hint="eastAsia" w:ascii="宋体" w:hAnsi="宋体"/>
          <w:szCs w:val="21"/>
        </w:rPr>
        <w:t>，并应提供其担任类似项目的项目经理和项目总工的相关业绩证明材料</w:t>
      </w:r>
      <w:r>
        <w:rPr>
          <w:rFonts w:hint="eastAsia" w:ascii="宋体" w:hAnsi="宋体"/>
          <w:szCs w:val="21"/>
          <w:lang w:eastAsia="zh-CN"/>
        </w:rPr>
        <w:t>原件扫描件（或图片）</w:t>
      </w:r>
      <w:r>
        <w:rPr>
          <w:rFonts w:hint="eastAsia" w:ascii="宋体" w:hAnsi="宋体"/>
          <w:szCs w:val="21"/>
        </w:rPr>
        <w:t>。</w:t>
      </w:r>
    </w:p>
    <w:p>
      <w:pPr>
        <w:ind w:left="105" w:firstLine="315"/>
        <w:rPr>
          <w:rFonts w:ascii="宋体" w:hAnsi="宋体"/>
          <w:szCs w:val="21"/>
        </w:rPr>
      </w:pPr>
      <w:r>
        <w:rPr>
          <w:rFonts w:hint="eastAsia" w:ascii="宋体" w:hAnsi="宋体"/>
          <w:szCs w:val="21"/>
        </w:rPr>
        <w:t>2、目前未在具体项目上任职的，请在备注栏说明现在负责的工作内容。</w:t>
      </w:r>
    </w:p>
    <w:p>
      <w:pPr>
        <w:pStyle w:val="3"/>
        <w:spacing w:before="66"/>
        <w:ind w:right="180"/>
        <w:jc w:val="center"/>
        <w:rPr>
          <w:rFonts w:ascii="黑体" w:eastAsia="黑体"/>
          <w:sz w:val="30"/>
          <w:szCs w:val="30"/>
        </w:rPr>
      </w:pPr>
      <w:r>
        <w:rPr>
          <w:rFonts w:hint="eastAsia" w:ascii="黑体" w:hAnsi="宋体" w:eastAsia="黑体"/>
          <w:sz w:val="28"/>
          <w:szCs w:val="28"/>
        </w:rPr>
        <w:br w:type="page"/>
      </w:r>
      <w:r>
        <w:rPr>
          <w:rFonts w:hint="eastAsia" w:ascii="黑体" w:eastAsia="黑体"/>
          <w:sz w:val="30"/>
          <w:szCs w:val="30"/>
        </w:rPr>
        <w:t>（七）投标人的信誉情况表</w:t>
      </w:r>
    </w:p>
    <w:tbl>
      <w:tblPr>
        <w:tblStyle w:val="16"/>
        <w:tblW w:w="85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atLeast"/>
          <w:jc w:val="center"/>
        </w:trPr>
        <w:tc>
          <w:tcPr>
            <w:tcW w:w="4261" w:type="dxa"/>
            <w:vAlign w:val="center"/>
          </w:tcPr>
          <w:p>
            <w:pPr>
              <w:pStyle w:val="26"/>
              <w:ind w:left="1848" w:right="1838"/>
              <w:jc w:val="center"/>
              <w:rPr>
                <w:sz w:val="21"/>
              </w:rPr>
            </w:pPr>
            <w:r>
              <w:rPr>
                <w:sz w:val="21"/>
              </w:rPr>
              <w:t>项 目</w:t>
            </w:r>
          </w:p>
        </w:tc>
        <w:tc>
          <w:tcPr>
            <w:tcW w:w="4264" w:type="dxa"/>
            <w:vAlign w:val="center"/>
          </w:tcPr>
          <w:p>
            <w:pPr>
              <w:pStyle w:val="26"/>
              <w:ind w:left="1394"/>
              <w:rPr>
                <w:sz w:val="21"/>
              </w:rPr>
            </w:pPr>
            <w:r>
              <w:rPr>
                <w:sz w:val="21"/>
              </w:rPr>
              <w:t>投标人情况说明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bl>
    <w:p>
      <w:pPr>
        <w:spacing w:line="267" w:lineRule="exact"/>
        <w:rPr>
          <w:rFonts w:asciiTheme="minorEastAsia" w:hAnsiTheme="minorEastAsia" w:eastAsiaTheme="minorEastAsia"/>
        </w:rPr>
      </w:pPr>
      <w:r>
        <w:rPr>
          <w:rFonts w:asciiTheme="minorEastAsia" w:hAnsiTheme="minorEastAsia" w:eastAsiaTheme="minorEastAsia"/>
        </w:rPr>
        <w:t>注：1.投标人应按照招标文件第二章“投标人须知”前附表附录 4 和“投标人须知”正文第 1.4.4 项规定，逐条说明其信誉情况。</w:t>
      </w:r>
    </w:p>
    <w:p>
      <w:pPr>
        <w:spacing w:line="267" w:lineRule="exact"/>
        <w:ind w:firstLine="420" w:firstLineChars="200"/>
        <w:rPr>
          <w:rFonts w:asciiTheme="minorEastAsia" w:hAnsiTheme="minorEastAsia" w:eastAsiaTheme="minorEastAsia"/>
        </w:rPr>
      </w:pPr>
      <w:r>
        <w:rPr>
          <w:rFonts w:asciiTheme="minorEastAsia" w:hAnsiTheme="minorEastAsia" w:eastAsiaTheme="minorEastAsia"/>
        </w:rPr>
        <w:t>2.投标人应根据招标文件第二章“投标人须知”第 3.5.</w:t>
      </w:r>
      <w:r>
        <w:rPr>
          <w:rFonts w:hint="eastAsia" w:asciiTheme="minorEastAsia" w:hAnsiTheme="minorEastAsia" w:eastAsiaTheme="minorEastAsia"/>
        </w:rPr>
        <w:t>6</w:t>
      </w:r>
      <w:r>
        <w:rPr>
          <w:rFonts w:asciiTheme="minorEastAsia" w:hAnsiTheme="minorEastAsia" w:eastAsiaTheme="minorEastAsia"/>
        </w:rPr>
        <w:t xml:space="preserve"> 项的要求在本表后附相关证明材料。</w:t>
      </w:r>
    </w:p>
    <w:p>
      <w:pPr>
        <w:pStyle w:val="4"/>
        <w:spacing w:beforeLines="100" w:afterLines="100" w:line="360" w:lineRule="exact"/>
        <w:jc w:val="center"/>
        <w:rPr>
          <w:rFonts w:ascii="黑体" w:hAnsi="宋体" w:eastAsia="黑体"/>
          <w:sz w:val="28"/>
          <w:szCs w:val="28"/>
        </w:rPr>
      </w:pPr>
      <w:r>
        <w:rPr>
          <w:rFonts w:hint="eastAsia" w:ascii="黑体" w:hAnsi="宋体" w:eastAsia="黑体"/>
          <w:sz w:val="28"/>
          <w:szCs w:val="28"/>
        </w:rPr>
        <w:t>（八）近年发生的诉讼及仲裁情况</w:t>
      </w:r>
      <w:bookmarkEnd w:id="278"/>
      <w:bookmarkEnd w:id="279"/>
      <w:bookmarkEnd w:id="280"/>
      <w:bookmarkEnd w:id="281"/>
    </w:p>
    <w:tbl>
      <w:tblPr>
        <w:tblStyle w:val="16"/>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19"/>
        <w:gridCol w:w="4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Cs w:val="21"/>
              </w:rPr>
            </w:pPr>
            <w:r>
              <w:rPr>
                <w:rFonts w:hint="eastAsia" w:ascii="宋体" w:hAnsi="宋体"/>
                <w:szCs w:val="21"/>
              </w:rPr>
              <w:t>项目</w:t>
            </w:r>
          </w:p>
        </w:tc>
        <w:tc>
          <w:tcPr>
            <w:tcW w:w="4820" w:type="dxa"/>
            <w:vAlign w:val="center"/>
          </w:tcPr>
          <w:p>
            <w:pPr>
              <w:jc w:val="center"/>
              <w:rPr>
                <w:rFonts w:ascii="宋体" w:hAnsi="宋体"/>
                <w:szCs w:val="21"/>
              </w:rPr>
            </w:pPr>
            <w:r>
              <w:rPr>
                <w:rFonts w:hint="eastAsia" w:ascii="宋体" w:hAnsi="宋体"/>
                <w:szCs w:val="21"/>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bl>
    <w:p>
      <w:pPr>
        <w:rPr>
          <w:sz w:val="24"/>
        </w:rPr>
      </w:pPr>
      <w:r>
        <w:rPr>
          <w:rFonts w:ascii="宋体" w:hAnsi="宋体"/>
          <w:sz w:val="24"/>
        </w:rPr>
        <w:t>应说明相关情况，并附法院或仲裁机构作出的判决、裁决等有关法律文书</w:t>
      </w:r>
      <w:r>
        <w:rPr>
          <w:rFonts w:hint="eastAsia" w:ascii="宋体" w:hAnsi="宋体"/>
          <w:sz w:val="24"/>
          <w:lang w:eastAsia="zh-CN"/>
        </w:rPr>
        <w:t>的原件扫描件（或图片）</w:t>
      </w:r>
      <w:r>
        <w:rPr>
          <w:rFonts w:ascii="宋体" w:hAnsi="宋体"/>
          <w:sz w:val="24"/>
        </w:rPr>
        <w:t>，具体年份要求见投标人须知前附表。</w:t>
      </w:r>
    </w:p>
    <w:p>
      <w:pPr>
        <w:rPr>
          <w:sz w:val="24"/>
        </w:rPr>
      </w:pPr>
    </w:p>
    <w:p>
      <w:pPr>
        <w:rPr>
          <w:sz w:val="24"/>
        </w:rPr>
      </w:pPr>
    </w:p>
    <w:p>
      <w:pPr>
        <w:rPr>
          <w:sz w:val="24"/>
        </w:rPr>
      </w:pPr>
    </w:p>
    <w:p>
      <w:pPr>
        <w:rPr>
          <w:sz w:val="24"/>
        </w:rPr>
      </w:pPr>
    </w:p>
    <w:p>
      <w:pPr>
        <w:pStyle w:val="2"/>
        <w:ind w:firstLine="210"/>
      </w:pPr>
    </w:p>
    <w:p>
      <w:pPr>
        <w:rPr>
          <w:sz w:val="24"/>
        </w:rPr>
      </w:pPr>
    </w:p>
    <w:p>
      <w:pPr>
        <w:spacing w:before="120" w:after="120"/>
        <w:jc w:val="center"/>
        <w:rPr>
          <w:rFonts w:ascii="黑体" w:eastAsia="黑体"/>
          <w:b/>
          <w:bCs/>
          <w:kern w:val="44"/>
          <w:sz w:val="30"/>
          <w:szCs w:val="30"/>
        </w:rPr>
      </w:pPr>
      <w:r>
        <w:rPr>
          <w:rFonts w:hint="eastAsia" w:ascii="黑体" w:eastAsia="黑体"/>
          <w:b/>
          <w:bCs/>
          <w:kern w:val="44"/>
          <w:sz w:val="30"/>
          <w:szCs w:val="30"/>
        </w:rPr>
        <w:t>七、主要进场管理人员和技术人员最低要求</w:t>
      </w:r>
    </w:p>
    <w:tbl>
      <w:tblPr>
        <w:tblStyle w:val="16"/>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6" w:hRule="atLeast"/>
        </w:trPr>
        <w:tc>
          <w:tcPr>
            <w:tcW w:w="2250" w:type="dxa"/>
            <w:vAlign w:val="center"/>
          </w:tcPr>
          <w:p>
            <w:pPr>
              <w:jc w:val="center"/>
              <w:rPr>
                <w:rFonts w:ascii="宋体" w:hAnsi="宋体"/>
                <w:sz w:val="24"/>
              </w:rPr>
            </w:pPr>
            <w:bookmarkStart w:id="282" w:name="_Toc234382989"/>
            <w:r>
              <w:rPr>
                <w:rFonts w:hint="eastAsia" w:ascii="宋体" w:hAnsi="宋体"/>
                <w:sz w:val="24"/>
              </w:rPr>
              <w:t>人  员</w:t>
            </w:r>
          </w:p>
        </w:tc>
        <w:tc>
          <w:tcPr>
            <w:tcW w:w="1997" w:type="dxa"/>
            <w:vAlign w:val="center"/>
          </w:tcPr>
          <w:p>
            <w:pPr>
              <w:jc w:val="center"/>
              <w:rPr>
                <w:rFonts w:ascii="宋体" w:hAnsi="宋体"/>
                <w:sz w:val="24"/>
              </w:rPr>
            </w:pPr>
            <w:r>
              <w:rPr>
                <w:rFonts w:hint="eastAsia" w:ascii="宋体" w:hAnsi="宋体"/>
                <w:sz w:val="24"/>
              </w:rPr>
              <w:t>数  量</w:t>
            </w:r>
          </w:p>
        </w:tc>
        <w:tc>
          <w:tcPr>
            <w:tcW w:w="5053" w:type="dxa"/>
            <w:vAlign w:val="center"/>
          </w:tcPr>
          <w:p>
            <w:pPr>
              <w:jc w:val="center"/>
              <w:rPr>
                <w:rFonts w:ascii="宋体" w:hAnsi="宋体"/>
                <w:sz w:val="24"/>
              </w:rPr>
            </w:pPr>
            <w:r>
              <w:rPr>
                <w:rFonts w:hint="eastAsia" w:ascii="宋体" w:hAnsi="宋体"/>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5" w:hRule="atLeast"/>
        </w:trPr>
        <w:tc>
          <w:tcPr>
            <w:tcW w:w="2250" w:type="dxa"/>
            <w:vAlign w:val="center"/>
          </w:tcPr>
          <w:p>
            <w:pPr>
              <w:jc w:val="center"/>
              <w:rPr>
                <w:rFonts w:ascii="宋体" w:hAnsi="宋体"/>
                <w:szCs w:val="21"/>
              </w:rPr>
            </w:pPr>
            <w:r>
              <w:rPr>
                <w:rFonts w:hint="eastAsia" w:ascii="宋体" w:hAnsi="宋体"/>
                <w:szCs w:val="21"/>
              </w:rPr>
              <w:t>项目经理</w:t>
            </w:r>
          </w:p>
        </w:tc>
        <w:tc>
          <w:tcPr>
            <w:tcW w:w="1997" w:type="dxa"/>
            <w:vAlign w:val="center"/>
          </w:tcPr>
          <w:p>
            <w:pPr>
              <w:jc w:val="center"/>
              <w:rPr>
                <w:rFonts w:ascii="宋体" w:hAnsi="宋体"/>
                <w:szCs w:val="21"/>
              </w:rPr>
            </w:pPr>
            <w:r>
              <w:rPr>
                <w:rFonts w:hint="eastAsia" w:ascii="宋体" w:hAnsi="宋体"/>
                <w:szCs w:val="21"/>
              </w:rPr>
              <w:t>1</w:t>
            </w:r>
          </w:p>
        </w:tc>
        <w:tc>
          <w:tcPr>
            <w:tcW w:w="5053" w:type="dxa"/>
          </w:tcPr>
          <w:p>
            <w:pPr>
              <w:rPr>
                <w:szCs w:val="21"/>
              </w:rPr>
            </w:pPr>
            <w:r>
              <w:rPr>
                <w:rFonts w:hint="eastAsia"/>
                <w:szCs w:val="21"/>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250" w:type="dxa"/>
            <w:vAlign w:val="center"/>
          </w:tcPr>
          <w:p>
            <w:pPr>
              <w:jc w:val="center"/>
              <w:rPr>
                <w:rFonts w:ascii="宋体" w:hAnsi="宋体"/>
                <w:szCs w:val="21"/>
              </w:rPr>
            </w:pPr>
            <w:r>
              <w:rPr>
                <w:rFonts w:hint="eastAsia" w:ascii="宋体" w:hAnsi="宋体"/>
                <w:szCs w:val="21"/>
              </w:rPr>
              <w:t>项目总工程师</w:t>
            </w:r>
          </w:p>
        </w:tc>
        <w:tc>
          <w:tcPr>
            <w:tcW w:w="1997" w:type="dxa"/>
            <w:vAlign w:val="center"/>
          </w:tcPr>
          <w:p>
            <w:pPr>
              <w:jc w:val="center"/>
              <w:rPr>
                <w:rFonts w:ascii="宋体" w:hAnsi="宋体"/>
                <w:szCs w:val="21"/>
              </w:rPr>
            </w:pPr>
            <w:r>
              <w:rPr>
                <w:rFonts w:hint="eastAsia" w:ascii="宋体" w:hAnsi="宋体"/>
                <w:szCs w:val="21"/>
              </w:rPr>
              <w:t>1</w:t>
            </w:r>
          </w:p>
        </w:tc>
        <w:tc>
          <w:tcPr>
            <w:tcW w:w="5053" w:type="dxa"/>
            <w:vAlign w:val="center"/>
          </w:tcPr>
          <w:p>
            <w:pPr>
              <w:rPr>
                <w:szCs w:val="21"/>
              </w:rPr>
            </w:pPr>
            <w:r>
              <w:rPr>
                <w:rFonts w:hint="eastAsia"/>
                <w:szCs w:val="21"/>
              </w:rPr>
              <w:t>具备中级及以上相关专业技术职称。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财务负责人</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会计师，工程经验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质检工程师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年以上，从事类似工程</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路基</w:t>
            </w:r>
            <w:r>
              <w:rPr>
                <w:rFonts w:hint="eastAsia"/>
                <w:szCs w:val="21"/>
              </w:rPr>
              <w:t>、路面</w:t>
            </w:r>
            <w:r>
              <w:rPr>
                <w:szCs w:val="21"/>
              </w:rPr>
              <w:t>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测量工程师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9" w:hRule="atLeast"/>
        </w:trPr>
        <w:tc>
          <w:tcPr>
            <w:tcW w:w="2250" w:type="dxa"/>
            <w:vAlign w:val="center"/>
          </w:tcPr>
          <w:p>
            <w:pPr>
              <w:jc w:val="center"/>
              <w:rPr>
                <w:szCs w:val="21"/>
              </w:rPr>
            </w:pPr>
            <w:r>
              <w:rPr>
                <w:szCs w:val="21"/>
              </w:rPr>
              <w:t>试验负责人</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机械工程师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3" w:hRule="atLeast"/>
        </w:trPr>
        <w:tc>
          <w:tcPr>
            <w:tcW w:w="2250" w:type="dxa"/>
            <w:vAlign w:val="center"/>
          </w:tcPr>
          <w:p>
            <w:pPr>
              <w:jc w:val="center"/>
              <w:rPr>
                <w:szCs w:val="21"/>
              </w:rPr>
            </w:pPr>
            <w:r>
              <w:rPr>
                <w:szCs w:val="21"/>
              </w:rPr>
              <w:t>专职安全员</w:t>
            </w:r>
          </w:p>
        </w:tc>
        <w:tc>
          <w:tcPr>
            <w:tcW w:w="1997" w:type="dxa"/>
            <w:vAlign w:val="center"/>
          </w:tcPr>
          <w:p>
            <w:pPr>
              <w:jc w:val="center"/>
              <w:rPr>
                <w:szCs w:val="21"/>
              </w:rPr>
            </w:pPr>
            <w:r>
              <w:rPr>
                <w:rFonts w:hint="eastAsia"/>
                <w:szCs w:val="21"/>
              </w:rPr>
              <w:t>1</w:t>
            </w:r>
          </w:p>
        </w:tc>
        <w:tc>
          <w:tcPr>
            <w:tcW w:w="5053" w:type="dxa"/>
            <w:vAlign w:val="center"/>
          </w:tcPr>
          <w:p>
            <w:pPr>
              <w:rPr>
                <w:szCs w:val="21"/>
              </w:rPr>
            </w:pPr>
            <w:r>
              <w:rPr>
                <w:szCs w:val="21"/>
              </w:rPr>
              <w:t>从事类似工作3年以上</w:t>
            </w:r>
            <w:r>
              <w:rPr>
                <w:szCs w:val="21"/>
                <w:lang w:val="zh-CN"/>
              </w:rPr>
              <w:t>，</w:t>
            </w:r>
            <w:r>
              <w:rPr>
                <w:szCs w:val="21"/>
              </w:rPr>
              <w:t>具</w:t>
            </w:r>
            <w:r>
              <w:rPr>
                <w:rFonts w:hint="eastAsia"/>
                <w:szCs w:val="21"/>
              </w:rPr>
              <w:t>有有效</w:t>
            </w:r>
            <w:r>
              <w:rPr>
                <w:szCs w:val="21"/>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spacing w:line="400" w:lineRule="exact"/>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rPr>
            </w:pPr>
          </w:p>
        </w:tc>
        <w:tc>
          <w:tcPr>
            <w:tcW w:w="1997" w:type="dxa"/>
            <w:vAlign w:val="center"/>
          </w:tcPr>
          <w:p>
            <w:pPr>
              <w:jc w:val="center"/>
              <w:rPr>
                <w:rFonts w:ascii="宋体" w:hAnsi="宋体"/>
                <w:sz w:val="24"/>
              </w:rPr>
            </w:pPr>
          </w:p>
        </w:tc>
        <w:tc>
          <w:tcPr>
            <w:tcW w:w="5053" w:type="dxa"/>
            <w:vAlign w:val="center"/>
          </w:tcPr>
          <w:p>
            <w:pPr>
              <w:rPr>
                <w:rFonts w:ascii="宋体" w:hAnsi="宋体"/>
                <w:sz w:val="24"/>
              </w:rPr>
            </w:pPr>
          </w:p>
        </w:tc>
      </w:tr>
    </w:tbl>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r>
        <w:rPr>
          <w:rFonts w:hint="eastAsia" w:ascii="宋体" w:hAnsi="宋体"/>
          <w:szCs w:val="21"/>
        </w:rPr>
        <w:t>我方在此承诺：若我方中标，我方将严格按照在投标文件中填报的主要管理人员和技术人员组织进场施工，且不进行更换。如我方违背了上述承诺，本项目招标人有权取消我方的中标资格，并由招标人将我方的违约行为上报省级交通主管部门，作为不良记录纳入公路建设市场信息管理系统。</w:t>
      </w:r>
    </w:p>
    <w:p>
      <w:pPr>
        <w:spacing w:line="500" w:lineRule="exact"/>
        <w:ind w:firstLine="3885" w:firstLineChars="1850"/>
        <w:rPr>
          <w:rFonts w:ascii="宋体" w:hAnsi="宋体"/>
          <w:szCs w:val="21"/>
        </w:rPr>
      </w:pPr>
      <w:r>
        <w:rPr>
          <w:rFonts w:hint="eastAsia" w:ascii="宋体" w:hAnsi="宋体"/>
          <w:kern w:val="0"/>
          <w:szCs w:val="21"/>
        </w:rPr>
        <w:t>投  标  人：</w:t>
      </w:r>
      <w:r>
        <w:rPr>
          <w:rFonts w:hint="eastAsia" w:ascii="宋体" w:hAnsi="宋体"/>
          <w:szCs w:val="21"/>
        </w:rPr>
        <w:t>（盖单位章）</w:t>
      </w:r>
    </w:p>
    <w:p>
      <w:pPr>
        <w:adjustRightInd w:val="0"/>
        <w:snapToGrid w:val="0"/>
        <w:spacing w:line="360" w:lineRule="auto"/>
        <w:jc w:val="center"/>
        <w:rPr>
          <w:rFonts w:ascii="宋体" w:hAnsi="宋体"/>
          <w:szCs w:val="21"/>
        </w:rPr>
      </w:pPr>
    </w:p>
    <w:p>
      <w:pPr>
        <w:adjustRightInd w:val="0"/>
        <w:snapToGrid w:val="0"/>
        <w:spacing w:line="360" w:lineRule="auto"/>
        <w:jc w:val="center"/>
        <w:rPr>
          <w:rFonts w:ascii="黑体" w:eastAsia="黑体"/>
          <w:sz w:val="30"/>
          <w:szCs w:val="30"/>
          <w:u w:val="single"/>
        </w:rPr>
      </w:pPr>
      <w:r>
        <w:rPr>
          <w:rFonts w:hint="eastAsia" w:ascii="宋体" w:hAnsi="宋体"/>
          <w:szCs w:val="21"/>
        </w:rPr>
        <w:t xml:space="preserve">                            法定代表人或其委托代理人：（签字）</w:t>
      </w:r>
    </w:p>
    <w:bookmarkEnd w:id="282"/>
    <w:p>
      <w:pPr>
        <w:spacing w:before="120" w:after="120"/>
        <w:jc w:val="center"/>
        <w:rPr>
          <w:rFonts w:ascii="黑体" w:eastAsia="黑体"/>
          <w:b/>
          <w:bCs/>
          <w:kern w:val="44"/>
          <w:sz w:val="30"/>
          <w:szCs w:val="30"/>
        </w:rPr>
      </w:pPr>
      <w:bookmarkStart w:id="283" w:name="_Toc234382990"/>
      <w:r>
        <w:rPr>
          <w:rFonts w:hint="eastAsia" w:ascii="黑体" w:eastAsia="黑体"/>
          <w:b/>
          <w:bCs/>
          <w:kern w:val="44"/>
          <w:sz w:val="30"/>
          <w:szCs w:val="30"/>
        </w:rPr>
        <w:t>八、</w:t>
      </w:r>
      <w:r>
        <w:rPr>
          <w:rFonts w:ascii="黑体" w:eastAsia="黑体"/>
          <w:b/>
          <w:bCs/>
          <w:kern w:val="44"/>
          <w:sz w:val="30"/>
          <w:szCs w:val="30"/>
        </w:rPr>
        <w:t>农民工工资支付承诺书</w:t>
      </w:r>
    </w:p>
    <w:p>
      <w:pPr>
        <w:adjustRightInd w:val="0"/>
        <w:snapToGrid w:val="0"/>
        <w:spacing w:afterLines="50" w:line="343" w:lineRule="auto"/>
        <w:ind w:firstLine="360" w:firstLineChars="150"/>
        <w:rPr>
          <w:sz w:val="24"/>
        </w:rPr>
      </w:pPr>
      <w:r>
        <w:rPr>
          <w:rFonts w:hint="eastAsia"/>
          <w:sz w:val="24"/>
        </w:rPr>
        <w:t>我单位在此郑重承诺：</w:t>
      </w:r>
    </w:p>
    <w:p>
      <w:pPr>
        <w:adjustRightInd w:val="0"/>
        <w:snapToGrid w:val="0"/>
        <w:spacing w:afterLines="50" w:line="343" w:lineRule="auto"/>
        <w:ind w:firstLine="360" w:firstLineChars="150"/>
        <w:rPr>
          <w:sz w:val="24"/>
        </w:rPr>
      </w:pPr>
      <w:r>
        <w:rPr>
          <w:sz w:val="24"/>
        </w:rPr>
        <w:t>一、开工前与农民工签定劳动合同</w:t>
      </w:r>
      <w:r>
        <w:rPr>
          <w:sz w:val="24"/>
        </w:rPr>
        <w:br w:type="textWrapping"/>
      </w:r>
      <w:r>
        <w:rPr>
          <w:sz w:val="24"/>
        </w:rPr>
        <w:t>     二、按时支付农民工工资、加班加点工资。</w:t>
      </w:r>
      <w:r>
        <w:rPr>
          <w:sz w:val="24"/>
        </w:rPr>
        <w:br w:type="textWrapping"/>
      </w:r>
      <w:r>
        <w:rPr>
          <w:sz w:val="24"/>
        </w:rPr>
        <w:t>     三、支付农民工工资不低于</w:t>
      </w:r>
      <w:r>
        <w:rPr>
          <w:rFonts w:hint="eastAsia"/>
          <w:sz w:val="24"/>
        </w:rPr>
        <w:t>河南</w:t>
      </w:r>
      <w:r>
        <w:rPr>
          <w:sz w:val="24"/>
        </w:rPr>
        <w:t>省最低工资标准</w:t>
      </w:r>
      <w:r>
        <w:rPr>
          <w:sz w:val="24"/>
          <w:u w:val="single"/>
        </w:rPr>
        <w:t xml:space="preserve">    </w:t>
      </w:r>
      <w:r>
        <w:rPr>
          <w:sz w:val="24"/>
        </w:rPr>
        <w:t>元。</w:t>
      </w:r>
      <w:r>
        <w:rPr>
          <w:sz w:val="24"/>
        </w:rPr>
        <w:br w:type="textWrapping"/>
      </w:r>
      <w:r>
        <w:rPr>
          <w:sz w:val="24"/>
        </w:rPr>
        <w:t>     四、不无故拖欠、克扣农民工工资。</w:t>
      </w:r>
      <w:r>
        <w:rPr>
          <w:sz w:val="24"/>
        </w:rPr>
        <w:br w:type="textWrapping"/>
      </w:r>
      <w:r>
        <w:rPr>
          <w:sz w:val="24"/>
        </w:rPr>
        <w:t>     五、</w:t>
      </w:r>
      <w:r>
        <w:rPr>
          <w:rFonts w:hint="eastAsia"/>
          <w:sz w:val="24"/>
        </w:rPr>
        <w:t>坚决不</w:t>
      </w:r>
      <w:r>
        <w:rPr>
          <w:sz w:val="24"/>
        </w:rPr>
        <w:t>侵害农民工劳动报酬的合法权益。</w:t>
      </w:r>
      <w:r>
        <w:rPr>
          <w:sz w:val="24"/>
        </w:rPr>
        <w:br w:type="textWrapping"/>
      </w:r>
      <w:r>
        <w:rPr>
          <w:sz w:val="24"/>
        </w:rPr>
        <w:t>      六、若有拖欠、克扣农民工工资、加班加点工资及侵害农民工劳动报酬权益的行为，</w:t>
      </w:r>
      <w:r>
        <w:rPr>
          <w:rFonts w:hint="eastAsia"/>
          <w:sz w:val="24"/>
        </w:rPr>
        <w:t>经有关部门</w:t>
      </w:r>
      <w:r>
        <w:rPr>
          <w:sz w:val="24"/>
        </w:rPr>
        <w:t>查证属实后，</w:t>
      </w:r>
      <w:r>
        <w:rPr>
          <w:rFonts w:hint="eastAsia"/>
          <w:sz w:val="24"/>
        </w:rPr>
        <w:t>自愿</w:t>
      </w:r>
      <w:r>
        <w:rPr>
          <w:sz w:val="24"/>
        </w:rPr>
        <w:t>从工资保</w:t>
      </w:r>
      <w:r>
        <w:rPr>
          <w:rFonts w:hint="eastAsia"/>
          <w:sz w:val="24"/>
        </w:rPr>
        <w:t>障</w:t>
      </w:r>
      <w:r>
        <w:rPr>
          <w:sz w:val="24"/>
        </w:rPr>
        <w:t>金中支付，</w:t>
      </w:r>
      <w:r>
        <w:rPr>
          <w:rFonts w:hint="eastAsia"/>
          <w:sz w:val="24"/>
        </w:rPr>
        <w:t>且</w:t>
      </w:r>
      <w:r>
        <w:rPr>
          <w:sz w:val="24"/>
        </w:rPr>
        <w:t>在一个星期内补足保</w:t>
      </w:r>
      <w:r>
        <w:rPr>
          <w:rFonts w:hint="eastAsia"/>
          <w:sz w:val="24"/>
        </w:rPr>
        <w:t>障</w:t>
      </w:r>
      <w:r>
        <w:rPr>
          <w:sz w:val="24"/>
        </w:rPr>
        <w:t>金。</w:t>
      </w:r>
      <w:r>
        <w:rPr>
          <w:sz w:val="24"/>
        </w:rPr>
        <w:br w:type="textWrapping"/>
      </w: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right="480" w:firstLine="3480" w:firstLineChars="1450"/>
        <w:rPr>
          <w:sz w:val="24"/>
          <w:u w:val="single"/>
        </w:rPr>
      </w:pPr>
      <w:r>
        <w:rPr>
          <w:rFonts w:hint="eastAsia"/>
          <w:sz w:val="24"/>
        </w:rPr>
        <w:t>承 诺 人：</w:t>
      </w:r>
      <w:r>
        <w:rPr>
          <w:rFonts w:hint="eastAsia"/>
          <w:sz w:val="24"/>
          <w:u w:val="single"/>
        </w:rPr>
        <w:t xml:space="preserve">    （单位全称）（盖章）</w:t>
      </w:r>
    </w:p>
    <w:p>
      <w:pPr>
        <w:adjustRightInd w:val="0"/>
        <w:snapToGrid w:val="0"/>
        <w:spacing w:afterLines="50" w:line="343" w:lineRule="auto"/>
        <w:ind w:firstLine="3480" w:firstLineChars="1450"/>
        <w:rPr>
          <w:sz w:val="24"/>
          <w:u w:val="single"/>
        </w:rPr>
      </w:pPr>
      <w:r>
        <w:rPr>
          <w:rFonts w:hint="eastAsia"/>
          <w:sz w:val="24"/>
        </w:rPr>
        <w:t>法定代表人或其委托代理人：</w:t>
      </w:r>
      <w:r>
        <w:rPr>
          <w:rFonts w:hint="eastAsia"/>
          <w:sz w:val="24"/>
          <w:u w:val="single"/>
        </w:rPr>
        <w:t xml:space="preserve">    (签字) </w:t>
      </w:r>
    </w:p>
    <w:p>
      <w:pPr>
        <w:adjustRightInd w:val="0"/>
        <w:snapToGrid w:val="0"/>
        <w:spacing w:afterLines="50" w:line="343" w:lineRule="auto"/>
        <w:ind w:firstLine="360" w:firstLineChars="150"/>
        <w:rPr>
          <w:sz w:val="24"/>
          <w:u w:val="single"/>
        </w:rPr>
      </w:pPr>
    </w:p>
    <w:p>
      <w:pPr>
        <w:adjustRightInd w:val="0"/>
        <w:snapToGrid w:val="0"/>
        <w:spacing w:afterLines="50" w:line="343" w:lineRule="auto"/>
        <w:rPr>
          <w:rFonts w:ascii="黑体" w:eastAsia="黑体"/>
          <w:sz w:val="28"/>
          <w:szCs w:val="28"/>
        </w:rPr>
      </w:pPr>
    </w:p>
    <w:p>
      <w:pPr>
        <w:pStyle w:val="4"/>
        <w:spacing w:beforeLines="100" w:afterLines="150" w:line="360" w:lineRule="exact"/>
        <w:jc w:val="center"/>
        <w:rPr>
          <w:rFonts w:ascii="黑体" w:eastAsia="黑体"/>
          <w:sz w:val="30"/>
          <w:szCs w:val="30"/>
        </w:rPr>
      </w:pPr>
      <w:bookmarkStart w:id="284" w:name="_Toc485889080"/>
      <w:bookmarkStart w:id="285" w:name="_Toc18302"/>
      <w:bookmarkStart w:id="286" w:name="_Toc486277945"/>
      <w:r>
        <w:rPr>
          <w:rFonts w:hint="eastAsia" w:ascii="黑体" w:eastAsia="黑体"/>
          <w:sz w:val="30"/>
          <w:szCs w:val="30"/>
        </w:rPr>
        <w:t>九、扬尘治理专项承诺书</w:t>
      </w:r>
      <w:bookmarkEnd w:id="284"/>
      <w:bookmarkEnd w:id="285"/>
      <w:bookmarkEnd w:id="286"/>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30"/>
          <w:szCs w:val="30"/>
        </w:rPr>
      </w:pPr>
    </w:p>
    <w:p>
      <w:pPr>
        <w:pStyle w:val="4"/>
        <w:spacing w:beforeLines="100" w:afterLines="150" w:line="360" w:lineRule="exact"/>
        <w:jc w:val="center"/>
        <w:rPr>
          <w:rFonts w:ascii="黑体" w:hAnsi="宋体" w:eastAsia="黑体"/>
          <w:sz w:val="30"/>
          <w:szCs w:val="30"/>
        </w:rPr>
      </w:pPr>
      <w:bookmarkStart w:id="287" w:name="_Toc5401"/>
      <w:bookmarkStart w:id="288" w:name="_Toc486277946"/>
      <w:bookmarkStart w:id="289" w:name="_Toc485889081"/>
      <w:r>
        <w:rPr>
          <w:rFonts w:hint="eastAsia" w:ascii="黑体" w:hAnsi="宋体" w:eastAsia="黑体"/>
          <w:sz w:val="30"/>
          <w:szCs w:val="30"/>
        </w:rPr>
        <w:t>十、其 他 材 料</w:t>
      </w:r>
      <w:bookmarkEnd w:id="283"/>
      <w:bookmarkEnd w:id="287"/>
      <w:bookmarkEnd w:id="288"/>
      <w:bookmarkEnd w:id="289"/>
    </w:p>
    <w:p/>
    <w:p/>
    <w:p>
      <w:pPr>
        <w:pStyle w:val="4"/>
        <w:spacing w:beforeLines="100" w:afterLines="150" w:line="360" w:lineRule="exact"/>
        <w:jc w:val="center"/>
      </w:pPr>
    </w:p>
    <w:p>
      <w:pPr>
        <w:pStyle w:val="4"/>
        <w:spacing w:beforeLines="100" w:afterLines="150" w:line="360" w:lineRule="exact"/>
        <w:jc w:val="center"/>
      </w:pPr>
    </w:p>
    <w:p/>
    <w:p/>
    <w:p/>
    <w:p/>
    <w:p/>
    <w:p/>
    <w:p/>
    <w:p/>
    <w:p/>
    <w:p/>
    <w:p/>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jc w:val="right"/>
        <w:rPr>
          <w:rFonts w:asciiTheme="minorEastAsia" w:hAnsiTheme="minorEastAsia" w:eastAsiaTheme="minorEastAsia"/>
          <w:bCs/>
          <w:sz w:val="36"/>
          <w:szCs w:val="36"/>
        </w:rPr>
      </w:pPr>
      <w:r>
        <w:rPr>
          <w:rFonts w:hint="eastAsia" w:asciiTheme="minorEastAsia" w:hAnsiTheme="minorEastAsia" w:eastAsiaTheme="minorEastAsia"/>
          <w:bCs/>
          <w:sz w:val="36"/>
          <w:szCs w:val="36"/>
        </w:rPr>
        <w:t>正（副）本</w:t>
      </w:r>
    </w:p>
    <w:p>
      <w:pPr>
        <w:ind w:firstLine="520" w:firstLineChars="100"/>
        <w:rPr>
          <w:rFonts w:asciiTheme="minorEastAsia" w:hAnsiTheme="minorEastAsia" w:eastAsiaTheme="minorEastAsia"/>
          <w:bCs/>
          <w:sz w:val="52"/>
          <w:szCs w:val="52"/>
          <w:u w:val="single"/>
        </w:rPr>
      </w:pPr>
    </w:p>
    <w:p>
      <w:pPr>
        <w:ind w:firstLine="520" w:firstLineChars="100"/>
        <w:rPr>
          <w:rFonts w:asciiTheme="minorEastAsia" w:hAnsiTheme="minorEastAsia" w:eastAsiaTheme="minorEastAsia"/>
          <w:bCs/>
          <w:sz w:val="36"/>
          <w:szCs w:val="36"/>
          <w:u w:val="single"/>
        </w:rPr>
      </w:pPr>
      <w:r>
        <w:rPr>
          <w:rFonts w:hint="eastAsia" w:asciiTheme="minorEastAsia" w:hAnsiTheme="minorEastAsia" w:eastAsiaTheme="minorEastAsia"/>
          <w:bCs/>
          <w:sz w:val="52"/>
          <w:szCs w:val="52"/>
          <w:u w:val="single"/>
        </w:rPr>
        <w:t xml:space="preserve">         (项目名称)        </w:t>
      </w:r>
    </w:p>
    <w:p>
      <w:pPr>
        <w:spacing w:line="360" w:lineRule="auto"/>
        <w:rPr>
          <w:rFonts w:asciiTheme="minorEastAsia" w:hAnsiTheme="minorEastAsia" w:eastAsiaTheme="minorEastAsia"/>
          <w:sz w:val="36"/>
          <w:szCs w:val="36"/>
        </w:rPr>
      </w:pPr>
    </w:p>
    <w:p>
      <w:pPr>
        <w:spacing w:line="360" w:lineRule="auto"/>
        <w:jc w:val="center"/>
        <w:rPr>
          <w:rFonts w:asciiTheme="minorEastAsia" w:hAnsiTheme="minorEastAsia" w:eastAsiaTheme="minorEastAsia"/>
          <w:b/>
          <w:sz w:val="52"/>
          <w:szCs w:val="52"/>
        </w:rPr>
      </w:pPr>
      <w:r>
        <w:rPr>
          <w:rFonts w:hint="eastAsia" w:asciiTheme="minorEastAsia" w:hAnsiTheme="minorEastAsia" w:eastAsiaTheme="minorEastAsia"/>
          <w:sz w:val="36"/>
          <w:szCs w:val="36"/>
        </w:rPr>
        <w:t>建安建工公字〔2019〕   号</w:t>
      </w:r>
    </w:p>
    <w:p>
      <w:pPr>
        <w:spacing w:line="360" w:lineRule="auto"/>
        <w:jc w:val="center"/>
        <w:rPr>
          <w:rFonts w:asciiTheme="minorEastAsia" w:hAnsiTheme="minorEastAsia" w:eastAsiaTheme="minorEastAsia"/>
          <w:b/>
          <w:sz w:val="52"/>
          <w:szCs w:val="52"/>
        </w:rPr>
      </w:pPr>
    </w:p>
    <w:p>
      <w:pPr>
        <w:spacing w:line="360" w:lineRule="auto"/>
        <w:jc w:val="center"/>
        <w:rPr>
          <w:rFonts w:asciiTheme="minorEastAsia" w:hAnsiTheme="minorEastAsia" w:eastAsiaTheme="minorEastAsia"/>
          <w:b/>
          <w:sz w:val="72"/>
          <w:szCs w:val="72"/>
        </w:rPr>
      </w:pPr>
      <w:r>
        <w:rPr>
          <w:rFonts w:hint="eastAsia" w:asciiTheme="minorEastAsia" w:hAnsiTheme="minorEastAsia" w:eastAsiaTheme="minorEastAsia"/>
          <w:b/>
          <w:sz w:val="72"/>
          <w:szCs w:val="72"/>
        </w:rPr>
        <w:t>投 标 文 件</w:t>
      </w:r>
    </w:p>
    <w:p>
      <w:pPr>
        <w:spacing w:line="360" w:lineRule="auto"/>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 xml:space="preserve">第二信封  </w:t>
      </w:r>
    </w:p>
    <w:p>
      <w:pPr>
        <w:spacing w:line="360" w:lineRule="auto"/>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（投标报价和工程量清单）</w:t>
      </w:r>
    </w:p>
    <w:p>
      <w:pPr>
        <w:spacing w:line="360" w:lineRule="auto"/>
        <w:rPr>
          <w:rFonts w:asciiTheme="minorEastAsia" w:hAnsiTheme="minorEastAsia" w:eastAsiaTheme="minorEastAsia"/>
          <w:b/>
          <w:sz w:val="32"/>
          <w:szCs w:val="32"/>
        </w:rPr>
      </w:pPr>
    </w:p>
    <w:p>
      <w:pPr>
        <w:spacing w:line="360" w:lineRule="auto"/>
        <w:rPr>
          <w:rFonts w:asciiTheme="minorEastAsia" w:hAnsiTheme="minorEastAsia" w:eastAsiaTheme="minorEastAsia"/>
          <w:b/>
          <w:sz w:val="32"/>
          <w:szCs w:val="32"/>
        </w:rPr>
      </w:pPr>
    </w:p>
    <w:p>
      <w:pPr>
        <w:spacing w:line="360" w:lineRule="auto"/>
        <w:rPr>
          <w:rFonts w:asciiTheme="minorEastAsia" w:hAnsiTheme="minorEastAsia" w:eastAsiaTheme="minorEastAsia"/>
          <w:b/>
          <w:sz w:val="32"/>
          <w:szCs w:val="32"/>
        </w:rPr>
      </w:pPr>
    </w:p>
    <w:p>
      <w:pPr>
        <w:spacing w:line="360" w:lineRule="auto"/>
        <w:rPr>
          <w:rFonts w:asciiTheme="minorEastAsia" w:hAnsiTheme="minorEastAsia" w:eastAsiaTheme="minorEastAsia"/>
          <w:b/>
          <w:sz w:val="32"/>
          <w:szCs w:val="32"/>
        </w:rPr>
      </w:pPr>
    </w:p>
    <w:p>
      <w:pPr>
        <w:spacing w:line="360" w:lineRule="auto"/>
        <w:rPr>
          <w:rFonts w:asciiTheme="minorEastAsia" w:hAnsiTheme="minorEastAsia" w:eastAsiaTheme="minorEastAsia"/>
          <w:b/>
          <w:sz w:val="32"/>
          <w:szCs w:val="32"/>
        </w:rPr>
      </w:pPr>
    </w:p>
    <w:p>
      <w:pPr>
        <w:spacing w:line="80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投标人：（盖单位章）</w:t>
      </w:r>
    </w:p>
    <w:p>
      <w:pPr>
        <w:spacing w:line="80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法定代表人或其委托代理人：（签字）</w:t>
      </w:r>
    </w:p>
    <w:p>
      <w:pPr>
        <w:spacing w:line="800" w:lineRule="exact"/>
        <w:ind w:firstLine="1590" w:firstLineChars="495"/>
        <w:rPr>
          <w:rFonts w:asciiTheme="minorEastAsia" w:hAnsiTheme="minorEastAsia" w:eastAsiaTheme="minorEastAsia"/>
          <w:b/>
          <w:sz w:val="32"/>
          <w:szCs w:val="32"/>
        </w:rPr>
      </w:pPr>
      <w:r>
        <w:rPr>
          <w:rFonts w:hint="eastAsia" w:asciiTheme="minorEastAsia" w:hAnsiTheme="minorEastAsia" w:eastAsiaTheme="minorEastAsia"/>
          <w:b/>
          <w:sz w:val="32"/>
          <w:szCs w:val="32"/>
        </w:rPr>
        <w:t>日  期：    年   月   日</w:t>
      </w:r>
    </w:p>
    <w:p>
      <w:pPr>
        <w:jc w:val="center"/>
        <w:rPr>
          <w:rFonts w:asciiTheme="minorEastAsia" w:hAnsiTheme="minorEastAsia" w:eastAsiaTheme="minorEastAsia"/>
          <w:b/>
          <w:sz w:val="36"/>
          <w:szCs w:val="36"/>
        </w:rPr>
      </w:pPr>
    </w:p>
    <w:p>
      <w:pPr>
        <w:rPr>
          <w:rFonts w:ascii="宋体" w:hAnsi="宋体"/>
        </w:rPr>
      </w:pPr>
    </w:p>
    <w:p>
      <w:pPr>
        <w:pageBreakBefore/>
        <w:spacing w:line="360" w:lineRule="auto"/>
        <w:jc w:val="center"/>
        <w:rPr>
          <w:rFonts w:ascii="宋体" w:hAnsi="宋体"/>
          <w:b/>
          <w:sz w:val="32"/>
          <w:szCs w:val="32"/>
        </w:rPr>
      </w:pPr>
      <w:r>
        <w:rPr>
          <w:rFonts w:hint="eastAsia" w:ascii="宋体" w:hAnsi="宋体"/>
          <w:b/>
          <w:sz w:val="32"/>
          <w:szCs w:val="32"/>
        </w:rPr>
        <w:t>目 录</w:t>
      </w:r>
    </w:p>
    <w:p>
      <w:pPr>
        <w:spacing w:line="360" w:lineRule="auto"/>
        <w:jc w:val="center"/>
        <w:rPr>
          <w:rFonts w:ascii="宋体" w:hAnsi="宋体"/>
          <w:b/>
          <w:sz w:val="32"/>
          <w:szCs w:val="32"/>
        </w:rPr>
      </w:pPr>
    </w:p>
    <w:p>
      <w:pPr>
        <w:spacing w:line="360" w:lineRule="auto"/>
        <w:ind w:firstLine="700" w:firstLineChars="250"/>
        <w:jc w:val="left"/>
        <w:rPr>
          <w:rFonts w:ascii="宋体" w:hAnsi="宋体"/>
          <w:sz w:val="28"/>
          <w:szCs w:val="28"/>
        </w:rPr>
      </w:pPr>
      <w:r>
        <w:rPr>
          <w:rFonts w:hint="eastAsia" w:ascii="宋体" w:hAnsi="宋体"/>
          <w:sz w:val="28"/>
          <w:szCs w:val="28"/>
        </w:rPr>
        <w:t>一、投标函</w:t>
      </w:r>
    </w:p>
    <w:p>
      <w:pPr>
        <w:spacing w:line="360" w:lineRule="auto"/>
        <w:ind w:firstLine="700" w:firstLineChars="250"/>
        <w:jc w:val="left"/>
        <w:rPr>
          <w:rFonts w:ascii="宋体" w:hAnsi="宋体"/>
          <w:sz w:val="28"/>
          <w:szCs w:val="28"/>
        </w:rPr>
      </w:pPr>
      <w:r>
        <w:rPr>
          <w:rFonts w:hint="eastAsia" w:ascii="宋体" w:hAnsi="宋体"/>
          <w:sz w:val="28"/>
          <w:szCs w:val="28"/>
        </w:rPr>
        <w:t>二、已标价工程量清单</w:t>
      </w:r>
    </w:p>
    <w:p>
      <w:pPr>
        <w:spacing w:line="360" w:lineRule="auto"/>
        <w:ind w:firstLine="700" w:firstLineChars="250"/>
        <w:jc w:val="left"/>
        <w:rPr>
          <w:rFonts w:ascii="宋体" w:hAnsi="宋体"/>
          <w:sz w:val="28"/>
          <w:szCs w:val="28"/>
        </w:rPr>
      </w:pPr>
      <w:r>
        <w:rPr>
          <w:rFonts w:hint="eastAsia" w:ascii="宋体" w:hAnsi="宋体"/>
          <w:sz w:val="28"/>
          <w:szCs w:val="28"/>
        </w:rPr>
        <w:t>三、拟分包项目情况表</w:t>
      </w:r>
    </w:p>
    <w:p>
      <w:pPr>
        <w:spacing w:line="360" w:lineRule="auto"/>
        <w:ind w:firstLine="700" w:firstLineChars="250"/>
        <w:jc w:val="left"/>
        <w:rPr>
          <w:rFonts w:ascii="宋体" w:hAnsi="宋体"/>
          <w:sz w:val="28"/>
          <w:szCs w:val="28"/>
        </w:rPr>
      </w:pPr>
      <w:r>
        <w:rPr>
          <w:rFonts w:hint="eastAsia" w:ascii="宋体" w:hAnsi="宋体"/>
          <w:sz w:val="28"/>
          <w:szCs w:val="28"/>
        </w:rPr>
        <w:t>四、合同用款估算表</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rFonts w:ascii="宋体" w:hAnsi="宋体"/>
          <w:b/>
          <w:sz w:val="32"/>
          <w:szCs w:val="32"/>
        </w:rPr>
      </w:pPr>
      <w:r>
        <w:rPr>
          <w:rFonts w:hint="eastAsia" w:ascii="宋体" w:hAnsi="宋体"/>
          <w:b/>
          <w:sz w:val="32"/>
          <w:szCs w:val="32"/>
        </w:rPr>
        <w:t>一、投标函</w:t>
      </w:r>
    </w:p>
    <w:p>
      <w:pPr>
        <w:spacing w:line="360" w:lineRule="auto"/>
        <w:rPr>
          <w:rFonts w:ascii="宋体" w:hAnsi="宋体"/>
          <w:sz w:val="24"/>
        </w:rPr>
      </w:pPr>
    </w:p>
    <w:p>
      <w:pPr>
        <w:spacing w:line="360" w:lineRule="auto"/>
        <w:jc w:val="left"/>
        <w:rPr>
          <w:rFonts w:ascii="宋体" w:hAnsi="宋体"/>
          <w:sz w:val="24"/>
        </w:rPr>
      </w:pPr>
      <w:r>
        <w:rPr>
          <w:rFonts w:hint="eastAsia" w:ascii="宋体" w:hAnsi="宋体"/>
          <w:sz w:val="24"/>
        </w:rPr>
        <w:t>_________________________(招标人名称)：</w:t>
      </w:r>
    </w:p>
    <w:p>
      <w:pPr>
        <w:spacing w:line="360" w:lineRule="auto"/>
        <w:ind w:firstLine="480" w:firstLineChars="200"/>
        <w:jc w:val="left"/>
        <w:rPr>
          <w:rFonts w:ascii="宋体" w:hAnsi="宋体"/>
          <w:sz w:val="24"/>
        </w:rPr>
      </w:pPr>
      <w:r>
        <w:rPr>
          <w:rFonts w:hint="eastAsia" w:ascii="宋体" w:hAnsi="宋体"/>
          <w:sz w:val="24"/>
        </w:rPr>
        <w:t>1．我方已仔细研究_____________(项目名称)施工招标文件的全部内容（含补遗书第号至第号），在考察工程现场后，愿意以人民币(大写)________元(¥________ )的投标总报价(或根据招标文件规定修正核实后确定的另一金额)，按合同约定实施和完成承包工程，修补工程中的任何缺陷。</w:t>
      </w:r>
    </w:p>
    <w:p>
      <w:pPr>
        <w:spacing w:line="360" w:lineRule="auto"/>
        <w:ind w:firstLine="480" w:firstLineChars="200"/>
        <w:jc w:val="left"/>
        <w:rPr>
          <w:rFonts w:ascii="宋体" w:hAnsi="宋体"/>
          <w:sz w:val="24"/>
        </w:rPr>
      </w:pPr>
      <w:r>
        <w:rPr>
          <w:rFonts w:hint="eastAsia" w:ascii="宋体" w:hAnsi="宋体"/>
          <w:sz w:val="24"/>
        </w:rPr>
        <w:t>2．在合同协议书正式签署生效之前，本投标函连同你方的中标通知书将构成我们双方之间共同遵守的文件，对双方具有约束力。</w:t>
      </w:r>
    </w:p>
    <w:p>
      <w:pPr>
        <w:spacing w:line="360" w:lineRule="auto"/>
        <w:ind w:firstLine="480" w:firstLineChars="200"/>
        <w:jc w:val="left"/>
        <w:rPr>
          <w:rFonts w:ascii="宋体" w:hAnsi="宋体"/>
          <w:sz w:val="24"/>
        </w:rPr>
      </w:pPr>
      <w:r>
        <w:rPr>
          <w:rFonts w:hint="eastAsia" w:ascii="宋体" w:hAnsi="宋体"/>
          <w:sz w:val="24"/>
        </w:rPr>
        <w:t>3．__________________________________(其他补充说明)。</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p>
      <w:pPr>
        <w:spacing w:line="360" w:lineRule="auto"/>
        <w:ind w:left="3543" w:leftChars="1687"/>
        <w:jc w:val="left"/>
        <w:rPr>
          <w:rFonts w:ascii="宋体" w:hAnsi="宋体"/>
          <w:sz w:val="24"/>
        </w:rPr>
      </w:pPr>
      <w:r>
        <w:rPr>
          <w:rFonts w:hint="eastAsia" w:ascii="宋体" w:hAnsi="宋体"/>
          <w:sz w:val="24"/>
        </w:rPr>
        <w:t>投 标 人：___________________(盖单位章)</w:t>
      </w:r>
    </w:p>
    <w:p>
      <w:pPr>
        <w:spacing w:line="360" w:lineRule="auto"/>
        <w:ind w:left="3543" w:leftChars="1687"/>
        <w:jc w:val="left"/>
        <w:rPr>
          <w:rFonts w:ascii="宋体" w:hAnsi="宋体"/>
          <w:sz w:val="24"/>
        </w:rPr>
      </w:pPr>
      <w:r>
        <w:rPr>
          <w:rFonts w:hint="eastAsia" w:ascii="宋体" w:hAnsi="宋体"/>
          <w:sz w:val="24"/>
        </w:rPr>
        <w:t>法定代表人或其委托代人:_________(签字)</w:t>
      </w:r>
    </w:p>
    <w:p>
      <w:pPr>
        <w:spacing w:line="360" w:lineRule="auto"/>
        <w:ind w:left="3543" w:leftChars="1687"/>
        <w:jc w:val="left"/>
        <w:rPr>
          <w:rFonts w:ascii="宋体" w:hAnsi="宋体"/>
          <w:sz w:val="24"/>
        </w:rPr>
      </w:pPr>
      <w:r>
        <w:rPr>
          <w:rFonts w:hint="eastAsia" w:ascii="宋体" w:hAnsi="宋体"/>
          <w:sz w:val="24"/>
        </w:rPr>
        <w:t>地址：________________________________</w:t>
      </w:r>
    </w:p>
    <w:p>
      <w:pPr>
        <w:spacing w:line="360" w:lineRule="auto"/>
        <w:ind w:left="3543" w:leftChars="1687"/>
        <w:jc w:val="left"/>
        <w:rPr>
          <w:rFonts w:ascii="宋体" w:hAnsi="宋体"/>
          <w:sz w:val="24"/>
        </w:rPr>
      </w:pPr>
      <w:r>
        <w:rPr>
          <w:rFonts w:hint="eastAsia" w:ascii="宋体" w:hAnsi="宋体"/>
          <w:sz w:val="24"/>
        </w:rPr>
        <w:t>网址：________________________________</w:t>
      </w:r>
    </w:p>
    <w:p>
      <w:pPr>
        <w:spacing w:line="360" w:lineRule="auto"/>
        <w:ind w:left="3543" w:leftChars="1687"/>
        <w:jc w:val="left"/>
        <w:rPr>
          <w:rFonts w:ascii="宋体" w:hAnsi="宋体"/>
          <w:sz w:val="24"/>
        </w:rPr>
      </w:pPr>
      <w:r>
        <w:rPr>
          <w:rFonts w:hint="eastAsia" w:ascii="宋体" w:hAnsi="宋体"/>
          <w:sz w:val="24"/>
        </w:rPr>
        <w:t>电话：________________________________</w:t>
      </w:r>
    </w:p>
    <w:p>
      <w:pPr>
        <w:spacing w:line="360" w:lineRule="auto"/>
        <w:ind w:left="3543" w:leftChars="1687"/>
        <w:jc w:val="left"/>
        <w:rPr>
          <w:rFonts w:ascii="宋体" w:hAnsi="宋体"/>
          <w:sz w:val="24"/>
        </w:rPr>
      </w:pPr>
      <w:r>
        <w:rPr>
          <w:rFonts w:hint="eastAsia" w:ascii="宋体" w:hAnsi="宋体"/>
          <w:sz w:val="24"/>
        </w:rPr>
        <w:t>传真：________________________________</w:t>
      </w:r>
    </w:p>
    <w:p>
      <w:pPr>
        <w:spacing w:line="360" w:lineRule="auto"/>
        <w:ind w:left="3543" w:leftChars="1687"/>
        <w:jc w:val="left"/>
        <w:rPr>
          <w:rFonts w:ascii="宋体" w:hAnsi="宋体"/>
          <w:sz w:val="24"/>
        </w:rPr>
      </w:pPr>
      <w:r>
        <w:rPr>
          <w:rFonts w:hint="eastAsia" w:ascii="宋体" w:hAnsi="宋体"/>
          <w:sz w:val="24"/>
        </w:rPr>
        <w:t>邮政编码：____________________________</w:t>
      </w:r>
    </w:p>
    <w:p>
      <w:pPr>
        <w:spacing w:line="360" w:lineRule="auto"/>
        <w:ind w:left="3543" w:leftChars="1687"/>
        <w:jc w:val="left"/>
        <w:rPr>
          <w:rFonts w:ascii="宋体" w:hAnsi="宋体"/>
          <w:sz w:val="24"/>
        </w:rPr>
      </w:pPr>
    </w:p>
    <w:p>
      <w:pPr>
        <w:spacing w:line="360" w:lineRule="auto"/>
        <w:ind w:left="3543" w:leftChars="1687" w:firstLine="720" w:firstLineChars="300"/>
        <w:jc w:val="left"/>
        <w:rPr>
          <w:rFonts w:ascii="宋体" w:hAnsi="宋体"/>
          <w:sz w:val="24"/>
        </w:rPr>
      </w:pPr>
      <w:r>
        <w:rPr>
          <w:rFonts w:hint="eastAsia" w:ascii="宋体" w:hAnsi="宋体"/>
          <w:sz w:val="24"/>
        </w:rPr>
        <w:t>________年______月_______日</w:t>
      </w:r>
    </w:p>
    <w:p>
      <w:pPr>
        <w:spacing w:line="360" w:lineRule="auto"/>
        <w:ind w:left="1"/>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ind w:left="1"/>
        <w:jc w:val="left"/>
        <w:rPr>
          <w:rFonts w:ascii="宋体" w:hAnsi="宋体"/>
          <w:sz w:val="24"/>
        </w:rPr>
      </w:pPr>
    </w:p>
    <w:p>
      <w:pPr>
        <w:spacing w:line="360" w:lineRule="auto"/>
        <w:ind w:left="3543" w:leftChars="1687" w:firstLine="720" w:firstLineChars="300"/>
        <w:jc w:val="left"/>
        <w:rPr>
          <w:rFonts w:ascii="宋体" w:hAnsi="宋体"/>
          <w:sz w:val="24"/>
        </w:rPr>
      </w:pPr>
    </w:p>
    <w:p>
      <w:pPr>
        <w:spacing w:line="360" w:lineRule="auto"/>
        <w:jc w:val="center"/>
        <w:rPr>
          <w:rFonts w:ascii="宋体" w:hAnsi="宋体"/>
          <w:b/>
          <w:sz w:val="32"/>
          <w:szCs w:val="32"/>
        </w:rPr>
      </w:pPr>
      <w:r>
        <w:rPr>
          <w:rFonts w:hint="eastAsia" w:ascii="宋体" w:hAnsi="宋体"/>
          <w:b/>
          <w:sz w:val="32"/>
          <w:szCs w:val="32"/>
        </w:rPr>
        <w:t>二、已标价工程量清单</w:t>
      </w:r>
    </w:p>
    <w:p>
      <w:pPr>
        <w:spacing w:line="360" w:lineRule="auto"/>
        <w:ind w:firstLine="480" w:firstLineChars="200"/>
        <w:jc w:val="left"/>
        <w:rPr>
          <w:rFonts w:ascii="宋体" w:hAnsi="宋体"/>
          <w:sz w:val="24"/>
        </w:rPr>
      </w:pPr>
      <w:r>
        <w:rPr>
          <w:rFonts w:hint="eastAsia" w:ascii="宋体" w:hAnsi="宋体"/>
          <w:sz w:val="24"/>
        </w:rPr>
        <w:t>投标人应按照第五章“工程量清单”的要求逐项填报工程量清单，包括工程量清单说明、投标报价说明、计日工说明、其他说明及工程量清单各项表格（工程量清单表 5.1～表 5.5）</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ageBreakBefore/>
        <w:spacing w:line="360" w:lineRule="auto"/>
        <w:jc w:val="center"/>
        <w:rPr>
          <w:rFonts w:ascii="宋体" w:hAnsi="宋体"/>
          <w:b/>
          <w:sz w:val="32"/>
          <w:szCs w:val="32"/>
        </w:rPr>
      </w:pPr>
      <w:r>
        <w:rPr>
          <w:rFonts w:hint="eastAsia" w:ascii="宋体" w:hAnsi="宋体"/>
          <w:b/>
          <w:sz w:val="32"/>
          <w:szCs w:val="32"/>
        </w:rPr>
        <w:t>三、拟分包项目情况表</w:t>
      </w:r>
    </w:p>
    <w:p>
      <w:pPr>
        <w:rPr>
          <w:rFonts w:ascii="宋体" w:hAnsi="宋体" w:cs="宋体"/>
        </w:rPr>
      </w:pPr>
    </w:p>
    <w:tbl>
      <w:tblPr>
        <w:tblStyle w:val="16"/>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r>
              <w:rPr>
                <w:rFonts w:hint="eastAsia" w:ascii="宋体" w:hAnsi="宋体" w:cs="宋体"/>
                <w:szCs w:val="21"/>
              </w:rPr>
              <w:t>分包人名称</w:t>
            </w: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r>
              <w:rPr>
                <w:rFonts w:hint="eastAsia" w:ascii="宋体" w:hAnsi="宋体" w:cs="宋体"/>
                <w:szCs w:val="21"/>
              </w:rPr>
              <w:t>地址</w:t>
            </w:r>
          </w:p>
        </w:tc>
        <w:tc>
          <w:tcPr>
            <w:tcW w:w="241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r>
              <w:rPr>
                <w:rFonts w:hint="eastAsia" w:ascii="宋体" w:hAnsi="宋体" w:cs="宋体"/>
                <w:szCs w:val="21"/>
              </w:rPr>
              <w:t>法定代表人</w:t>
            </w: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r>
              <w:rPr>
                <w:rFonts w:hint="eastAsia" w:ascii="宋体" w:hAnsi="宋体" w:cs="宋体"/>
                <w:szCs w:val="21"/>
              </w:rPr>
              <w:t>电话</w:t>
            </w:r>
          </w:p>
        </w:tc>
        <w:tc>
          <w:tcPr>
            <w:tcW w:w="241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r>
              <w:rPr>
                <w:rFonts w:hint="eastAsia" w:ascii="宋体" w:hAnsi="宋体" w:cs="宋体"/>
                <w:szCs w:val="21"/>
              </w:rPr>
              <w:t>营业执照号码</w:t>
            </w: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r>
              <w:rPr>
                <w:rFonts w:hint="eastAsia" w:ascii="宋体" w:hAnsi="宋体" w:cs="宋体"/>
                <w:szCs w:val="21"/>
              </w:rPr>
              <w:t>资质等级</w:t>
            </w:r>
          </w:p>
        </w:tc>
        <w:tc>
          <w:tcPr>
            <w:tcW w:w="241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r>
              <w:rPr>
                <w:rFonts w:hint="eastAsia" w:ascii="宋体" w:hAnsi="宋体" w:cs="宋体"/>
                <w:szCs w:val="21"/>
              </w:rPr>
              <w:t>拟分包的工程项目</w:t>
            </w:r>
          </w:p>
        </w:tc>
        <w:tc>
          <w:tcPr>
            <w:tcW w:w="2410" w:type="dxa"/>
            <w:vAlign w:val="center"/>
          </w:tcPr>
          <w:p>
            <w:pPr>
              <w:jc w:val="center"/>
              <w:rPr>
                <w:rFonts w:ascii="宋体" w:hAnsi="宋体" w:cs="宋体"/>
                <w:szCs w:val="21"/>
              </w:rPr>
            </w:pPr>
            <w:r>
              <w:rPr>
                <w:rFonts w:hint="eastAsia" w:ascii="宋体" w:hAnsi="宋体" w:cs="宋体"/>
                <w:szCs w:val="21"/>
              </w:rPr>
              <w:t>主要内容</w:t>
            </w:r>
          </w:p>
        </w:tc>
        <w:tc>
          <w:tcPr>
            <w:tcW w:w="2410" w:type="dxa"/>
            <w:vAlign w:val="center"/>
          </w:tcPr>
          <w:p>
            <w:pPr>
              <w:jc w:val="center"/>
              <w:rPr>
                <w:rFonts w:ascii="宋体" w:hAnsi="宋体" w:cs="宋体"/>
                <w:szCs w:val="21"/>
              </w:rPr>
            </w:pPr>
            <w:r>
              <w:rPr>
                <w:rFonts w:hint="eastAsia" w:ascii="宋体" w:hAnsi="宋体" w:cs="宋体"/>
                <w:szCs w:val="21"/>
              </w:rPr>
              <w:t>预计造价（万元）</w:t>
            </w:r>
          </w:p>
        </w:tc>
        <w:tc>
          <w:tcPr>
            <w:tcW w:w="2410" w:type="dxa"/>
            <w:vAlign w:val="center"/>
          </w:tcPr>
          <w:p>
            <w:pPr>
              <w:jc w:val="center"/>
              <w:rPr>
                <w:rFonts w:ascii="宋体" w:hAnsi="宋体" w:cs="宋体"/>
                <w:szCs w:val="21"/>
              </w:rPr>
            </w:pPr>
            <w:r>
              <w:rPr>
                <w:rFonts w:hint="eastAsia" w:ascii="宋体" w:hAnsi="宋体" w:cs="宋体"/>
                <w:szCs w:val="21"/>
              </w:rPr>
              <w:t>已经做过的类似工程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restart"/>
          </w:tcPr>
          <w:p>
            <w:pPr>
              <w:ind w:firstLine="210" w:firstLineChars="100"/>
              <w:rPr>
                <w:rFonts w:ascii="宋体" w:hAnsi="宋体" w:cs="宋体"/>
                <w:szCs w:val="21"/>
              </w:rPr>
            </w:pPr>
          </w:p>
          <w:p>
            <w:pPr>
              <w:ind w:firstLine="210" w:firstLineChars="100"/>
              <w:rPr>
                <w:rFonts w:ascii="宋体" w:hAnsi="宋体" w:cs="宋体"/>
                <w:szCs w:val="21"/>
              </w:rPr>
            </w:pPr>
            <w:r>
              <w:rPr>
                <w:rFonts w:hint="eastAsia" w:ascii="宋体" w:hAnsi="宋体" w:cs="宋体"/>
                <w:szCs w:val="21"/>
              </w:rPr>
              <w:t>注：</w:t>
            </w:r>
          </w:p>
          <w:p>
            <w:pPr>
              <w:ind w:firstLine="210" w:firstLineChars="100"/>
              <w:rPr>
                <w:rFonts w:ascii="宋体" w:hAnsi="宋体" w:cs="宋体"/>
                <w:szCs w:val="21"/>
              </w:rPr>
            </w:pPr>
            <w:r>
              <w:rPr>
                <w:rFonts w:hint="eastAsia" w:ascii="宋体" w:hAnsi="宋体" w:cs="宋体"/>
                <w:szCs w:val="21"/>
              </w:rPr>
              <w:t>1.本栏应写明分包人以往做过的类似工程，包括工程名称、地点、造价、工期、交工年份和其发包人与总监理工程师的姓名和地址。</w:t>
            </w:r>
          </w:p>
          <w:p>
            <w:pPr>
              <w:ind w:firstLine="210" w:firstLineChars="100"/>
              <w:rPr>
                <w:rFonts w:ascii="宋体" w:hAnsi="宋体" w:cs="宋体"/>
                <w:szCs w:val="21"/>
              </w:rPr>
            </w:pPr>
            <w:r>
              <w:rPr>
                <w:rFonts w:hint="eastAsia" w:ascii="宋体" w:hAnsi="宋体" w:cs="宋体"/>
                <w:szCs w:val="21"/>
              </w:rPr>
              <w:t>2.若无分包人，则投标人应填写“无”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819" w:type="dxa"/>
            <w:gridSpan w:val="2"/>
            <w:vAlign w:val="center"/>
          </w:tcPr>
          <w:p>
            <w:pPr>
              <w:jc w:val="center"/>
              <w:rPr>
                <w:rFonts w:ascii="宋体" w:hAnsi="宋体" w:cs="宋体"/>
                <w:szCs w:val="21"/>
              </w:rPr>
            </w:pPr>
            <w:r>
              <w:rPr>
                <w:rFonts w:hint="eastAsia" w:ascii="宋体" w:hAnsi="宋体" w:cs="宋体"/>
                <w:szCs w:val="21"/>
              </w:rPr>
              <w:t>分包值合计（万元）</w:t>
            </w: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bl>
    <w:p>
      <w:pPr>
        <w:pStyle w:val="4"/>
        <w:spacing w:beforeLines="50" w:after="240" w:line="400" w:lineRule="exact"/>
        <w:ind w:firstLine="2570" w:firstLineChars="800"/>
        <w:rPr>
          <w:rFonts w:ascii="宋体" w:hAnsi="宋体"/>
          <w:kern w:val="2"/>
          <w:sz w:val="32"/>
          <w:szCs w:val="28"/>
        </w:rPr>
      </w:pPr>
      <w:bookmarkStart w:id="290" w:name="_Toc234382973"/>
      <w:bookmarkStart w:id="291" w:name="_Toc485889069"/>
      <w:bookmarkStart w:id="292" w:name="_Toc5044"/>
      <w:bookmarkStart w:id="293" w:name="_Toc486277947"/>
    </w:p>
    <w:p>
      <w:r>
        <w:br w:type="page"/>
      </w:r>
    </w:p>
    <w:p>
      <w:pPr>
        <w:pStyle w:val="4"/>
        <w:spacing w:beforeLines="50" w:after="240" w:line="400" w:lineRule="exact"/>
        <w:ind w:firstLine="2570" w:firstLineChars="800"/>
        <w:rPr>
          <w:rFonts w:ascii="宋体" w:hAnsi="宋体"/>
          <w:kern w:val="2"/>
          <w:sz w:val="32"/>
          <w:szCs w:val="28"/>
        </w:rPr>
      </w:pPr>
      <w:r>
        <w:rPr>
          <w:rFonts w:hint="eastAsia" w:ascii="宋体" w:hAnsi="宋体"/>
          <w:kern w:val="2"/>
          <w:sz w:val="32"/>
          <w:szCs w:val="28"/>
        </w:rPr>
        <w:t>四、合同用款估算表</w:t>
      </w:r>
      <w:bookmarkEnd w:id="290"/>
      <w:bookmarkEnd w:id="291"/>
      <w:bookmarkEnd w:id="292"/>
      <w:bookmarkEnd w:id="293"/>
    </w:p>
    <w:tbl>
      <w:tblPr>
        <w:tblStyle w:val="16"/>
        <w:tblpPr w:leftFromText="180" w:rightFromText="180" w:vertAnchor="text" w:horzAnchor="margin" w:tblpXSpec="center"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rPr>
            </w:pPr>
            <w:r>
              <w:rPr>
                <w:rFonts w:hint="eastAsia" w:ascii="宋体" w:hAnsi="宋体"/>
                <w:szCs w:val="21"/>
              </w:rPr>
              <w:t>从开工月算起的时间（月）</w:t>
            </w:r>
          </w:p>
        </w:tc>
        <w:tc>
          <w:tcPr>
            <w:tcW w:w="6925" w:type="dxa"/>
            <w:gridSpan w:val="4"/>
            <w:vAlign w:val="center"/>
          </w:tcPr>
          <w:p>
            <w:pPr>
              <w:jc w:val="center"/>
              <w:rPr>
                <w:rFonts w:ascii="宋体" w:hAnsi="宋体"/>
                <w:szCs w:val="21"/>
              </w:rPr>
            </w:pPr>
            <w:r>
              <w:rPr>
                <w:rFonts w:hint="eastAsia" w:ascii="宋体" w:hAnsi="宋体"/>
                <w:szCs w:val="21"/>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3462" w:type="dxa"/>
            <w:gridSpan w:val="2"/>
            <w:vAlign w:val="center"/>
          </w:tcPr>
          <w:p>
            <w:pPr>
              <w:tabs>
                <w:tab w:val="left" w:pos="4863"/>
              </w:tabs>
              <w:jc w:val="center"/>
              <w:rPr>
                <w:rFonts w:ascii="宋体" w:hAnsi="宋体"/>
                <w:szCs w:val="21"/>
              </w:rPr>
            </w:pPr>
            <w:r>
              <w:rPr>
                <w:rFonts w:hint="eastAsia" w:ascii="宋体" w:hAnsi="宋体"/>
                <w:szCs w:val="21"/>
              </w:rPr>
              <w:t>分  期</w:t>
            </w:r>
          </w:p>
        </w:tc>
        <w:tc>
          <w:tcPr>
            <w:tcW w:w="3463" w:type="dxa"/>
            <w:gridSpan w:val="2"/>
            <w:vAlign w:val="center"/>
          </w:tcPr>
          <w:p>
            <w:pPr>
              <w:tabs>
                <w:tab w:val="left" w:pos="4863"/>
              </w:tabs>
              <w:jc w:val="center"/>
              <w:rPr>
                <w:rFonts w:ascii="宋体" w:hAnsi="宋体"/>
                <w:szCs w:val="21"/>
              </w:rPr>
            </w:pPr>
            <w:r>
              <w:rPr>
                <w:rFonts w:hint="eastAsia" w:ascii="宋体" w:hAnsi="宋体"/>
                <w:szCs w:val="21"/>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金额（元）</w:t>
            </w:r>
          </w:p>
        </w:tc>
        <w:tc>
          <w:tcPr>
            <w:tcW w:w="1731" w:type="dxa"/>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r>
              <w:rPr>
                <w:rFonts w:hint="eastAsia" w:ascii="宋体" w:hAnsi="宋体"/>
                <w:szCs w:val="21"/>
              </w:rPr>
              <w:t>金额（元）</w:t>
            </w:r>
          </w:p>
        </w:tc>
        <w:tc>
          <w:tcPr>
            <w:tcW w:w="1732" w:type="dxa"/>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第一次开工预付款</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1～3</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4～6</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7～9</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10～12</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13～15</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缺陷责任期</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小计</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100．00</w:t>
            </w: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9639" w:type="dxa"/>
            <w:gridSpan w:val="6"/>
            <w:vAlign w:val="center"/>
          </w:tcPr>
          <w:p>
            <w:pPr>
              <w:jc w:val="left"/>
              <w:rPr>
                <w:rFonts w:ascii="宋体" w:hAnsi="宋体"/>
                <w:szCs w:val="21"/>
              </w:rPr>
            </w:pPr>
            <w:r>
              <w:rPr>
                <w:rFonts w:hint="eastAsia" w:ascii="宋体" w:hAnsi="宋体"/>
                <w:szCs w:val="21"/>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7" w:hRule="atLeast"/>
        </w:trPr>
        <w:tc>
          <w:tcPr>
            <w:tcW w:w="717" w:type="dxa"/>
            <w:vAlign w:val="center"/>
          </w:tcPr>
          <w:p>
            <w:pPr>
              <w:jc w:val="center"/>
              <w:rPr>
                <w:rFonts w:ascii="宋体" w:hAnsi="宋体"/>
                <w:szCs w:val="21"/>
              </w:rPr>
            </w:pPr>
            <w:r>
              <w:rPr>
                <w:rFonts w:hint="eastAsia" w:ascii="宋体" w:hAnsi="宋体"/>
                <w:szCs w:val="21"/>
              </w:rPr>
              <w:t>说</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明</w:t>
            </w:r>
          </w:p>
        </w:tc>
        <w:tc>
          <w:tcPr>
            <w:tcW w:w="8922" w:type="dxa"/>
            <w:gridSpan w:val="5"/>
            <w:vAlign w:val="center"/>
          </w:tcPr>
          <w:p>
            <w:pPr>
              <w:jc w:val="center"/>
              <w:rPr>
                <w:rFonts w:ascii="宋体" w:hAnsi="宋体"/>
                <w:szCs w:val="21"/>
              </w:rPr>
            </w:pPr>
          </w:p>
        </w:tc>
      </w:tr>
    </w:tbl>
    <w:p>
      <w:pPr>
        <w:jc w:val="center"/>
        <w:rPr>
          <w:rFonts w:ascii="隶书" w:hAnsi="宋体" w:eastAsia="隶书"/>
          <w:sz w:val="24"/>
        </w:rPr>
      </w:pPr>
    </w:p>
    <w:p>
      <w:pPr>
        <w:rPr>
          <w:rFonts w:ascii="宋体" w:hAnsi="宋体"/>
          <w:szCs w:val="21"/>
        </w:rPr>
      </w:pPr>
      <w:r>
        <w:rPr>
          <w:rFonts w:hint="eastAsia" w:ascii="宋体" w:hAnsi="宋体"/>
          <w:szCs w:val="21"/>
        </w:rPr>
        <w:t>注：1.投标人可按附表一的工程进度估算并填写本表。</w:t>
      </w:r>
    </w:p>
    <w:p>
      <w:pPr>
        <w:ind w:left="630" w:hanging="630"/>
        <w:rPr>
          <w:rFonts w:ascii="宋体" w:hAnsi="宋体"/>
          <w:szCs w:val="21"/>
        </w:rPr>
      </w:pPr>
      <w:r>
        <w:rPr>
          <w:rFonts w:hint="eastAsia" w:ascii="宋体" w:hAnsi="宋体"/>
          <w:szCs w:val="21"/>
        </w:rPr>
        <w:t xml:space="preserve">    2.用款额按所报单价和总额价估算，不包括价格调整和暂列金额、暂估价，但应考虑开工预付款的扣回、质量保证金的扣留以及签发付款证书后到实际支付的时间间隔。</w:t>
      </w:r>
    </w:p>
    <w:p>
      <w:pPr>
        <w:pStyle w:val="2"/>
        <w:ind w:firstLine="0" w:firstLineChars="0"/>
      </w:pPr>
    </w:p>
    <w:sectPr>
      <w:headerReference r:id="rId12" w:type="default"/>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MingLiU">
    <w:altName w:val="PMingLiU-ExtB"/>
    <w:panose1 w:val="02020509000000000000"/>
    <w:charset w:val="88"/>
    <w:family w:val="modern"/>
    <w:pitch w:val="default"/>
    <w:sig w:usb0="00000000" w:usb1="00000000" w:usb2="00000016" w:usb3="00000000" w:csb0="00100001" w:csb1="0000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0"/>
    <w:family w:val="auto"/>
    <w:pitch w:val="default"/>
    <w:sig w:usb0="E0002EFF" w:usb1="C0007843" w:usb2="00000009" w:usb3="00000000" w:csb0="400001FF" w:csb1="FFFF0000"/>
  </w:font>
  <w:font w:name="PMingLiU-ExtB">
    <w:panose1 w:val="02020500000000000000"/>
    <w:charset w:val="88"/>
    <w:family w:val="auto"/>
    <w:pitch w:val="default"/>
    <w:sig w:usb0="8000002F" w:usb1="02000008" w:usb2="00000000" w:usb3="00000000" w:csb0="0010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_gb2312">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smartSimSun">
    <w:altName w:val="Arial Unicode MS"/>
    <w:panose1 w:val="00000000000000000000"/>
    <w:charset w:val="00"/>
    <w:family w:val="auto"/>
    <w:pitch w:val="default"/>
    <w:sig w:usb0="00000000" w:usb1="00000000" w:usb2="00000000" w:usb3="00000000" w:csb0="00040001" w:csb1="00000000"/>
  </w:font>
  <w:font w:name="Microsoft YaHei UI">
    <w:panose1 w:val="020B0503020204020204"/>
    <w:charset w:val="86"/>
    <w:family w:val="swiss"/>
    <w:pitch w:val="default"/>
    <w:sig w:usb0="80000287" w:usb1="28C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Segoe UI Emoji">
    <w:panose1 w:val="020B0502040204020203"/>
    <w:charset w:val="00"/>
    <w:family w:val="swiss"/>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pPr>
      <w:r>
        <w:rPr>
          <w:rStyle w:val="15"/>
        </w:rPr>
        <w:footnoteRef/>
      </w:r>
      <w:r>
        <w:rPr>
          <w:rFonts w:hint="eastAsia" w:ascii="宋体" w:hAnsi="宋体"/>
          <w:sz w:val="15"/>
          <w:szCs w:val="15"/>
        </w:rPr>
        <w:t xml:space="preserve"> 指主要材料，一般应为70％-75%，最低不少于60％。</w:t>
      </w:r>
    </w:p>
  </w:footnote>
  <w:footnote w:id="1">
    <w:p>
      <w:pPr>
        <w:pStyle w:val="11"/>
      </w:pPr>
      <w:r>
        <w:rPr>
          <w:rStyle w:val="15"/>
        </w:rPr>
        <w:footnoteRef/>
      </w:r>
      <w:r>
        <w:rPr>
          <w:rFonts w:hint="eastAsia" w:ascii="宋体" w:hAnsi="宋体"/>
          <w:sz w:val="15"/>
          <w:szCs w:val="15"/>
        </w:rPr>
        <w:t xml:space="preserve"> 相当于中国人民银行短期贷款利率加手续费。招标人不能自行取消本项内容或降低利率。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lang w:eastAsia="zh-CN"/>
      </w:rPr>
      <w:t>许昌市建安区小召乡、苏桥镇危桥改造项目</w:t>
    </w:r>
    <w:r>
      <w:rPr>
        <w:rFonts w:hint="eastAsia"/>
      </w:rPr>
      <w:t xml:space="preserve">          </w:t>
    </w:r>
    <w:r>
      <w:rPr>
        <w:rFonts w:hint="eastAsia"/>
        <w:lang w:val="en-US" w:eastAsia="zh-CN"/>
      </w:rPr>
      <w:t xml:space="preserve">                          </w:t>
    </w:r>
    <w:r>
      <w:rPr>
        <w:rFonts w:hint="eastAsia"/>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lang w:eastAsia="zh-CN"/>
      </w:rPr>
      <w:t>许昌市建安区小召乡、苏桥镇危桥改造项目</w:t>
    </w:r>
    <w:r>
      <w:rPr>
        <w:rFonts w:hint="eastAsia"/>
      </w:rPr>
      <w:t xml:space="preserve">                                                     施工招标文件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lang w:eastAsia="zh-CN"/>
      </w:rPr>
      <w:t>许昌市建安区小召乡、苏桥镇危桥改造项目</w:t>
    </w:r>
    <w:r>
      <w:rPr>
        <w:rFonts w:hint="eastAsia"/>
      </w:rPr>
      <w:t xml:space="preserve">                                                                                                 施工招标文件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lang w:eastAsia="zh-CN"/>
      </w:rPr>
      <w:t>许昌市建安区小召乡、苏桥镇危桥改造项目</w:t>
    </w:r>
    <w:r>
      <w:rPr>
        <w:rFonts w:hint="eastAsia"/>
      </w:rPr>
      <w:t xml:space="preserve">                                                                                                   施工招标文件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lang w:eastAsia="zh-CN"/>
      </w:rPr>
      <w:t>许昌市建安区小召乡、苏桥镇危桥改造项目</w:t>
    </w:r>
    <w:r>
      <w:rPr>
        <w:rFonts w:hint="eastAsia"/>
      </w:rPr>
      <w:t xml:space="preserve">                                         施工招标文件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lang w:eastAsia="zh-CN"/>
      </w:rPr>
      <w:t>许昌市建安区小召乡、苏桥镇危桥改造项目</w:t>
    </w:r>
    <w:r>
      <w:rPr>
        <w:rFonts w:hint="eastAsia"/>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F477A"/>
    <w:rsid w:val="000300C6"/>
    <w:rsid w:val="00034870"/>
    <w:rsid w:val="0005672D"/>
    <w:rsid w:val="000971F2"/>
    <w:rsid w:val="000B7CEA"/>
    <w:rsid w:val="00106906"/>
    <w:rsid w:val="00146D3C"/>
    <w:rsid w:val="00162222"/>
    <w:rsid w:val="00171B69"/>
    <w:rsid w:val="00186CD9"/>
    <w:rsid w:val="001B5CE5"/>
    <w:rsid w:val="001B63D3"/>
    <w:rsid w:val="001B7ACE"/>
    <w:rsid w:val="001E3770"/>
    <w:rsid w:val="00222131"/>
    <w:rsid w:val="00224793"/>
    <w:rsid w:val="00236CC6"/>
    <w:rsid w:val="002B46E1"/>
    <w:rsid w:val="002C2611"/>
    <w:rsid w:val="002D360B"/>
    <w:rsid w:val="002F7905"/>
    <w:rsid w:val="003136F6"/>
    <w:rsid w:val="00324978"/>
    <w:rsid w:val="00381727"/>
    <w:rsid w:val="00383FBC"/>
    <w:rsid w:val="00402772"/>
    <w:rsid w:val="0040713B"/>
    <w:rsid w:val="004076F6"/>
    <w:rsid w:val="0041576A"/>
    <w:rsid w:val="00453D68"/>
    <w:rsid w:val="00467614"/>
    <w:rsid w:val="004939F8"/>
    <w:rsid w:val="00512737"/>
    <w:rsid w:val="005336EB"/>
    <w:rsid w:val="005459DB"/>
    <w:rsid w:val="0055148D"/>
    <w:rsid w:val="0056081D"/>
    <w:rsid w:val="005712C0"/>
    <w:rsid w:val="00596D2F"/>
    <w:rsid w:val="005C4873"/>
    <w:rsid w:val="00601AFC"/>
    <w:rsid w:val="00623FB2"/>
    <w:rsid w:val="00633D60"/>
    <w:rsid w:val="0066211D"/>
    <w:rsid w:val="006B0784"/>
    <w:rsid w:val="006D564A"/>
    <w:rsid w:val="006E0029"/>
    <w:rsid w:val="0071519E"/>
    <w:rsid w:val="00724843"/>
    <w:rsid w:val="00732466"/>
    <w:rsid w:val="007A28AC"/>
    <w:rsid w:val="007D323A"/>
    <w:rsid w:val="007D383D"/>
    <w:rsid w:val="00845CE5"/>
    <w:rsid w:val="008523F1"/>
    <w:rsid w:val="0086373E"/>
    <w:rsid w:val="00865E73"/>
    <w:rsid w:val="0087597D"/>
    <w:rsid w:val="008C4387"/>
    <w:rsid w:val="00903C28"/>
    <w:rsid w:val="00904BE7"/>
    <w:rsid w:val="009073E1"/>
    <w:rsid w:val="00932DE2"/>
    <w:rsid w:val="009D0BD7"/>
    <w:rsid w:val="009F477A"/>
    <w:rsid w:val="00A21ED1"/>
    <w:rsid w:val="00A3753C"/>
    <w:rsid w:val="00A9322B"/>
    <w:rsid w:val="00A97200"/>
    <w:rsid w:val="00AE1DE8"/>
    <w:rsid w:val="00AF3910"/>
    <w:rsid w:val="00B02557"/>
    <w:rsid w:val="00B439DC"/>
    <w:rsid w:val="00B460B7"/>
    <w:rsid w:val="00B609D5"/>
    <w:rsid w:val="00B63A8A"/>
    <w:rsid w:val="00BD08EB"/>
    <w:rsid w:val="00BE1571"/>
    <w:rsid w:val="00BE7B13"/>
    <w:rsid w:val="00C4508A"/>
    <w:rsid w:val="00C82375"/>
    <w:rsid w:val="00C91268"/>
    <w:rsid w:val="00CB1587"/>
    <w:rsid w:val="00D173CA"/>
    <w:rsid w:val="00D61AC5"/>
    <w:rsid w:val="00D70201"/>
    <w:rsid w:val="00D73BFB"/>
    <w:rsid w:val="00D83089"/>
    <w:rsid w:val="00DD61D1"/>
    <w:rsid w:val="00E351C1"/>
    <w:rsid w:val="00E45ABA"/>
    <w:rsid w:val="00E468B6"/>
    <w:rsid w:val="00E51E8A"/>
    <w:rsid w:val="00E94C37"/>
    <w:rsid w:val="00EB52EF"/>
    <w:rsid w:val="00EC75BF"/>
    <w:rsid w:val="00ED5B59"/>
    <w:rsid w:val="00ED5C7C"/>
    <w:rsid w:val="00EE046F"/>
    <w:rsid w:val="00F057FC"/>
    <w:rsid w:val="00F413DC"/>
    <w:rsid w:val="00F44409"/>
    <w:rsid w:val="00F8787C"/>
    <w:rsid w:val="00FC74C9"/>
    <w:rsid w:val="02643D91"/>
    <w:rsid w:val="054508BB"/>
    <w:rsid w:val="16642153"/>
    <w:rsid w:val="168271E9"/>
    <w:rsid w:val="1883652C"/>
    <w:rsid w:val="18850ED3"/>
    <w:rsid w:val="1D121FD8"/>
    <w:rsid w:val="239D18AF"/>
    <w:rsid w:val="2CBD5B3A"/>
    <w:rsid w:val="2D8169AE"/>
    <w:rsid w:val="2E042180"/>
    <w:rsid w:val="2E286AD7"/>
    <w:rsid w:val="30EF64D0"/>
    <w:rsid w:val="32D65792"/>
    <w:rsid w:val="341C5A56"/>
    <w:rsid w:val="37052B32"/>
    <w:rsid w:val="3EC171B6"/>
    <w:rsid w:val="435C79A4"/>
    <w:rsid w:val="4B816173"/>
    <w:rsid w:val="50A92EEF"/>
    <w:rsid w:val="516C45AB"/>
    <w:rsid w:val="56876DA2"/>
    <w:rsid w:val="64CB736A"/>
    <w:rsid w:val="665C055E"/>
    <w:rsid w:val="6BC4051D"/>
    <w:rsid w:val="6D3E54F4"/>
    <w:rsid w:val="73581EF5"/>
    <w:rsid w:val="758211A6"/>
    <w:rsid w:val="79C36111"/>
    <w:rsid w:val="7B444D46"/>
    <w:rsid w:val="7BBC3898"/>
    <w:rsid w:val="7EB7116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5">
    <w:name w:val="heading 4"/>
    <w:basedOn w:val="1"/>
    <w:next w:val="1"/>
    <w:link w:val="29"/>
    <w:qFormat/>
    <w:uiPriority w:val="0"/>
    <w:pPr>
      <w:keepNext/>
      <w:keepLines/>
      <w:spacing w:before="280" w:after="290" w:line="376" w:lineRule="auto"/>
      <w:outlineLvl w:val="3"/>
    </w:pPr>
    <w:rPr>
      <w:rFonts w:ascii="Arial" w:hAnsi="Arial" w:eastAsia="黑体"/>
      <w:b/>
      <w:bCs/>
      <w:sz w:val="28"/>
      <w:szCs w:val="28"/>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9"/>
    <w:unhideWhenUsed/>
    <w:qFormat/>
    <w:uiPriority w:val="0"/>
    <w:pPr>
      <w:ind w:firstLine="420" w:firstLineChars="100"/>
    </w:pPr>
  </w:style>
  <w:style w:type="paragraph" w:styleId="3">
    <w:name w:val="Body Text"/>
    <w:basedOn w:val="1"/>
    <w:link w:val="18"/>
    <w:unhideWhenUsed/>
    <w:qFormat/>
    <w:uiPriority w:val="0"/>
    <w:pPr>
      <w:spacing w:after="120"/>
    </w:pPr>
  </w:style>
  <w:style w:type="paragraph" w:styleId="6">
    <w:name w:val="Date"/>
    <w:basedOn w:val="1"/>
    <w:next w:val="1"/>
    <w:link w:val="20"/>
    <w:unhideWhenUsed/>
    <w:qFormat/>
    <w:uiPriority w:val="99"/>
    <w:pPr>
      <w:ind w:left="100" w:leftChars="2500"/>
    </w:pPr>
  </w:style>
  <w:style w:type="paragraph" w:styleId="7">
    <w:name w:val="Balloon Text"/>
    <w:basedOn w:val="1"/>
    <w:link w:val="23"/>
    <w:unhideWhenUsed/>
    <w:qFormat/>
    <w:uiPriority w:val="99"/>
    <w:rPr>
      <w:sz w:val="18"/>
      <w:szCs w:val="18"/>
    </w:rPr>
  </w:style>
  <w:style w:type="paragraph" w:styleId="8">
    <w:name w:val="footer"/>
    <w:basedOn w:val="1"/>
    <w:link w:val="22"/>
    <w:unhideWhenUsed/>
    <w:qFormat/>
    <w:uiPriority w:val="0"/>
    <w:pPr>
      <w:tabs>
        <w:tab w:val="center" w:pos="4153"/>
        <w:tab w:val="right" w:pos="8306"/>
      </w:tabs>
      <w:snapToGrid w:val="0"/>
      <w:jc w:val="left"/>
    </w:pPr>
    <w:rPr>
      <w:sz w:val="18"/>
      <w:szCs w:val="18"/>
    </w:rPr>
  </w:style>
  <w:style w:type="paragraph" w:styleId="9">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Cs w:val="20"/>
    </w:rPr>
  </w:style>
  <w:style w:type="paragraph" w:styleId="11">
    <w:name w:val="footnote text"/>
    <w:basedOn w:val="1"/>
    <w:link w:val="28"/>
    <w:qFormat/>
    <w:uiPriority w:val="0"/>
    <w:pPr>
      <w:snapToGrid w:val="0"/>
      <w:jc w:val="left"/>
    </w:pPr>
    <w:rPr>
      <w:sz w:val="18"/>
      <w:szCs w:val="18"/>
    </w:rPr>
  </w:style>
  <w:style w:type="character" w:styleId="13">
    <w:name w:val="page number"/>
    <w:basedOn w:val="12"/>
    <w:qFormat/>
    <w:uiPriority w:val="0"/>
  </w:style>
  <w:style w:type="character" w:styleId="14">
    <w:name w:val="Hyperlink"/>
    <w:basedOn w:val="12"/>
    <w:qFormat/>
    <w:uiPriority w:val="0"/>
    <w:rPr>
      <w:color w:val="000000"/>
      <w:u w:val="none"/>
    </w:rPr>
  </w:style>
  <w:style w:type="character" w:styleId="15">
    <w:name w:val="footnote reference"/>
    <w:qFormat/>
    <w:uiPriority w:val="0"/>
    <w:rPr>
      <w:vertAlign w:val="superscript"/>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8">
    <w:name w:val="正文文本 Char"/>
    <w:basedOn w:val="12"/>
    <w:link w:val="3"/>
    <w:semiHidden/>
    <w:qFormat/>
    <w:uiPriority w:val="99"/>
    <w:rPr>
      <w:rFonts w:ascii="Times New Roman" w:hAnsi="Times New Roman" w:eastAsia="宋体" w:cs="Times New Roman"/>
      <w:szCs w:val="24"/>
    </w:rPr>
  </w:style>
  <w:style w:type="character" w:customStyle="1" w:styleId="19">
    <w:name w:val="正文首行缩进 Char"/>
    <w:basedOn w:val="18"/>
    <w:link w:val="2"/>
    <w:qFormat/>
    <w:uiPriority w:val="99"/>
  </w:style>
  <w:style w:type="character" w:customStyle="1" w:styleId="20">
    <w:name w:val="日期 Char"/>
    <w:basedOn w:val="12"/>
    <w:link w:val="6"/>
    <w:semiHidden/>
    <w:qFormat/>
    <w:uiPriority w:val="99"/>
    <w:rPr>
      <w:rFonts w:ascii="Times New Roman" w:hAnsi="Times New Roman" w:eastAsia="宋体" w:cs="Times New Roman"/>
      <w:szCs w:val="24"/>
    </w:rPr>
  </w:style>
  <w:style w:type="character" w:customStyle="1" w:styleId="21">
    <w:name w:val="页眉 Char"/>
    <w:basedOn w:val="12"/>
    <w:link w:val="9"/>
    <w:qFormat/>
    <w:uiPriority w:val="99"/>
    <w:rPr>
      <w:rFonts w:ascii="Times New Roman" w:hAnsi="Times New Roman" w:eastAsia="宋体" w:cs="Times New Roman"/>
      <w:sz w:val="18"/>
      <w:szCs w:val="18"/>
    </w:rPr>
  </w:style>
  <w:style w:type="character" w:customStyle="1" w:styleId="22">
    <w:name w:val="页脚 Char"/>
    <w:basedOn w:val="12"/>
    <w:link w:val="8"/>
    <w:semiHidden/>
    <w:qFormat/>
    <w:uiPriority w:val="99"/>
    <w:rPr>
      <w:rFonts w:ascii="Times New Roman" w:hAnsi="Times New Roman" w:eastAsia="宋体" w:cs="Times New Roman"/>
      <w:sz w:val="18"/>
      <w:szCs w:val="18"/>
    </w:rPr>
  </w:style>
  <w:style w:type="character" w:customStyle="1" w:styleId="23">
    <w:name w:val="批注框文本 Char"/>
    <w:basedOn w:val="12"/>
    <w:link w:val="7"/>
    <w:semiHidden/>
    <w:qFormat/>
    <w:uiPriority w:val="99"/>
    <w:rPr>
      <w:rFonts w:ascii="Times New Roman" w:hAnsi="Times New Roman" w:eastAsia="宋体" w:cs="Times New Roman"/>
      <w:sz w:val="18"/>
      <w:szCs w:val="18"/>
    </w:rPr>
  </w:style>
  <w:style w:type="paragraph" w:customStyle="1" w:styleId="24">
    <w:name w:val="List Paragraph"/>
    <w:basedOn w:val="1"/>
    <w:qFormat/>
    <w:uiPriority w:val="34"/>
    <w:pPr>
      <w:ind w:firstLine="420" w:firstLineChars="200"/>
    </w:pPr>
  </w:style>
  <w:style w:type="paragraph" w:customStyle="1" w:styleId="25">
    <w:name w:val="p0"/>
    <w:basedOn w:val="1"/>
    <w:qFormat/>
    <w:uiPriority w:val="0"/>
    <w:pPr>
      <w:widowControl/>
    </w:pPr>
    <w:rPr>
      <w:kern w:val="0"/>
      <w:szCs w:val="21"/>
    </w:rPr>
  </w:style>
  <w:style w:type="paragraph" w:customStyle="1" w:styleId="26">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7">
    <w:name w:val="标题 1 Char"/>
    <w:basedOn w:val="12"/>
    <w:link w:val="4"/>
    <w:qFormat/>
    <w:uiPriority w:val="0"/>
    <w:rPr>
      <w:rFonts w:ascii="Times New Roman" w:hAnsi="Times New Roman" w:eastAsia="宋体" w:cs="Times New Roman"/>
      <w:b/>
      <w:bCs/>
      <w:kern w:val="44"/>
      <w:sz w:val="44"/>
      <w:szCs w:val="44"/>
    </w:rPr>
  </w:style>
  <w:style w:type="character" w:customStyle="1" w:styleId="28">
    <w:name w:val="脚注文本 Char"/>
    <w:basedOn w:val="12"/>
    <w:link w:val="11"/>
    <w:qFormat/>
    <w:uiPriority w:val="0"/>
    <w:rPr>
      <w:rFonts w:ascii="Times New Roman" w:hAnsi="Times New Roman" w:eastAsia="宋体" w:cs="Times New Roman"/>
      <w:sz w:val="18"/>
      <w:szCs w:val="18"/>
    </w:rPr>
  </w:style>
  <w:style w:type="character" w:customStyle="1" w:styleId="29">
    <w:name w:val="标题 4 Char"/>
    <w:basedOn w:val="12"/>
    <w:link w:val="5"/>
    <w:qFormat/>
    <w:uiPriority w:val="0"/>
    <w:rPr>
      <w:rFonts w:ascii="Arial" w:hAnsi="Arial" w:eastAsia="黑体" w:cs="Times New Roman"/>
      <w:b/>
      <w:bCs/>
      <w:sz w:val="28"/>
      <w:szCs w:val="28"/>
    </w:rPr>
  </w:style>
  <w:style w:type="paragraph" w:customStyle="1" w:styleId="30">
    <w:name w:val="纯文本1"/>
    <w:basedOn w:val="1"/>
    <w:qFormat/>
    <w:uiPriority w:val="0"/>
    <w:rPr>
      <w:rFonts w:ascii="宋体" w:hAnsi="Courier New"/>
      <w:color w:val="000000"/>
      <w:szCs w:val="20"/>
    </w:rPr>
  </w:style>
  <w:style w:type="character" w:customStyle="1" w:styleId="31">
    <w:name w:val="页码1"/>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wmf"/><Relationship Id="rId17" Type="http://schemas.openxmlformats.org/officeDocument/2006/relationships/oleObject" Target="embeddings/oleObject2.bin"/><Relationship Id="rId16" Type="http://schemas.openxmlformats.org/officeDocument/2006/relationships/image" Target="media/image2.wmf"/><Relationship Id="rId15" Type="http://schemas.openxmlformats.org/officeDocument/2006/relationships/oleObject" Target="embeddings/oleObject1.bin"/><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1027"/>
    <customShpInfo spid="_x0000_s1028"/>
    <customShpInfo spid="_x0000_s1029"/>
    <customShpInfo spid="_x0000_s1030"/>
    <customShpInfo spid="_x0000_s1026"/>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12B4A5-20EB-49BC-8D01-AB5A15C7034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130</Pages>
  <Words>11053</Words>
  <Characters>63008</Characters>
  <Lines>525</Lines>
  <Paragraphs>147</Paragraphs>
  <ScaleCrop>false</ScaleCrop>
  <LinksUpToDate>false</LinksUpToDate>
  <CharactersWithSpaces>73914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2019-05-10T09:54:00Z</dcterms:created>
  <dc:creator>中科华水工程管理有限公司:张倩</dc:creator>
  <cp:lastModifiedBy>Administrator</cp:lastModifiedBy>
  <cp:lastPrinted>2019-05-11T03:09:00Z</cp:lastPrinted>
  <dcterms:modified xsi:type="dcterms:W3CDTF">2019-07-17T01:01:45Z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