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p>
    <w:p>
      <w:pPr>
        <w:rPr>
          <w:rFonts w:ascii="微软简隶书" w:eastAsia="微软简隶书"/>
          <w:color w:val="000000"/>
        </w:rPr>
      </w:pPr>
    </w:p>
    <w:p>
      <w:pPr>
        <w:spacing w:line="600" w:lineRule="exact"/>
        <w:jc w:val="center"/>
        <w:rPr>
          <w:rFonts w:hint="eastAsia" w:ascii="黑体" w:hAnsi="黑体" w:eastAsia="黑体" w:cs="黑体"/>
          <w:b/>
          <w:bCs/>
          <w:sz w:val="52"/>
          <w:szCs w:val="52"/>
        </w:rPr>
      </w:pPr>
      <w:r>
        <w:rPr>
          <w:rFonts w:hint="eastAsia" w:ascii="黑体" w:hAnsi="黑体" w:eastAsia="黑体" w:cs="黑体"/>
          <w:b/>
          <w:bCs/>
          <w:sz w:val="52"/>
          <w:szCs w:val="52"/>
        </w:rPr>
        <w:t>禹州市</w:t>
      </w:r>
      <w:r>
        <w:rPr>
          <w:rFonts w:hint="eastAsia" w:ascii="黑体" w:hAnsi="黑体" w:eastAsia="黑体" w:cs="黑体"/>
          <w:b/>
          <w:bCs/>
          <w:sz w:val="52"/>
          <w:szCs w:val="52"/>
          <w:lang w:val="en-US" w:eastAsia="zh-CN"/>
        </w:rPr>
        <w:t>16个传统村落保护规划</w:t>
      </w:r>
      <w:r>
        <w:rPr>
          <w:rFonts w:hint="eastAsia" w:ascii="黑体" w:hAnsi="黑体" w:eastAsia="黑体" w:cs="黑体"/>
          <w:b/>
          <w:bCs/>
          <w:sz w:val="52"/>
          <w:szCs w:val="52"/>
        </w:rPr>
        <w:t>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城乡规划</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禹州市16个传统村落保护规划项目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360" w:lineRule="auto"/>
        <w:rPr>
          <w:rFonts w:hint="eastAsia" w:ascii="新宋体" w:hAnsi="新宋体" w:eastAsia="新宋体" w:cs="新宋体"/>
          <w:b/>
          <w:sz w:val="24"/>
          <w:szCs w:val="24"/>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城乡规划</w:t>
      </w:r>
      <w:r>
        <w:rPr>
          <w:rFonts w:hint="eastAsia" w:ascii="新宋体" w:hAnsi="新宋体" w:eastAsia="新宋体" w:cs="新宋体"/>
          <w:sz w:val="24"/>
          <w:szCs w:val="24"/>
        </w:rPr>
        <w:t>局的委托，就“禹州市16个传统村落保护规划项目”进行公开招标，欢迎合格的投标人前来投标。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市城乡规划</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：禹州市16个传统村落保护规划项目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143</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第一个标段为：鸿畅镇寨子贾村、浅井镇马沟村、火龙镇龙西村、方山镇白庄村、文殊镇樊岗村。第二标段为：鸠山镇下泉村、张家庄村、西学村、磨街乡户阳村、九空村、候沟村。第三标段为：苌庄镇杜家沟村、锁石沟村、九里山村、石庙村、于王沟村</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5.采购预算：</w:t>
      </w:r>
      <w:r>
        <w:rPr>
          <w:rFonts w:hint="eastAsia" w:ascii="新宋体" w:hAnsi="新宋体" w:eastAsia="新宋体" w:cs="新宋体"/>
          <w:color w:val="000000"/>
          <w:kern w:val="0"/>
          <w:sz w:val="24"/>
          <w:szCs w:val="24"/>
          <w:lang w:val="en-US" w:eastAsia="zh-CN"/>
        </w:rPr>
        <w:t>第一标段金额：105万元；第二标段金额：126万元；第三标段金额：105万元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eastAsia="zh-CN"/>
        </w:rPr>
        <w:t>采购限价：第一标段金额：105万元；第二标段金额：126万元；第三标段金额：105万元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投标人具备相应规划设计乙级以上资质（含乙级）,项目负责人职称为高级工程师及以上职称</w:t>
      </w:r>
      <w:r>
        <w:rPr>
          <w:rFonts w:hint="eastAsia" w:ascii="新宋体" w:hAnsi="新宋体" w:eastAsia="新宋体" w:cs="新宋体"/>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城乡规划</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行政南路</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15936376268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rPr>
          <w:rFonts w:hint="eastAsia"/>
        </w:rPr>
      </w:pPr>
    </w:p>
    <w:p>
      <w:pPr>
        <w:widowControl/>
        <w:numPr>
          <w:ilvl w:val="0"/>
          <w:numId w:val="0"/>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rPr>
      </w:pPr>
      <w:r>
        <w:rPr>
          <w:rFonts w:hint="eastAsia" w:ascii="新宋体" w:hAnsi="新宋体" w:eastAsia="新宋体" w:cs="新宋体"/>
          <w:color w:val="000000"/>
          <w:kern w:val="0"/>
          <w:sz w:val="24"/>
          <w:szCs w:val="24"/>
        </w:rPr>
        <w:t>建设优秀文化传承体系，弘扬中华优秀传统文化的精神，改变目前传统村落日益衰败、甚至消失的情况，研究传统村落历史、文化、科学、艺术、社会、经济价值，保护农耕文明不可再生的文化遗产，使农村魅力全面提升。</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rPr>
        <w:t>二、采购技术要求：本项目分三个标段，</w:t>
      </w:r>
      <w:r>
        <w:rPr>
          <w:rFonts w:hint="eastAsia" w:ascii="新宋体" w:hAnsi="新宋体" w:eastAsia="新宋体" w:cs="新宋体"/>
          <w:color w:val="000000"/>
          <w:kern w:val="0"/>
          <w:sz w:val="24"/>
          <w:szCs w:val="24"/>
          <w:lang w:val="en-US" w:eastAsia="zh-CN" w:bidi="ar-SA"/>
        </w:rPr>
        <w:t>共分为三个标段，主要内容为禹州市16个传统村落保护规划。第一个标段为：鸿畅镇寨子贾村、浅井镇马沟村、火龙镇龙西村、方山镇白庄村、文殊镇樊岗村。第二标段为：鸠山镇下泉村、张家庄村、西学村、磨街乡户阳村、九空村、候沟村。第三标段为：苌庄镇杜家沟村、锁石沟村、九里山村、石庙村、于王沟村。</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（二）</w:t>
      </w:r>
      <w:r>
        <w:rPr>
          <w:rFonts w:hint="eastAsia" w:ascii="新宋体" w:hAnsi="新宋体" w:eastAsia="新宋体" w:cs="新宋体"/>
          <w:color w:val="000000"/>
          <w:kern w:val="0"/>
          <w:sz w:val="24"/>
          <w:szCs w:val="24"/>
        </w:rPr>
        <w:t>本项目必须完成的规划任务：</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调查村落传统资源，建立传统村落档案，确定保护对象，划定保护范围并制订保护管理规定，提出传统资源保护以及村落人居环境改善的措施。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二</w:t>
      </w:r>
      <w:r>
        <w:rPr>
          <w:rFonts w:hint="eastAsia" w:ascii="新宋体" w:hAnsi="新宋体" w:eastAsia="新宋体" w:cs="新宋体"/>
          <w:color w:val="000000"/>
          <w:kern w:val="0"/>
          <w:sz w:val="24"/>
          <w:szCs w:val="24"/>
        </w:rPr>
        <w:t>）对本项目进行特征分析与价值评价：</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对各种不利于传统资源保护的因素进行分析，并评估这些因素威胁传统村落的程度。</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三</w:t>
      </w:r>
      <w:r>
        <w:rPr>
          <w:rFonts w:hint="eastAsia" w:ascii="新宋体" w:hAnsi="新宋体" w:eastAsia="新宋体" w:cs="新宋体"/>
          <w:color w:val="000000"/>
          <w:kern w:val="0"/>
          <w:sz w:val="24"/>
          <w:szCs w:val="24"/>
        </w:rPr>
        <w:t>）明确本项目的基本要求:</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1、明确保护对象</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依据传统村落调查与特征分析结果，明确传统资源保护对象，对各类各项传统资源分类分级进行保护。</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2、划定保护区划</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传统村落应整体进行保护，将村落及与其有重要视觉、文化关联的区域整体划为保护区加以保护；村域范围内的其他传统资源亦应划定相应的保护区；要针对不同范围的保护要求制订相应的保护管理规定。保护区划的划定方法与保护管理规定可参照《历史文化名城名镇名村保护规划编制要求（试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3、明确保护措施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明确村落自然景观环境保护要求，提出景观和生态修复措施，以及整改办法。明确村落传统格局与整体风貌保护要求，保护村落传统形态、公共空间和景观视廊等，并提出整治措施。保护传统建（构）筑物，参考《历史文化名城名镇名村保护规划编制要求（试行）》提出传统建（构）筑物分类及相应的保护措施。保护传承非物质文化遗产，提出对非物质文化遗产的传承人、场所与线路、有关实物与相关原材料的保护要求与措施，以及管理与扶持、研究与宣教等的规定与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4、提出规划实施建议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提出保障保护规划实施的各项建议。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5、确定保护项目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明确 5 年内拟实施的保护项目、整治改造项目以及各项目的分年度实施计划和资金估算。提出远期实施的保护项目、整治改造项目以及各项目的分年度实施计划。</w:t>
      </w:r>
    </w:p>
    <w:p>
      <w:pPr>
        <w:widowControl/>
        <w:shd w:val="clear" w:color="auto" w:fill="FFFFFF"/>
        <w:spacing w:line="360" w:lineRule="auto"/>
        <w:ind w:firstLine="600"/>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四、</w:t>
      </w:r>
      <w:r>
        <w:rPr>
          <w:rFonts w:hint="default" w:ascii="新宋体" w:hAnsi="新宋体" w:eastAsia="新宋体" w:cs="新宋体"/>
          <w:b/>
          <w:bCs/>
          <w:color w:val="000000"/>
          <w:kern w:val="0"/>
          <w:sz w:val="24"/>
          <w:szCs w:val="24"/>
          <w:lang w:val="en-US" w:eastAsia="zh-CN"/>
        </w:rPr>
        <w:t>本项目的服务标准、期限、效率等要求</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服务标准:根据采购要求、传统村落发展现状及国家、河南省传统村落保护发展规划编制要求，按时、保质、保量完成工作任务并按要求提供规划成果。</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传统村落保护发展规划成果基本要求如下:</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保护发展规划成果包括规划文本、规划图纸和附件、规划说明书、传统村落档案。其中规划文本、规划图纸和附件、规划说明书的具体要求参照《历史文化名城名镇名村保护规划编制要求（试行）》。保护发展规划图纸要求：</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1、现状分析图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①村落传统资源分布图。标明村落现状总平面，村落内各类有形传统资源的位置、范围，非物质文化遗产活动场所与线路，村落各主要视觉控制点上的整体风貌等。</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②格局风貌和历史街巷现状图。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③反映传统建筑年代、质量、风貌、高度等的现状图。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④ 基础设施、公共安全设施及公共服务设施等现状图。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2、保护规划图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⑤ 村落保护区划总图。标绘保护范围及各类保护区和控制界线。</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⑥ 建筑分类保护规划图。标绘保护范围内文物保护单位、历史建筑、传统风貌建筑、其他建筑的分类保护措施。其中其他建筑要根据对历史风貌的影响程度进行细分。</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3、发展规划图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⑦ 道路交通规划图。提出村落路网、交通组织及管理、停车设施规划、公交车站设置、可能的旅游线路组织等。</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⑧人居环境改善措施图。提出传统村落基础设施、公共服务设施、防灾减灾改善和提升的规划措施。</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各项图纸比例一般用 1/2000 ，也可用 1/500 或 1/5000 。地形图比例尺不足用时，应配合手绘图解进行标绘。</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服务期限：签订合同后90日内。</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服务效率：及时响应，按时、保质、保量完成服务任务。</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 xml:space="preserve"> 成果要求:符合业主需求。</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中华人民共和国城乡规划法》、《中华人民共和国文物保护法》、《中华人民共和国环境保护法》、《中华人民共和国非物质文化遗产》、《中华人民共和国文物保护法实施条例》、《传统村落保护发展规划编制基本要求》、《村镇规划标准》、《村镇规划建设管理办法》、《城市古树名木保护管理办法》（建设部令［2000］第192号）、《禹州市城乡总体规划》以及乡镇总体规划。</w:t>
      </w:r>
    </w:p>
    <w:p>
      <w:pPr>
        <w:widowControl/>
        <w:jc w:val="left"/>
        <w:rPr>
          <w:rFonts w:hint="eastAsia"/>
        </w:rPr>
      </w:pPr>
      <w:r>
        <w:rPr>
          <w:rFonts w:hint="eastAsia" w:ascii="宋体" w:hAnsi="宋体" w:cs="宋体"/>
          <w:b/>
          <w:bCs/>
          <w:kern w:val="0"/>
          <w:sz w:val="24"/>
          <w:szCs w:val="24"/>
          <w:lang w:eastAsia="zh-CN"/>
        </w:rPr>
        <w:t>六、</w:t>
      </w:r>
      <w:r>
        <w:rPr>
          <w:rFonts w:hint="eastAsia" w:ascii="宋体" w:hAnsi="宋体" w:cs="宋体"/>
          <w:b/>
          <w:bCs/>
          <w:kern w:val="0"/>
          <w:sz w:val="24"/>
          <w:szCs w:val="24"/>
        </w:rPr>
        <w:t>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ascii="新宋体" w:hAnsi="新宋体" w:eastAsia="新宋体" w:cs="新宋体"/>
          <w:sz w:val="24"/>
          <w:szCs w:val="24"/>
          <w:lang w:val="en-US" w:eastAsia="zh-CN"/>
        </w:rPr>
      </w:pPr>
      <w:r>
        <w:rPr>
          <w:rFonts w:hint="eastAsia" w:ascii="宋体" w:hAnsi="宋体" w:cs="宋体"/>
          <w:kern w:val="0"/>
          <w:sz w:val="24"/>
          <w:szCs w:val="24"/>
          <w:lang w:val="en-US" w:eastAsia="zh-CN" w:bidi="ar"/>
        </w:rPr>
        <w:t>2、按照招标文件的要求，投标文件的响应和承诺验收。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七、其他要求</w:t>
      </w:r>
    </w:p>
    <w:p>
      <w:pPr>
        <w:pStyle w:val="2"/>
        <w:ind w:left="0" w:leftChars="0" w:firstLine="0" w:firstLineChars="0"/>
        <w:rPr>
          <w:rFonts w:hint="eastAsia" w:eastAsiaTheme="minorEastAsia"/>
          <w:lang w:val="en-US" w:eastAsia="zh-CN"/>
        </w:rPr>
      </w:pPr>
      <w:r>
        <w:rPr>
          <w:rFonts w:hint="eastAsia" w:cs="宋体"/>
          <w:b/>
          <w:bCs/>
          <w:kern w:val="0"/>
          <w:sz w:val="24"/>
          <w:szCs w:val="24"/>
          <w:lang w:val="en-US" w:eastAsia="zh-CN"/>
        </w:rPr>
        <w:t>1、以上技术要求为最低要求，投标商应等于或优于以上要求，否则为无效投标。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投标人应就该项目完整投标（报价含税费等综合费用），否则为无效投标。</w:t>
      </w:r>
    </w:p>
    <w:p>
      <w:pPr>
        <w:widowControl/>
        <w:shd w:val="clear" w:color="auto" w:fill="FFFFFF"/>
        <w:spacing w:line="360" w:lineRule="auto"/>
        <w:jc w:val="left"/>
        <w:rPr>
          <w:rFonts w:hint="eastAsia" w:eastAsiaTheme="minorEastAsia"/>
          <w:lang w:val="en-US" w:eastAsia="zh-CN"/>
        </w:rPr>
      </w:pPr>
      <w:r>
        <w:rPr>
          <w:rFonts w:hint="eastAsia" w:ascii="宋体" w:hAnsi="宋体" w:cs="宋体"/>
          <w:kern w:val="0"/>
          <w:sz w:val="24"/>
          <w:szCs w:val="24"/>
          <w:lang w:val="en-US" w:eastAsia="zh-CN"/>
        </w:rPr>
        <w:t>3、投标人须有</w:t>
      </w:r>
      <w:r>
        <w:rPr>
          <w:rFonts w:hint="eastAsia" w:ascii="宋体" w:hAnsi="宋体" w:cs="宋体"/>
          <w:kern w:val="0"/>
          <w:sz w:val="24"/>
          <w:szCs w:val="24"/>
          <w:lang w:val="zh-CN"/>
        </w:rPr>
        <w:t>工作规划编制思路及实施方案，否则为无效投标。</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4</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eastAsia="zh-CN"/>
        </w:rPr>
        <w:t>以签订合同为准</w:t>
      </w:r>
      <w:r>
        <w:rPr>
          <w:rFonts w:hint="eastAsia" w:ascii="新宋体" w:hAnsi="新宋体" w:eastAsia="新宋体" w:cs="新宋体"/>
          <w:kern w:val="0"/>
          <w:sz w:val="24"/>
          <w:szCs w:val="24"/>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rPr>
            </w:pPr>
            <w:r>
              <w:rPr>
                <w:rFonts w:hint="eastAsia" w:cs="仿宋_GB2312" w:asciiTheme="minorEastAsia" w:hAnsiTheme="minorEastAsia"/>
                <w:sz w:val="24"/>
                <w:szCs w:val="24"/>
              </w:rPr>
              <w:t>项目名称：禹州市</w:t>
            </w:r>
            <w:r>
              <w:rPr>
                <w:rFonts w:hint="eastAsia" w:cs="仿宋_GB2312" w:asciiTheme="minorEastAsia" w:hAnsiTheme="minorEastAsia"/>
                <w:sz w:val="24"/>
                <w:szCs w:val="24"/>
                <w:lang w:val="en-US" w:eastAsia="zh-CN"/>
              </w:rPr>
              <w:t>16个传统村落保护规划</w:t>
            </w:r>
            <w:r>
              <w:rPr>
                <w:rFonts w:hint="eastAsia" w:cs="仿宋_GB2312" w:asciiTheme="minorEastAsia" w:hAnsiTheme="minorEastAsia"/>
                <w:sz w:val="24"/>
                <w:szCs w:val="24"/>
              </w:rPr>
              <w:t>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143</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内容：主要内容为禹州市16个传统村落保护规划。鸿畅镇寨子贾村、浅井镇马沟村、火龙镇龙西村、方山镇白庄村、文殊镇樊岗村、鸠山镇下泉村、张家庄村、西学村、磨街乡户阳村、九孔村、候沟村、苌庄镇杜家沟村、锁石沟村、九里山村、石庙村、于王沟村</w:t>
            </w:r>
            <w:r>
              <w:rPr>
                <w:rFonts w:hint="eastAsia" w:cs="仿宋_GB2312" w:asciiTheme="minorEastAsia" w:hAnsiTheme="minorEastAsia"/>
                <w:sz w:val="24"/>
                <w:szCs w:val="24"/>
                <w:lang w:eastAsia="zh-CN"/>
              </w:rPr>
              <w:t>。</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服务期限</w:t>
            </w:r>
            <w:r>
              <w:rPr>
                <w:rFonts w:hint="eastAsia" w:cs="仿宋_GB2312" w:asciiTheme="minorEastAsia" w:hAnsiTheme="minorEastAsia"/>
                <w:sz w:val="24"/>
                <w:szCs w:val="24"/>
              </w:rPr>
              <w:t>：签订合同后90日内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城乡规划</w:t>
            </w:r>
            <w:r>
              <w:rPr>
                <w:rFonts w:hint="eastAsia" w:cs="仿宋_GB2312" w:asciiTheme="minorEastAsia" w:hAnsiTheme="minorEastAsia"/>
                <w:sz w:val="24"/>
                <w:szCs w:val="24"/>
              </w:rPr>
              <w:t>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行政南路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13937427766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w:t>
            </w:r>
            <w:r>
              <w:rPr>
                <w:rFonts w:hint="eastAsia"/>
              </w:rPr>
              <w:t>截止时间；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5、供应商不良信用记录以谈判小组查询结果为准，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336</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 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金额：每个标段壹万元整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6"/>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6"/>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6"/>
        <w:autoSpaceDE w:val="0"/>
        <w:autoSpaceDN w:val="0"/>
        <w:spacing w:line="360" w:lineRule="auto"/>
        <w:ind w:left="780" w:firstLine="0" w:firstLineChars="0"/>
        <w:contextualSpacing/>
        <w:rPr>
          <w:rFonts w:cs="宋体" w:asciiTheme="minorEastAsia" w:hAnsiTheme="minorEastAsia"/>
          <w:kern w:val="0"/>
          <w:sz w:val="24"/>
          <w:szCs w:val="24"/>
        </w:rPr>
      </w:pPr>
    </w:p>
    <w:p>
      <w:pPr>
        <w:pStyle w:val="56"/>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6"/>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6"/>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6"/>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6"/>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6"/>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6"/>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6"/>
                <w:rFonts w:asciiTheme="minorEastAsia" w:hAnsiTheme="minorEastAsia"/>
                <w:bCs/>
                <w:szCs w:val="21"/>
              </w:rPr>
              <w:t>www.gsxt.gov.cn</w:t>
            </w:r>
            <w:r>
              <w:rPr>
                <w:rStyle w:val="26"/>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rPr>
              <w:t>投标人具备相应规划设计乙级以上资质（含乙级）,项目负责人职称为高级工程师及以上职称</w:t>
            </w:r>
            <w:r>
              <w:rPr>
                <w:rFonts w:hint="eastAsia" w:asciiTheme="minorEastAsia" w:hAnsiTheme="minorEastAsia"/>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价格分值：      </w:t>
            </w:r>
            <w:r>
              <w:rPr>
                <w:rFonts w:hint="eastAsia" w:cs="宋体" w:asciiTheme="minorEastAsia" w:hAnsiTheme="minorEastAsia"/>
                <w:kern w:val="0"/>
                <w:sz w:val="24"/>
                <w:szCs w:val="24"/>
                <w:lang w:val="en-US" w:eastAsia="zh-CN"/>
              </w:rPr>
              <w:t>20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商务部分：      </w:t>
            </w:r>
            <w:r>
              <w:rPr>
                <w:rFonts w:hint="eastAsia" w:cs="宋体" w:asciiTheme="minorEastAsia" w:hAnsiTheme="minorEastAsia"/>
                <w:kern w:val="0"/>
                <w:sz w:val="24"/>
                <w:szCs w:val="24"/>
                <w:lang w:val="en-US" w:eastAsia="zh-CN"/>
              </w:rPr>
              <w:t>35</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技术部分：      </w:t>
            </w:r>
            <w:r>
              <w:rPr>
                <w:rFonts w:hint="eastAsia" w:cs="宋体" w:asciiTheme="minorEastAsia" w:hAnsiTheme="minorEastAsia"/>
                <w:kern w:val="0"/>
                <w:sz w:val="24"/>
                <w:szCs w:val="24"/>
                <w:lang w:val="en-US" w:eastAsia="zh-CN"/>
              </w:rPr>
              <w:t>45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一、价格部分（满分50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default" w:ascii="宋体" w:hAnsi="宋体" w:cs="宋体" w:eastAsiaTheme="minorEastAsia"/>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widowControl/>
              <w:spacing w:line="330" w:lineRule="atLeast"/>
              <w:jc w:val="left"/>
              <w:rPr>
                <w:rFonts w:hint="eastAsia"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仿宋" w:asciiTheme="minorEastAsia" w:hAnsiTheme="minorEastAsia"/>
                <w:kern w:val="0"/>
                <w:sz w:val="24"/>
                <w:szCs w:val="24"/>
                <w:lang w:val="en-US" w:eastAsia="zh-CN"/>
              </w:rPr>
              <w:t>2</w:t>
            </w:r>
            <w:r>
              <w:rPr>
                <w:rFonts w:hint="eastAsia" w:cs="仿宋" w:asciiTheme="minorEastAsia" w:hAnsiTheme="minorEastAsia"/>
                <w:kern w:val="0"/>
                <w:sz w:val="24"/>
                <w:szCs w:val="24"/>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35</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投标文件编制</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ascii="宋体" w:hAnsi="宋体" w:cs="宋体"/>
                <w:szCs w:val="21"/>
              </w:rPr>
              <w:t>投标文件内容完整无明显的文字、数字错误、印刷装订清晰，由评委酌情扣分，扣完为止。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0-4</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企业实力</w:t>
            </w:r>
          </w:p>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eastAsia="zh-CN"/>
              </w:rPr>
              <w:t>及荣誉</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pacing w:line="440" w:lineRule="exact"/>
              <w:outlineLvl w:val="0"/>
              <w:rPr>
                <w:rFonts w:hint="eastAsia" w:ascii="新宋体" w:hAnsi="新宋体" w:eastAsia="新宋体" w:cs="新宋体"/>
                <w:sz w:val="24"/>
                <w:szCs w:val="24"/>
              </w:rPr>
            </w:pPr>
            <w:r>
              <w:rPr>
                <w:rFonts w:hint="eastAsia" w:ascii="新宋体" w:hAnsi="新宋体" w:eastAsia="新宋体" w:cs="新宋体"/>
                <w:sz w:val="24"/>
                <w:szCs w:val="24"/>
              </w:rPr>
              <w:t>企业获得ISO9001质量管理体系认证单位的得3分</w:t>
            </w:r>
            <w:r>
              <w:rPr>
                <w:rFonts w:hint="eastAsia" w:ascii="新宋体" w:hAnsi="新宋体" w:eastAsia="新宋体" w:cs="新宋体"/>
                <w:sz w:val="24"/>
                <w:szCs w:val="24"/>
                <w:lang w:eastAsia="zh-CN"/>
              </w:rPr>
              <w:t>。</w:t>
            </w:r>
          </w:p>
          <w:p>
            <w:pPr>
              <w:pStyle w:val="2"/>
              <w:numPr>
                <w:ilvl w:val="0"/>
                <w:numId w:val="10"/>
              </w:numPr>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投标人自2014年1月1日来承接过相同传统村落保护规划编制项目的，一份2分，最高12分（类似业绩指历史文化名村、历史文化名镇保护规划）</w:t>
            </w:r>
            <w:r>
              <w:rPr>
                <w:rFonts w:hint="eastAsia" w:ascii="新宋体" w:hAnsi="新宋体" w:eastAsia="新宋体" w:cs="新宋体"/>
                <w:sz w:val="24"/>
                <w:szCs w:val="24"/>
                <w:lang w:eastAsia="zh-CN"/>
              </w:rPr>
              <w:t>。</w:t>
            </w:r>
          </w:p>
          <w:p>
            <w:pPr>
              <w:pStyle w:val="2"/>
              <w:numPr>
                <w:ilvl w:val="0"/>
                <w:numId w:val="10"/>
              </w:numPr>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投标人2014年1月1日以来获得过省级及以上相关部门及行业协会荣誉的每提供一项得3分，满分12分。</w:t>
            </w:r>
          </w:p>
          <w:p>
            <w:pPr>
              <w:pStyle w:val="2"/>
              <w:numPr>
                <w:ilvl w:val="0"/>
                <w:numId w:val="10"/>
              </w:numPr>
              <w:ind w:left="0" w:leftChars="0" w:firstLine="0" w:firstLineChars="0"/>
              <w:rPr>
                <w:rFonts w:hint="eastAsia" w:ascii="仿宋" w:hAnsi="仿宋" w:eastAsia="仿宋" w:cs="仿宋_GB2312"/>
                <w:sz w:val="24"/>
              </w:rPr>
            </w:pPr>
            <w:r>
              <w:rPr>
                <w:rFonts w:hint="eastAsia" w:ascii="新宋体" w:hAnsi="新宋体" w:eastAsia="新宋体" w:cs="新宋体"/>
                <w:sz w:val="24"/>
                <w:szCs w:val="24"/>
              </w:rPr>
              <w:t>根据投标人在本项目以前社会对其认可度颁发的信用等级证书等情况评定，提供证书加4分。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31</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cs="宋体" w:asciiTheme="minorEastAsia" w:hAnsiTheme="minorEastAsia"/>
                <w:bCs/>
                <w:kern w:val="0"/>
                <w:sz w:val="24"/>
                <w:szCs w:val="24"/>
              </w:rPr>
              <w:t>4</w:t>
            </w:r>
            <w:r>
              <w:rPr>
                <w:rFonts w:hint="eastAsia" w:cs="宋体" w:asciiTheme="minorEastAsia" w:hAnsiTheme="minorEastAsia"/>
                <w:bCs/>
                <w:kern w:val="0"/>
                <w:sz w:val="24"/>
                <w:szCs w:val="24"/>
                <w:lang w:val="en-US" w:eastAsia="zh-CN"/>
              </w:rPr>
              <w:t>5</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ascii="仿宋" w:hAnsi="仿宋" w:eastAsia="仿宋"/>
                <w:color w:val="000000"/>
                <w:sz w:val="24"/>
              </w:rPr>
              <w:t>工作规划编制思路及实施建议</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（1）对现状的分析和对已有规划的理解（6分）：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编制投标文件前现场调研，有翔实的调研记录，对规划村庄自然情况和现状建设情况了解清楚、分析透彻，得5-6分，未到现场但能提供翔实准确的卫星地理信息系统图分析的得3-4分，调研原始记录缺乏确或缺乏准确的地理信息分析的得1-2分，缺项不得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（2）规划思路（6分）</w:t>
            </w:r>
          </w:p>
          <w:p>
            <w:pPr>
              <w:widowControl/>
              <w:spacing w:line="36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提出保护发展规划的保护原则与思路，制定规划技术路线，优5-6分，良3-4分，一般1-2分，缺项0分</w:t>
            </w:r>
            <w:r>
              <w:rPr>
                <w:rFonts w:hint="eastAsia" w:cs="宋体" w:asciiTheme="minorEastAsia" w:hAnsiTheme="minorEastAsia"/>
                <w:kern w:val="0"/>
                <w:sz w:val="24"/>
                <w:szCs w:val="24"/>
                <w:lang w:val="en-US" w:eastAsia="zh-CN"/>
              </w:rPr>
              <w:t>.</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（3）规划方案（20分）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对村庄格局、传统建筑、环境要素等提出保护措施；对配套设施提出合理化建议。优15-20分，良8-14分，一般1-7分，缺项0分。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（4）规划实施建议（8分）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对村庄分期实施与近期建设提出合理建议。优6-8分，良3-5分，一般1-2分，缺项0分。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注：可选取一个村庄进行分析及主要内容的方案编制。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设计周期进度及保证措施</w:t>
            </w:r>
          </w:p>
          <w:p>
            <w:pPr>
              <w:widowControl/>
              <w:spacing w:line="360" w:lineRule="auto"/>
              <w:jc w:val="center"/>
              <w:rPr>
                <w:rFonts w:hint="eastAsia" w:cs="宋体" w:asciiTheme="minorEastAsia" w:hAnsiTheme="minorEastAsia"/>
                <w:kern w:val="0"/>
                <w:sz w:val="24"/>
                <w:szCs w:val="24"/>
              </w:rPr>
            </w:pPr>
            <w:r>
              <w:rPr>
                <w:rFonts w:hint="eastAsia" w:ascii="仿宋" w:hAnsi="仿宋" w:eastAsia="仿宋"/>
                <w:color w:val="000000"/>
                <w:sz w:val="24"/>
              </w:rPr>
              <w:t>（5分）</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优秀者得5分，较好者得3-4分，一般者得1-2分。缺项0分。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优秀者：设计周期进度控制合理。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较好者：设计周期进度控制基本合理。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一般者：设计周期进度控制欠缺考虑。</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650" w:firstLineChars="1100"/>
        <w:jc w:val="both"/>
        <w:outlineLvl w:val="0"/>
        <w:rPr>
          <w:rFonts w:hint="eastAsia" w:ascii="宋体" w:hAnsi="宋体" w:eastAsiaTheme="minorEastAsia"/>
          <w:b/>
          <w:bCs/>
          <w:color w:val="000000"/>
          <w:sz w:val="24"/>
          <w:szCs w:val="24"/>
          <w:lang w:val="en-US"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w:t>
      </w:r>
      <w:r>
        <w:rPr>
          <w:rFonts w:hint="eastAsia" w:ascii="宋体" w:hAnsi="宋体"/>
          <w:b/>
          <w:bCs/>
          <w:color w:val="000000"/>
          <w:sz w:val="24"/>
          <w:szCs w:val="24"/>
          <w:lang w:eastAsia="zh-CN"/>
        </w:rPr>
        <w:t>工作编制思路及实施方案</w:t>
      </w:r>
      <w:bookmarkStart w:id="11" w:name="_GoBack"/>
      <w:bookmarkEnd w:id="11"/>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4C90442"/>
    <w:multiLevelType w:val="singleLevel"/>
    <w:tmpl w:val="F4C90442"/>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0"/>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314250D"/>
    <w:rsid w:val="032449BC"/>
    <w:rsid w:val="037217D3"/>
    <w:rsid w:val="03A87C38"/>
    <w:rsid w:val="03C54AE6"/>
    <w:rsid w:val="03E01A67"/>
    <w:rsid w:val="080C2BBA"/>
    <w:rsid w:val="08FD5745"/>
    <w:rsid w:val="092E6B95"/>
    <w:rsid w:val="0A5E16AE"/>
    <w:rsid w:val="0A5E260D"/>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850023"/>
    <w:rsid w:val="1AFBFFDD"/>
    <w:rsid w:val="1B1653FD"/>
    <w:rsid w:val="1C2D1536"/>
    <w:rsid w:val="1CCF2F1D"/>
    <w:rsid w:val="1E8E722F"/>
    <w:rsid w:val="1F8E45BB"/>
    <w:rsid w:val="1FE15514"/>
    <w:rsid w:val="208614E5"/>
    <w:rsid w:val="2157706F"/>
    <w:rsid w:val="21DD4A96"/>
    <w:rsid w:val="24D35795"/>
    <w:rsid w:val="25D2297E"/>
    <w:rsid w:val="271F4B16"/>
    <w:rsid w:val="27823AF5"/>
    <w:rsid w:val="27CD14F5"/>
    <w:rsid w:val="293C5FB1"/>
    <w:rsid w:val="29A55E19"/>
    <w:rsid w:val="29F94CB1"/>
    <w:rsid w:val="2A553543"/>
    <w:rsid w:val="2A745111"/>
    <w:rsid w:val="2C014C3B"/>
    <w:rsid w:val="2F650AED"/>
    <w:rsid w:val="2FFD3F6B"/>
    <w:rsid w:val="30EA79C7"/>
    <w:rsid w:val="30FD56B7"/>
    <w:rsid w:val="329E1B24"/>
    <w:rsid w:val="32BF12F4"/>
    <w:rsid w:val="33563CED"/>
    <w:rsid w:val="338A4286"/>
    <w:rsid w:val="347F0816"/>
    <w:rsid w:val="34B644B7"/>
    <w:rsid w:val="3557291C"/>
    <w:rsid w:val="36B46A4A"/>
    <w:rsid w:val="375656B9"/>
    <w:rsid w:val="37627558"/>
    <w:rsid w:val="37B91083"/>
    <w:rsid w:val="39FD28B4"/>
    <w:rsid w:val="3AC47AB6"/>
    <w:rsid w:val="3ADD0A2E"/>
    <w:rsid w:val="3B7A3E82"/>
    <w:rsid w:val="3B8D0CE8"/>
    <w:rsid w:val="3BA71EF1"/>
    <w:rsid w:val="3CBF1608"/>
    <w:rsid w:val="3DCA2531"/>
    <w:rsid w:val="3E3A26DB"/>
    <w:rsid w:val="3F263B0E"/>
    <w:rsid w:val="3F4C6C60"/>
    <w:rsid w:val="414D7438"/>
    <w:rsid w:val="41A16B13"/>
    <w:rsid w:val="41EF3AE9"/>
    <w:rsid w:val="423A7A11"/>
    <w:rsid w:val="428968C5"/>
    <w:rsid w:val="430D37F8"/>
    <w:rsid w:val="43420F67"/>
    <w:rsid w:val="43AF27C5"/>
    <w:rsid w:val="43EC08A5"/>
    <w:rsid w:val="4407481F"/>
    <w:rsid w:val="444772BC"/>
    <w:rsid w:val="444D773E"/>
    <w:rsid w:val="458D2A4C"/>
    <w:rsid w:val="459D509E"/>
    <w:rsid w:val="477C4489"/>
    <w:rsid w:val="477E79DB"/>
    <w:rsid w:val="47CC4B71"/>
    <w:rsid w:val="48BB1E61"/>
    <w:rsid w:val="48E44347"/>
    <w:rsid w:val="48EB5367"/>
    <w:rsid w:val="4AB4093D"/>
    <w:rsid w:val="4AE22F4C"/>
    <w:rsid w:val="4B536EA5"/>
    <w:rsid w:val="4CA91082"/>
    <w:rsid w:val="4E8F0D2C"/>
    <w:rsid w:val="4EAC4ADD"/>
    <w:rsid w:val="4EB72836"/>
    <w:rsid w:val="4ED23FD5"/>
    <w:rsid w:val="4EE945C2"/>
    <w:rsid w:val="4EFB1FC3"/>
    <w:rsid w:val="4F3C1178"/>
    <w:rsid w:val="4F661CEB"/>
    <w:rsid w:val="4FAA5E8E"/>
    <w:rsid w:val="4FEB5C49"/>
    <w:rsid w:val="527B1821"/>
    <w:rsid w:val="5310611D"/>
    <w:rsid w:val="53276344"/>
    <w:rsid w:val="53293BFC"/>
    <w:rsid w:val="533D55CA"/>
    <w:rsid w:val="534E2992"/>
    <w:rsid w:val="535D3032"/>
    <w:rsid w:val="53C97953"/>
    <w:rsid w:val="53F5577A"/>
    <w:rsid w:val="562D2F69"/>
    <w:rsid w:val="56811691"/>
    <w:rsid w:val="5703196B"/>
    <w:rsid w:val="57140DA8"/>
    <w:rsid w:val="574A43AC"/>
    <w:rsid w:val="579F4E8A"/>
    <w:rsid w:val="58077CBD"/>
    <w:rsid w:val="582E1358"/>
    <w:rsid w:val="58FD658D"/>
    <w:rsid w:val="5B0C6CA4"/>
    <w:rsid w:val="5CFA73B6"/>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72B7704"/>
    <w:rsid w:val="68594ADA"/>
    <w:rsid w:val="68741D48"/>
    <w:rsid w:val="6AB31C19"/>
    <w:rsid w:val="6B357A50"/>
    <w:rsid w:val="6B6F3BC4"/>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9B0AC9"/>
    <w:rsid w:val="78F56DD8"/>
    <w:rsid w:val="7A77760E"/>
    <w:rsid w:val="7B7986D1"/>
    <w:rsid w:val="7C8C6DF8"/>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29</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2019-07-15T01:15:50Z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