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226" w:afterAutospacing="0" w:line="525" w:lineRule="atLeast"/>
        <w:ind w:left="0" w:right="0"/>
        <w:jc w:val="center"/>
        <w:rPr>
          <w:rFonts w:ascii="微软雅黑" w:hAnsi="微软雅黑" w:eastAsia="微软雅黑" w:cs="微软雅黑"/>
          <w:b/>
          <w:sz w:val="36"/>
          <w:szCs w:val="36"/>
        </w:rPr>
      </w:pPr>
      <w:r>
        <w:rPr>
          <w:rFonts w:hint="eastAsia" w:ascii="微软雅黑" w:hAnsi="微软雅黑" w:eastAsia="微软雅黑" w:cs="微软雅黑"/>
          <w:b/>
          <w:color w:val="000000"/>
          <w:sz w:val="36"/>
          <w:szCs w:val="36"/>
          <w:shd w:val="clear" w:fill="FFFFFF"/>
        </w:rPr>
        <w:t>许昌市建设工程工程量清单招标评标办法（试行）</w:t>
      </w:r>
    </w:p>
    <w:p>
      <w:pPr>
        <w:keepNext w:val="0"/>
        <w:keepLines w:val="0"/>
        <w:widowControl/>
        <w:suppressLineNumbers w:val="0"/>
        <w:pBdr>
          <w:top w:val="single" w:color="E7E7E7" w:sz="6" w:space="22"/>
          <w:left w:val="single" w:color="E7E7E7" w:sz="6" w:space="22"/>
          <w:bottom w:val="single" w:color="E7E7E7" w:sz="6" w:space="22"/>
          <w:right w:val="single" w:color="E7E7E7" w:sz="6" w:space="22"/>
        </w:pBdr>
        <w:shd w:val="clear" w:fill="F7F7F7"/>
        <w:spacing w:before="0" w:beforeAutospacing="0" w:after="0" w:afterAutospacing="0" w:line="600" w:lineRule="atLeast"/>
        <w:ind w:left="0" w:right="0"/>
        <w:jc w:val="center"/>
        <w:rPr>
          <w:rFonts w:hint="eastAsia" w:ascii="微软雅黑" w:hAnsi="微软雅黑" w:eastAsia="微软雅黑" w:cs="微软雅黑"/>
          <w:color w:val="000000"/>
        </w:rPr>
      </w:pPr>
      <w:r>
        <w:rPr>
          <w:rFonts w:hint="eastAsia" w:ascii="微软雅黑" w:hAnsi="微软雅黑" w:eastAsia="微软雅黑" w:cs="微软雅黑"/>
          <w:color w:val="000000"/>
          <w:kern w:val="0"/>
          <w:sz w:val="18"/>
          <w:szCs w:val="18"/>
          <w:u w:val="none"/>
          <w:shd w:val="clear" w:fill="F7F7F7"/>
          <w:lang w:val="en-US" w:eastAsia="zh-CN" w:bidi="ar"/>
        </w:rPr>
        <w:t>发布时间： 2018-01-29 15:00:22</w:t>
      </w:r>
      <w:r>
        <w:rPr>
          <w:rFonts w:hint="eastAsia" w:ascii="微软雅黑" w:hAnsi="微软雅黑" w:eastAsia="微软雅黑" w:cs="微软雅黑"/>
          <w:color w:val="000000"/>
          <w:kern w:val="0"/>
          <w:sz w:val="24"/>
          <w:szCs w:val="24"/>
          <w:bdr w:val="none" w:color="auto" w:sz="0" w:space="0"/>
          <w:shd w:val="clear" w:fill="F7F7F7"/>
          <w:lang w:val="en-US" w:eastAsia="zh-CN" w:bidi="ar"/>
        </w:rPr>
        <w:t xml:space="preserve"> </w:t>
      </w:r>
      <w:r>
        <w:rPr>
          <w:rFonts w:hint="eastAsia" w:ascii="微软雅黑" w:hAnsi="微软雅黑" w:eastAsia="微软雅黑" w:cs="微软雅黑"/>
          <w:color w:val="000000"/>
          <w:kern w:val="0"/>
          <w:sz w:val="18"/>
          <w:szCs w:val="18"/>
          <w:u w:val="none"/>
          <w:shd w:val="clear" w:fill="F7F7F7"/>
          <w:lang w:val="en-US" w:eastAsia="zh-CN" w:bidi="ar"/>
        </w:rPr>
        <w:t>发稿人：本站编辑</w:t>
      </w:r>
    </w:p>
    <w:p>
      <w:pPr>
        <w:pStyle w:val="3"/>
        <w:keepNext w:val="0"/>
        <w:keepLines w:val="0"/>
        <w:widowControl/>
        <w:suppressLineNumbers w:val="0"/>
        <w:spacing w:before="226" w:beforeAutospacing="0" w:after="0" w:afterAutospacing="0" w:line="330" w:lineRule="atLeast"/>
        <w:ind w:left="0" w:right="0"/>
      </w:pPr>
      <w:r>
        <w:rPr>
          <w:rFonts w:hint="eastAsia" w:ascii="微软雅黑" w:hAnsi="微软雅黑" w:eastAsia="微软雅黑" w:cs="微软雅黑"/>
          <w:color w:val="000000"/>
          <w:shd w:val="clear" w:fill="FFFFFF"/>
        </w:rPr>
        <w:t> </w:t>
      </w:r>
    </w:p>
    <w:p>
      <w:pPr>
        <w:pStyle w:val="3"/>
        <w:keepNext w:val="0"/>
        <w:keepLines w:val="0"/>
        <w:widowControl/>
        <w:suppressLineNumbers w:val="0"/>
        <w:spacing w:before="226" w:beforeAutospacing="0" w:after="0" w:afterAutospacing="0" w:line="330" w:lineRule="atLeast"/>
        <w:ind w:left="0" w:right="0"/>
      </w:pPr>
      <w:r>
        <w:rPr>
          <w:rFonts w:hint="eastAsia" w:ascii="微软雅黑" w:hAnsi="微软雅黑" w:eastAsia="微软雅黑" w:cs="微软雅黑"/>
          <w:color w:val="000000"/>
          <w:shd w:val="clear" w:fill="FFFFFF"/>
        </w:rPr>
        <w:t> </w:t>
      </w:r>
    </w:p>
    <w:p>
      <w:pPr>
        <w:pStyle w:val="3"/>
        <w:keepNext w:val="0"/>
        <w:keepLines w:val="0"/>
        <w:widowControl/>
        <w:suppressLineNumbers w:val="0"/>
        <w:spacing w:before="302" w:beforeAutospacing="0" w:after="76" w:afterAutospacing="0" w:line="330" w:lineRule="atLeast"/>
        <w:ind w:left="0" w:right="0"/>
      </w:pPr>
      <w:r>
        <w:rPr>
          <w:rFonts w:ascii="仿宋_GB2312" w:hAnsi="仿宋_GB2312" w:eastAsia="仿宋_GB2312" w:cs="仿宋_GB2312"/>
          <w:color w:val="000000"/>
          <w:sz w:val="27"/>
          <w:szCs w:val="27"/>
          <w:u w:val="none"/>
          <w:shd w:val="clear" w:fill="FFFFFF"/>
        </w:rPr>
        <w:t>    第一条  为了规范我市建设工程工程量清单招标评标活动，根据《中华人民共和国招标投标法》、《中华人民共和国政府采购法》、《中华人民共和国招标投标法实施条例》、《建设工程工程量清单计价规范》(GB50500—2013)、《河南省建设工程工程量清单招标评标办法》（豫建〔2014〕36号）等法律法规、规章、规范性文件的规定，结合我市招标评标工作实际，制定本办法。</w:t>
      </w:r>
    </w:p>
    <w:p>
      <w:pPr>
        <w:pStyle w:val="3"/>
        <w:keepNext w:val="0"/>
        <w:keepLines w:val="0"/>
        <w:widowControl/>
        <w:suppressLineNumbers w:val="0"/>
        <w:spacing w:before="302" w:beforeAutospacing="0" w:after="76" w:afterAutospacing="0" w:line="330" w:lineRule="atLeast"/>
        <w:ind w:left="0" w:right="0"/>
      </w:pPr>
      <w:r>
        <w:rPr>
          <w:rFonts w:ascii="仿宋_GB2312" w:hAnsi="仿宋_GB2312" w:eastAsia="仿宋_GB2312" w:cs="仿宋_GB2312"/>
          <w:color w:val="000000"/>
          <w:sz w:val="27"/>
          <w:szCs w:val="27"/>
          <w:u w:val="none"/>
          <w:shd w:val="clear" w:fill="FFFFFF"/>
        </w:rPr>
        <w:t>    第二条 本办法适用于在许昌市行政区域内依法必须招标的各类房屋建筑和市政基础设施工程。</w:t>
      </w:r>
    </w:p>
    <w:p>
      <w:pPr>
        <w:pStyle w:val="3"/>
        <w:keepNext w:val="0"/>
        <w:keepLines w:val="0"/>
        <w:widowControl/>
        <w:suppressLineNumbers w:val="0"/>
        <w:spacing w:before="302" w:beforeAutospacing="0" w:after="76" w:afterAutospacing="0" w:line="330" w:lineRule="atLeast"/>
        <w:ind w:left="0" w:right="0"/>
      </w:pPr>
      <w:r>
        <w:rPr>
          <w:rFonts w:ascii="仿宋_GB2312" w:hAnsi="仿宋_GB2312" w:eastAsia="仿宋_GB2312" w:cs="仿宋_GB2312"/>
          <w:color w:val="000000"/>
          <w:sz w:val="27"/>
          <w:szCs w:val="27"/>
          <w:u w:val="none"/>
          <w:shd w:val="clear" w:fill="FFFFFF"/>
        </w:rPr>
        <w:t>    第三条 使用国有资金投资的建设工程发承包，依法必须进行招标的，必须采用工程量清单计价方式招标。非国有资金投资的建设工程发承包，鼓励采用工程量清单计价招标。</w:t>
      </w:r>
    </w:p>
    <w:p>
      <w:pPr>
        <w:pStyle w:val="3"/>
        <w:keepNext w:val="0"/>
        <w:keepLines w:val="0"/>
        <w:widowControl/>
        <w:suppressLineNumbers w:val="0"/>
        <w:spacing w:before="302" w:beforeAutospacing="0" w:after="76" w:afterAutospacing="0" w:line="330" w:lineRule="atLeast"/>
        <w:ind w:left="0" w:right="0"/>
        <w:jc w:val="both"/>
      </w:pPr>
      <w:r>
        <w:rPr>
          <w:rFonts w:ascii="仿宋_GB2312" w:hAnsi="仿宋_GB2312" w:eastAsia="仿宋_GB2312" w:cs="仿宋_GB2312"/>
          <w:color w:val="000000"/>
          <w:sz w:val="27"/>
          <w:szCs w:val="27"/>
          <w:u w:val="none"/>
          <w:shd w:val="clear" w:fill="FFFFFF"/>
        </w:rPr>
        <w:t>  第四条 建设工程发承包，招标人应按照《建设工程工程量清单计价规范》（GB50500—2013）的有关规定，在招标文件中明确规定计价风险的内容及范围，合理分担风险，不得采用无限风险、所有风险或类似语句规定计价中的风险内容及范围。在下列三种情况下，必须调整合同价款：</w:t>
      </w:r>
    </w:p>
    <w:p>
      <w:pPr>
        <w:pStyle w:val="3"/>
        <w:keepNext w:val="0"/>
        <w:keepLines w:val="0"/>
        <w:widowControl/>
        <w:suppressLineNumbers w:val="0"/>
        <w:spacing w:before="302" w:beforeAutospacing="0" w:after="76" w:afterAutospacing="0" w:line="330" w:lineRule="atLeast"/>
        <w:ind w:left="0" w:right="0"/>
        <w:jc w:val="both"/>
      </w:pPr>
      <w:r>
        <w:rPr>
          <w:rFonts w:ascii="仿宋_GB2312" w:hAnsi="仿宋_GB2312" w:eastAsia="仿宋_GB2312" w:cs="仿宋_GB2312"/>
          <w:color w:val="000000"/>
          <w:sz w:val="27"/>
          <w:szCs w:val="27"/>
          <w:u w:val="none"/>
          <w:shd w:val="clear" w:fill="FFFFFF"/>
        </w:rPr>
        <w:t>    1.国家法律、法规、规章和政策发生变化；</w:t>
      </w:r>
    </w:p>
    <w:p>
      <w:pPr>
        <w:pStyle w:val="3"/>
        <w:keepNext w:val="0"/>
        <w:keepLines w:val="0"/>
        <w:widowControl/>
        <w:suppressLineNumbers w:val="0"/>
        <w:spacing w:before="302" w:beforeAutospacing="0" w:after="76" w:afterAutospacing="0" w:line="330" w:lineRule="atLeast"/>
        <w:ind w:left="0" w:right="0"/>
        <w:jc w:val="both"/>
      </w:pPr>
      <w:r>
        <w:rPr>
          <w:rFonts w:ascii="仿宋_GB2312" w:hAnsi="仿宋_GB2312" w:eastAsia="仿宋_GB2312" w:cs="仿宋_GB2312"/>
          <w:color w:val="000000"/>
          <w:sz w:val="27"/>
          <w:szCs w:val="27"/>
          <w:u w:val="none"/>
          <w:shd w:val="clear" w:fill="FFFFFF"/>
        </w:rPr>
        <w:t>    2.省级主管部门发布的人工费调整；</w:t>
      </w:r>
    </w:p>
    <w:p>
      <w:pPr>
        <w:pStyle w:val="3"/>
        <w:keepNext w:val="0"/>
        <w:keepLines w:val="0"/>
        <w:widowControl/>
        <w:suppressLineNumbers w:val="0"/>
        <w:spacing w:before="302" w:beforeAutospacing="0" w:after="76" w:afterAutospacing="0" w:line="330" w:lineRule="atLeast"/>
        <w:ind w:left="0" w:right="0"/>
        <w:jc w:val="both"/>
      </w:pPr>
      <w:r>
        <w:rPr>
          <w:rFonts w:ascii="仿宋_GB2312" w:hAnsi="仿宋_GB2312" w:eastAsia="仿宋_GB2312" w:cs="仿宋_GB2312"/>
          <w:color w:val="000000"/>
          <w:sz w:val="27"/>
          <w:szCs w:val="27"/>
          <w:u w:val="none"/>
          <w:shd w:val="clear" w:fill="FFFFFF"/>
        </w:rPr>
        <w:t>    3.由政府定价或政府指导价管理的原材料等价格的调整。</w:t>
      </w:r>
    </w:p>
    <w:p>
      <w:pPr>
        <w:pStyle w:val="3"/>
        <w:keepNext w:val="0"/>
        <w:keepLines w:val="0"/>
        <w:widowControl/>
        <w:suppressLineNumbers w:val="0"/>
        <w:spacing w:before="302" w:beforeAutospacing="0" w:after="76" w:afterAutospacing="0" w:line="330" w:lineRule="atLeast"/>
        <w:ind w:left="0" w:right="0"/>
        <w:jc w:val="both"/>
      </w:pPr>
      <w:r>
        <w:rPr>
          <w:rFonts w:ascii="仿宋_GB2312" w:hAnsi="仿宋_GB2312" w:eastAsia="仿宋_GB2312" w:cs="仿宋_GB2312"/>
          <w:color w:val="000000"/>
          <w:sz w:val="27"/>
          <w:szCs w:val="27"/>
          <w:u w:val="none"/>
          <w:shd w:val="clear" w:fill="FFFFFF"/>
        </w:rPr>
        <w:t>    第五条  工程量清单作为编制招标控制价、投标报价，计算或调整工程量、索赔的重要依据，应以单位（项）工程为单位编制，清单应由分部分项工程项目、措施项目、其它项目、规费和税金项目组成。工程量清单必须作为招标文件组成部分，其编制的准确性和完整性由招标人负责。</w:t>
      </w:r>
    </w:p>
    <w:p>
      <w:pPr>
        <w:pStyle w:val="3"/>
        <w:keepNext w:val="0"/>
        <w:keepLines w:val="0"/>
        <w:widowControl/>
        <w:suppressLineNumbers w:val="0"/>
        <w:spacing w:before="302" w:beforeAutospacing="0" w:after="76" w:afterAutospacing="0" w:line="330" w:lineRule="atLeast"/>
        <w:ind w:left="0" w:right="0"/>
        <w:jc w:val="both"/>
      </w:pPr>
      <w:r>
        <w:rPr>
          <w:rFonts w:ascii="仿宋_GB2312" w:hAnsi="仿宋_GB2312" w:eastAsia="仿宋_GB2312" w:cs="仿宋_GB2312"/>
          <w:color w:val="000000"/>
          <w:sz w:val="27"/>
          <w:szCs w:val="27"/>
          <w:u w:val="none"/>
          <w:shd w:val="clear" w:fill="FFFFFF"/>
        </w:rPr>
        <w:t>   招标人应当在招标文件中提供符合《建设工程工程量清单计价规范》（GB50500—2013）、河南省现行计价依据规定的工程量清单的纸质文件和电子文件。</w:t>
      </w:r>
    </w:p>
    <w:p>
      <w:pPr>
        <w:pStyle w:val="3"/>
        <w:keepNext w:val="0"/>
        <w:keepLines w:val="0"/>
        <w:widowControl/>
        <w:suppressLineNumbers w:val="0"/>
        <w:spacing w:before="302" w:beforeAutospacing="0" w:after="76" w:afterAutospacing="0" w:line="330" w:lineRule="atLeast"/>
        <w:ind w:left="0" w:right="0"/>
        <w:jc w:val="both"/>
      </w:pPr>
      <w:r>
        <w:rPr>
          <w:rFonts w:ascii="仿宋_GB2312" w:hAnsi="仿宋_GB2312" w:eastAsia="仿宋_GB2312" w:cs="仿宋_GB2312"/>
          <w:color w:val="000000"/>
          <w:sz w:val="27"/>
          <w:szCs w:val="27"/>
          <w:u w:val="none"/>
          <w:shd w:val="clear" w:fill="FFFFFF"/>
        </w:rPr>
        <w:t>    投标人应当根据招标文件提供的工程量清单、招标文件相关要求及有关规定编制投标报价。在提交投标文件时，应同时提交与投标报价内容一致的电子文件，并与标书一起密封。当电子文件与纸质文件不一致的，以纸质文件为准。采用电子招标的，从其规定。</w:t>
      </w:r>
    </w:p>
    <w:p>
      <w:pPr>
        <w:pStyle w:val="3"/>
        <w:keepNext w:val="0"/>
        <w:keepLines w:val="0"/>
        <w:widowControl/>
        <w:suppressLineNumbers w:val="0"/>
        <w:spacing w:before="302" w:beforeAutospacing="0" w:after="76" w:afterAutospacing="0" w:line="330" w:lineRule="atLeast"/>
        <w:ind w:left="0" w:right="0"/>
        <w:jc w:val="both"/>
      </w:pPr>
      <w:r>
        <w:rPr>
          <w:rFonts w:ascii="仿宋_GB2312" w:hAnsi="仿宋_GB2312" w:eastAsia="仿宋_GB2312" w:cs="仿宋_GB2312"/>
          <w:color w:val="000000"/>
          <w:sz w:val="27"/>
          <w:szCs w:val="27"/>
          <w:u w:val="none"/>
          <w:shd w:val="clear" w:fill="FFFFFF"/>
        </w:rPr>
        <w:t>    编制工程量清单、招标控制价以及投标报价，电子文件应当符合河南省《建设工程造价软件数据交换标准》。</w:t>
      </w:r>
    </w:p>
    <w:p>
      <w:pPr>
        <w:pStyle w:val="3"/>
        <w:keepNext w:val="0"/>
        <w:keepLines w:val="0"/>
        <w:widowControl/>
        <w:suppressLineNumbers w:val="0"/>
        <w:spacing w:before="302" w:beforeAutospacing="0" w:after="76" w:afterAutospacing="0" w:line="330" w:lineRule="atLeast"/>
        <w:ind w:left="0" w:right="0"/>
      </w:pPr>
      <w:r>
        <w:rPr>
          <w:rFonts w:ascii="仿宋_GB2312" w:hAnsi="仿宋_GB2312" w:eastAsia="仿宋_GB2312" w:cs="仿宋_GB2312"/>
          <w:color w:val="000000"/>
          <w:sz w:val="27"/>
          <w:szCs w:val="27"/>
          <w:u w:val="none"/>
          <w:shd w:val="clear" w:fill="FFFFFF"/>
        </w:rPr>
        <w:t>    第六条  国有资金投资的建设工程采用工程量清单方式招标，必须编制招标控制价。招标控制价应在招标时公布，招标人应将招标控制价及有关资料按照《河南省建设工程工程量清单招标控制价管理规定》报送当地工程造价管理机构备查。</w:t>
      </w:r>
    </w:p>
    <w:p>
      <w:pPr>
        <w:pStyle w:val="3"/>
        <w:keepNext w:val="0"/>
        <w:keepLines w:val="0"/>
        <w:widowControl/>
        <w:suppressLineNumbers w:val="0"/>
        <w:spacing w:before="302" w:beforeAutospacing="0" w:after="76" w:afterAutospacing="0" w:line="330" w:lineRule="atLeast"/>
        <w:ind w:left="0" w:right="0"/>
        <w:jc w:val="both"/>
      </w:pPr>
      <w:r>
        <w:rPr>
          <w:rFonts w:ascii="仿宋_GB2312" w:hAnsi="仿宋_GB2312" w:eastAsia="仿宋_GB2312" w:cs="仿宋_GB2312"/>
          <w:color w:val="000000"/>
          <w:sz w:val="27"/>
          <w:szCs w:val="27"/>
          <w:u w:val="none"/>
          <w:shd w:val="clear" w:fill="FFFFFF"/>
        </w:rPr>
        <w:t>    招标控制价由招标人依据国家计价规范、《河南省建设工程工程量清单招标控制价管理规定》、河南省现行计价依据的规定编制。材料价格应按市造价管理部门发布的最近一期信息指导价格执行，信息指导价格未发布的由招标人根据市场价格确定。</w:t>
      </w:r>
    </w:p>
    <w:p>
      <w:pPr>
        <w:pStyle w:val="3"/>
        <w:keepNext w:val="0"/>
        <w:keepLines w:val="0"/>
        <w:widowControl/>
        <w:suppressLineNumbers w:val="0"/>
        <w:spacing w:before="302" w:beforeAutospacing="0" w:after="76" w:afterAutospacing="0" w:line="330" w:lineRule="atLeast"/>
        <w:ind w:left="0" w:right="0"/>
        <w:jc w:val="both"/>
      </w:pPr>
      <w:r>
        <w:rPr>
          <w:rFonts w:ascii="仿宋_GB2312" w:hAnsi="仿宋_GB2312" w:eastAsia="仿宋_GB2312" w:cs="仿宋_GB2312"/>
          <w:color w:val="000000"/>
          <w:sz w:val="27"/>
          <w:szCs w:val="27"/>
          <w:u w:val="none"/>
          <w:shd w:val="clear" w:fill="FFFFFF"/>
        </w:rPr>
        <w:t>    第七条  招标控制价应采用综合单价计价，应包括招标文件中划分的由投标人承担的风险范围及其费用。</w:t>
      </w:r>
    </w:p>
    <w:p>
      <w:pPr>
        <w:pStyle w:val="3"/>
        <w:keepNext w:val="0"/>
        <w:keepLines w:val="0"/>
        <w:widowControl/>
        <w:suppressLineNumbers w:val="0"/>
        <w:spacing w:before="302" w:beforeAutospacing="0" w:after="76" w:afterAutospacing="0" w:line="330" w:lineRule="atLeast"/>
        <w:ind w:left="0" w:right="0"/>
      </w:pPr>
      <w:r>
        <w:rPr>
          <w:rFonts w:ascii="仿宋_GB2312" w:hAnsi="仿宋_GB2312" w:eastAsia="仿宋_GB2312" w:cs="仿宋_GB2312"/>
          <w:color w:val="000000"/>
          <w:sz w:val="27"/>
          <w:szCs w:val="27"/>
          <w:u w:val="none"/>
          <w:shd w:val="clear" w:fill="FFFFFF"/>
        </w:rPr>
        <w:t>     投标人的投标报价高于招标控制价的，其投标应予以拒绝。</w:t>
      </w:r>
    </w:p>
    <w:p>
      <w:pPr>
        <w:pStyle w:val="3"/>
        <w:keepNext w:val="0"/>
        <w:keepLines w:val="0"/>
        <w:widowControl/>
        <w:suppressLineNumbers w:val="0"/>
        <w:spacing w:before="302" w:beforeAutospacing="0" w:after="76" w:afterAutospacing="0" w:line="330" w:lineRule="atLeast"/>
        <w:ind w:left="0" w:right="0"/>
        <w:jc w:val="both"/>
      </w:pPr>
      <w:r>
        <w:rPr>
          <w:rFonts w:ascii="仿宋_GB2312" w:hAnsi="仿宋_GB2312" w:eastAsia="仿宋_GB2312" w:cs="仿宋_GB2312"/>
          <w:color w:val="000000"/>
          <w:sz w:val="27"/>
          <w:szCs w:val="27"/>
          <w:u w:val="none"/>
          <w:shd w:val="clear" w:fill="FFFFFF"/>
        </w:rPr>
        <w:t>    第八条  采用工程量清单招标的工程项目开标后，先由评标委员会对投标文件进行基础性数据分析和整理（清标内容见附件1），形成清标成果。出现否定事项的，经质询不能合理说明理由或不能提供有效证明材料的，评标委员会可判定为不合理报价，不得进入下步评审；经质询能合理说明理由或提供有效证明材料的，评标委员会应判定为合理报价，进入下步评审。</w:t>
      </w:r>
    </w:p>
    <w:p>
      <w:pPr>
        <w:pStyle w:val="3"/>
        <w:keepNext w:val="0"/>
        <w:keepLines w:val="0"/>
        <w:widowControl/>
        <w:suppressLineNumbers w:val="0"/>
        <w:spacing w:before="302" w:beforeAutospacing="0" w:after="76" w:afterAutospacing="0" w:line="330" w:lineRule="atLeast"/>
        <w:ind w:left="0" w:right="0"/>
        <w:jc w:val="both"/>
      </w:pPr>
      <w:r>
        <w:rPr>
          <w:rFonts w:ascii="仿宋_GB2312" w:hAnsi="仿宋_GB2312" w:eastAsia="仿宋_GB2312" w:cs="仿宋_GB2312"/>
          <w:color w:val="000000"/>
          <w:sz w:val="27"/>
          <w:szCs w:val="27"/>
          <w:u w:val="none"/>
          <w:shd w:val="clear" w:fill="FFFFFF"/>
        </w:rPr>
        <w:t>    评标委员会的组成人员中具有注册造价工程师资格的评委应不少于两名。</w:t>
      </w:r>
    </w:p>
    <w:p>
      <w:pPr>
        <w:pStyle w:val="3"/>
        <w:keepNext w:val="0"/>
        <w:keepLines w:val="0"/>
        <w:widowControl/>
        <w:suppressLineNumbers w:val="0"/>
        <w:spacing w:before="302" w:beforeAutospacing="0" w:after="76" w:afterAutospacing="0" w:line="330" w:lineRule="atLeast"/>
        <w:ind w:left="0" w:right="0"/>
        <w:jc w:val="both"/>
      </w:pPr>
      <w:r>
        <w:rPr>
          <w:rFonts w:ascii="仿宋_GB2312" w:hAnsi="仿宋_GB2312" w:eastAsia="仿宋_GB2312" w:cs="仿宋_GB2312"/>
          <w:color w:val="000000"/>
          <w:sz w:val="27"/>
          <w:szCs w:val="27"/>
          <w:u w:val="none"/>
          <w:shd w:val="clear" w:fill="FFFFFF"/>
        </w:rPr>
        <w:t>    评标委员会在评标过程中，发现投标文件存在下列情形之一的，按废标处理。</w:t>
      </w:r>
    </w:p>
    <w:p>
      <w:pPr>
        <w:pStyle w:val="3"/>
        <w:keepNext w:val="0"/>
        <w:keepLines w:val="0"/>
        <w:widowControl/>
        <w:suppressLineNumbers w:val="0"/>
        <w:spacing w:before="302" w:beforeAutospacing="0" w:after="76" w:afterAutospacing="0" w:line="330" w:lineRule="atLeast"/>
        <w:ind w:left="0" w:right="0"/>
        <w:jc w:val="both"/>
      </w:pPr>
      <w:r>
        <w:rPr>
          <w:rFonts w:ascii="仿宋_GB2312" w:hAnsi="仿宋_GB2312" w:eastAsia="仿宋_GB2312" w:cs="仿宋_GB2312"/>
          <w:color w:val="000000"/>
          <w:sz w:val="27"/>
          <w:szCs w:val="27"/>
          <w:u w:val="none"/>
          <w:shd w:val="clear" w:fill="FFFFFF"/>
        </w:rPr>
        <w:t>    1.未按招标文件规定编制各项报价的；</w:t>
      </w:r>
    </w:p>
    <w:p>
      <w:pPr>
        <w:pStyle w:val="3"/>
        <w:keepNext w:val="0"/>
        <w:keepLines w:val="0"/>
        <w:widowControl/>
        <w:suppressLineNumbers w:val="0"/>
        <w:spacing w:before="302" w:beforeAutospacing="0" w:after="76" w:afterAutospacing="0" w:line="330" w:lineRule="atLeast"/>
        <w:ind w:left="0" w:right="0"/>
        <w:jc w:val="both"/>
      </w:pPr>
      <w:r>
        <w:rPr>
          <w:rFonts w:ascii="仿宋_GB2312" w:hAnsi="仿宋_GB2312" w:eastAsia="仿宋_GB2312" w:cs="仿宋_GB2312"/>
          <w:color w:val="000000"/>
          <w:sz w:val="27"/>
          <w:szCs w:val="27"/>
          <w:u w:val="none"/>
          <w:shd w:val="clear" w:fill="FFFFFF"/>
        </w:rPr>
        <w:t>   2.投标总报价与其组成部分、工程量清单项目合价与综合单价、综合单价与人材机用量相互矛盾，致使评标委员会无法正常评审判定的；</w:t>
      </w:r>
    </w:p>
    <w:p>
      <w:pPr>
        <w:pStyle w:val="3"/>
        <w:keepNext w:val="0"/>
        <w:keepLines w:val="0"/>
        <w:widowControl/>
        <w:suppressLineNumbers w:val="0"/>
        <w:spacing w:before="302" w:beforeAutospacing="0" w:after="76" w:afterAutospacing="0" w:line="330" w:lineRule="atLeast"/>
        <w:ind w:left="0" w:right="0"/>
        <w:jc w:val="both"/>
      </w:pPr>
      <w:r>
        <w:rPr>
          <w:rFonts w:ascii="仿宋_GB2312" w:hAnsi="仿宋_GB2312" w:eastAsia="仿宋_GB2312" w:cs="仿宋_GB2312"/>
          <w:color w:val="000000"/>
          <w:sz w:val="27"/>
          <w:szCs w:val="27"/>
          <w:u w:val="none"/>
          <w:shd w:val="clear" w:fill="FFFFFF"/>
        </w:rPr>
        <w:t>    3.规费和税金、安全文明施工措施费违背工程造价管理规定的；</w:t>
      </w:r>
    </w:p>
    <w:p>
      <w:pPr>
        <w:pStyle w:val="3"/>
        <w:keepNext w:val="0"/>
        <w:keepLines w:val="0"/>
        <w:widowControl/>
        <w:suppressLineNumbers w:val="0"/>
        <w:spacing w:before="302" w:beforeAutospacing="0" w:after="76" w:afterAutospacing="0" w:line="330" w:lineRule="atLeast"/>
        <w:ind w:left="0" w:right="0"/>
        <w:jc w:val="both"/>
      </w:pPr>
      <w:r>
        <w:rPr>
          <w:rFonts w:ascii="仿宋_GB2312" w:hAnsi="仿宋_GB2312" w:eastAsia="仿宋_GB2312" w:cs="仿宋_GB2312"/>
          <w:color w:val="000000"/>
          <w:sz w:val="27"/>
          <w:szCs w:val="27"/>
          <w:u w:val="none"/>
          <w:shd w:val="clear" w:fill="FFFFFF"/>
        </w:rPr>
        <w:t>   4.分部分项工程项目、措施项目报价中的项目编码、项目名称、项目特征、计量单位和工程量与招标文件的清单不一致的；</w:t>
      </w:r>
    </w:p>
    <w:p>
      <w:pPr>
        <w:pStyle w:val="3"/>
        <w:keepNext w:val="0"/>
        <w:keepLines w:val="0"/>
        <w:widowControl/>
        <w:suppressLineNumbers w:val="0"/>
        <w:spacing w:before="302" w:beforeAutospacing="0" w:after="76" w:afterAutospacing="0" w:line="330" w:lineRule="atLeast"/>
        <w:ind w:left="0" w:right="0"/>
        <w:jc w:val="both"/>
      </w:pPr>
      <w:r>
        <w:rPr>
          <w:rFonts w:ascii="仿宋_GB2312" w:hAnsi="仿宋_GB2312" w:eastAsia="仿宋_GB2312" w:cs="仿宋_GB2312"/>
          <w:color w:val="000000"/>
          <w:sz w:val="27"/>
          <w:szCs w:val="27"/>
          <w:u w:val="none"/>
          <w:shd w:val="clear" w:fill="FFFFFF"/>
        </w:rPr>
        <w:t>    5.未按照暂列金额或者暂估价编制投标报价的。</w:t>
      </w:r>
    </w:p>
    <w:p>
      <w:pPr>
        <w:pStyle w:val="3"/>
        <w:keepNext w:val="0"/>
        <w:keepLines w:val="0"/>
        <w:widowControl/>
        <w:suppressLineNumbers w:val="0"/>
        <w:spacing w:before="302" w:beforeAutospacing="0" w:after="76" w:afterAutospacing="0" w:line="330" w:lineRule="atLeast"/>
        <w:ind w:left="0" w:right="0"/>
        <w:jc w:val="both"/>
      </w:pPr>
      <w:r>
        <w:rPr>
          <w:rFonts w:ascii="仿宋_GB2312" w:hAnsi="仿宋_GB2312" w:eastAsia="仿宋_GB2312" w:cs="仿宋_GB2312"/>
          <w:color w:val="000000"/>
          <w:sz w:val="27"/>
          <w:szCs w:val="27"/>
          <w:u w:val="none"/>
          <w:shd w:val="clear" w:fill="FFFFFF"/>
        </w:rPr>
        <w:t>    第九条  投标文件的评审分初步评审和详细评审两个阶段。</w:t>
      </w:r>
    </w:p>
    <w:p>
      <w:pPr>
        <w:pStyle w:val="3"/>
        <w:keepNext w:val="0"/>
        <w:keepLines w:val="0"/>
        <w:widowControl/>
        <w:suppressLineNumbers w:val="0"/>
        <w:spacing w:before="302" w:beforeAutospacing="0" w:after="76" w:afterAutospacing="0" w:line="330" w:lineRule="atLeast"/>
        <w:ind w:left="0" w:right="0"/>
        <w:jc w:val="both"/>
      </w:pPr>
      <w:r>
        <w:rPr>
          <w:rFonts w:ascii="仿宋_GB2312" w:hAnsi="仿宋_GB2312" w:eastAsia="仿宋_GB2312" w:cs="仿宋_GB2312"/>
          <w:color w:val="000000"/>
          <w:sz w:val="27"/>
          <w:szCs w:val="27"/>
          <w:u w:val="none"/>
          <w:shd w:val="clear" w:fill="FFFFFF"/>
        </w:rPr>
        <w:t>    初步评审是指评标委员会按招标文件要求对所有投标文件真实性、符合性、响应性和重大偏差逐一评审，经审查不符合招标文件要求的，不再进入详细评审阶段。初步评审主要包括以下内容：</w:t>
      </w:r>
    </w:p>
    <w:p>
      <w:pPr>
        <w:pStyle w:val="3"/>
        <w:keepNext w:val="0"/>
        <w:keepLines w:val="0"/>
        <w:widowControl/>
        <w:suppressLineNumbers w:val="0"/>
        <w:spacing w:before="302" w:beforeAutospacing="0" w:after="76" w:afterAutospacing="0" w:line="330" w:lineRule="atLeast"/>
        <w:ind w:left="0" w:right="0"/>
      </w:pPr>
      <w:r>
        <w:rPr>
          <w:rFonts w:ascii="仿宋_GB2312" w:hAnsi="仿宋_GB2312" w:eastAsia="仿宋_GB2312" w:cs="仿宋_GB2312"/>
          <w:color w:val="000000"/>
          <w:sz w:val="27"/>
          <w:szCs w:val="27"/>
          <w:u w:val="none"/>
          <w:shd w:val="clear" w:fill="FFFFFF"/>
        </w:rPr>
        <w:t>    1.投标文件未经投标单位盖章和单位负责人签字；</w:t>
      </w:r>
      <w:r>
        <w:rPr>
          <w:rFonts w:ascii="Tahoma" w:hAnsi="Tahoma" w:eastAsia="Tahoma" w:cs="Tahoma"/>
          <w:color w:val="000000"/>
          <w:sz w:val="18"/>
          <w:szCs w:val="18"/>
          <w:shd w:val="clear" w:fill="FFFFFF"/>
        </w:rPr>
        <w:br w:type="textWrapping"/>
      </w:r>
      <w:r>
        <w:rPr>
          <w:rFonts w:ascii="仿宋_GB2312" w:hAnsi="仿宋_GB2312" w:eastAsia="仿宋_GB2312" w:cs="仿宋_GB2312"/>
          <w:color w:val="000000"/>
          <w:sz w:val="27"/>
          <w:szCs w:val="27"/>
          <w:u w:val="none"/>
          <w:shd w:val="clear" w:fill="FFFFFF"/>
        </w:rPr>
        <w:t>　　 2.投标联合体没有提交共同投标协议；</w:t>
      </w:r>
      <w:r>
        <w:rPr>
          <w:rFonts w:hint="default" w:ascii="Tahoma" w:hAnsi="Tahoma" w:eastAsia="Tahoma" w:cs="Tahoma"/>
          <w:color w:val="000000"/>
          <w:sz w:val="18"/>
          <w:szCs w:val="18"/>
          <w:shd w:val="clear" w:fill="FFFFFF"/>
        </w:rPr>
        <w:br w:type="textWrapping"/>
      </w:r>
      <w:r>
        <w:rPr>
          <w:rFonts w:ascii="仿宋_GB2312" w:hAnsi="仿宋_GB2312" w:eastAsia="仿宋_GB2312" w:cs="仿宋_GB2312"/>
          <w:color w:val="000000"/>
          <w:sz w:val="27"/>
          <w:szCs w:val="27"/>
          <w:u w:val="none"/>
          <w:shd w:val="clear" w:fill="FFFFFF"/>
        </w:rPr>
        <w:t>　　 3.投标人不符合国家或者招标文件规定的资格条件；</w:t>
      </w:r>
      <w:r>
        <w:rPr>
          <w:rFonts w:hint="default" w:ascii="Tahoma" w:hAnsi="Tahoma" w:eastAsia="Tahoma" w:cs="Tahoma"/>
          <w:color w:val="000000"/>
          <w:sz w:val="18"/>
          <w:szCs w:val="18"/>
          <w:shd w:val="clear" w:fill="FFFFFF"/>
        </w:rPr>
        <w:br w:type="textWrapping"/>
      </w:r>
      <w:r>
        <w:rPr>
          <w:rFonts w:ascii="仿宋_GB2312" w:hAnsi="仿宋_GB2312" w:eastAsia="仿宋_GB2312" w:cs="仿宋_GB2312"/>
          <w:color w:val="000000"/>
          <w:sz w:val="27"/>
          <w:szCs w:val="27"/>
          <w:u w:val="none"/>
          <w:shd w:val="clear" w:fill="FFFFFF"/>
        </w:rPr>
        <w:t>　　 4.同一投标人提交两个以上不同的投标文件或者投标报价，但招标文件要求提交备选投标的除外；</w:t>
      </w:r>
    </w:p>
    <w:p>
      <w:pPr>
        <w:pStyle w:val="3"/>
        <w:keepNext w:val="0"/>
        <w:keepLines w:val="0"/>
        <w:widowControl/>
        <w:suppressLineNumbers w:val="0"/>
        <w:spacing w:before="302" w:beforeAutospacing="0" w:after="76" w:afterAutospacing="0" w:line="330" w:lineRule="atLeast"/>
        <w:ind w:left="0" w:right="0"/>
      </w:pPr>
      <w:r>
        <w:rPr>
          <w:rFonts w:ascii="仿宋_GB2312" w:hAnsi="仿宋_GB2312" w:eastAsia="仿宋_GB2312" w:cs="仿宋_GB2312"/>
          <w:color w:val="000000"/>
          <w:sz w:val="27"/>
          <w:szCs w:val="27"/>
          <w:u w:val="none"/>
          <w:shd w:val="clear" w:fill="FFFFFF"/>
        </w:rPr>
        <w:t>    5.投标报价高于招标文件设定的最高投标限价；</w:t>
      </w:r>
      <w:r>
        <w:rPr>
          <w:rFonts w:hint="default" w:ascii="Tahoma" w:hAnsi="Tahoma" w:eastAsia="Tahoma" w:cs="Tahoma"/>
          <w:color w:val="000000"/>
          <w:sz w:val="18"/>
          <w:szCs w:val="18"/>
          <w:shd w:val="clear" w:fill="FFFFFF"/>
        </w:rPr>
        <w:br w:type="textWrapping"/>
      </w:r>
      <w:r>
        <w:rPr>
          <w:rFonts w:ascii="仿宋_GB2312" w:hAnsi="仿宋_GB2312" w:eastAsia="仿宋_GB2312" w:cs="仿宋_GB2312"/>
          <w:color w:val="000000"/>
          <w:sz w:val="27"/>
          <w:szCs w:val="27"/>
          <w:u w:val="none"/>
          <w:shd w:val="clear" w:fill="FFFFFF"/>
        </w:rPr>
        <w:t>　　 6.投标标的物、工期、工程质量、付款方式不符合招标文件规定；</w:t>
      </w:r>
      <w:r>
        <w:rPr>
          <w:rFonts w:hint="default" w:ascii="Tahoma" w:hAnsi="Tahoma" w:eastAsia="Tahoma" w:cs="Tahoma"/>
          <w:color w:val="000000"/>
          <w:sz w:val="18"/>
          <w:szCs w:val="18"/>
          <w:shd w:val="clear" w:fill="FFFFFF"/>
        </w:rPr>
        <w:br w:type="textWrapping"/>
      </w:r>
      <w:r>
        <w:rPr>
          <w:rFonts w:ascii="仿宋_GB2312" w:hAnsi="仿宋_GB2312" w:eastAsia="仿宋_GB2312" w:cs="仿宋_GB2312"/>
          <w:color w:val="000000"/>
          <w:sz w:val="27"/>
          <w:szCs w:val="27"/>
          <w:u w:val="none"/>
          <w:shd w:val="clear" w:fill="FFFFFF"/>
        </w:rPr>
        <w:t>　　 7.投标人有串通投标、弄虚作假、行贿等违法行为。</w:t>
      </w:r>
    </w:p>
    <w:p>
      <w:pPr>
        <w:pStyle w:val="3"/>
        <w:keepNext w:val="0"/>
        <w:keepLines w:val="0"/>
        <w:widowControl/>
        <w:suppressLineNumbers w:val="0"/>
        <w:spacing w:before="302" w:beforeAutospacing="0" w:after="76" w:afterAutospacing="0" w:line="330" w:lineRule="atLeast"/>
        <w:ind w:left="0" w:right="0"/>
        <w:jc w:val="both"/>
      </w:pPr>
      <w:r>
        <w:rPr>
          <w:rFonts w:ascii="仿宋_GB2312" w:hAnsi="仿宋_GB2312" w:eastAsia="仿宋_GB2312" w:cs="仿宋_GB2312"/>
          <w:color w:val="000000"/>
          <w:sz w:val="27"/>
          <w:szCs w:val="27"/>
          <w:u w:val="none"/>
          <w:shd w:val="clear" w:fill="FFFFFF"/>
        </w:rPr>
        <w:t>   详细评审是对初步评审合格投标文件的技术标、商务标、综合标按照招标文件中明确的评标办法以列表、随机抽取的方式进行分析、比较和评审。</w:t>
      </w:r>
    </w:p>
    <w:p>
      <w:pPr>
        <w:pStyle w:val="3"/>
        <w:keepNext w:val="0"/>
        <w:keepLines w:val="0"/>
        <w:widowControl/>
        <w:suppressLineNumbers w:val="0"/>
        <w:spacing w:before="302" w:beforeAutospacing="0" w:after="76" w:afterAutospacing="0" w:line="330" w:lineRule="atLeast"/>
        <w:ind w:left="0" w:right="0"/>
        <w:jc w:val="both"/>
      </w:pPr>
      <w:r>
        <w:rPr>
          <w:rFonts w:ascii="仿宋_GB2312" w:hAnsi="仿宋_GB2312" w:eastAsia="仿宋_GB2312" w:cs="仿宋_GB2312"/>
          <w:color w:val="000000"/>
          <w:sz w:val="27"/>
          <w:szCs w:val="27"/>
          <w:u w:val="none"/>
          <w:shd w:val="clear" w:fill="FFFFFF"/>
        </w:rPr>
        <w:t>    初步评审和详细评审经审查后应写出评审意见。</w:t>
      </w:r>
    </w:p>
    <w:p>
      <w:pPr>
        <w:pStyle w:val="3"/>
        <w:keepNext w:val="0"/>
        <w:keepLines w:val="0"/>
        <w:widowControl/>
        <w:suppressLineNumbers w:val="0"/>
        <w:spacing w:before="302" w:beforeAutospacing="0" w:after="76" w:afterAutospacing="0" w:line="330" w:lineRule="atLeast"/>
        <w:ind w:left="0" w:right="0"/>
        <w:jc w:val="both"/>
      </w:pPr>
      <w:r>
        <w:rPr>
          <w:rFonts w:ascii="仿宋_GB2312" w:hAnsi="仿宋_GB2312" w:eastAsia="仿宋_GB2312" w:cs="仿宋_GB2312"/>
          <w:color w:val="000000"/>
          <w:sz w:val="27"/>
          <w:szCs w:val="27"/>
          <w:u w:val="none"/>
          <w:shd w:val="clear" w:fill="FFFFFF"/>
        </w:rPr>
        <w:t>    第十条  规费、税金、安全文明施工措施费属于不可竞争费用，应按河南省及许昌市现行的计价依据及其计价办法的规定计算。上述费用应计入投标总报价，并在投标函、投标函附录中单列，不参与商务标评审。</w:t>
      </w:r>
    </w:p>
    <w:p>
      <w:pPr>
        <w:pStyle w:val="3"/>
        <w:keepNext w:val="0"/>
        <w:keepLines w:val="0"/>
        <w:widowControl/>
        <w:suppressLineNumbers w:val="0"/>
        <w:spacing w:before="302" w:beforeAutospacing="0" w:after="76" w:afterAutospacing="0" w:line="330" w:lineRule="atLeast"/>
        <w:ind w:left="0" w:right="0"/>
        <w:jc w:val="both"/>
      </w:pPr>
      <w:r>
        <w:rPr>
          <w:rFonts w:ascii="仿宋_GB2312" w:hAnsi="仿宋_GB2312" w:eastAsia="仿宋_GB2312" w:cs="仿宋_GB2312"/>
          <w:color w:val="000000"/>
          <w:sz w:val="27"/>
          <w:szCs w:val="27"/>
          <w:u w:val="none"/>
          <w:shd w:val="clear" w:fill="FFFFFF"/>
        </w:rPr>
        <w:t>   第十一条  评标办法分为两种：经评审的最低投标价法和综合计分法。采用综合计分法评标的，必须经市政府批准后方可实行。</w:t>
      </w:r>
    </w:p>
    <w:p>
      <w:pPr>
        <w:pStyle w:val="3"/>
        <w:keepNext w:val="0"/>
        <w:keepLines w:val="0"/>
        <w:widowControl/>
        <w:suppressLineNumbers w:val="0"/>
        <w:spacing w:before="302" w:beforeAutospacing="0" w:after="76" w:afterAutospacing="0" w:line="330" w:lineRule="atLeast"/>
        <w:ind w:left="0" w:right="0"/>
        <w:jc w:val="both"/>
      </w:pPr>
      <w:r>
        <w:rPr>
          <w:rFonts w:ascii="仿宋_GB2312" w:hAnsi="仿宋_GB2312" w:eastAsia="仿宋_GB2312" w:cs="仿宋_GB2312"/>
          <w:color w:val="000000"/>
          <w:sz w:val="27"/>
          <w:szCs w:val="27"/>
          <w:u w:val="none"/>
          <w:shd w:val="clear" w:fill="FFFFFF"/>
        </w:rPr>
        <w:t>   第十二条  采用经评审的最低投标价法评标的，评标委员会根据招标文件要求，对商务标、技术标进行评审。</w:t>
      </w:r>
    </w:p>
    <w:p>
      <w:pPr>
        <w:pStyle w:val="3"/>
        <w:keepNext w:val="0"/>
        <w:keepLines w:val="0"/>
        <w:widowControl/>
        <w:suppressLineNumbers w:val="0"/>
        <w:spacing w:before="302" w:beforeAutospacing="0" w:after="76" w:afterAutospacing="0" w:line="330" w:lineRule="atLeast"/>
        <w:ind w:left="0" w:right="0"/>
        <w:jc w:val="both"/>
      </w:pPr>
      <w:r>
        <w:rPr>
          <w:rFonts w:ascii="仿宋_GB2312" w:hAnsi="仿宋_GB2312" w:eastAsia="仿宋_GB2312" w:cs="仿宋_GB2312"/>
          <w:color w:val="000000"/>
          <w:sz w:val="27"/>
          <w:szCs w:val="27"/>
          <w:u w:val="none"/>
          <w:shd w:val="clear" w:fill="FFFFFF"/>
        </w:rPr>
        <w:t>   （一）对商务标进行详细评审。包括分部分项工程项目清单、措施费项目、主要材料项目。</w:t>
      </w:r>
    </w:p>
    <w:p>
      <w:pPr>
        <w:pStyle w:val="3"/>
        <w:keepNext w:val="0"/>
        <w:keepLines w:val="0"/>
        <w:widowControl/>
        <w:suppressLineNumbers w:val="0"/>
        <w:spacing w:before="302" w:beforeAutospacing="0" w:after="76" w:afterAutospacing="0" w:line="330" w:lineRule="atLeast"/>
        <w:ind w:left="0" w:right="0"/>
        <w:jc w:val="both"/>
      </w:pPr>
      <w:r>
        <w:rPr>
          <w:rFonts w:ascii="仿宋_GB2312" w:hAnsi="仿宋_GB2312" w:eastAsia="仿宋_GB2312" w:cs="仿宋_GB2312"/>
          <w:color w:val="000000"/>
          <w:sz w:val="27"/>
          <w:szCs w:val="27"/>
          <w:u w:val="none"/>
          <w:shd w:val="clear" w:fill="FFFFFF"/>
        </w:rPr>
        <w:t>   1.分部分项工程项目依据招标文件规定的方式抽取10—20项，分析综合单价报价是否合理。分部分项工程项目综合单价按有效投标人综合单价的算术平均值作为基准价。当投标人的综合单价低于基准价12%的工程项目数量超过抽取数量的50%时，评标委员会应对其质询。</w:t>
      </w:r>
    </w:p>
    <w:p>
      <w:pPr>
        <w:pStyle w:val="3"/>
        <w:keepNext w:val="0"/>
        <w:keepLines w:val="0"/>
        <w:widowControl/>
        <w:suppressLineNumbers w:val="0"/>
        <w:spacing w:before="302" w:beforeAutospacing="0" w:after="76" w:afterAutospacing="0" w:line="330" w:lineRule="atLeast"/>
        <w:ind w:left="0" w:right="0"/>
        <w:jc w:val="both"/>
      </w:pPr>
      <w:r>
        <w:rPr>
          <w:rFonts w:ascii="仿宋_GB2312" w:hAnsi="仿宋_GB2312" w:eastAsia="仿宋_GB2312" w:cs="仿宋_GB2312"/>
          <w:color w:val="000000"/>
          <w:sz w:val="27"/>
          <w:szCs w:val="27"/>
          <w:u w:val="none"/>
          <w:shd w:val="clear" w:fill="FFFFFF"/>
        </w:rPr>
        <w:t>   2.措施费项目按有效投标人措施费报价的算术平均值作为基准价，低于基准价20%的措施费报价，评标委员会应对其质询。</w:t>
      </w:r>
    </w:p>
    <w:p>
      <w:pPr>
        <w:pStyle w:val="3"/>
        <w:keepNext w:val="0"/>
        <w:keepLines w:val="0"/>
        <w:widowControl/>
        <w:suppressLineNumbers w:val="0"/>
        <w:spacing w:before="302" w:beforeAutospacing="0" w:after="76" w:afterAutospacing="0" w:line="330" w:lineRule="atLeast"/>
        <w:ind w:left="0" w:right="0"/>
        <w:jc w:val="both"/>
      </w:pPr>
      <w:r>
        <w:rPr>
          <w:rFonts w:ascii="仿宋_GB2312" w:hAnsi="仿宋_GB2312" w:eastAsia="仿宋_GB2312" w:cs="仿宋_GB2312"/>
          <w:color w:val="000000"/>
          <w:sz w:val="27"/>
          <w:szCs w:val="27"/>
          <w:u w:val="none"/>
          <w:shd w:val="clear" w:fill="FFFFFF"/>
        </w:rPr>
        <w:t>   3.主要材料项目依据招标文件规定的方式抽取10—15项，分析材料单价报价是否合理。主要材料单价按有效投标人材料单价的算术平均值作为基准价，当投标人的材料单价低于基准价12%的材料数量超过抽取数量的50%时，评标委员会应对其质询。 </w:t>
      </w:r>
    </w:p>
    <w:p>
      <w:pPr>
        <w:pStyle w:val="3"/>
        <w:keepNext w:val="0"/>
        <w:keepLines w:val="0"/>
        <w:widowControl/>
        <w:suppressLineNumbers w:val="0"/>
        <w:spacing w:before="302" w:beforeAutospacing="0" w:after="76" w:afterAutospacing="0" w:line="330" w:lineRule="atLeast"/>
        <w:ind w:left="0" w:right="0"/>
        <w:jc w:val="both"/>
      </w:pPr>
      <w:r>
        <w:rPr>
          <w:rFonts w:ascii="仿宋_GB2312" w:hAnsi="仿宋_GB2312" w:eastAsia="仿宋_GB2312" w:cs="仿宋_GB2312"/>
          <w:color w:val="000000"/>
          <w:sz w:val="27"/>
          <w:szCs w:val="27"/>
          <w:u w:val="none"/>
          <w:shd w:val="clear" w:fill="FFFFFF"/>
        </w:rPr>
        <w:t>  评标委员会对以上三项中的质询结果，认为不能合理说明或提供相应证明材料的，评标委员会可判定为报价不合理。经评标委员会评审，定为合理报价的，按照投标人投标总报价由低到高进行排序，对前三名投标人的技术标进行评审。</w:t>
      </w:r>
    </w:p>
    <w:p>
      <w:pPr>
        <w:pStyle w:val="3"/>
        <w:keepNext w:val="0"/>
        <w:keepLines w:val="0"/>
        <w:widowControl/>
        <w:suppressLineNumbers w:val="0"/>
        <w:spacing w:before="302" w:beforeAutospacing="0" w:after="76" w:afterAutospacing="0" w:line="330" w:lineRule="atLeast"/>
        <w:ind w:left="0" w:right="0"/>
        <w:jc w:val="both"/>
      </w:pPr>
      <w:r>
        <w:rPr>
          <w:rFonts w:ascii="仿宋_GB2312" w:hAnsi="仿宋_GB2312" w:eastAsia="仿宋_GB2312" w:cs="仿宋_GB2312"/>
          <w:color w:val="000000"/>
          <w:sz w:val="27"/>
          <w:szCs w:val="27"/>
          <w:u w:val="none"/>
          <w:shd w:val="clear" w:fill="FFFFFF"/>
        </w:rPr>
        <w:t>   （二）对技术标进行详细评审。评标委员会对投标人的技术标通过综合计分作出“可行”和“不可行”认定（技术标评审内容详见附件2）。   </w:t>
      </w:r>
    </w:p>
    <w:p>
      <w:pPr>
        <w:pStyle w:val="3"/>
        <w:keepNext w:val="0"/>
        <w:keepLines w:val="0"/>
        <w:widowControl/>
        <w:suppressLineNumbers w:val="0"/>
        <w:spacing w:before="302" w:beforeAutospacing="0" w:after="76" w:afterAutospacing="0" w:line="330" w:lineRule="atLeast"/>
        <w:ind w:left="0" w:right="0"/>
        <w:jc w:val="both"/>
      </w:pPr>
      <w:r>
        <w:rPr>
          <w:rFonts w:ascii="仿宋_GB2312" w:hAnsi="仿宋_GB2312" w:eastAsia="仿宋_GB2312" w:cs="仿宋_GB2312"/>
          <w:color w:val="000000"/>
          <w:sz w:val="27"/>
          <w:szCs w:val="27"/>
          <w:u w:val="none"/>
          <w:shd w:val="clear" w:fill="FFFFFF"/>
        </w:rPr>
        <w:t>   技术标得分≥60分时应做出“可行”认定，技术标得分&lt;60分时应做出“不可行”认定。评标委员会认为技术标“不可行”的，应当在评标报告中注明原因或理由。在技术标的详细评审过程中，若前三名的投标人的技术标被认定为“不可行”的，按投标人报标总报价的排序添加，添加后的技术标按以上规定评审。</w:t>
      </w:r>
    </w:p>
    <w:p>
      <w:pPr>
        <w:pStyle w:val="3"/>
        <w:keepNext w:val="0"/>
        <w:keepLines w:val="0"/>
        <w:widowControl/>
        <w:suppressLineNumbers w:val="0"/>
        <w:spacing w:before="302" w:beforeAutospacing="0" w:after="76" w:afterAutospacing="0" w:line="330" w:lineRule="atLeast"/>
        <w:ind w:left="0" w:right="0"/>
        <w:jc w:val="both"/>
      </w:pPr>
      <w:r>
        <w:rPr>
          <w:rFonts w:ascii="仿宋_GB2312" w:hAnsi="仿宋_GB2312" w:eastAsia="仿宋_GB2312" w:cs="仿宋_GB2312"/>
          <w:color w:val="000000"/>
          <w:sz w:val="27"/>
          <w:szCs w:val="27"/>
          <w:u w:val="none"/>
          <w:shd w:val="clear" w:fill="FFFFFF"/>
        </w:rPr>
        <w:t>   经评标委员会评审，定为合理报价且技术标“可行”的，按照投标总报价由低到高顺序，推荐前三名作为中标候选人。</w:t>
      </w:r>
    </w:p>
    <w:p>
      <w:pPr>
        <w:pStyle w:val="3"/>
        <w:keepNext w:val="0"/>
        <w:keepLines w:val="0"/>
        <w:widowControl/>
        <w:suppressLineNumbers w:val="0"/>
        <w:spacing w:before="302" w:beforeAutospacing="0" w:after="76" w:afterAutospacing="0" w:line="330" w:lineRule="atLeast"/>
        <w:ind w:left="0" w:right="0"/>
        <w:jc w:val="both"/>
      </w:pPr>
      <w:r>
        <w:rPr>
          <w:rFonts w:ascii="仿宋_GB2312" w:hAnsi="仿宋_GB2312" w:eastAsia="仿宋_GB2312" w:cs="仿宋_GB2312"/>
          <w:color w:val="000000"/>
          <w:sz w:val="27"/>
          <w:szCs w:val="27"/>
          <w:u w:val="none"/>
          <w:shd w:val="clear" w:fill="FFFFFF"/>
        </w:rPr>
        <w:t>   第十三条  采用综合计分法评标的，评标委员会根据招标文件要求应从技术标、商务标、综合（信用）标三部分进行综合评审。技术标的权重占20%，商务标的权重占60%，综合（信用）标的权重占20%。</w:t>
      </w:r>
    </w:p>
    <w:p>
      <w:pPr>
        <w:pStyle w:val="3"/>
        <w:keepNext w:val="0"/>
        <w:keepLines w:val="0"/>
        <w:widowControl/>
        <w:suppressLineNumbers w:val="0"/>
        <w:spacing w:before="302" w:beforeAutospacing="0" w:after="76" w:afterAutospacing="0" w:line="330" w:lineRule="atLeast"/>
        <w:ind w:left="0" w:right="0"/>
        <w:jc w:val="both"/>
      </w:pPr>
      <w:r>
        <w:rPr>
          <w:rFonts w:ascii="仿宋_GB2312" w:hAnsi="仿宋_GB2312" w:eastAsia="仿宋_GB2312" w:cs="仿宋_GB2312"/>
          <w:color w:val="000000"/>
          <w:sz w:val="27"/>
          <w:szCs w:val="27"/>
          <w:u w:val="none"/>
          <w:shd w:val="clear" w:fill="FFFFFF"/>
        </w:rPr>
        <w:t>   （一）工程量清单总报价评标基准价按下列公式确定：</w:t>
      </w:r>
    </w:p>
    <w:p>
      <w:pPr>
        <w:pStyle w:val="3"/>
        <w:keepNext w:val="0"/>
        <w:keepLines w:val="0"/>
        <w:widowControl/>
        <w:suppressLineNumbers w:val="0"/>
        <w:spacing w:before="302" w:beforeAutospacing="0" w:after="76" w:afterAutospacing="0" w:line="330" w:lineRule="atLeast"/>
        <w:ind w:left="0" w:right="0"/>
        <w:jc w:val="both"/>
      </w:pPr>
      <w:r>
        <w:rPr>
          <w:rFonts w:ascii="仿宋_GB2312" w:hAnsi="仿宋_GB2312" w:eastAsia="仿宋_GB2312" w:cs="仿宋_GB2312"/>
          <w:color w:val="000000"/>
          <w:sz w:val="27"/>
          <w:szCs w:val="27"/>
          <w:u w:val="none"/>
          <w:shd w:val="clear" w:fill="FFFFFF"/>
        </w:rPr>
        <w:t>    评标基准价＝招标控制价×K+投标总报价×（1－K）</w:t>
      </w:r>
    </w:p>
    <w:p>
      <w:pPr>
        <w:pStyle w:val="3"/>
        <w:keepNext w:val="0"/>
        <w:keepLines w:val="0"/>
        <w:widowControl/>
        <w:suppressLineNumbers w:val="0"/>
        <w:spacing w:before="302" w:beforeAutospacing="0" w:after="76" w:afterAutospacing="0" w:line="330" w:lineRule="atLeast"/>
        <w:ind w:left="0" w:right="0"/>
        <w:jc w:val="both"/>
      </w:pPr>
      <w:r>
        <w:rPr>
          <w:rFonts w:ascii="仿宋_GB2312" w:hAnsi="仿宋_GB2312" w:eastAsia="仿宋_GB2312" w:cs="仿宋_GB2312"/>
          <w:color w:val="000000"/>
          <w:sz w:val="27"/>
          <w:szCs w:val="27"/>
          <w:u w:val="none"/>
          <w:shd w:val="clear" w:fill="FFFFFF"/>
        </w:rPr>
        <w:t>   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pStyle w:val="3"/>
        <w:keepNext w:val="0"/>
        <w:keepLines w:val="0"/>
        <w:widowControl/>
        <w:suppressLineNumbers w:val="0"/>
        <w:spacing w:before="302" w:beforeAutospacing="0" w:after="76" w:afterAutospacing="0" w:line="330" w:lineRule="atLeast"/>
        <w:ind w:left="0" w:right="0"/>
      </w:pPr>
      <w:r>
        <w:rPr>
          <w:rFonts w:ascii="仿宋_GB2312" w:hAnsi="仿宋_GB2312" w:eastAsia="仿宋_GB2312" w:cs="仿宋_GB2312"/>
          <w:color w:val="000000"/>
          <w:sz w:val="27"/>
          <w:szCs w:val="27"/>
          <w:u w:val="none"/>
          <w:shd w:val="clear" w:fill="FFFFFF"/>
        </w:rPr>
        <w:t>K为招标控制价权重系数，0.1≤K≤0.5，在开标现场随机抽取。</w:t>
      </w:r>
    </w:p>
    <w:p>
      <w:pPr>
        <w:pStyle w:val="3"/>
        <w:keepNext w:val="0"/>
        <w:keepLines w:val="0"/>
        <w:widowControl/>
        <w:suppressLineNumbers w:val="0"/>
        <w:spacing w:before="302" w:beforeAutospacing="0" w:after="76" w:afterAutospacing="0" w:line="330" w:lineRule="atLeast"/>
        <w:ind w:left="0" w:right="0"/>
        <w:jc w:val="both"/>
      </w:pPr>
      <w:r>
        <w:rPr>
          <w:rFonts w:ascii="仿宋_GB2312" w:hAnsi="仿宋_GB2312" w:eastAsia="仿宋_GB2312" w:cs="仿宋_GB2312"/>
          <w:color w:val="000000"/>
          <w:sz w:val="27"/>
          <w:szCs w:val="27"/>
          <w:u w:val="none"/>
          <w:shd w:val="clear" w:fill="FFFFFF"/>
        </w:rPr>
        <w:t>    （二）技术标的评标分值20分（详细评审内容见附件2）</w:t>
      </w:r>
    </w:p>
    <w:p>
      <w:pPr>
        <w:pStyle w:val="3"/>
        <w:keepNext w:val="0"/>
        <w:keepLines w:val="0"/>
        <w:widowControl/>
        <w:suppressLineNumbers w:val="0"/>
        <w:spacing w:before="302" w:beforeAutospacing="0" w:after="76" w:afterAutospacing="0" w:line="330" w:lineRule="atLeast"/>
        <w:ind w:left="0" w:right="0"/>
        <w:jc w:val="both"/>
      </w:pPr>
      <w:r>
        <w:rPr>
          <w:rFonts w:ascii="仿宋_GB2312" w:hAnsi="仿宋_GB2312" w:eastAsia="仿宋_GB2312" w:cs="仿宋_GB2312"/>
          <w:color w:val="000000"/>
          <w:sz w:val="27"/>
          <w:szCs w:val="27"/>
          <w:u w:val="none"/>
          <w:shd w:val="clear" w:fill="FFFFFF"/>
        </w:rPr>
        <w:t>    （三）商务标的评标分值60分</w:t>
      </w:r>
    </w:p>
    <w:p>
      <w:pPr>
        <w:pStyle w:val="3"/>
        <w:keepNext w:val="0"/>
        <w:keepLines w:val="0"/>
        <w:widowControl/>
        <w:suppressLineNumbers w:val="0"/>
        <w:spacing w:before="302" w:beforeAutospacing="0" w:after="76" w:afterAutospacing="0" w:line="330" w:lineRule="atLeast"/>
        <w:ind w:left="0" w:right="0"/>
        <w:textAlignment w:val="baseline"/>
      </w:pPr>
      <w:r>
        <w:rPr>
          <w:rFonts w:ascii="仿宋_GB2312" w:hAnsi="仿宋_GB2312" w:eastAsia="仿宋_GB2312" w:cs="仿宋_GB2312"/>
          <w:color w:val="000000"/>
          <w:sz w:val="27"/>
          <w:szCs w:val="27"/>
          <w:u w:val="none"/>
          <w:shd w:val="clear" w:fill="FFFFFF"/>
          <w:vertAlign w:val="baseline"/>
        </w:rPr>
        <w:t>    1.投标报价的评审30分</w:t>
      </w:r>
    </w:p>
    <w:p>
      <w:pPr>
        <w:pStyle w:val="3"/>
        <w:keepNext w:val="0"/>
        <w:keepLines w:val="0"/>
        <w:widowControl/>
        <w:suppressLineNumbers w:val="0"/>
        <w:spacing w:before="302" w:beforeAutospacing="0" w:after="76" w:afterAutospacing="0" w:line="330" w:lineRule="atLeast"/>
        <w:ind w:left="0" w:right="0"/>
        <w:textAlignment w:val="baseline"/>
      </w:pPr>
      <w:r>
        <w:rPr>
          <w:rFonts w:ascii="仿宋_GB2312" w:hAnsi="仿宋_GB2312" w:eastAsia="仿宋_GB2312" w:cs="仿宋_GB2312"/>
          <w:color w:val="000000"/>
          <w:sz w:val="27"/>
          <w:szCs w:val="27"/>
          <w:u w:val="none"/>
          <w:shd w:val="clear" w:fill="FFFFFF"/>
          <w:vertAlign w:val="baseline"/>
        </w:rPr>
        <w:t>    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w:t>
      </w:r>
    </w:p>
    <w:p>
      <w:pPr>
        <w:pStyle w:val="3"/>
        <w:keepNext w:val="0"/>
        <w:keepLines w:val="0"/>
        <w:widowControl/>
        <w:suppressLineNumbers w:val="0"/>
        <w:spacing w:before="302" w:beforeAutospacing="0" w:after="76" w:afterAutospacing="0" w:line="330" w:lineRule="atLeast"/>
        <w:ind w:left="0" w:right="0"/>
        <w:textAlignment w:val="baseline"/>
      </w:pPr>
      <w:r>
        <w:rPr>
          <w:rFonts w:ascii="仿宋_GB2312" w:hAnsi="仿宋_GB2312" w:eastAsia="仿宋_GB2312" w:cs="仿宋_GB2312"/>
          <w:color w:val="000000"/>
          <w:sz w:val="27"/>
          <w:szCs w:val="27"/>
          <w:u w:val="none"/>
          <w:shd w:val="clear" w:fill="FFFFFF"/>
          <w:vertAlign w:val="baseline"/>
        </w:rPr>
        <w:t>    2.分部分项工程项目综合单价的评审15分</w:t>
      </w:r>
    </w:p>
    <w:p>
      <w:pPr>
        <w:pStyle w:val="3"/>
        <w:keepNext w:val="0"/>
        <w:keepLines w:val="0"/>
        <w:widowControl/>
        <w:suppressLineNumbers w:val="0"/>
        <w:spacing w:before="302" w:beforeAutospacing="0" w:after="76" w:afterAutospacing="0" w:line="330" w:lineRule="atLeast"/>
        <w:ind w:left="0" w:right="0"/>
        <w:textAlignment w:val="baseline"/>
      </w:pPr>
      <w:r>
        <w:rPr>
          <w:rFonts w:ascii="仿宋_GB2312" w:hAnsi="仿宋_GB2312" w:eastAsia="仿宋_GB2312" w:cs="仿宋_GB2312"/>
          <w:color w:val="000000"/>
          <w:sz w:val="27"/>
          <w:szCs w:val="27"/>
          <w:u w:val="none"/>
          <w:shd w:val="clear" w:fill="FFFFFF"/>
          <w:vertAlign w:val="baseline"/>
        </w:rPr>
        <w:t>    分部分项工程项目综合单价随机选择15项清单项目。清单项目综合单价以各有效投标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pStyle w:val="3"/>
        <w:keepNext w:val="0"/>
        <w:keepLines w:val="0"/>
        <w:widowControl/>
        <w:suppressLineNumbers w:val="0"/>
        <w:spacing w:before="302" w:beforeAutospacing="0" w:after="76" w:afterAutospacing="0" w:line="330" w:lineRule="atLeast"/>
        <w:ind w:left="0" w:right="0"/>
        <w:textAlignment w:val="baseline"/>
      </w:pPr>
      <w:r>
        <w:rPr>
          <w:rFonts w:ascii="仿宋_GB2312" w:hAnsi="仿宋_GB2312" w:eastAsia="仿宋_GB2312" w:cs="仿宋_GB2312"/>
          <w:color w:val="000000"/>
          <w:sz w:val="27"/>
          <w:szCs w:val="27"/>
          <w:u w:val="none"/>
          <w:shd w:val="clear" w:fill="FFFFFF"/>
          <w:vertAlign w:val="baseline"/>
        </w:rPr>
        <w:t>    3.措施项目的评审5分</w:t>
      </w:r>
    </w:p>
    <w:p>
      <w:pPr>
        <w:pStyle w:val="3"/>
        <w:keepNext w:val="0"/>
        <w:keepLines w:val="0"/>
        <w:widowControl/>
        <w:suppressLineNumbers w:val="0"/>
        <w:spacing w:before="302" w:beforeAutospacing="0" w:after="76" w:afterAutospacing="0" w:line="330" w:lineRule="atLeast"/>
        <w:ind w:left="0" w:right="0"/>
        <w:textAlignment w:val="baseline"/>
      </w:pPr>
      <w:r>
        <w:rPr>
          <w:rFonts w:ascii="仿宋_GB2312" w:hAnsi="仿宋_GB2312" w:eastAsia="仿宋_GB2312" w:cs="仿宋_GB2312"/>
          <w:color w:val="000000"/>
          <w:sz w:val="27"/>
          <w:szCs w:val="27"/>
          <w:u w:val="none"/>
          <w:shd w:val="clear" w:fill="FFFFFF"/>
          <w:vertAlign w:val="baseline"/>
        </w:rPr>
        <w:t>    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w:t>
      </w:r>
    </w:p>
    <w:p>
      <w:pPr>
        <w:pStyle w:val="3"/>
        <w:keepNext w:val="0"/>
        <w:keepLines w:val="0"/>
        <w:widowControl/>
        <w:suppressLineNumbers w:val="0"/>
        <w:spacing w:before="302" w:beforeAutospacing="0" w:after="76" w:afterAutospacing="0" w:line="330" w:lineRule="atLeast"/>
        <w:ind w:left="0" w:right="0"/>
        <w:textAlignment w:val="baseline"/>
      </w:pPr>
      <w:r>
        <w:rPr>
          <w:rFonts w:ascii="仿宋_GB2312" w:hAnsi="仿宋_GB2312" w:eastAsia="仿宋_GB2312" w:cs="仿宋_GB2312"/>
          <w:color w:val="000000"/>
          <w:sz w:val="27"/>
          <w:szCs w:val="27"/>
          <w:u w:val="none"/>
          <w:shd w:val="clear" w:fill="FFFFFF"/>
          <w:vertAlign w:val="baseline"/>
        </w:rPr>
        <w:t>    4.主要材料单价的评审10分</w:t>
      </w:r>
    </w:p>
    <w:p>
      <w:pPr>
        <w:pStyle w:val="3"/>
        <w:keepNext w:val="0"/>
        <w:keepLines w:val="0"/>
        <w:widowControl/>
        <w:suppressLineNumbers w:val="0"/>
        <w:spacing w:before="302" w:beforeAutospacing="0" w:after="76" w:afterAutospacing="0" w:line="330" w:lineRule="atLeast"/>
        <w:ind w:left="0" w:right="0"/>
        <w:textAlignment w:val="baseline"/>
      </w:pPr>
      <w:r>
        <w:rPr>
          <w:rFonts w:ascii="仿宋_GB2312" w:hAnsi="仿宋_GB2312" w:eastAsia="仿宋_GB2312" w:cs="仿宋_GB2312"/>
          <w:color w:val="000000"/>
          <w:sz w:val="27"/>
          <w:szCs w:val="27"/>
          <w:u w:val="none"/>
          <w:shd w:val="clear" w:fill="FFFFFF"/>
          <w:vertAlign w:val="baseline"/>
        </w:rPr>
        <w:t>    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pPr>
        <w:pStyle w:val="3"/>
        <w:keepNext w:val="0"/>
        <w:keepLines w:val="0"/>
        <w:widowControl/>
        <w:suppressLineNumbers w:val="0"/>
        <w:spacing w:before="302" w:beforeAutospacing="0" w:after="76" w:afterAutospacing="0" w:line="330" w:lineRule="atLeast"/>
        <w:ind w:left="0" w:right="0"/>
        <w:textAlignment w:val="baseline"/>
      </w:pPr>
      <w:r>
        <w:rPr>
          <w:rFonts w:ascii="仿宋_GB2312" w:hAnsi="仿宋_GB2312" w:eastAsia="仿宋_GB2312" w:cs="仿宋_GB2312"/>
          <w:color w:val="000000"/>
          <w:sz w:val="27"/>
          <w:szCs w:val="27"/>
          <w:u w:val="none"/>
          <w:shd w:val="clear" w:fill="FFFFFF"/>
          <w:vertAlign w:val="baseline"/>
        </w:rPr>
        <w:t>    （四）综合（信用）标的评标分值20分</w:t>
      </w:r>
    </w:p>
    <w:p>
      <w:pPr>
        <w:pStyle w:val="3"/>
        <w:keepNext w:val="0"/>
        <w:keepLines w:val="0"/>
        <w:widowControl/>
        <w:suppressLineNumbers w:val="0"/>
        <w:spacing w:before="302" w:beforeAutospacing="0" w:after="76" w:afterAutospacing="0" w:line="330" w:lineRule="atLeast"/>
        <w:ind w:left="0" w:right="0"/>
        <w:textAlignment w:val="baseline"/>
      </w:pPr>
      <w:r>
        <w:rPr>
          <w:rFonts w:ascii="仿宋_GB2312" w:hAnsi="仿宋_GB2312" w:eastAsia="仿宋_GB2312" w:cs="仿宋_GB2312"/>
          <w:color w:val="000000"/>
          <w:sz w:val="27"/>
          <w:szCs w:val="27"/>
          <w:u w:val="none"/>
          <w:shd w:val="clear" w:fill="FFFFFF"/>
          <w:vertAlign w:val="baseline"/>
        </w:rPr>
        <w:t>    1.项目班子配备    0-5分</w:t>
      </w:r>
    </w:p>
    <w:p>
      <w:pPr>
        <w:pStyle w:val="3"/>
        <w:keepNext w:val="0"/>
        <w:keepLines w:val="0"/>
        <w:widowControl/>
        <w:suppressLineNumbers w:val="0"/>
        <w:spacing w:before="302" w:beforeAutospacing="0" w:after="76" w:afterAutospacing="0" w:line="330" w:lineRule="atLeast"/>
        <w:ind w:left="0" w:right="0"/>
        <w:textAlignment w:val="baseline"/>
      </w:pPr>
      <w:r>
        <w:rPr>
          <w:rFonts w:ascii="仿宋_GB2312" w:hAnsi="仿宋_GB2312" w:eastAsia="仿宋_GB2312" w:cs="仿宋_GB2312"/>
          <w:color w:val="000000"/>
          <w:sz w:val="27"/>
          <w:szCs w:val="27"/>
          <w:u w:val="none"/>
          <w:shd w:val="clear" w:fill="FFFFFF"/>
          <w:vertAlign w:val="baseline"/>
        </w:rPr>
        <w:t>    2.企业综合信用    0-5分</w:t>
      </w:r>
    </w:p>
    <w:p>
      <w:pPr>
        <w:pStyle w:val="3"/>
        <w:keepNext w:val="0"/>
        <w:keepLines w:val="0"/>
        <w:widowControl/>
        <w:suppressLineNumbers w:val="0"/>
        <w:spacing w:before="302" w:beforeAutospacing="0" w:after="76" w:afterAutospacing="0" w:line="330" w:lineRule="atLeast"/>
        <w:ind w:left="0" w:right="0"/>
        <w:textAlignment w:val="baseline"/>
      </w:pPr>
      <w:r>
        <w:rPr>
          <w:rFonts w:ascii="仿宋_GB2312" w:hAnsi="仿宋_GB2312" w:eastAsia="仿宋_GB2312" w:cs="仿宋_GB2312"/>
          <w:color w:val="000000"/>
          <w:sz w:val="27"/>
          <w:szCs w:val="27"/>
          <w:u w:val="none"/>
          <w:shd w:val="clear" w:fill="FFFFFF"/>
          <w:vertAlign w:val="baseline"/>
        </w:rPr>
        <w:t>    3.项目经理业绩及信用  0-5分</w:t>
      </w:r>
    </w:p>
    <w:p>
      <w:pPr>
        <w:pStyle w:val="3"/>
        <w:keepNext w:val="0"/>
        <w:keepLines w:val="0"/>
        <w:widowControl/>
        <w:suppressLineNumbers w:val="0"/>
        <w:spacing w:before="302" w:beforeAutospacing="0" w:after="76" w:afterAutospacing="0" w:line="330" w:lineRule="atLeast"/>
        <w:ind w:left="0" w:right="0"/>
        <w:textAlignment w:val="baseline"/>
      </w:pPr>
      <w:r>
        <w:rPr>
          <w:rFonts w:ascii="仿宋_GB2312" w:hAnsi="仿宋_GB2312" w:eastAsia="仿宋_GB2312" w:cs="仿宋_GB2312"/>
          <w:color w:val="000000"/>
          <w:sz w:val="27"/>
          <w:szCs w:val="27"/>
          <w:u w:val="none"/>
          <w:shd w:val="clear" w:fill="FFFFFF"/>
          <w:vertAlign w:val="baseline"/>
        </w:rPr>
        <w:t>    4.服务承诺（含不拖欠农民工工资承诺、扬尘治理等内容）  0-5分</w:t>
      </w:r>
    </w:p>
    <w:p>
      <w:pPr>
        <w:pStyle w:val="3"/>
        <w:keepNext w:val="0"/>
        <w:keepLines w:val="0"/>
        <w:widowControl/>
        <w:suppressLineNumbers w:val="0"/>
        <w:spacing w:before="302" w:beforeAutospacing="0" w:after="76" w:afterAutospacing="0" w:line="330" w:lineRule="atLeast"/>
        <w:ind w:left="0" w:right="0"/>
        <w:jc w:val="both"/>
      </w:pPr>
      <w:r>
        <w:rPr>
          <w:rFonts w:ascii="仿宋_GB2312" w:hAnsi="仿宋_GB2312" w:eastAsia="仿宋_GB2312" w:cs="仿宋_GB2312"/>
          <w:color w:val="000000"/>
          <w:sz w:val="27"/>
          <w:szCs w:val="27"/>
          <w:u w:val="none"/>
          <w:shd w:val="clear" w:fill="FFFFFF"/>
        </w:rPr>
        <w:t>    （五）投标人综合得分按下列公式计算：</w:t>
      </w:r>
    </w:p>
    <w:p>
      <w:pPr>
        <w:pStyle w:val="3"/>
        <w:keepNext w:val="0"/>
        <w:keepLines w:val="0"/>
        <w:widowControl/>
        <w:suppressLineNumbers w:val="0"/>
        <w:spacing w:before="302" w:beforeAutospacing="0" w:after="76" w:afterAutospacing="0" w:line="330" w:lineRule="atLeast"/>
        <w:ind w:left="0" w:right="0"/>
        <w:jc w:val="both"/>
      </w:pPr>
      <w:r>
        <w:rPr>
          <w:rFonts w:ascii="仿宋_GB2312" w:hAnsi="仿宋_GB2312" w:eastAsia="仿宋_GB2312" w:cs="仿宋_GB2312"/>
          <w:color w:val="000000"/>
          <w:sz w:val="27"/>
          <w:szCs w:val="27"/>
          <w:u w:val="none"/>
          <w:shd w:val="clear" w:fill="FFFFFF"/>
        </w:rPr>
        <w:t>    投标人综合得分＝技术标得分＋商务标得分＋综合（信用）标得分。</w:t>
      </w:r>
    </w:p>
    <w:p>
      <w:pPr>
        <w:pStyle w:val="3"/>
        <w:keepNext w:val="0"/>
        <w:keepLines w:val="0"/>
        <w:widowControl/>
        <w:suppressLineNumbers w:val="0"/>
        <w:spacing w:before="302" w:beforeAutospacing="0" w:after="76" w:afterAutospacing="0" w:line="330" w:lineRule="atLeast"/>
        <w:ind w:left="0" w:right="0"/>
        <w:jc w:val="both"/>
      </w:pPr>
      <w:r>
        <w:rPr>
          <w:rFonts w:ascii="仿宋_GB2312" w:hAnsi="仿宋_GB2312" w:eastAsia="仿宋_GB2312" w:cs="仿宋_GB2312"/>
          <w:color w:val="000000"/>
          <w:sz w:val="27"/>
          <w:szCs w:val="27"/>
          <w:u w:val="none"/>
          <w:shd w:val="clear" w:fill="FFFFFF"/>
        </w:rPr>
        <w:t>（六）投标人的最终得分及中标候选人排序</w:t>
      </w:r>
    </w:p>
    <w:p>
      <w:pPr>
        <w:pStyle w:val="3"/>
        <w:keepNext w:val="0"/>
        <w:keepLines w:val="0"/>
        <w:widowControl/>
        <w:suppressLineNumbers w:val="0"/>
        <w:spacing w:before="302" w:beforeAutospacing="0" w:after="76" w:afterAutospacing="0" w:line="330" w:lineRule="atLeast"/>
        <w:ind w:left="0" w:right="0"/>
        <w:jc w:val="both"/>
      </w:pPr>
      <w:r>
        <w:rPr>
          <w:rFonts w:ascii="仿宋_GB2312" w:hAnsi="仿宋_GB2312" w:eastAsia="仿宋_GB2312" w:cs="仿宋_GB2312"/>
          <w:color w:val="000000"/>
          <w:sz w:val="27"/>
          <w:szCs w:val="27"/>
          <w:u w:val="none"/>
          <w:shd w:val="clear" w:fill="FFFFFF"/>
        </w:rPr>
        <w:t>    1.评标委员会完成对技术标、商务标和综合（信用）标的汇总后，从中去掉一个最高分和一个最低分，取平均值作为该投标人的最终得分。计算分值均保留两位小数。</w:t>
      </w:r>
    </w:p>
    <w:p>
      <w:pPr>
        <w:pStyle w:val="3"/>
        <w:keepNext w:val="0"/>
        <w:keepLines w:val="0"/>
        <w:widowControl/>
        <w:suppressLineNumbers w:val="0"/>
        <w:spacing w:before="302" w:beforeAutospacing="0" w:after="76" w:afterAutospacing="0" w:line="330" w:lineRule="atLeast"/>
        <w:ind w:left="0" w:right="0"/>
        <w:jc w:val="both"/>
      </w:pPr>
      <w:r>
        <w:rPr>
          <w:rFonts w:ascii="仿宋_GB2312" w:hAnsi="仿宋_GB2312" w:eastAsia="仿宋_GB2312" w:cs="仿宋_GB2312"/>
          <w:color w:val="000000"/>
          <w:sz w:val="27"/>
          <w:szCs w:val="27"/>
          <w:u w:val="none"/>
          <w:shd w:val="clear" w:fill="FFFFFF"/>
        </w:rPr>
        <w:t>    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pPr>
        <w:pStyle w:val="3"/>
        <w:keepNext w:val="0"/>
        <w:keepLines w:val="0"/>
        <w:widowControl/>
        <w:suppressLineNumbers w:val="0"/>
        <w:spacing w:before="302" w:beforeAutospacing="0" w:after="76" w:afterAutospacing="0" w:line="330" w:lineRule="atLeast"/>
        <w:ind w:left="0" w:right="0"/>
      </w:pPr>
      <w:r>
        <w:rPr>
          <w:rFonts w:ascii="仿宋_GB2312" w:hAnsi="仿宋_GB2312" w:eastAsia="仿宋_GB2312" w:cs="仿宋_GB2312"/>
          <w:color w:val="000000"/>
          <w:sz w:val="27"/>
          <w:szCs w:val="27"/>
          <w:u w:val="none"/>
          <w:shd w:val="clear" w:fill="FFFFFF"/>
        </w:rPr>
        <w:t>第十四条  国有资金投资的建设工程依法必须进行招标的项目，评标委员会按规定否决不合格投标后，有效投标人只剩一家且投标报价为所有投标人报价中最高的，投标明显缺乏竞争的，评标委员会应当否决全部投标。</w:t>
      </w:r>
    </w:p>
    <w:p>
      <w:pPr>
        <w:pStyle w:val="3"/>
        <w:keepNext w:val="0"/>
        <w:keepLines w:val="0"/>
        <w:widowControl/>
        <w:suppressLineNumbers w:val="0"/>
        <w:spacing w:before="302" w:beforeAutospacing="0" w:after="76" w:afterAutospacing="0" w:line="330" w:lineRule="atLeast"/>
        <w:ind w:left="0" w:right="0"/>
        <w:jc w:val="both"/>
      </w:pPr>
      <w:r>
        <w:rPr>
          <w:rFonts w:ascii="仿宋_GB2312" w:hAnsi="仿宋_GB2312" w:eastAsia="仿宋_GB2312" w:cs="仿宋_GB2312"/>
          <w:color w:val="000000"/>
          <w:sz w:val="27"/>
          <w:szCs w:val="27"/>
          <w:u w:val="none"/>
          <w:shd w:val="clear" w:fill="FFFFFF"/>
        </w:rPr>
        <w:t>    第十五条  使用电子招投标系统进行评标的，按有关要求执行。</w:t>
      </w:r>
    </w:p>
    <w:p>
      <w:pPr>
        <w:pStyle w:val="3"/>
        <w:keepNext w:val="0"/>
        <w:keepLines w:val="0"/>
        <w:widowControl/>
        <w:suppressLineNumbers w:val="0"/>
        <w:spacing w:before="302" w:beforeAutospacing="0" w:after="76" w:afterAutospacing="0" w:line="330" w:lineRule="atLeast"/>
        <w:ind w:left="0" w:right="0"/>
      </w:pPr>
      <w:r>
        <w:rPr>
          <w:rFonts w:ascii="仿宋_GB2312" w:hAnsi="仿宋_GB2312" w:eastAsia="仿宋_GB2312" w:cs="仿宋_GB2312"/>
          <w:color w:val="000000"/>
          <w:sz w:val="27"/>
          <w:szCs w:val="27"/>
          <w:u w:val="none"/>
          <w:shd w:val="clear" w:fill="FFFFFF"/>
        </w:rPr>
        <w:t>    第十六条  本办法自印发之日起施行，《许昌市房屋建筑和市政基础设施工程工程量清单计价招标评标办法（试行）》（许发改办〔2010〕328号）、《许昌市财政投资绿化工程施工合理低价评审随机摇号评标办法（试行）》（许治工发〔2013〕1号）文件同时废止。</w:t>
      </w:r>
    </w:p>
    <w:p>
      <w:pPr>
        <w:pStyle w:val="3"/>
        <w:keepNext w:val="0"/>
        <w:keepLines w:val="0"/>
        <w:widowControl/>
        <w:suppressLineNumbers w:val="0"/>
        <w:spacing w:before="302" w:beforeAutospacing="0" w:after="76" w:afterAutospacing="0" w:line="330" w:lineRule="atLeast"/>
        <w:ind w:left="0" w:right="0"/>
      </w:pPr>
      <w:r>
        <w:rPr>
          <w:rFonts w:hint="default" w:ascii="Tahoma" w:hAnsi="Tahoma" w:eastAsia="Tahoma" w:cs="Tahoma"/>
          <w:color w:val="000000"/>
          <w:sz w:val="18"/>
          <w:szCs w:val="18"/>
          <w:shd w:val="clear" w:fill="FFFFFF"/>
        </w:rPr>
        <w:t> </w:t>
      </w:r>
    </w:p>
    <w:p>
      <w:pPr>
        <w:pStyle w:val="3"/>
        <w:keepNext w:val="0"/>
        <w:keepLines w:val="0"/>
        <w:widowControl/>
        <w:suppressLineNumbers w:val="0"/>
        <w:spacing w:before="302" w:beforeAutospacing="0" w:after="76" w:afterAutospacing="0" w:line="330" w:lineRule="atLeast"/>
        <w:ind w:left="0" w:right="0"/>
      </w:pPr>
      <w:r>
        <w:rPr>
          <w:rFonts w:hint="default" w:ascii="Tahoma" w:hAnsi="Tahoma" w:eastAsia="Tahoma" w:cs="Tahoma"/>
          <w:color w:val="000000"/>
          <w:sz w:val="18"/>
          <w:szCs w:val="18"/>
          <w:shd w:val="clear" w:fill="FFFFFF"/>
        </w:rPr>
        <w:t> </w:t>
      </w:r>
    </w:p>
    <w:p>
      <w:pPr>
        <w:pStyle w:val="3"/>
        <w:keepNext w:val="0"/>
        <w:keepLines w:val="0"/>
        <w:widowControl/>
        <w:suppressLineNumbers w:val="0"/>
        <w:spacing w:before="302" w:beforeAutospacing="0" w:after="76" w:afterAutospacing="0" w:line="330" w:lineRule="atLeast"/>
        <w:ind w:left="0" w:right="0"/>
      </w:pPr>
      <w:r>
        <w:rPr>
          <w:rFonts w:hint="default" w:ascii="Tahoma" w:hAnsi="Tahoma" w:eastAsia="Tahoma" w:cs="Tahoma"/>
          <w:color w:val="000000"/>
          <w:sz w:val="18"/>
          <w:szCs w:val="18"/>
          <w:shd w:val="clear" w:fill="FFFFFF"/>
        </w:rPr>
        <w:t> </w:t>
      </w:r>
    </w:p>
    <w:p>
      <w:pPr>
        <w:pStyle w:val="3"/>
        <w:keepNext w:val="0"/>
        <w:keepLines w:val="0"/>
        <w:widowControl/>
        <w:suppressLineNumbers w:val="0"/>
        <w:spacing w:before="302" w:beforeAutospacing="0" w:after="76" w:afterAutospacing="0" w:line="330" w:lineRule="atLeast"/>
        <w:ind w:left="0" w:right="0"/>
      </w:pPr>
      <w:r>
        <w:rPr>
          <w:rFonts w:hint="default" w:ascii="Tahoma" w:hAnsi="Tahoma" w:eastAsia="Tahoma" w:cs="Tahoma"/>
          <w:color w:val="000000"/>
          <w:sz w:val="18"/>
          <w:szCs w:val="18"/>
          <w:shd w:val="clear" w:fill="FFFFFF"/>
        </w:rPr>
        <w:t> </w:t>
      </w:r>
    </w:p>
    <w:p>
      <w:pPr>
        <w:pStyle w:val="3"/>
        <w:keepNext w:val="0"/>
        <w:keepLines w:val="0"/>
        <w:widowControl/>
        <w:suppressLineNumbers w:val="0"/>
        <w:spacing w:before="302" w:beforeAutospacing="0" w:after="76" w:afterAutospacing="0" w:line="330" w:lineRule="atLeast"/>
        <w:ind w:left="0" w:right="0"/>
      </w:pPr>
      <w:r>
        <w:rPr>
          <w:rFonts w:hint="default" w:ascii="Tahoma" w:hAnsi="Tahoma" w:eastAsia="Tahoma" w:cs="Tahoma"/>
          <w:color w:val="000000"/>
          <w:sz w:val="18"/>
          <w:szCs w:val="18"/>
          <w:shd w:val="clear" w:fill="FFFFFF"/>
        </w:rPr>
        <w:t> </w:t>
      </w:r>
    </w:p>
    <w:p>
      <w:pPr>
        <w:pStyle w:val="3"/>
        <w:keepNext w:val="0"/>
        <w:keepLines w:val="0"/>
        <w:widowControl/>
        <w:suppressLineNumbers w:val="0"/>
        <w:spacing w:before="302" w:beforeAutospacing="0" w:after="76" w:afterAutospacing="0" w:line="330" w:lineRule="atLeast"/>
        <w:ind w:left="0" w:right="0"/>
      </w:pPr>
      <w:r>
        <w:rPr>
          <w:rFonts w:hint="default" w:ascii="Tahoma" w:hAnsi="Tahoma" w:eastAsia="Tahoma" w:cs="Tahoma"/>
          <w:color w:val="000000"/>
          <w:sz w:val="18"/>
          <w:szCs w:val="18"/>
          <w:shd w:val="clear" w:fill="FFFFFF"/>
        </w:rPr>
        <w:t> </w:t>
      </w:r>
    </w:p>
    <w:p>
      <w:pPr>
        <w:pStyle w:val="3"/>
        <w:keepNext w:val="0"/>
        <w:keepLines w:val="0"/>
        <w:widowControl/>
        <w:suppressLineNumbers w:val="0"/>
        <w:spacing w:before="302" w:beforeAutospacing="0" w:after="76" w:afterAutospacing="0" w:line="330" w:lineRule="atLeast"/>
        <w:ind w:left="0" w:right="0"/>
      </w:pPr>
      <w:r>
        <w:rPr>
          <w:rFonts w:hint="default" w:ascii="Tahoma" w:hAnsi="Tahoma" w:eastAsia="Tahoma" w:cs="Tahoma"/>
          <w:color w:val="000000"/>
          <w:sz w:val="18"/>
          <w:szCs w:val="18"/>
          <w:shd w:val="clear" w:fill="FFFFFF"/>
        </w:rPr>
        <w:t> </w:t>
      </w:r>
    </w:p>
    <w:p>
      <w:pPr>
        <w:pStyle w:val="3"/>
        <w:keepNext w:val="0"/>
        <w:keepLines w:val="0"/>
        <w:widowControl/>
        <w:suppressLineNumbers w:val="0"/>
        <w:spacing w:before="302" w:beforeAutospacing="0" w:after="76" w:afterAutospacing="0" w:line="330" w:lineRule="atLeast"/>
        <w:ind w:left="0" w:right="0"/>
      </w:pPr>
      <w:r>
        <w:rPr>
          <w:rFonts w:hint="default" w:ascii="Tahoma" w:hAnsi="Tahoma" w:eastAsia="Tahoma" w:cs="Tahoma"/>
          <w:color w:val="000000"/>
          <w:sz w:val="18"/>
          <w:szCs w:val="18"/>
          <w:shd w:val="clear" w:fill="FFFFFF"/>
        </w:rPr>
        <w:t> </w:t>
      </w:r>
    </w:p>
    <w:p>
      <w:pPr>
        <w:pStyle w:val="3"/>
        <w:keepNext w:val="0"/>
        <w:keepLines w:val="0"/>
        <w:widowControl/>
        <w:suppressLineNumbers w:val="0"/>
        <w:spacing w:before="302" w:beforeAutospacing="0" w:after="76" w:afterAutospacing="0" w:line="330" w:lineRule="atLeast"/>
        <w:ind w:left="0" w:right="0"/>
      </w:pPr>
      <w:r>
        <w:rPr>
          <w:rFonts w:hint="default" w:ascii="Tahoma" w:hAnsi="Tahoma" w:eastAsia="Tahoma" w:cs="Tahoma"/>
          <w:color w:val="000000"/>
          <w:sz w:val="18"/>
          <w:szCs w:val="18"/>
          <w:shd w:val="clear" w:fill="FFFFFF"/>
        </w:rPr>
        <w:t> </w:t>
      </w:r>
    </w:p>
    <w:p>
      <w:pPr>
        <w:pStyle w:val="3"/>
        <w:keepNext w:val="0"/>
        <w:keepLines w:val="0"/>
        <w:widowControl/>
        <w:suppressLineNumbers w:val="0"/>
        <w:spacing w:before="302" w:beforeAutospacing="0" w:after="76" w:afterAutospacing="0" w:line="330" w:lineRule="atLeast"/>
        <w:ind w:left="0" w:right="0"/>
      </w:pPr>
      <w:r>
        <w:rPr>
          <w:rFonts w:hint="default" w:ascii="Tahoma" w:hAnsi="Tahoma" w:eastAsia="Tahoma" w:cs="Tahoma"/>
          <w:color w:val="000000"/>
          <w:sz w:val="18"/>
          <w:szCs w:val="18"/>
          <w:shd w:val="clear" w:fill="FFFFFF"/>
        </w:rPr>
        <w:t> </w:t>
      </w:r>
    </w:p>
    <w:p>
      <w:pPr>
        <w:pStyle w:val="3"/>
        <w:keepNext w:val="0"/>
        <w:keepLines w:val="0"/>
        <w:widowControl/>
        <w:suppressLineNumbers w:val="0"/>
        <w:spacing w:before="302" w:beforeAutospacing="0" w:after="76" w:afterAutospacing="0" w:line="330" w:lineRule="atLeast"/>
        <w:ind w:left="0" w:right="0"/>
      </w:pPr>
      <w:r>
        <w:rPr>
          <w:rFonts w:hint="default" w:ascii="Tahoma" w:hAnsi="Tahoma" w:eastAsia="Tahoma" w:cs="Tahoma"/>
          <w:color w:val="000000"/>
          <w:sz w:val="18"/>
          <w:szCs w:val="18"/>
          <w:shd w:val="clear" w:fill="FFFFFF"/>
        </w:rPr>
        <w:t> </w:t>
      </w:r>
    </w:p>
    <w:p>
      <w:pPr>
        <w:pStyle w:val="3"/>
        <w:keepNext w:val="0"/>
        <w:keepLines w:val="0"/>
        <w:widowControl/>
        <w:suppressLineNumbers w:val="0"/>
        <w:spacing w:before="302" w:beforeAutospacing="0" w:after="76" w:afterAutospacing="0" w:line="330" w:lineRule="atLeast"/>
        <w:ind w:left="0" w:right="0"/>
      </w:pPr>
      <w:r>
        <w:rPr>
          <w:rFonts w:hint="default" w:ascii="Tahoma" w:hAnsi="Tahoma" w:eastAsia="Tahoma" w:cs="Tahoma"/>
          <w:color w:val="000000"/>
          <w:sz w:val="18"/>
          <w:szCs w:val="18"/>
          <w:shd w:val="clear" w:fill="FFFFFF"/>
        </w:rPr>
        <w:t> </w:t>
      </w:r>
    </w:p>
    <w:p>
      <w:pPr>
        <w:pStyle w:val="3"/>
        <w:keepNext w:val="0"/>
        <w:keepLines w:val="0"/>
        <w:widowControl/>
        <w:suppressLineNumbers w:val="0"/>
        <w:spacing w:before="302" w:beforeAutospacing="0" w:after="76" w:afterAutospacing="0" w:line="330" w:lineRule="atLeast"/>
        <w:ind w:left="0" w:right="0"/>
      </w:pPr>
      <w:r>
        <w:rPr>
          <w:rFonts w:ascii="仿宋_GB2312" w:hAnsi="仿宋_GB2312" w:eastAsia="仿宋_GB2312" w:cs="仿宋_GB2312"/>
          <w:color w:val="000000"/>
          <w:sz w:val="27"/>
          <w:szCs w:val="27"/>
          <w:u w:val="none"/>
          <w:shd w:val="clear" w:fill="FFFFFF"/>
        </w:rPr>
        <w:t>附件1</w:t>
      </w:r>
    </w:p>
    <w:p>
      <w:pPr>
        <w:pStyle w:val="3"/>
        <w:keepNext w:val="0"/>
        <w:keepLines w:val="0"/>
        <w:widowControl/>
        <w:suppressLineNumbers w:val="0"/>
        <w:spacing w:before="302" w:beforeAutospacing="0" w:after="76" w:afterAutospacing="0" w:line="330" w:lineRule="atLeast"/>
        <w:ind w:left="0" w:right="0"/>
        <w:jc w:val="center"/>
      </w:pPr>
      <w:r>
        <w:rPr>
          <w:rFonts w:ascii="仿宋_GB2312" w:hAnsi="仿宋_GB2312" w:eastAsia="仿宋_GB2312" w:cs="仿宋_GB2312"/>
          <w:color w:val="000000"/>
          <w:sz w:val="27"/>
          <w:szCs w:val="27"/>
          <w:u w:val="none"/>
          <w:shd w:val="clear" w:fill="FFFFFF"/>
        </w:rPr>
        <w:t>商务标清标内容</w:t>
      </w:r>
    </w:p>
    <w:tbl>
      <w:tblPr>
        <w:tblW w:w="9366" w:type="dxa"/>
        <w:jc w:val="center"/>
        <w:tblInd w:w="-5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92"/>
        <w:gridCol w:w="837"/>
        <w:gridCol w:w="2778"/>
        <w:gridCol w:w="3422"/>
        <w:gridCol w:w="815"/>
        <w:gridCol w:w="7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629" w:type="dxa"/>
            <w:gridSpan w:val="2"/>
            <w:vMerge w:val="restart"/>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序号</w:t>
            </w:r>
          </w:p>
        </w:tc>
        <w:tc>
          <w:tcPr>
            <w:tcW w:w="2778" w:type="dxa"/>
            <w:vMerge w:val="restart"/>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清标项目</w:t>
            </w:r>
          </w:p>
        </w:tc>
        <w:tc>
          <w:tcPr>
            <w:tcW w:w="3422" w:type="dxa"/>
            <w:vMerge w:val="restart"/>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清标内容</w:t>
            </w:r>
          </w:p>
        </w:tc>
        <w:tc>
          <w:tcPr>
            <w:tcW w:w="1537" w:type="dxa"/>
            <w:gridSpan w:val="2"/>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清标成果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629" w:type="dxa"/>
            <w:gridSpan w:val="2"/>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color w:val="000000"/>
                <w:sz w:val="24"/>
                <w:szCs w:val="24"/>
              </w:rPr>
            </w:pPr>
          </w:p>
        </w:tc>
        <w:tc>
          <w:tcPr>
            <w:tcW w:w="2778" w:type="dxa"/>
            <w:vMerge w:val="continue"/>
            <w:shd w:val="clear"/>
            <w:vAlign w:val="center"/>
          </w:tcPr>
          <w:p>
            <w:pPr>
              <w:rPr>
                <w:rFonts w:hint="default" w:ascii="Tahoma" w:hAnsi="Tahoma" w:eastAsia="Tahoma" w:cs="Tahoma"/>
                <w:color w:val="000000"/>
                <w:sz w:val="24"/>
                <w:szCs w:val="24"/>
              </w:rPr>
            </w:pPr>
          </w:p>
        </w:tc>
        <w:tc>
          <w:tcPr>
            <w:tcW w:w="3422" w:type="dxa"/>
            <w:vMerge w:val="continue"/>
            <w:shd w:val="clear"/>
            <w:vAlign w:val="center"/>
          </w:tcPr>
          <w:p>
            <w:pPr>
              <w:rPr>
                <w:rFonts w:hint="default" w:ascii="Tahoma" w:hAnsi="Tahoma" w:eastAsia="Tahoma" w:cs="Tahoma"/>
                <w:color w:val="000000"/>
                <w:sz w:val="24"/>
                <w:szCs w:val="24"/>
              </w:rPr>
            </w:pPr>
          </w:p>
        </w:tc>
        <w:tc>
          <w:tcPr>
            <w:tcW w:w="815"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是</w:t>
            </w:r>
          </w:p>
        </w:tc>
        <w:tc>
          <w:tcPr>
            <w:tcW w:w="722"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92" w:type="dxa"/>
            <w:vMerge w:val="restart"/>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1</w:t>
            </w:r>
          </w:p>
        </w:tc>
        <w:tc>
          <w:tcPr>
            <w:tcW w:w="837"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1.1</w:t>
            </w:r>
          </w:p>
        </w:tc>
        <w:tc>
          <w:tcPr>
            <w:tcW w:w="2778"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项目总报价</w:t>
            </w:r>
          </w:p>
        </w:tc>
        <w:tc>
          <w:tcPr>
            <w:tcW w:w="3422"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是否等于各单项工程造价之和</w:t>
            </w:r>
          </w:p>
        </w:tc>
        <w:tc>
          <w:tcPr>
            <w:tcW w:w="815"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hint="default" w:ascii="Tahoma" w:hAnsi="Tahoma" w:eastAsia="Tahoma" w:cs="Tahoma"/>
                <w:color w:val="000000"/>
              </w:rPr>
              <w:t> </w:t>
            </w:r>
          </w:p>
        </w:tc>
        <w:tc>
          <w:tcPr>
            <w:tcW w:w="722"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hint="default" w:ascii="Tahoma" w:hAnsi="Tahoma" w:eastAsia="Tahoma" w:cs="Tahoma"/>
                <w:color w:val="00000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792" w:type="dxa"/>
            <w:vMerge w:val="continue"/>
            <w:shd w:val="clear"/>
            <w:vAlign w:val="center"/>
          </w:tcPr>
          <w:p>
            <w:pPr>
              <w:rPr>
                <w:rFonts w:hint="default" w:ascii="Tahoma" w:hAnsi="Tahoma" w:eastAsia="Tahoma" w:cs="Tahoma"/>
                <w:color w:val="000000"/>
                <w:sz w:val="24"/>
                <w:szCs w:val="24"/>
              </w:rPr>
            </w:pPr>
          </w:p>
        </w:tc>
        <w:tc>
          <w:tcPr>
            <w:tcW w:w="837"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1.2</w:t>
            </w:r>
          </w:p>
        </w:tc>
        <w:tc>
          <w:tcPr>
            <w:tcW w:w="2778"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单项工程费</w:t>
            </w:r>
          </w:p>
        </w:tc>
        <w:tc>
          <w:tcPr>
            <w:tcW w:w="3422"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是否等于各单位工程造价之和</w:t>
            </w:r>
          </w:p>
        </w:tc>
        <w:tc>
          <w:tcPr>
            <w:tcW w:w="815"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hint="default" w:ascii="Tahoma" w:hAnsi="Tahoma" w:eastAsia="Tahoma" w:cs="Tahoma"/>
                <w:color w:val="000000"/>
              </w:rPr>
              <w:t> </w:t>
            </w:r>
          </w:p>
        </w:tc>
        <w:tc>
          <w:tcPr>
            <w:tcW w:w="722"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hint="default" w:ascii="Tahoma" w:hAnsi="Tahoma" w:eastAsia="Tahoma" w:cs="Tahoma"/>
                <w:color w:val="00000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92" w:type="dxa"/>
            <w:vMerge w:val="continue"/>
            <w:shd w:val="clear"/>
            <w:vAlign w:val="center"/>
          </w:tcPr>
          <w:p>
            <w:pPr>
              <w:rPr>
                <w:rFonts w:hint="default" w:ascii="Tahoma" w:hAnsi="Tahoma" w:eastAsia="Tahoma" w:cs="Tahoma"/>
                <w:color w:val="000000"/>
                <w:sz w:val="24"/>
                <w:szCs w:val="24"/>
              </w:rPr>
            </w:pPr>
          </w:p>
        </w:tc>
        <w:tc>
          <w:tcPr>
            <w:tcW w:w="837"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1.3</w:t>
            </w:r>
          </w:p>
        </w:tc>
        <w:tc>
          <w:tcPr>
            <w:tcW w:w="2778"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单位工程费</w:t>
            </w:r>
          </w:p>
        </w:tc>
        <w:tc>
          <w:tcPr>
            <w:tcW w:w="3422"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是否等于分部分项工程费+措施项目费+其它项目费+规费+税金之和</w:t>
            </w:r>
          </w:p>
        </w:tc>
        <w:tc>
          <w:tcPr>
            <w:tcW w:w="815"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hint="default" w:ascii="Tahoma" w:hAnsi="Tahoma" w:eastAsia="Tahoma" w:cs="Tahoma"/>
                <w:color w:val="000000"/>
              </w:rPr>
              <w:t> </w:t>
            </w:r>
          </w:p>
        </w:tc>
        <w:tc>
          <w:tcPr>
            <w:tcW w:w="722"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hint="default" w:ascii="Tahoma" w:hAnsi="Tahoma" w:eastAsia="Tahoma" w:cs="Tahoma"/>
                <w:color w:val="00000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792" w:type="dxa"/>
            <w:vMerge w:val="restart"/>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2</w:t>
            </w:r>
          </w:p>
        </w:tc>
        <w:tc>
          <w:tcPr>
            <w:tcW w:w="837"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2.1</w:t>
            </w:r>
          </w:p>
        </w:tc>
        <w:tc>
          <w:tcPr>
            <w:tcW w:w="2778"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分部分项工程费及单价措施费</w:t>
            </w:r>
          </w:p>
        </w:tc>
        <w:tc>
          <w:tcPr>
            <w:tcW w:w="3422"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是否等于各分部分项清单费之和</w:t>
            </w:r>
          </w:p>
        </w:tc>
        <w:tc>
          <w:tcPr>
            <w:tcW w:w="815"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hint="default" w:ascii="Tahoma" w:hAnsi="Tahoma" w:eastAsia="Tahoma" w:cs="Tahoma"/>
                <w:color w:val="000000"/>
              </w:rPr>
              <w:t> </w:t>
            </w:r>
          </w:p>
        </w:tc>
        <w:tc>
          <w:tcPr>
            <w:tcW w:w="722"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hint="default" w:ascii="Tahoma" w:hAnsi="Tahoma" w:eastAsia="Tahoma" w:cs="Tahoma"/>
                <w:color w:val="00000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92" w:type="dxa"/>
            <w:vMerge w:val="continue"/>
            <w:shd w:val="clear"/>
            <w:vAlign w:val="center"/>
          </w:tcPr>
          <w:p>
            <w:pPr>
              <w:rPr>
                <w:rFonts w:hint="default" w:ascii="Tahoma" w:hAnsi="Tahoma" w:eastAsia="Tahoma" w:cs="Tahoma"/>
                <w:color w:val="000000"/>
                <w:sz w:val="24"/>
                <w:szCs w:val="24"/>
              </w:rPr>
            </w:pPr>
          </w:p>
        </w:tc>
        <w:tc>
          <w:tcPr>
            <w:tcW w:w="837"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2.2</w:t>
            </w:r>
          </w:p>
        </w:tc>
        <w:tc>
          <w:tcPr>
            <w:tcW w:w="2778"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分部分项及单价措施项目编码</w:t>
            </w:r>
          </w:p>
        </w:tc>
        <w:tc>
          <w:tcPr>
            <w:tcW w:w="3422"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不得修改招标人清单</w:t>
            </w:r>
          </w:p>
        </w:tc>
        <w:tc>
          <w:tcPr>
            <w:tcW w:w="815"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hint="default" w:ascii="Tahoma" w:hAnsi="Tahoma" w:eastAsia="Tahoma" w:cs="Tahoma"/>
                <w:color w:val="000000"/>
              </w:rPr>
              <w:t> </w:t>
            </w:r>
          </w:p>
        </w:tc>
        <w:tc>
          <w:tcPr>
            <w:tcW w:w="722"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hint="default" w:ascii="Tahoma" w:hAnsi="Tahoma" w:eastAsia="Tahoma" w:cs="Tahoma"/>
                <w:color w:val="00000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792" w:type="dxa"/>
            <w:vMerge w:val="continue"/>
            <w:shd w:val="clear"/>
            <w:vAlign w:val="center"/>
          </w:tcPr>
          <w:p>
            <w:pPr>
              <w:rPr>
                <w:rFonts w:hint="default" w:ascii="Tahoma" w:hAnsi="Tahoma" w:eastAsia="Tahoma" w:cs="Tahoma"/>
                <w:color w:val="000000"/>
                <w:sz w:val="24"/>
                <w:szCs w:val="24"/>
              </w:rPr>
            </w:pPr>
          </w:p>
        </w:tc>
        <w:tc>
          <w:tcPr>
            <w:tcW w:w="837"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2.3</w:t>
            </w:r>
          </w:p>
        </w:tc>
        <w:tc>
          <w:tcPr>
            <w:tcW w:w="2778"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分部分项及单价措施项目名称</w:t>
            </w:r>
          </w:p>
        </w:tc>
        <w:tc>
          <w:tcPr>
            <w:tcW w:w="3422"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不得修改招标人清单</w:t>
            </w:r>
          </w:p>
        </w:tc>
        <w:tc>
          <w:tcPr>
            <w:tcW w:w="815"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hint="default" w:ascii="Tahoma" w:hAnsi="Tahoma" w:eastAsia="Tahoma" w:cs="Tahoma"/>
                <w:color w:val="000000"/>
              </w:rPr>
              <w:t> </w:t>
            </w:r>
          </w:p>
        </w:tc>
        <w:tc>
          <w:tcPr>
            <w:tcW w:w="722"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hint="default" w:ascii="Tahoma" w:hAnsi="Tahoma" w:eastAsia="Tahoma" w:cs="Tahoma"/>
                <w:color w:val="00000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92" w:type="dxa"/>
            <w:vMerge w:val="continue"/>
            <w:shd w:val="clear"/>
            <w:vAlign w:val="center"/>
          </w:tcPr>
          <w:p>
            <w:pPr>
              <w:rPr>
                <w:rFonts w:hint="default" w:ascii="Tahoma" w:hAnsi="Tahoma" w:eastAsia="Tahoma" w:cs="Tahoma"/>
                <w:color w:val="000000"/>
                <w:sz w:val="24"/>
                <w:szCs w:val="24"/>
              </w:rPr>
            </w:pPr>
          </w:p>
        </w:tc>
        <w:tc>
          <w:tcPr>
            <w:tcW w:w="837"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2.4</w:t>
            </w:r>
          </w:p>
        </w:tc>
        <w:tc>
          <w:tcPr>
            <w:tcW w:w="2778"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分部分项及单价措施项目特征</w:t>
            </w:r>
          </w:p>
        </w:tc>
        <w:tc>
          <w:tcPr>
            <w:tcW w:w="3422"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不得修改招标人清单</w:t>
            </w:r>
          </w:p>
        </w:tc>
        <w:tc>
          <w:tcPr>
            <w:tcW w:w="815"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hint="default" w:ascii="Tahoma" w:hAnsi="Tahoma" w:eastAsia="Tahoma" w:cs="Tahoma"/>
                <w:color w:val="000000"/>
              </w:rPr>
              <w:t> </w:t>
            </w:r>
          </w:p>
        </w:tc>
        <w:tc>
          <w:tcPr>
            <w:tcW w:w="722"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hint="default" w:ascii="Tahoma" w:hAnsi="Tahoma" w:eastAsia="Tahoma" w:cs="Tahoma"/>
                <w:color w:val="00000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792" w:type="dxa"/>
            <w:vMerge w:val="continue"/>
            <w:shd w:val="clear"/>
            <w:vAlign w:val="center"/>
          </w:tcPr>
          <w:p>
            <w:pPr>
              <w:rPr>
                <w:rFonts w:hint="default" w:ascii="Tahoma" w:hAnsi="Tahoma" w:eastAsia="Tahoma" w:cs="Tahoma"/>
                <w:color w:val="000000"/>
                <w:sz w:val="24"/>
                <w:szCs w:val="24"/>
              </w:rPr>
            </w:pPr>
          </w:p>
        </w:tc>
        <w:tc>
          <w:tcPr>
            <w:tcW w:w="837"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2.5</w:t>
            </w:r>
          </w:p>
        </w:tc>
        <w:tc>
          <w:tcPr>
            <w:tcW w:w="2778"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分部分项及单价措施项目计量单位</w:t>
            </w:r>
          </w:p>
        </w:tc>
        <w:tc>
          <w:tcPr>
            <w:tcW w:w="3422"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不得修改招标人清单</w:t>
            </w:r>
          </w:p>
        </w:tc>
        <w:tc>
          <w:tcPr>
            <w:tcW w:w="815"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hint="default" w:ascii="Tahoma" w:hAnsi="Tahoma" w:eastAsia="Tahoma" w:cs="Tahoma"/>
                <w:color w:val="000000"/>
              </w:rPr>
              <w:t> </w:t>
            </w:r>
          </w:p>
        </w:tc>
        <w:tc>
          <w:tcPr>
            <w:tcW w:w="722"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hint="default" w:ascii="Tahoma" w:hAnsi="Tahoma" w:eastAsia="Tahoma" w:cs="Tahoma"/>
                <w:color w:val="00000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92" w:type="dxa"/>
            <w:vMerge w:val="continue"/>
            <w:shd w:val="clear"/>
            <w:vAlign w:val="center"/>
          </w:tcPr>
          <w:p>
            <w:pPr>
              <w:rPr>
                <w:rFonts w:hint="default" w:ascii="Tahoma" w:hAnsi="Tahoma" w:eastAsia="Tahoma" w:cs="Tahoma"/>
                <w:color w:val="000000"/>
                <w:sz w:val="24"/>
                <w:szCs w:val="24"/>
              </w:rPr>
            </w:pPr>
          </w:p>
        </w:tc>
        <w:tc>
          <w:tcPr>
            <w:tcW w:w="837"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2.6</w:t>
            </w:r>
          </w:p>
        </w:tc>
        <w:tc>
          <w:tcPr>
            <w:tcW w:w="2778"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分部分项及单价措施项目工程数量</w:t>
            </w:r>
          </w:p>
        </w:tc>
        <w:tc>
          <w:tcPr>
            <w:tcW w:w="3422"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不得修改招标人清单</w:t>
            </w:r>
          </w:p>
        </w:tc>
        <w:tc>
          <w:tcPr>
            <w:tcW w:w="815"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hint="default" w:ascii="Tahoma" w:hAnsi="Tahoma" w:eastAsia="Tahoma" w:cs="Tahoma"/>
                <w:color w:val="000000"/>
              </w:rPr>
              <w:t> </w:t>
            </w:r>
          </w:p>
        </w:tc>
        <w:tc>
          <w:tcPr>
            <w:tcW w:w="722"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hint="default" w:ascii="Tahoma" w:hAnsi="Tahoma" w:eastAsia="Tahoma" w:cs="Tahoma"/>
                <w:color w:val="00000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792" w:type="dxa"/>
            <w:vMerge w:val="continue"/>
            <w:shd w:val="clear"/>
            <w:vAlign w:val="center"/>
          </w:tcPr>
          <w:p>
            <w:pPr>
              <w:rPr>
                <w:rFonts w:hint="default" w:ascii="Tahoma" w:hAnsi="Tahoma" w:eastAsia="Tahoma" w:cs="Tahoma"/>
                <w:color w:val="000000"/>
                <w:sz w:val="24"/>
                <w:szCs w:val="24"/>
              </w:rPr>
            </w:pPr>
          </w:p>
        </w:tc>
        <w:tc>
          <w:tcPr>
            <w:tcW w:w="837"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2.7</w:t>
            </w:r>
          </w:p>
        </w:tc>
        <w:tc>
          <w:tcPr>
            <w:tcW w:w="2778"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分部分项工程费及单价措施费清单单价</w:t>
            </w:r>
          </w:p>
        </w:tc>
        <w:tc>
          <w:tcPr>
            <w:tcW w:w="3422"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综合单价＝人工费+材料费+机械费+管理费+利润之和；</w:t>
            </w:r>
          </w:p>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偏差不大于招标控制价相应项目单价的±12%</w:t>
            </w:r>
          </w:p>
        </w:tc>
        <w:tc>
          <w:tcPr>
            <w:tcW w:w="815"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hint="default" w:ascii="Tahoma" w:hAnsi="Tahoma" w:eastAsia="Tahoma" w:cs="Tahoma"/>
                <w:color w:val="000000"/>
              </w:rPr>
              <w:t> </w:t>
            </w:r>
          </w:p>
        </w:tc>
        <w:tc>
          <w:tcPr>
            <w:tcW w:w="722"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hint="default" w:ascii="Tahoma" w:hAnsi="Tahoma" w:eastAsia="Tahoma" w:cs="Tahoma"/>
                <w:color w:val="00000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92" w:type="dxa"/>
            <w:vMerge w:val="continue"/>
            <w:shd w:val="clear"/>
            <w:vAlign w:val="center"/>
          </w:tcPr>
          <w:p>
            <w:pPr>
              <w:rPr>
                <w:rFonts w:hint="default" w:ascii="Tahoma" w:hAnsi="Tahoma" w:eastAsia="Tahoma" w:cs="Tahoma"/>
                <w:color w:val="000000"/>
                <w:sz w:val="24"/>
                <w:szCs w:val="24"/>
              </w:rPr>
            </w:pPr>
          </w:p>
        </w:tc>
        <w:tc>
          <w:tcPr>
            <w:tcW w:w="837"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2.8</w:t>
            </w:r>
          </w:p>
        </w:tc>
        <w:tc>
          <w:tcPr>
            <w:tcW w:w="2778"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材料单价</w:t>
            </w:r>
          </w:p>
        </w:tc>
        <w:tc>
          <w:tcPr>
            <w:tcW w:w="3422"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材料表中的单价与组成清单单价中的单价必须一致</w:t>
            </w:r>
          </w:p>
        </w:tc>
        <w:tc>
          <w:tcPr>
            <w:tcW w:w="815"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hint="default" w:ascii="Tahoma" w:hAnsi="Tahoma" w:eastAsia="Tahoma" w:cs="Tahoma"/>
                <w:color w:val="000000"/>
              </w:rPr>
              <w:t> </w:t>
            </w:r>
          </w:p>
        </w:tc>
        <w:tc>
          <w:tcPr>
            <w:tcW w:w="722"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hint="default" w:ascii="Tahoma" w:hAnsi="Tahoma" w:eastAsia="Tahoma" w:cs="Tahoma"/>
                <w:color w:val="00000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92" w:type="dxa"/>
            <w:vMerge w:val="restart"/>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3</w:t>
            </w:r>
          </w:p>
        </w:tc>
        <w:tc>
          <w:tcPr>
            <w:tcW w:w="837"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3.1</w:t>
            </w:r>
          </w:p>
        </w:tc>
        <w:tc>
          <w:tcPr>
            <w:tcW w:w="2778"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安全文明费</w:t>
            </w:r>
          </w:p>
        </w:tc>
        <w:tc>
          <w:tcPr>
            <w:tcW w:w="3422"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必须按河南省及许昌市计价依据规定计算</w:t>
            </w:r>
          </w:p>
        </w:tc>
        <w:tc>
          <w:tcPr>
            <w:tcW w:w="815"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hint="default" w:ascii="Tahoma" w:hAnsi="Tahoma" w:eastAsia="Tahoma" w:cs="Tahoma"/>
                <w:color w:val="000000"/>
              </w:rPr>
              <w:t> </w:t>
            </w:r>
          </w:p>
        </w:tc>
        <w:tc>
          <w:tcPr>
            <w:tcW w:w="722"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hint="default" w:ascii="Tahoma" w:hAnsi="Tahoma" w:eastAsia="Tahoma" w:cs="Tahoma"/>
                <w:color w:val="00000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792" w:type="dxa"/>
            <w:vMerge w:val="continue"/>
            <w:shd w:val="clear"/>
            <w:vAlign w:val="center"/>
          </w:tcPr>
          <w:p>
            <w:pPr>
              <w:rPr>
                <w:rFonts w:hint="default" w:ascii="Tahoma" w:hAnsi="Tahoma" w:eastAsia="Tahoma" w:cs="Tahoma"/>
                <w:color w:val="000000"/>
                <w:sz w:val="24"/>
                <w:szCs w:val="24"/>
              </w:rPr>
            </w:pPr>
          </w:p>
        </w:tc>
        <w:tc>
          <w:tcPr>
            <w:tcW w:w="837"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3.2</w:t>
            </w:r>
          </w:p>
        </w:tc>
        <w:tc>
          <w:tcPr>
            <w:tcW w:w="2778"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总价措施项目</w:t>
            </w:r>
          </w:p>
        </w:tc>
        <w:tc>
          <w:tcPr>
            <w:tcW w:w="3422"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根据招标文件要求自主报价</w:t>
            </w:r>
          </w:p>
        </w:tc>
        <w:tc>
          <w:tcPr>
            <w:tcW w:w="815"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hint="default" w:ascii="Tahoma" w:hAnsi="Tahoma" w:eastAsia="Tahoma" w:cs="Tahoma"/>
                <w:color w:val="000000"/>
              </w:rPr>
              <w:t> </w:t>
            </w:r>
          </w:p>
        </w:tc>
        <w:tc>
          <w:tcPr>
            <w:tcW w:w="722"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hint="default" w:ascii="Tahoma" w:hAnsi="Tahoma" w:eastAsia="Tahoma" w:cs="Tahoma"/>
                <w:color w:val="00000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92" w:type="dxa"/>
            <w:vMerge w:val="restart"/>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4</w:t>
            </w:r>
          </w:p>
        </w:tc>
        <w:tc>
          <w:tcPr>
            <w:tcW w:w="837"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4.1</w:t>
            </w:r>
          </w:p>
        </w:tc>
        <w:tc>
          <w:tcPr>
            <w:tcW w:w="2778"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其它项目费</w:t>
            </w:r>
          </w:p>
        </w:tc>
        <w:tc>
          <w:tcPr>
            <w:tcW w:w="3422"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必须等于各组成部分之和（暂列金额+专业暂估价+计日工费+总承包服务费）</w:t>
            </w:r>
          </w:p>
        </w:tc>
        <w:tc>
          <w:tcPr>
            <w:tcW w:w="815"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hint="default" w:ascii="Tahoma" w:hAnsi="Tahoma" w:eastAsia="Tahoma" w:cs="Tahoma"/>
                <w:color w:val="000000"/>
              </w:rPr>
              <w:t> </w:t>
            </w:r>
          </w:p>
        </w:tc>
        <w:tc>
          <w:tcPr>
            <w:tcW w:w="722"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hint="default" w:ascii="Tahoma" w:hAnsi="Tahoma" w:eastAsia="Tahoma" w:cs="Tahoma"/>
                <w:color w:val="00000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792" w:type="dxa"/>
            <w:vMerge w:val="continue"/>
            <w:shd w:val="clear"/>
            <w:vAlign w:val="center"/>
          </w:tcPr>
          <w:p>
            <w:pPr>
              <w:rPr>
                <w:rFonts w:hint="default" w:ascii="Tahoma" w:hAnsi="Tahoma" w:eastAsia="Tahoma" w:cs="Tahoma"/>
                <w:color w:val="000000"/>
                <w:sz w:val="24"/>
                <w:szCs w:val="24"/>
              </w:rPr>
            </w:pPr>
          </w:p>
        </w:tc>
        <w:tc>
          <w:tcPr>
            <w:tcW w:w="837"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4.2</w:t>
            </w:r>
          </w:p>
        </w:tc>
        <w:tc>
          <w:tcPr>
            <w:tcW w:w="2778"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暂列金额</w:t>
            </w:r>
          </w:p>
        </w:tc>
        <w:tc>
          <w:tcPr>
            <w:tcW w:w="3422"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必须与招标人价格一致</w:t>
            </w:r>
          </w:p>
        </w:tc>
        <w:tc>
          <w:tcPr>
            <w:tcW w:w="815"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hint="default" w:ascii="Tahoma" w:hAnsi="Tahoma" w:eastAsia="Tahoma" w:cs="Tahoma"/>
                <w:color w:val="000000"/>
              </w:rPr>
              <w:t> </w:t>
            </w:r>
          </w:p>
        </w:tc>
        <w:tc>
          <w:tcPr>
            <w:tcW w:w="722"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hint="default" w:ascii="Tahoma" w:hAnsi="Tahoma" w:eastAsia="Tahoma" w:cs="Tahoma"/>
                <w:color w:val="00000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92" w:type="dxa"/>
            <w:vMerge w:val="continue"/>
            <w:shd w:val="clear"/>
            <w:vAlign w:val="center"/>
          </w:tcPr>
          <w:p>
            <w:pPr>
              <w:rPr>
                <w:rFonts w:hint="default" w:ascii="Tahoma" w:hAnsi="Tahoma" w:eastAsia="Tahoma" w:cs="Tahoma"/>
                <w:color w:val="000000"/>
                <w:sz w:val="24"/>
                <w:szCs w:val="24"/>
              </w:rPr>
            </w:pPr>
          </w:p>
        </w:tc>
        <w:tc>
          <w:tcPr>
            <w:tcW w:w="837"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4.3</w:t>
            </w:r>
          </w:p>
        </w:tc>
        <w:tc>
          <w:tcPr>
            <w:tcW w:w="2778"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专业暂估价</w:t>
            </w:r>
          </w:p>
        </w:tc>
        <w:tc>
          <w:tcPr>
            <w:tcW w:w="3422"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必须与招标人价格一致</w:t>
            </w:r>
          </w:p>
        </w:tc>
        <w:tc>
          <w:tcPr>
            <w:tcW w:w="815"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hint="default" w:ascii="Tahoma" w:hAnsi="Tahoma" w:eastAsia="Tahoma" w:cs="Tahoma"/>
                <w:color w:val="000000"/>
              </w:rPr>
              <w:t> </w:t>
            </w:r>
          </w:p>
        </w:tc>
        <w:tc>
          <w:tcPr>
            <w:tcW w:w="722"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hint="default" w:ascii="Tahoma" w:hAnsi="Tahoma" w:eastAsia="Tahoma" w:cs="Tahoma"/>
                <w:color w:val="00000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92" w:type="dxa"/>
            <w:vMerge w:val="continue"/>
            <w:shd w:val="clear"/>
            <w:vAlign w:val="center"/>
          </w:tcPr>
          <w:p>
            <w:pPr>
              <w:rPr>
                <w:rFonts w:hint="default" w:ascii="Tahoma" w:hAnsi="Tahoma" w:eastAsia="Tahoma" w:cs="Tahoma"/>
                <w:color w:val="000000"/>
                <w:sz w:val="24"/>
                <w:szCs w:val="24"/>
              </w:rPr>
            </w:pPr>
          </w:p>
        </w:tc>
        <w:tc>
          <w:tcPr>
            <w:tcW w:w="837"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4.4</w:t>
            </w:r>
          </w:p>
        </w:tc>
        <w:tc>
          <w:tcPr>
            <w:tcW w:w="2778"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计日工</w:t>
            </w:r>
          </w:p>
        </w:tc>
        <w:tc>
          <w:tcPr>
            <w:tcW w:w="3422"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必须与招标人数量一致</w:t>
            </w:r>
          </w:p>
        </w:tc>
        <w:tc>
          <w:tcPr>
            <w:tcW w:w="815"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hint="default" w:ascii="Tahoma" w:hAnsi="Tahoma" w:eastAsia="Tahoma" w:cs="Tahoma"/>
                <w:color w:val="000000"/>
              </w:rPr>
              <w:t> </w:t>
            </w:r>
          </w:p>
        </w:tc>
        <w:tc>
          <w:tcPr>
            <w:tcW w:w="722"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hint="default" w:ascii="Tahoma" w:hAnsi="Tahoma" w:eastAsia="Tahoma" w:cs="Tahoma"/>
                <w:color w:val="00000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92" w:type="dxa"/>
            <w:vMerge w:val="continue"/>
            <w:shd w:val="clear"/>
            <w:vAlign w:val="center"/>
          </w:tcPr>
          <w:p>
            <w:pPr>
              <w:rPr>
                <w:rFonts w:hint="default" w:ascii="Tahoma" w:hAnsi="Tahoma" w:eastAsia="Tahoma" w:cs="Tahoma"/>
                <w:color w:val="000000"/>
                <w:sz w:val="24"/>
                <w:szCs w:val="24"/>
              </w:rPr>
            </w:pPr>
          </w:p>
        </w:tc>
        <w:tc>
          <w:tcPr>
            <w:tcW w:w="837"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4.5</w:t>
            </w:r>
          </w:p>
        </w:tc>
        <w:tc>
          <w:tcPr>
            <w:tcW w:w="2778"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总承包服务费</w:t>
            </w:r>
          </w:p>
        </w:tc>
        <w:tc>
          <w:tcPr>
            <w:tcW w:w="3422"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是否按招标文件要求计算</w:t>
            </w:r>
          </w:p>
        </w:tc>
        <w:tc>
          <w:tcPr>
            <w:tcW w:w="815"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hint="default" w:ascii="Tahoma" w:hAnsi="Tahoma" w:eastAsia="Tahoma" w:cs="Tahoma"/>
                <w:color w:val="000000"/>
              </w:rPr>
              <w:t> </w:t>
            </w:r>
          </w:p>
        </w:tc>
        <w:tc>
          <w:tcPr>
            <w:tcW w:w="722"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hint="default" w:ascii="Tahoma" w:hAnsi="Tahoma" w:eastAsia="Tahoma" w:cs="Tahoma"/>
                <w:color w:val="00000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792"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5</w:t>
            </w:r>
          </w:p>
        </w:tc>
        <w:tc>
          <w:tcPr>
            <w:tcW w:w="837"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hint="default" w:ascii="Tahoma" w:hAnsi="Tahoma" w:eastAsia="Tahoma" w:cs="Tahoma"/>
                <w:color w:val="000000"/>
              </w:rPr>
              <w:t> </w:t>
            </w:r>
          </w:p>
        </w:tc>
        <w:tc>
          <w:tcPr>
            <w:tcW w:w="2778"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规费</w:t>
            </w:r>
          </w:p>
        </w:tc>
        <w:tc>
          <w:tcPr>
            <w:tcW w:w="3422"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必须按河南省及许昌市计价依据规定计算</w:t>
            </w:r>
          </w:p>
        </w:tc>
        <w:tc>
          <w:tcPr>
            <w:tcW w:w="815"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hint="default" w:ascii="Tahoma" w:hAnsi="Tahoma" w:eastAsia="Tahoma" w:cs="Tahoma"/>
                <w:color w:val="000000"/>
              </w:rPr>
              <w:t> </w:t>
            </w:r>
          </w:p>
        </w:tc>
        <w:tc>
          <w:tcPr>
            <w:tcW w:w="722"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hint="default" w:ascii="Tahoma" w:hAnsi="Tahoma" w:eastAsia="Tahoma" w:cs="Tahoma"/>
                <w:color w:val="00000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792"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6</w:t>
            </w:r>
          </w:p>
        </w:tc>
        <w:tc>
          <w:tcPr>
            <w:tcW w:w="837"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hint="default" w:ascii="Tahoma" w:hAnsi="Tahoma" w:eastAsia="Tahoma" w:cs="Tahoma"/>
                <w:color w:val="000000"/>
              </w:rPr>
              <w:t> </w:t>
            </w:r>
          </w:p>
        </w:tc>
        <w:tc>
          <w:tcPr>
            <w:tcW w:w="2778"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税金</w:t>
            </w:r>
          </w:p>
        </w:tc>
        <w:tc>
          <w:tcPr>
            <w:tcW w:w="3422"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必须按河南省及许昌市计价依据规定计算</w:t>
            </w:r>
          </w:p>
        </w:tc>
        <w:tc>
          <w:tcPr>
            <w:tcW w:w="815"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hint="default" w:ascii="Tahoma" w:hAnsi="Tahoma" w:eastAsia="Tahoma" w:cs="Tahoma"/>
                <w:color w:val="000000"/>
              </w:rPr>
              <w:t> </w:t>
            </w:r>
          </w:p>
        </w:tc>
        <w:tc>
          <w:tcPr>
            <w:tcW w:w="722"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hint="default" w:ascii="Tahoma" w:hAnsi="Tahoma" w:eastAsia="Tahoma" w:cs="Tahoma"/>
                <w:color w:val="00000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792"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7</w:t>
            </w:r>
          </w:p>
        </w:tc>
        <w:tc>
          <w:tcPr>
            <w:tcW w:w="837"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hint="default" w:ascii="Tahoma" w:hAnsi="Tahoma" w:eastAsia="Tahoma" w:cs="Tahoma"/>
                <w:color w:val="000000"/>
              </w:rPr>
              <w:t> </w:t>
            </w:r>
          </w:p>
        </w:tc>
        <w:tc>
          <w:tcPr>
            <w:tcW w:w="6200" w:type="dxa"/>
            <w:gridSpan w:val="2"/>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不违反法律、法规、规章、规范性文件规定的其它情况</w:t>
            </w:r>
          </w:p>
        </w:tc>
        <w:tc>
          <w:tcPr>
            <w:tcW w:w="815"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hint="default" w:ascii="Tahoma" w:hAnsi="Tahoma" w:eastAsia="Tahoma" w:cs="Tahoma"/>
                <w:color w:val="000000"/>
              </w:rPr>
              <w:t> </w:t>
            </w:r>
          </w:p>
        </w:tc>
        <w:tc>
          <w:tcPr>
            <w:tcW w:w="722"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hint="default" w:ascii="Tahoma" w:hAnsi="Tahoma" w:eastAsia="Tahoma" w:cs="Tahoma"/>
                <w:color w:val="000000"/>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240" w:afterAutospacing="0"/>
        <w:ind w:left="0" w:right="0"/>
        <w:jc w:val="left"/>
        <w:rPr>
          <w:rFonts w:hint="eastAsia" w:ascii="微软雅黑" w:hAnsi="微软雅黑" w:eastAsia="微软雅黑" w:cs="微软雅黑"/>
          <w:color w:val="000000"/>
        </w:rPr>
      </w:pPr>
      <w:r>
        <w:rPr>
          <w:rFonts w:hint="default" w:ascii="Tahoma" w:hAnsi="Tahoma" w:eastAsia="Tahoma" w:cs="Tahoma"/>
          <w:color w:val="000000"/>
          <w:kern w:val="0"/>
          <w:sz w:val="18"/>
          <w:szCs w:val="18"/>
          <w:bdr w:val="none" w:color="auto" w:sz="0" w:space="0"/>
          <w:shd w:val="clear" w:fill="FFFFFF"/>
          <w:lang w:val="en-US" w:eastAsia="zh-CN" w:bidi="ar"/>
        </w:rPr>
        <w:br w:type="textWrapping"/>
      </w:r>
    </w:p>
    <w:p>
      <w:pPr>
        <w:pStyle w:val="3"/>
        <w:keepNext w:val="0"/>
        <w:keepLines w:val="0"/>
        <w:widowControl/>
        <w:suppressLineNumbers w:val="0"/>
        <w:spacing w:before="302" w:beforeAutospacing="0" w:after="76" w:afterAutospacing="0" w:line="330" w:lineRule="atLeast"/>
        <w:ind w:left="0" w:right="0"/>
        <w:rPr>
          <w:rFonts w:hint="default" w:ascii="Tahoma" w:hAnsi="Tahoma" w:eastAsia="Tahoma" w:cs="Tahoma"/>
          <w:sz w:val="18"/>
          <w:szCs w:val="18"/>
        </w:rPr>
      </w:pPr>
      <w:r>
        <w:rPr>
          <w:rFonts w:ascii="仿宋_GB2312" w:hAnsi="仿宋_GB2312" w:eastAsia="仿宋_GB2312" w:cs="仿宋_GB2312"/>
          <w:color w:val="000000"/>
          <w:sz w:val="27"/>
          <w:szCs w:val="27"/>
          <w:u w:val="none"/>
          <w:shd w:val="clear" w:fill="FFFFFF"/>
        </w:rPr>
        <w:t>附件2</w:t>
      </w:r>
    </w:p>
    <w:p>
      <w:pPr>
        <w:pStyle w:val="3"/>
        <w:keepNext w:val="0"/>
        <w:keepLines w:val="0"/>
        <w:widowControl/>
        <w:suppressLineNumbers w:val="0"/>
        <w:spacing w:before="302" w:beforeAutospacing="0" w:after="76" w:afterAutospacing="0" w:line="330" w:lineRule="atLeast"/>
        <w:ind w:left="0" w:right="0"/>
        <w:jc w:val="center"/>
        <w:rPr>
          <w:rFonts w:hint="default" w:ascii="Tahoma" w:hAnsi="Tahoma" w:eastAsia="Tahoma" w:cs="Tahoma"/>
          <w:sz w:val="18"/>
          <w:szCs w:val="18"/>
        </w:rPr>
      </w:pPr>
      <w:r>
        <w:rPr>
          <w:rFonts w:ascii="仿宋_GB2312" w:hAnsi="仿宋_GB2312" w:eastAsia="仿宋_GB2312" w:cs="仿宋_GB2312"/>
          <w:color w:val="000000"/>
          <w:sz w:val="27"/>
          <w:szCs w:val="27"/>
          <w:u w:val="none"/>
          <w:shd w:val="clear" w:fill="FFFFFF"/>
        </w:rPr>
        <w:t>技术标评审内容</w:t>
      </w:r>
    </w:p>
    <w:tbl>
      <w:tblPr>
        <w:tblW w:w="8320" w:type="dxa"/>
        <w:jc w:val="center"/>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88"/>
        <w:gridCol w:w="3967"/>
        <w:gridCol w:w="1566"/>
        <w:gridCol w:w="18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888"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序号</w:t>
            </w:r>
          </w:p>
        </w:tc>
        <w:tc>
          <w:tcPr>
            <w:tcW w:w="3967"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评审内容</w:t>
            </w:r>
          </w:p>
        </w:tc>
        <w:tc>
          <w:tcPr>
            <w:tcW w:w="1566"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综合计分法分值</w:t>
            </w:r>
          </w:p>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（满分20分）</w:t>
            </w:r>
          </w:p>
        </w:tc>
        <w:tc>
          <w:tcPr>
            <w:tcW w:w="1899"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经评审最低投标价法分值</w:t>
            </w:r>
          </w:p>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（满分100分）</w:t>
            </w:r>
          </w:p>
          <w:p>
            <w:pPr>
              <w:pStyle w:val="3"/>
              <w:keepNext w:val="0"/>
              <w:keepLines w:val="0"/>
              <w:widowControl/>
              <w:suppressLineNumbers w:val="0"/>
              <w:spacing w:before="75" w:beforeAutospacing="0" w:after="75" w:afterAutospacing="0" w:line="330" w:lineRule="atLeast"/>
              <w:ind w:left="0" w:right="0"/>
              <w:jc w:val="center"/>
            </w:pPr>
            <w:r>
              <w:rPr>
                <w:rFonts w:hint="default" w:ascii="Tahoma" w:hAnsi="Tahoma" w:eastAsia="Tahoma" w:cs="Tahoma"/>
                <w:color w:val="00000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88"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1</w:t>
            </w:r>
          </w:p>
        </w:tc>
        <w:tc>
          <w:tcPr>
            <w:tcW w:w="3967" w:type="dxa"/>
            <w:shd w:val="clear"/>
            <w:vAlign w:val="center"/>
          </w:tcPr>
          <w:p>
            <w:pPr>
              <w:pStyle w:val="3"/>
              <w:keepNext w:val="0"/>
              <w:keepLines w:val="0"/>
              <w:widowControl/>
              <w:suppressLineNumbers w:val="0"/>
              <w:spacing w:before="75" w:beforeAutospacing="0" w:after="75" w:afterAutospacing="0" w:line="330" w:lineRule="atLeast"/>
              <w:ind w:left="0" w:right="0"/>
            </w:pPr>
            <w:r>
              <w:rPr>
                <w:rFonts w:ascii="仿宋_GB2312" w:hAnsi="仿宋_GB2312" w:eastAsia="仿宋_GB2312" w:cs="仿宋_GB2312"/>
                <w:color w:val="000000"/>
                <w:sz w:val="27"/>
                <w:szCs w:val="27"/>
                <w:u w:val="none"/>
              </w:rPr>
              <w:t>内容完整性和编制水平   </w:t>
            </w:r>
          </w:p>
        </w:tc>
        <w:tc>
          <w:tcPr>
            <w:tcW w:w="1566"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0-1分</w:t>
            </w:r>
          </w:p>
        </w:tc>
        <w:tc>
          <w:tcPr>
            <w:tcW w:w="1899"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3-6分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88"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2</w:t>
            </w:r>
          </w:p>
        </w:tc>
        <w:tc>
          <w:tcPr>
            <w:tcW w:w="3967" w:type="dxa"/>
            <w:shd w:val="clear"/>
            <w:vAlign w:val="center"/>
          </w:tcPr>
          <w:p>
            <w:pPr>
              <w:pStyle w:val="3"/>
              <w:keepNext w:val="0"/>
              <w:keepLines w:val="0"/>
              <w:widowControl/>
              <w:suppressLineNumbers w:val="0"/>
              <w:spacing w:before="75" w:beforeAutospacing="0" w:after="75" w:afterAutospacing="0" w:line="330" w:lineRule="atLeast"/>
              <w:ind w:left="0" w:right="0"/>
            </w:pPr>
            <w:r>
              <w:rPr>
                <w:rFonts w:ascii="仿宋_GB2312" w:hAnsi="仿宋_GB2312" w:eastAsia="仿宋_GB2312" w:cs="仿宋_GB2312"/>
                <w:color w:val="000000"/>
                <w:sz w:val="27"/>
                <w:szCs w:val="27"/>
                <w:u w:val="none"/>
              </w:rPr>
              <w:t>施工方案和技术措施      </w:t>
            </w:r>
          </w:p>
        </w:tc>
        <w:tc>
          <w:tcPr>
            <w:tcW w:w="1566"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1-2分</w:t>
            </w:r>
          </w:p>
        </w:tc>
        <w:tc>
          <w:tcPr>
            <w:tcW w:w="1899"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6-10分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88"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3</w:t>
            </w:r>
          </w:p>
        </w:tc>
        <w:tc>
          <w:tcPr>
            <w:tcW w:w="3967" w:type="dxa"/>
            <w:shd w:val="clear"/>
            <w:vAlign w:val="center"/>
          </w:tcPr>
          <w:p>
            <w:pPr>
              <w:pStyle w:val="3"/>
              <w:keepNext w:val="0"/>
              <w:keepLines w:val="0"/>
              <w:widowControl/>
              <w:suppressLineNumbers w:val="0"/>
              <w:spacing w:before="75" w:beforeAutospacing="0" w:after="75" w:afterAutospacing="0" w:line="330" w:lineRule="atLeast"/>
              <w:ind w:left="0" w:right="0"/>
            </w:pPr>
            <w:r>
              <w:rPr>
                <w:rFonts w:ascii="仿宋_GB2312" w:hAnsi="仿宋_GB2312" w:eastAsia="仿宋_GB2312" w:cs="仿宋_GB2312"/>
                <w:color w:val="000000"/>
                <w:sz w:val="27"/>
                <w:szCs w:val="27"/>
                <w:u w:val="none"/>
              </w:rPr>
              <w:t>质量管理体系与措施      </w:t>
            </w:r>
          </w:p>
        </w:tc>
        <w:tc>
          <w:tcPr>
            <w:tcW w:w="1566"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1-2分</w:t>
            </w:r>
          </w:p>
        </w:tc>
        <w:tc>
          <w:tcPr>
            <w:tcW w:w="1899"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6-10分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888"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4</w:t>
            </w:r>
          </w:p>
        </w:tc>
        <w:tc>
          <w:tcPr>
            <w:tcW w:w="3967" w:type="dxa"/>
            <w:shd w:val="clear"/>
            <w:vAlign w:val="center"/>
          </w:tcPr>
          <w:p>
            <w:pPr>
              <w:pStyle w:val="3"/>
              <w:keepNext w:val="0"/>
              <w:keepLines w:val="0"/>
              <w:widowControl/>
              <w:suppressLineNumbers w:val="0"/>
              <w:spacing w:before="75" w:beforeAutospacing="0" w:after="75" w:afterAutospacing="0" w:line="330" w:lineRule="atLeast"/>
              <w:ind w:left="0" w:right="0"/>
            </w:pPr>
            <w:r>
              <w:rPr>
                <w:rFonts w:ascii="仿宋_GB2312" w:hAnsi="仿宋_GB2312" w:eastAsia="仿宋_GB2312" w:cs="仿宋_GB2312"/>
                <w:color w:val="000000"/>
                <w:sz w:val="27"/>
                <w:szCs w:val="27"/>
                <w:u w:val="none"/>
              </w:rPr>
              <w:t>安全管理体系与措施      </w:t>
            </w:r>
          </w:p>
        </w:tc>
        <w:tc>
          <w:tcPr>
            <w:tcW w:w="1566"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1-2分</w:t>
            </w:r>
          </w:p>
        </w:tc>
        <w:tc>
          <w:tcPr>
            <w:tcW w:w="1899"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6-10分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888"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5</w:t>
            </w:r>
          </w:p>
        </w:tc>
        <w:tc>
          <w:tcPr>
            <w:tcW w:w="3967" w:type="dxa"/>
            <w:shd w:val="clear"/>
            <w:vAlign w:val="center"/>
          </w:tcPr>
          <w:p>
            <w:pPr>
              <w:pStyle w:val="3"/>
              <w:keepNext w:val="0"/>
              <w:keepLines w:val="0"/>
              <w:widowControl/>
              <w:suppressLineNumbers w:val="0"/>
              <w:spacing w:before="75" w:beforeAutospacing="0" w:after="75" w:afterAutospacing="0" w:line="330" w:lineRule="atLeast"/>
              <w:ind w:left="0" w:right="0"/>
            </w:pPr>
            <w:r>
              <w:rPr>
                <w:rFonts w:ascii="仿宋_GB2312" w:hAnsi="仿宋_GB2312" w:eastAsia="仿宋_GB2312" w:cs="仿宋_GB2312"/>
                <w:color w:val="000000"/>
                <w:sz w:val="27"/>
                <w:szCs w:val="27"/>
                <w:u w:val="none"/>
              </w:rPr>
              <w:t>环境保护管理体系与措施  </w:t>
            </w:r>
          </w:p>
        </w:tc>
        <w:tc>
          <w:tcPr>
            <w:tcW w:w="1566"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1-2分</w:t>
            </w:r>
          </w:p>
        </w:tc>
        <w:tc>
          <w:tcPr>
            <w:tcW w:w="1899"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6-10分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88"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6</w:t>
            </w:r>
          </w:p>
        </w:tc>
        <w:tc>
          <w:tcPr>
            <w:tcW w:w="3967" w:type="dxa"/>
            <w:shd w:val="clear"/>
            <w:vAlign w:val="center"/>
          </w:tcPr>
          <w:p>
            <w:pPr>
              <w:pStyle w:val="3"/>
              <w:keepNext w:val="0"/>
              <w:keepLines w:val="0"/>
              <w:widowControl/>
              <w:suppressLineNumbers w:val="0"/>
              <w:spacing w:before="75" w:beforeAutospacing="0" w:after="75" w:afterAutospacing="0" w:line="330" w:lineRule="atLeast"/>
              <w:ind w:left="0" w:right="0"/>
            </w:pPr>
            <w:r>
              <w:rPr>
                <w:rFonts w:ascii="仿宋_GB2312" w:hAnsi="仿宋_GB2312" w:eastAsia="仿宋_GB2312" w:cs="仿宋_GB2312"/>
                <w:color w:val="000000"/>
                <w:sz w:val="27"/>
                <w:szCs w:val="27"/>
                <w:u w:val="none"/>
              </w:rPr>
              <w:t>工程进度计划与措施</w:t>
            </w:r>
          </w:p>
        </w:tc>
        <w:tc>
          <w:tcPr>
            <w:tcW w:w="1566"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0-1分</w:t>
            </w:r>
          </w:p>
          <w:p>
            <w:pPr>
              <w:pStyle w:val="3"/>
              <w:keepNext w:val="0"/>
              <w:keepLines w:val="0"/>
              <w:widowControl/>
              <w:suppressLineNumbers w:val="0"/>
              <w:spacing w:before="75" w:beforeAutospacing="0" w:after="75" w:afterAutospacing="0" w:line="330" w:lineRule="atLeast"/>
              <w:ind w:left="0" w:right="0"/>
              <w:jc w:val="center"/>
            </w:pPr>
            <w:r>
              <w:rPr>
                <w:rFonts w:hint="default" w:ascii="Tahoma" w:hAnsi="Tahoma" w:eastAsia="Tahoma" w:cs="Tahoma"/>
                <w:color w:val="000000"/>
              </w:rPr>
              <w:t> </w:t>
            </w:r>
          </w:p>
        </w:tc>
        <w:tc>
          <w:tcPr>
            <w:tcW w:w="1899"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3-6分</w:t>
            </w:r>
          </w:p>
          <w:p>
            <w:pPr>
              <w:pStyle w:val="3"/>
              <w:keepNext w:val="0"/>
              <w:keepLines w:val="0"/>
              <w:widowControl/>
              <w:suppressLineNumbers w:val="0"/>
              <w:spacing w:before="75" w:beforeAutospacing="0" w:after="75" w:afterAutospacing="0" w:line="330" w:lineRule="atLeast"/>
              <w:ind w:left="0" w:right="0"/>
              <w:jc w:val="center"/>
            </w:pPr>
            <w:r>
              <w:rPr>
                <w:rFonts w:hint="default" w:ascii="Tahoma" w:hAnsi="Tahoma" w:eastAsia="Tahoma" w:cs="Tahoma"/>
                <w:color w:val="00000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888"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7</w:t>
            </w:r>
          </w:p>
        </w:tc>
        <w:tc>
          <w:tcPr>
            <w:tcW w:w="3967" w:type="dxa"/>
            <w:shd w:val="clear"/>
            <w:vAlign w:val="center"/>
          </w:tcPr>
          <w:p>
            <w:pPr>
              <w:pStyle w:val="3"/>
              <w:keepNext w:val="0"/>
              <w:keepLines w:val="0"/>
              <w:widowControl/>
              <w:suppressLineNumbers w:val="0"/>
              <w:spacing w:before="75" w:beforeAutospacing="0" w:after="75" w:afterAutospacing="0" w:line="330" w:lineRule="atLeast"/>
              <w:ind w:left="0" w:right="0"/>
            </w:pPr>
            <w:r>
              <w:rPr>
                <w:rFonts w:ascii="仿宋_GB2312" w:hAnsi="仿宋_GB2312" w:eastAsia="仿宋_GB2312" w:cs="仿宋_GB2312"/>
                <w:color w:val="000000"/>
                <w:sz w:val="27"/>
                <w:szCs w:val="27"/>
                <w:u w:val="none"/>
              </w:rPr>
              <w:t>拟投入资源配备计划……</w:t>
            </w:r>
          </w:p>
        </w:tc>
        <w:tc>
          <w:tcPr>
            <w:tcW w:w="1566"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1-2分</w:t>
            </w:r>
          </w:p>
          <w:p>
            <w:pPr>
              <w:pStyle w:val="3"/>
              <w:keepNext w:val="0"/>
              <w:keepLines w:val="0"/>
              <w:widowControl/>
              <w:suppressLineNumbers w:val="0"/>
              <w:spacing w:before="75" w:beforeAutospacing="0" w:after="75" w:afterAutospacing="0" w:line="330" w:lineRule="atLeast"/>
              <w:ind w:left="0" w:right="0"/>
              <w:jc w:val="center"/>
            </w:pPr>
            <w:r>
              <w:rPr>
                <w:rFonts w:hint="default" w:ascii="Tahoma" w:hAnsi="Tahoma" w:eastAsia="Tahoma" w:cs="Tahoma"/>
                <w:color w:val="000000"/>
              </w:rPr>
              <w:t> </w:t>
            </w:r>
          </w:p>
        </w:tc>
        <w:tc>
          <w:tcPr>
            <w:tcW w:w="1899"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3-7分</w:t>
            </w:r>
          </w:p>
          <w:p>
            <w:pPr>
              <w:pStyle w:val="3"/>
              <w:keepNext w:val="0"/>
              <w:keepLines w:val="0"/>
              <w:widowControl/>
              <w:suppressLineNumbers w:val="0"/>
              <w:spacing w:before="75" w:beforeAutospacing="0" w:after="75" w:afterAutospacing="0" w:line="330" w:lineRule="atLeast"/>
              <w:ind w:left="0" w:right="0"/>
              <w:jc w:val="center"/>
            </w:pPr>
            <w:r>
              <w:rPr>
                <w:rFonts w:hint="default" w:ascii="Tahoma" w:hAnsi="Tahoma" w:eastAsia="Tahoma" w:cs="Tahoma"/>
                <w:color w:val="00000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888"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8</w:t>
            </w:r>
          </w:p>
        </w:tc>
        <w:tc>
          <w:tcPr>
            <w:tcW w:w="3967" w:type="dxa"/>
            <w:shd w:val="clear"/>
            <w:vAlign w:val="center"/>
          </w:tcPr>
          <w:p>
            <w:pPr>
              <w:pStyle w:val="3"/>
              <w:keepNext w:val="0"/>
              <w:keepLines w:val="0"/>
              <w:widowControl/>
              <w:suppressLineNumbers w:val="0"/>
              <w:spacing w:before="75" w:beforeAutospacing="0" w:after="75" w:afterAutospacing="0" w:line="330" w:lineRule="atLeast"/>
              <w:ind w:left="0" w:right="0"/>
            </w:pPr>
            <w:r>
              <w:rPr>
                <w:rFonts w:ascii="仿宋_GB2312" w:hAnsi="仿宋_GB2312" w:eastAsia="仿宋_GB2312" w:cs="仿宋_GB2312"/>
                <w:color w:val="000000"/>
                <w:sz w:val="27"/>
                <w:szCs w:val="27"/>
                <w:u w:val="none"/>
              </w:rPr>
              <w:t>施工进度表或施工网络图 </w:t>
            </w:r>
          </w:p>
        </w:tc>
        <w:tc>
          <w:tcPr>
            <w:tcW w:w="1566"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0-1分</w:t>
            </w:r>
          </w:p>
          <w:p>
            <w:pPr>
              <w:pStyle w:val="3"/>
              <w:keepNext w:val="0"/>
              <w:keepLines w:val="0"/>
              <w:widowControl/>
              <w:suppressLineNumbers w:val="0"/>
              <w:spacing w:before="75" w:beforeAutospacing="0" w:after="75" w:afterAutospacing="0" w:line="330" w:lineRule="atLeast"/>
              <w:ind w:left="0" w:right="0"/>
              <w:jc w:val="center"/>
            </w:pPr>
            <w:r>
              <w:rPr>
                <w:rFonts w:hint="default" w:ascii="Tahoma" w:hAnsi="Tahoma" w:eastAsia="Tahoma" w:cs="Tahoma"/>
                <w:color w:val="000000"/>
              </w:rPr>
              <w:t> </w:t>
            </w:r>
          </w:p>
        </w:tc>
        <w:tc>
          <w:tcPr>
            <w:tcW w:w="1899"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3-7分</w:t>
            </w:r>
          </w:p>
          <w:p>
            <w:pPr>
              <w:pStyle w:val="3"/>
              <w:keepNext w:val="0"/>
              <w:keepLines w:val="0"/>
              <w:widowControl/>
              <w:suppressLineNumbers w:val="0"/>
              <w:spacing w:before="75" w:beforeAutospacing="0" w:after="75" w:afterAutospacing="0" w:line="330" w:lineRule="atLeast"/>
              <w:ind w:left="0" w:right="0"/>
              <w:jc w:val="center"/>
            </w:pPr>
            <w:r>
              <w:rPr>
                <w:rFonts w:hint="default" w:ascii="Tahoma" w:hAnsi="Tahoma" w:eastAsia="Tahoma" w:cs="Tahoma"/>
                <w:color w:val="00000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88"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9</w:t>
            </w:r>
          </w:p>
        </w:tc>
        <w:tc>
          <w:tcPr>
            <w:tcW w:w="3967" w:type="dxa"/>
            <w:shd w:val="clear"/>
            <w:vAlign w:val="center"/>
          </w:tcPr>
          <w:p>
            <w:pPr>
              <w:pStyle w:val="3"/>
              <w:keepNext w:val="0"/>
              <w:keepLines w:val="0"/>
              <w:widowControl/>
              <w:suppressLineNumbers w:val="0"/>
              <w:spacing w:before="75" w:beforeAutospacing="0" w:after="75" w:afterAutospacing="0" w:line="330" w:lineRule="atLeast"/>
              <w:ind w:left="0" w:right="0"/>
            </w:pPr>
            <w:r>
              <w:rPr>
                <w:rFonts w:ascii="仿宋_GB2312" w:hAnsi="仿宋_GB2312" w:eastAsia="仿宋_GB2312" w:cs="仿宋_GB2312"/>
                <w:color w:val="000000"/>
                <w:sz w:val="27"/>
                <w:szCs w:val="27"/>
                <w:u w:val="none"/>
              </w:rPr>
              <w:t>施工总平面布置图</w:t>
            </w:r>
          </w:p>
        </w:tc>
        <w:tc>
          <w:tcPr>
            <w:tcW w:w="1566"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0-1分</w:t>
            </w:r>
          </w:p>
          <w:p>
            <w:pPr>
              <w:pStyle w:val="3"/>
              <w:keepNext w:val="0"/>
              <w:keepLines w:val="0"/>
              <w:widowControl/>
              <w:suppressLineNumbers w:val="0"/>
              <w:spacing w:before="75" w:beforeAutospacing="0" w:after="75" w:afterAutospacing="0" w:line="330" w:lineRule="atLeast"/>
              <w:ind w:left="0" w:right="0"/>
              <w:jc w:val="center"/>
            </w:pPr>
            <w:r>
              <w:rPr>
                <w:rFonts w:hint="default" w:ascii="Tahoma" w:hAnsi="Tahoma" w:eastAsia="Tahoma" w:cs="Tahoma"/>
                <w:color w:val="000000"/>
              </w:rPr>
              <w:t> </w:t>
            </w:r>
          </w:p>
        </w:tc>
        <w:tc>
          <w:tcPr>
            <w:tcW w:w="1899"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3-7分</w:t>
            </w:r>
          </w:p>
          <w:p>
            <w:pPr>
              <w:pStyle w:val="3"/>
              <w:keepNext w:val="0"/>
              <w:keepLines w:val="0"/>
              <w:widowControl/>
              <w:suppressLineNumbers w:val="0"/>
              <w:spacing w:before="75" w:beforeAutospacing="0" w:after="75" w:afterAutospacing="0" w:line="330" w:lineRule="atLeast"/>
              <w:ind w:left="0" w:right="0"/>
              <w:jc w:val="center"/>
            </w:pPr>
            <w:r>
              <w:rPr>
                <w:rFonts w:hint="default" w:ascii="Tahoma" w:hAnsi="Tahoma" w:eastAsia="Tahoma" w:cs="Tahoma"/>
                <w:color w:val="00000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88"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10</w:t>
            </w:r>
          </w:p>
        </w:tc>
        <w:tc>
          <w:tcPr>
            <w:tcW w:w="3967" w:type="dxa"/>
            <w:shd w:val="clear"/>
            <w:vAlign w:val="center"/>
          </w:tcPr>
          <w:p>
            <w:pPr>
              <w:pStyle w:val="3"/>
              <w:keepNext w:val="0"/>
              <w:keepLines w:val="0"/>
              <w:widowControl/>
              <w:suppressLineNumbers w:val="0"/>
              <w:spacing w:before="75" w:beforeAutospacing="0" w:after="75" w:afterAutospacing="0" w:line="330" w:lineRule="atLeast"/>
              <w:ind w:left="0" w:right="0"/>
            </w:pPr>
            <w:r>
              <w:rPr>
                <w:rFonts w:ascii="仿宋_GB2312" w:hAnsi="仿宋_GB2312" w:eastAsia="仿宋_GB2312" w:cs="仿宋_GB2312"/>
                <w:color w:val="000000"/>
                <w:sz w:val="27"/>
                <w:szCs w:val="27"/>
                <w:u w:val="none"/>
              </w:rPr>
              <w:t>在节能减排、绿色施工（含扬尘治理）、工艺创新方面针对本工程有具体措施或企业自有创新技术</w:t>
            </w:r>
          </w:p>
        </w:tc>
        <w:tc>
          <w:tcPr>
            <w:tcW w:w="1566"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1-2分</w:t>
            </w:r>
          </w:p>
          <w:p>
            <w:pPr>
              <w:pStyle w:val="3"/>
              <w:keepNext w:val="0"/>
              <w:keepLines w:val="0"/>
              <w:widowControl/>
              <w:suppressLineNumbers w:val="0"/>
              <w:spacing w:before="75" w:beforeAutospacing="0" w:after="75" w:afterAutospacing="0" w:line="330" w:lineRule="atLeast"/>
              <w:ind w:left="0" w:right="0"/>
              <w:jc w:val="center"/>
            </w:pPr>
            <w:r>
              <w:rPr>
                <w:rFonts w:hint="default" w:ascii="Tahoma" w:hAnsi="Tahoma" w:eastAsia="Tahoma" w:cs="Tahoma"/>
                <w:color w:val="000000"/>
              </w:rPr>
              <w:t> </w:t>
            </w:r>
          </w:p>
        </w:tc>
        <w:tc>
          <w:tcPr>
            <w:tcW w:w="1899"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6-10分</w:t>
            </w:r>
          </w:p>
          <w:p>
            <w:pPr>
              <w:pStyle w:val="3"/>
              <w:keepNext w:val="0"/>
              <w:keepLines w:val="0"/>
              <w:widowControl/>
              <w:suppressLineNumbers w:val="0"/>
              <w:spacing w:before="75" w:beforeAutospacing="0" w:after="75" w:afterAutospacing="0" w:line="330" w:lineRule="atLeast"/>
              <w:ind w:left="0" w:right="0"/>
              <w:jc w:val="center"/>
            </w:pPr>
            <w:r>
              <w:rPr>
                <w:rFonts w:hint="default" w:ascii="Tahoma" w:hAnsi="Tahoma" w:eastAsia="Tahoma" w:cs="Tahoma"/>
                <w:color w:val="00000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88"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11</w:t>
            </w:r>
          </w:p>
        </w:tc>
        <w:tc>
          <w:tcPr>
            <w:tcW w:w="3967" w:type="dxa"/>
            <w:shd w:val="clear"/>
            <w:vAlign w:val="center"/>
          </w:tcPr>
          <w:p>
            <w:pPr>
              <w:pStyle w:val="3"/>
              <w:keepNext w:val="0"/>
              <w:keepLines w:val="0"/>
              <w:widowControl/>
              <w:suppressLineNumbers w:val="0"/>
              <w:spacing w:before="75" w:beforeAutospacing="0" w:after="75" w:afterAutospacing="0" w:line="330" w:lineRule="atLeast"/>
              <w:ind w:left="0" w:right="0"/>
            </w:pPr>
            <w:r>
              <w:rPr>
                <w:rFonts w:ascii="仿宋_GB2312" w:hAnsi="仿宋_GB2312" w:eastAsia="仿宋_GB2312" w:cs="仿宋_GB2312"/>
                <w:color w:val="000000"/>
                <w:sz w:val="27"/>
                <w:szCs w:val="27"/>
                <w:u w:val="none"/>
              </w:rPr>
              <w:t>新工艺、新技术、新设备、新材料的采用程度，其在确保质量、降低成本、缩短工期、减轻劳动强度、提高工效等方面的作用</w:t>
            </w:r>
          </w:p>
        </w:tc>
        <w:tc>
          <w:tcPr>
            <w:tcW w:w="1566"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1-2分</w:t>
            </w:r>
          </w:p>
          <w:p>
            <w:pPr>
              <w:pStyle w:val="3"/>
              <w:keepNext w:val="0"/>
              <w:keepLines w:val="0"/>
              <w:widowControl/>
              <w:suppressLineNumbers w:val="0"/>
              <w:spacing w:before="75" w:beforeAutospacing="0" w:after="75" w:afterAutospacing="0" w:line="330" w:lineRule="atLeast"/>
              <w:ind w:left="0" w:right="0"/>
              <w:jc w:val="center"/>
            </w:pPr>
            <w:r>
              <w:rPr>
                <w:rFonts w:hint="default" w:ascii="Tahoma" w:hAnsi="Tahoma" w:eastAsia="Tahoma" w:cs="Tahoma"/>
                <w:color w:val="000000"/>
              </w:rPr>
              <w:t> </w:t>
            </w:r>
          </w:p>
        </w:tc>
        <w:tc>
          <w:tcPr>
            <w:tcW w:w="1899"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6-10分</w:t>
            </w:r>
          </w:p>
          <w:p>
            <w:pPr>
              <w:pStyle w:val="3"/>
              <w:keepNext w:val="0"/>
              <w:keepLines w:val="0"/>
              <w:widowControl/>
              <w:suppressLineNumbers w:val="0"/>
              <w:spacing w:before="75" w:beforeAutospacing="0" w:after="75" w:afterAutospacing="0" w:line="330" w:lineRule="atLeast"/>
              <w:ind w:left="0" w:right="0"/>
              <w:jc w:val="center"/>
            </w:pPr>
            <w:r>
              <w:rPr>
                <w:rFonts w:hint="default" w:ascii="Tahoma" w:hAnsi="Tahoma" w:eastAsia="Tahoma" w:cs="Tahoma"/>
                <w:color w:val="00000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88"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12</w:t>
            </w:r>
          </w:p>
        </w:tc>
        <w:tc>
          <w:tcPr>
            <w:tcW w:w="3967" w:type="dxa"/>
            <w:shd w:val="clear"/>
            <w:vAlign w:val="center"/>
          </w:tcPr>
          <w:p>
            <w:pPr>
              <w:pStyle w:val="3"/>
              <w:keepNext w:val="0"/>
              <w:keepLines w:val="0"/>
              <w:widowControl/>
              <w:suppressLineNumbers w:val="0"/>
              <w:spacing w:before="75" w:beforeAutospacing="0" w:after="75" w:afterAutospacing="0" w:line="330" w:lineRule="atLeast"/>
              <w:ind w:left="0" w:right="0"/>
            </w:pPr>
            <w:r>
              <w:rPr>
                <w:rFonts w:ascii="仿宋_GB2312" w:hAnsi="仿宋_GB2312" w:eastAsia="仿宋_GB2312" w:cs="仿宋_GB2312"/>
                <w:color w:val="000000"/>
                <w:sz w:val="27"/>
                <w:szCs w:val="27"/>
                <w:u w:val="none"/>
              </w:rPr>
              <w:t>企业具备信息化管理平台，能够使工程管理者对现场实施监控和数据处理</w:t>
            </w:r>
          </w:p>
        </w:tc>
        <w:tc>
          <w:tcPr>
            <w:tcW w:w="1566"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1-2分</w:t>
            </w:r>
          </w:p>
          <w:p>
            <w:pPr>
              <w:pStyle w:val="3"/>
              <w:keepNext w:val="0"/>
              <w:keepLines w:val="0"/>
              <w:widowControl/>
              <w:suppressLineNumbers w:val="0"/>
              <w:spacing w:before="75" w:beforeAutospacing="0" w:after="75" w:afterAutospacing="0" w:line="330" w:lineRule="atLeast"/>
              <w:ind w:left="0" w:right="0"/>
              <w:jc w:val="center"/>
            </w:pPr>
            <w:r>
              <w:rPr>
                <w:rFonts w:hint="default" w:ascii="Tahoma" w:hAnsi="Tahoma" w:eastAsia="Tahoma" w:cs="Tahoma"/>
                <w:color w:val="000000"/>
              </w:rPr>
              <w:t> </w:t>
            </w:r>
          </w:p>
        </w:tc>
        <w:tc>
          <w:tcPr>
            <w:tcW w:w="1899" w:type="dxa"/>
            <w:shd w:val="clear"/>
            <w:vAlign w:val="center"/>
          </w:tcPr>
          <w:p>
            <w:pPr>
              <w:pStyle w:val="3"/>
              <w:keepNext w:val="0"/>
              <w:keepLines w:val="0"/>
              <w:widowControl/>
              <w:suppressLineNumbers w:val="0"/>
              <w:spacing w:before="75" w:beforeAutospacing="0" w:after="75" w:afterAutospacing="0" w:line="330" w:lineRule="atLeast"/>
              <w:ind w:left="0" w:right="0"/>
              <w:jc w:val="center"/>
            </w:pPr>
            <w:r>
              <w:rPr>
                <w:rFonts w:ascii="仿宋_GB2312" w:hAnsi="仿宋_GB2312" w:eastAsia="仿宋_GB2312" w:cs="仿宋_GB2312"/>
                <w:color w:val="000000"/>
                <w:sz w:val="27"/>
                <w:szCs w:val="27"/>
                <w:u w:val="none"/>
              </w:rPr>
              <w:t>3-7分</w:t>
            </w:r>
          </w:p>
          <w:p>
            <w:pPr>
              <w:pStyle w:val="3"/>
              <w:keepNext w:val="0"/>
              <w:keepLines w:val="0"/>
              <w:widowControl/>
              <w:suppressLineNumbers w:val="0"/>
              <w:spacing w:before="75" w:beforeAutospacing="0" w:after="75" w:afterAutospacing="0" w:line="330" w:lineRule="atLeast"/>
              <w:ind w:left="0" w:right="0"/>
              <w:jc w:val="center"/>
            </w:pPr>
            <w:r>
              <w:rPr>
                <w:rFonts w:hint="default" w:ascii="Tahoma" w:hAnsi="Tahoma" w:eastAsia="Tahoma" w:cs="Tahoma"/>
                <w:color w:val="000000"/>
              </w:rPr>
              <w:t> </w:t>
            </w:r>
          </w:p>
        </w:tc>
      </w:tr>
    </w:tbl>
    <w:p>
      <w:pPr>
        <w:pStyle w:val="3"/>
        <w:keepNext w:val="0"/>
        <w:keepLines w:val="0"/>
        <w:widowControl/>
        <w:suppressLineNumbers w:val="0"/>
        <w:spacing w:before="302" w:beforeAutospacing="0" w:after="76" w:afterAutospacing="0" w:line="330" w:lineRule="atLeast"/>
        <w:ind w:left="0" w:right="0"/>
        <w:rPr>
          <w:rFonts w:hint="default" w:ascii="Tahoma" w:hAnsi="Tahoma" w:eastAsia="Tahoma" w:cs="Tahoma"/>
          <w:sz w:val="18"/>
          <w:szCs w:val="18"/>
        </w:rPr>
      </w:pPr>
      <w:r>
        <w:rPr>
          <w:rFonts w:ascii="仿宋_GB2312" w:hAnsi="仿宋_GB2312" w:eastAsia="仿宋_GB2312" w:cs="仿宋_GB2312"/>
          <w:color w:val="000000"/>
          <w:sz w:val="27"/>
          <w:szCs w:val="27"/>
          <w:u w:val="none"/>
          <w:shd w:val="clear" w:fill="FFFFFF"/>
        </w:rPr>
        <w:t>    招标人可结合所建工程项目的技术特点及工艺要求，对技术标的内容、分值进行增减调整，但不得超出给定的分值范围，若缺项按0分。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A440D5"/>
    <w:rsid w:val="01A440D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36"/>
      <w:szCs w:val="36"/>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000000"/>
      <w:u w:val="none"/>
    </w:rPr>
  </w:style>
  <w:style w:type="character" w:styleId="6">
    <w:name w:val="Emphasis"/>
    <w:basedOn w:val="4"/>
    <w:qFormat/>
    <w:uiPriority w:val="0"/>
  </w:style>
  <w:style w:type="character" w:styleId="7">
    <w:name w:val="Hyperlink"/>
    <w:basedOn w:val="4"/>
    <w:uiPriority w:val="0"/>
    <w:rPr>
      <w:color w:val="000000"/>
      <w:u w:val="none"/>
    </w:rPr>
  </w:style>
  <w:style w:type="character" w:customStyle="1" w:styleId="9">
    <w:name w:val="hover25"/>
    <w:basedOn w:val="4"/>
    <w:uiPriority w:val="0"/>
  </w:style>
  <w:style w:type="character" w:customStyle="1" w:styleId="10">
    <w:name w:val="green"/>
    <w:basedOn w:val="4"/>
    <w:uiPriority w:val="0"/>
    <w:rPr>
      <w:color w:val="66AE00"/>
      <w:sz w:val="18"/>
      <w:szCs w:val="18"/>
    </w:rPr>
  </w:style>
  <w:style w:type="character" w:customStyle="1" w:styleId="11">
    <w:name w:val="green1"/>
    <w:basedOn w:val="4"/>
    <w:uiPriority w:val="0"/>
    <w:rPr>
      <w:color w:val="FF0000"/>
      <w:sz w:val="18"/>
      <w:szCs w:val="18"/>
    </w:rPr>
  </w:style>
  <w:style w:type="character" w:customStyle="1" w:styleId="12">
    <w:name w:val="red"/>
    <w:basedOn w:val="4"/>
    <w:uiPriority w:val="0"/>
    <w:rPr>
      <w:color w:val="FF0000"/>
      <w:sz w:val="18"/>
      <w:szCs w:val="18"/>
    </w:rPr>
  </w:style>
  <w:style w:type="character" w:customStyle="1" w:styleId="13">
    <w:name w:val="red1"/>
    <w:basedOn w:val="4"/>
    <w:uiPriority w:val="0"/>
    <w:rPr>
      <w:color w:val="CC0000"/>
    </w:rPr>
  </w:style>
  <w:style w:type="character" w:customStyle="1" w:styleId="14">
    <w:name w:val="red2"/>
    <w:basedOn w:val="4"/>
    <w:uiPriority w:val="0"/>
    <w:rPr>
      <w:color w:val="FF0000"/>
    </w:rPr>
  </w:style>
  <w:style w:type="character" w:customStyle="1" w:styleId="15">
    <w:name w:val="gb-jt"/>
    <w:basedOn w:val="4"/>
    <w:uiPriority w:val="0"/>
  </w:style>
  <w:style w:type="character" w:customStyle="1" w:styleId="16">
    <w:name w:val="blue"/>
    <w:basedOn w:val="4"/>
    <w:uiPriority w:val="0"/>
    <w:rPr>
      <w:color w:val="0371C6"/>
      <w:sz w:val="21"/>
      <w:szCs w:val="21"/>
    </w:rPr>
  </w:style>
  <w:style w:type="character" w:customStyle="1" w:styleId="17">
    <w:name w:val="right"/>
    <w:basedOn w:val="4"/>
    <w:uiPriority w:val="0"/>
    <w:rPr>
      <w:color w:val="999999"/>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2018-08-09T03:55:00Z</dcterms:created>
  <dc:creator>liu</dc:creator>
  <cp:lastModifiedBy>liu</cp:lastModifiedBy>
  <dcterms:modified xsi:type="dcterms:W3CDTF">2018-08-09T03:59:40Z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