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hint="eastAsia" w:ascii="黑体" w:hAnsi="黑体" w:eastAsia="黑体" w:cs="黑体"/>
          <w:b/>
          <w:bCs/>
          <w:sz w:val="48"/>
          <w:szCs w:val="48"/>
        </w:rPr>
      </w:pPr>
      <w:r>
        <w:rPr>
          <w:rFonts w:hint="eastAsia" w:ascii="黑体" w:hAnsi="黑体" w:eastAsia="黑体" w:cs="黑体"/>
          <w:b/>
          <w:bCs/>
          <w:sz w:val="48"/>
          <w:szCs w:val="48"/>
        </w:rPr>
        <w:t>禹州市公安局</w:t>
      </w:r>
    </w:p>
    <w:p>
      <w:pPr>
        <w:jc w:val="center"/>
        <w:rPr>
          <w:rFonts w:ascii="微软简隶书" w:eastAsia="微软简隶书"/>
        </w:rPr>
      </w:pPr>
      <w:r>
        <w:rPr>
          <w:rFonts w:hint="eastAsia" w:ascii="黑体" w:hAnsi="黑体" w:eastAsia="黑体" w:cs="黑体"/>
          <w:b/>
          <w:bCs/>
          <w:sz w:val="48"/>
          <w:szCs w:val="48"/>
        </w:rPr>
        <w:t>出入境管理自助设备采购项目</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hint="eastAsia" w:ascii="华文隶书" w:eastAsia="华文隶书"/>
          <w:bCs/>
          <w:w w:val="90"/>
          <w:sz w:val="44"/>
          <w:szCs w:val="44"/>
          <w:lang w:eastAsia="zh-CN"/>
        </w:rPr>
      </w:pPr>
    </w:p>
    <w:p>
      <w:pPr>
        <w:jc w:val="center"/>
        <w:rPr>
          <w:rFonts w:ascii="华文隶书" w:eastAsia="华文隶书"/>
          <w:b/>
          <w:bCs w:val="0"/>
          <w:w w:val="90"/>
          <w:sz w:val="48"/>
          <w:szCs w:val="48"/>
        </w:rPr>
      </w:pPr>
      <w:r>
        <w:rPr>
          <w:rFonts w:hint="eastAsia" w:ascii="华文隶书" w:eastAsia="华文隶书"/>
          <w:b/>
          <w:bCs w:val="0"/>
          <w:w w:val="90"/>
          <w:sz w:val="48"/>
          <w:szCs w:val="48"/>
          <w:lang w:eastAsia="zh-CN"/>
        </w:rPr>
        <w:t>竞争性谈判</w:t>
      </w:r>
      <w:r>
        <w:rPr>
          <w:rFonts w:hint="eastAsia" w:ascii="华文隶书" w:eastAsia="华文隶书"/>
          <w:b/>
          <w:bCs w:val="0"/>
          <w:w w:val="90"/>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YZCG-T2019139</w:t>
      </w:r>
    </w:p>
    <w:p>
      <w:pPr>
        <w:ind w:firstLine="1080" w:firstLineChars="300"/>
        <w:rPr>
          <w:rFonts w:hint="eastAsia"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val="0"/>
          <w:bCs w:val="0"/>
          <w:sz w:val="36"/>
          <w:szCs w:val="36"/>
        </w:rPr>
        <w:t>采购单位：禹州市磨街乡</w:t>
      </w:r>
      <w:r>
        <w:rPr>
          <w:rFonts w:hint="eastAsia" w:asciiTheme="majorEastAsia" w:hAnsiTheme="majorEastAsia" w:eastAsiaTheme="majorEastAsia" w:cstheme="majorEastAsia"/>
          <w:b w:val="0"/>
          <w:bCs w:val="0"/>
          <w:sz w:val="36"/>
          <w:szCs w:val="36"/>
          <w:lang w:eastAsia="zh-CN"/>
        </w:rPr>
        <w:t>人民政府</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七</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numPr>
          <w:ilvl w:val="0"/>
          <w:numId w:val="0"/>
        </w:numPr>
        <w:jc w:val="both"/>
        <w:rPr>
          <w:rFonts w:hint="eastAsia" w:cs="宋体" w:asciiTheme="majorEastAsia" w:hAnsiTheme="majorEastAsia" w:eastAsiaTheme="majorEastAsia"/>
          <w:b/>
          <w:kern w:val="0"/>
          <w:sz w:val="32"/>
          <w:szCs w:val="32"/>
        </w:rPr>
      </w:pPr>
    </w:p>
    <w:p>
      <w:pPr>
        <w:spacing w:line="600" w:lineRule="exact"/>
        <w:jc w:val="center"/>
        <w:rPr>
          <w:rFonts w:hint="eastAsia"/>
          <w:b/>
          <w:bCs/>
          <w:sz w:val="36"/>
          <w:szCs w:val="36"/>
        </w:rPr>
      </w:pPr>
      <w:r>
        <w:rPr>
          <w:rFonts w:hint="eastAsia"/>
          <w:b/>
          <w:bCs/>
          <w:sz w:val="36"/>
          <w:szCs w:val="36"/>
        </w:rPr>
        <w:t>禹州市公安局出入境管理自助设备采购项目</w:t>
      </w:r>
    </w:p>
    <w:p>
      <w:pPr>
        <w:spacing w:line="600" w:lineRule="exact"/>
        <w:jc w:val="center"/>
        <w:rPr>
          <w:rFonts w:hint="eastAsia"/>
          <w:b/>
          <w:bCs/>
          <w:sz w:val="36"/>
          <w:szCs w:val="36"/>
          <w:lang w:eastAsia="zh-CN"/>
        </w:rPr>
      </w:pPr>
      <w:r>
        <w:rPr>
          <w:rFonts w:hint="eastAsia"/>
          <w:b/>
          <w:bCs/>
          <w:sz w:val="36"/>
          <w:szCs w:val="36"/>
          <w:lang w:eastAsia="zh-CN"/>
        </w:rPr>
        <w:t>谈判邀请函</w:t>
      </w:r>
    </w:p>
    <w:p>
      <w:pPr>
        <w:spacing w:line="600" w:lineRule="exact"/>
        <w:jc w:val="center"/>
        <w:rPr>
          <w:rFonts w:hint="eastAsia"/>
          <w:b/>
          <w:bCs/>
          <w:sz w:val="36"/>
          <w:szCs w:val="36"/>
          <w:lang w:eastAsia="zh-CN"/>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公安局</w:t>
      </w:r>
      <w:r>
        <w:rPr>
          <w:rFonts w:hint="eastAsia" w:ascii="新宋体" w:hAnsi="新宋体" w:eastAsia="新宋体" w:cs="新宋体"/>
          <w:sz w:val="24"/>
          <w:szCs w:val="24"/>
        </w:rPr>
        <w:t>的委托，就“禹州市公安局出入境管理自助设备采购项目”进行竞争性谈判，欢迎合格的投标人前来投标。</w:t>
      </w:r>
    </w:p>
    <w:p>
      <w:pPr>
        <w:keepNext w:val="0"/>
        <w:keepLines w:val="0"/>
        <w:pageBreakBefore w:val="0"/>
        <w:widowControl/>
        <w:numPr>
          <w:ilvl w:val="0"/>
          <w:numId w:val="5"/>
        </w:numPr>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keepNext w:val="0"/>
        <w:keepLines w:val="0"/>
        <w:pageBreakBefore w:val="0"/>
        <w:widowControl/>
        <w:shd w:val="clear" w:color="auto" w:fill="FFFFFF"/>
        <w:kinsoku/>
        <w:overflowPunct/>
        <w:bidi w:val="0"/>
        <w:spacing w:line="440" w:lineRule="exact"/>
        <w:jc w:val="left"/>
        <w:textAlignment w:val="auto"/>
        <w:rPr>
          <w:rFonts w:hint="eastAsia" w:ascii="新宋体" w:hAnsi="新宋体" w:eastAsia="新宋体" w:cs="新宋体"/>
          <w:sz w:val="24"/>
          <w:szCs w:val="24"/>
        </w:rPr>
      </w:pPr>
      <w:r>
        <w:rPr>
          <w:rFonts w:hint="eastAsia" w:ascii="新宋体" w:hAnsi="新宋体" w:eastAsia="新宋体" w:cs="新宋体"/>
          <w:b/>
          <w:color w:val="000000"/>
          <w:kern w:val="0"/>
          <w:sz w:val="24"/>
          <w:szCs w:val="24"/>
        </w:rPr>
        <w:t xml:space="preserve">  </w:t>
      </w:r>
      <w:r>
        <w:rPr>
          <w:rFonts w:hint="eastAsia" w:ascii="新宋体" w:hAnsi="新宋体" w:eastAsia="新宋体" w:cs="新宋体"/>
          <w:sz w:val="24"/>
          <w:szCs w:val="24"/>
        </w:rPr>
        <w:t xml:space="preserve"> 1、采购人：禹州市</w:t>
      </w:r>
      <w:r>
        <w:rPr>
          <w:rFonts w:hint="eastAsia" w:ascii="新宋体" w:hAnsi="新宋体" w:eastAsia="新宋体" w:cs="新宋体"/>
          <w:sz w:val="24"/>
          <w:szCs w:val="24"/>
          <w:lang w:eastAsia="zh-CN"/>
        </w:rPr>
        <w:t>公安局</w:t>
      </w:r>
    </w:p>
    <w:p>
      <w:pPr>
        <w:keepNext w:val="0"/>
        <w:keepLines w:val="0"/>
        <w:pageBreakBefore w:val="0"/>
        <w:widowControl/>
        <w:shd w:val="clear" w:color="auto" w:fill="FFFFFF"/>
        <w:kinsoku/>
        <w:overflowPunct/>
        <w:bidi w:val="0"/>
        <w:spacing w:line="440" w:lineRule="exact"/>
        <w:ind w:firstLine="360" w:firstLineChars="15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2、项目名称：禹州市公安局出入境管理自助设备采购项目</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YZCG-T2019</w:t>
      </w:r>
      <w:r>
        <w:rPr>
          <w:rFonts w:hint="eastAsia" w:ascii="新宋体" w:hAnsi="新宋体" w:eastAsia="新宋体" w:cs="新宋体"/>
          <w:sz w:val="24"/>
          <w:szCs w:val="24"/>
          <w:lang w:val="en-US" w:eastAsia="zh-CN"/>
        </w:rPr>
        <w:t>139</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4、项目需求：</w:t>
      </w:r>
      <w:r>
        <w:rPr>
          <w:rFonts w:hint="eastAsia" w:ascii="新宋体" w:hAnsi="新宋体" w:eastAsia="新宋体" w:cs="新宋体"/>
          <w:color w:val="000000"/>
          <w:kern w:val="0"/>
          <w:sz w:val="24"/>
          <w:szCs w:val="24"/>
          <w:lang w:eastAsia="zh-CN"/>
        </w:rPr>
        <w:t>排队叫号机等</w:t>
      </w:r>
      <w:r>
        <w:rPr>
          <w:rFonts w:hint="eastAsia" w:ascii="新宋体" w:hAnsi="新宋体" w:eastAsia="新宋体" w:cs="新宋体"/>
          <w:sz w:val="24"/>
          <w:szCs w:val="24"/>
        </w:rPr>
        <w:t>（详见谈判文件）</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5、采购预算：</w:t>
      </w:r>
      <w:r>
        <w:rPr>
          <w:rFonts w:hint="eastAsia" w:ascii="新宋体" w:hAnsi="新宋体" w:eastAsia="新宋体" w:cs="新宋体"/>
          <w:sz w:val="24"/>
          <w:szCs w:val="24"/>
          <w:lang w:val="en-US" w:eastAsia="zh-CN"/>
        </w:rPr>
        <w:t>43</w:t>
      </w:r>
      <w:r>
        <w:rPr>
          <w:rFonts w:hint="eastAsia" w:ascii="新宋体" w:hAnsi="新宋体" w:eastAsia="新宋体" w:cs="新宋体"/>
          <w:sz w:val="24"/>
          <w:szCs w:val="24"/>
        </w:rPr>
        <w:t>万元</w:t>
      </w:r>
    </w:p>
    <w:p>
      <w:pPr>
        <w:keepNext w:val="0"/>
        <w:keepLines w:val="0"/>
        <w:pageBreakBefore w:val="0"/>
        <w:widowControl/>
        <w:shd w:val="clear" w:color="auto" w:fill="FFFFFF"/>
        <w:kinsoku/>
        <w:overflowPunct/>
        <w:bidi w:val="0"/>
        <w:spacing w:line="440" w:lineRule="exact"/>
        <w:ind w:firstLine="354" w:firstLineChars="147"/>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本项目落实节约能源、保护环境、扶持不发达地区和少数民族地区、促进中小企业、监狱企业发展等政府采购政策。（详见谈判文件）</w:t>
      </w:r>
    </w:p>
    <w:p>
      <w:pPr>
        <w:keepNext w:val="0"/>
        <w:keepLines w:val="0"/>
        <w:pageBreakBefore w:val="0"/>
        <w:widowControl/>
        <w:numPr>
          <w:ilvl w:val="0"/>
          <w:numId w:val="0"/>
        </w:numPr>
        <w:shd w:val="clear" w:color="auto" w:fill="FFFFFF"/>
        <w:kinsoku/>
        <w:overflowPunct/>
        <w:bidi w:val="0"/>
        <w:spacing w:line="440" w:lineRule="exact"/>
        <w:ind w:left="482" w:leftChars="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三、</w:t>
      </w:r>
      <w:r>
        <w:rPr>
          <w:rFonts w:hint="eastAsia" w:ascii="新宋体" w:hAnsi="新宋体" w:eastAsia="新宋体" w:cs="新宋体"/>
          <w:b/>
          <w:color w:val="000000"/>
          <w:kern w:val="0"/>
          <w:sz w:val="24"/>
          <w:szCs w:val="24"/>
        </w:rPr>
        <w:t>供应商资格要求</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1、符合《政府采购法》第二十二条之规定，具有独立法人资格及相应的经营范围（</w:t>
      </w:r>
      <w:r>
        <w:rPr>
          <w:rFonts w:hint="eastAsia" w:ascii="新宋体" w:hAnsi="新宋体" w:eastAsia="新宋体" w:cs="新宋体"/>
          <w:color w:val="000000"/>
          <w:kern w:val="0"/>
          <w:sz w:val="24"/>
          <w:szCs w:val="24"/>
          <w:lang w:eastAsia="zh-CN"/>
        </w:rPr>
        <w:t>以营业执照为准</w:t>
      </w:r>
      <w:r>
        <w:rPr>
          <w:rFonts w:hint="eastAsia" w:ascii="新宋体" w:hAnsi="新宋体" w:eastAsia="新宋体" w:cs="新宋体"/>
          <w:color w:val="000000"/>
          <w:kern w:val="0"/>
          <w:sz w:val="24"/>
          <w:szCs w:val="24"/>
        </w:rPr>
        <w:t>）；</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2、被委托人是须是本单位职工，须提供公司为本人缴纳社会保险证明；</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四、获取谈判文件的方式、时间、地点</w:t>
      </w:r>
    </w:p>
    <w:p>
      <w:pPr>
        <w:keepNext w:val="0"/>
        <w:keepLines w:val="0"/>
        <w:pageBreakBefore w:val="0"/>
        <w:kinsoku/>
        <w:wordWrap w:val="0"/>
        <w:overflowPunct/>
        <w:topLinePunct/>
        <w:bidi w:val="0"/>
        <w:snapToGrid w:val="0"/>
        <w:spacing w:line="44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482"/>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t>/</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，自行下载</w:t>
      </w:r>
      <w:r>
        <w:rPr>
          <w:rFonts w:hint="eastAsia" w:ascii="新宋体" w:hAnsi="新宋体" w:eastAsia="新宋体" w:cs="新宋体"/>
          <w:sz w:val="24"/>
          <w:szCs w:val="24"/>
          <w:lang w:val="zh-CN" w:eastAsia="zh-CN"/>
        </w:rPr>
        <w:t>谈判</w:t>
      </w:r>
      <w:r>
        <w:rPr>
          <w:rFonts w:hint="eastAsia" w:ascii="新宋体" w:hAnsi="新宋体" w:eastAsia="新宋体" w:cs="新宋体"/>
          <w:sz w:val="24"/>
          <w:szCs w:val="24"/>
          <w:lang w:val="zh-CN"/>
        </w:rPr>
        <w:t>文件（详见全国公共资源交易平台（河南省·许昌市）“常见问题解答-交易系统操作手册”）。</w:t>
      </w:r>
    </w:p>
    <w:p>
      <w:pPr>
        <w:keepNext w:val="0"/>
        <w:keepLines w:val="0"/>
        <w:pageBreakBefore w:val="0"/>
        <w:kinsoku/>
        <w:overflowPunct/>
        <w:bidi w:val="0"/>
        <w:spacing w:line="44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keepNext w:val="0"/>
        <w:keepLines w:val="0"/>
        <w:pageBreakBefore w:val="0"/>
        <w:kinsoku/>
        <w:overflowPunct/>
        <w:bidi w:val="0"/>
        <w:spacing w:line="440" w:lineRule="exact"/>
        <w:ind w:firstLine="640"/>
        <w:textAlignment w:val="auto"/>
        <w:rPr>
          <w:rFonts w:hint="eastAsia" w:ascii="新宋体" w:hAnsi="新宋体" w:eastAsia="新宋体" w:cs="新宋体"/>
          <w:sz w:val="24"/>
          <w:szCs w:val="24"/>
        </w:rPr>
      </w:pPr>
      <w:r>
        <w:rPr>
          <w:rFonts w:hint="eastAsia" w:ascii="新宋体" w:hAnsi="新宋体" w:eastAsia="新宋体" w:cs="新宋体"/>
          <w:sz w:val="24"/>
          <w:szCs w:val="24"/>
        </w:rPr>
        <w:t>4、谈判文件每份售价人民币300元</w:t>
      </w:r>
      <w:r>
        <w:rPr>
          <w:rFonts w:hint="eastAsia" w:ascii="新宋体" w:hAnsi="新宋体" w:eastAsia="新宋体" w:cs="新宋体"/>
          <w:sz w:val="24"/>
          <w:szCs w:val="24"/>
          <w:lang w:eastAsia="zh-CN"/>
        </w:rPr>
        <w:t>（谈判现场现金收取）</w:t>
      </w:r>
      <w:r>
        <w:rPr>
          <w:rFonts w:hint="eastAsia" w:ascii="新宋体" w:hAnsi="新宋体" w:eastAsia="新宋体" w:cs="新宋体"/>
          <w:sz w:val="24"/>
          <w:szCs w:val="24"/>
        </w:rPr>
        <w:t>，于递交投标文件时缴纳给采购代理机构，售后不退。</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五、谈判截止时间、谈判时间及地点：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1、谈判截止及谈判时间：2019年</w:t>
      </w:r>
      <w:r>
        <w:rPr>
          <w:rFonts w:hint="eastAsia" w:ascii="新宋体" w:hAnsi="新宋体" w:eastAsia="新宋体" w:cs="新宋体"/>
          <w:color w:val="000000"/>
          <w:kern w:val="0"/>
          <w:sz w:val="24"/>
          <w:szCs w:val="24"/>
          <w:lang w:val="en-US" w:eastAsia="zh-CN"/>
        </w:rPr>
        <w:t>7</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15</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 xml:space="preserve">10 ：00 </w:t>
      </w:r>
      <w:r>
        <w:rPr>
          <w:rFonts w:hint="eastAsia" w:ascii="新宋体" w:hAnsi="新宋体" w:eastAsia="新宋体" w:cs="新宋体"/>
          <w:color w:val="000000"/>
          <w:kern w:val="0"/>
          <w:sz w:val="24"/>
          <w:szCs w:val="24"/>
        </w:rPr>
        <w:t>（北京时间），逾期送达或不符合规定的投标文件不予接受。</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2、谈判地点：</w:t>
      </w:r>
      <w:r>
        <w:rPr>
          <w:rFonts w:hint="eastAsia" w:ascii="新宋体" w:hAnsi="新宋体" w:eastAsia="新宋体" w:cs="新宋体"/>
          <w:sz w:val="24"/>
          <w:szCs w:val="24"/>
        </w:rPr>
        <w:t>禹州市公共资源交易中心第二开标室（禹州市</w:t>
      </w:r>
      <w:r>
        <w:rPr>
          <w:rFonts w:hint="eastAsia" w:ascii="新宋体" w:hAnsi="新宋体" w:eastAsia="新宋体" w:cs="新宋体"/>
          <w:color w:val="000000"/>
          <w:kern w:val="0"/>
          <w:sz w:val="24"/>
          <w:szCs w:val="24"/>
        </w:rPr>
        <w:t xml:space="preserve">行政服务中心楼9楼） </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482"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b/>
          <w:bCs/>
          <w:color w:val="000000"/>
          <w:kern w:val="0"/>
          <w:sz w:val="24"/>
          <w:szCs w:val="24"/>
          <w:lang w:eastAsia="zh-CN"/>
        </w:rPr>
        <w:t>六</w:t>
      </w:r>
      <w:r>
        <w:rPr>
          <w:rFonts w:hint="eastAsia" w:ascii="新宋体" w:hAnsi="新宋体" w:eastAsia="新宋体" w:cs="新宋体"/>
          <w:color w:val="000000"/>
          <w:kern w:val="0"/>
          <w:sz w:val="24"/>
          <w:szCs w:val="24"/>
        </w:rPr>
        <w:t>、本次招标公告同时在《中国政府采购网》、《河南省政府采购网》、《全国公共资源交易平台（河南省·许昌市）》发布等。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eastAsia="zh-CN"/>
        </w:rPr>
        <w:t>七</w:t>
      </w:r>
      <w:r>
        <w:rPr>
          <w:rFonts w:hint="eastAsia" w:ascii="新宋体" w:hAnsi="新宋体" w:eastAsia="新宋体" w:cs="新宋体"/>
          <w:color w:val="000000"/>
          <w:kern w:val="0"/>
          <w:sz w:val="24"/>
          <w:szCs w:val="24"/>
        </w:rPr>
        <w:t>、代理机构及采购单位地址、联系人、联系电话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联系人：侯女士  联系电话：0374-2077111</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公安局</w:t>
      </w:r>
    </w:p>
    <w:p>
      <w:pPr>
        <w:keepNext w:val="0"/>
        <w:keepLines w:val="0"/>
        <w:pageBreakBefore w:val="0"/>
        <w:widowControl/>
        <w:shd w:val="clear" w:color="auto" w:fill="FFFFFF"/>
        <w:kinsoku/>
        <w:overflowPunct/>
        <w:bidi w:val="0"/>
        <w:spacing w:line="440" w:lineRule="exact"/>
        <w:ind w:firstLine="720" w:firstLineChars="300"/>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华夏大道</w:t>
      </w:r>
      <w:r>
        <w:rPr>
          <w:rFonts w:hint="eastAsia" w:ascii="新宋体" w:hAnsi="新宋体" w:eastAsia="新宋体" w:cs="新宋体"/>
          <w:color w:val="000000"/>
          <w:kern w:val="0"/>
          <w:sz w:val="24"/>
          <w:szCs w:val="24"/>
          <w:lang w:val="en-US" w:eastAsia="zh-CN"/>
        </w:rPr>
        <w:t>2号</w:t>
      </w:r>
    </w:p>
    <w:p>
      <w:pPr>
        <w:keepNext w:val="0"/>
        <w:keepLines w:val="0"/>
        <w:pageBreakBefore w:val="0"/>
        <w:widowControl/>
        <w:shd w:val="clear" w:color="auto" w:fill="FFFFFF"/>
        <w:kinsoku/>
        <w:overflowPunct/>
        <w:bidi w:val="0"/>
        <w:spacing w:line="440" w:lineRule="exact"/>
        <w:ind w:firstLine="972" w:firstLineChars="405"/>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董先生</w:t>
      </w:r>
      <w:r>
        <w:rPr>
          <w:rFonts w:hint="eastAsia" w:ascii="新宋体" w:hAnsi="新宋体" w:eastAsia="新宋体" w:cs="新宋体"/>
          <w:color w:val="000000"/>
          <w:kern w:val="0"/>
          <w:sz w:val="24"/>
          <w:szCs w:val="24"/>
        </w:rPr>
        <w:t xml:space="preserve">   联系电话：</w:t>
      </w:r>
      <w:r>
        <w:rPr>
          <w:rFonts w:hint="eastAsia" w:ascii="新宋体" w:hAnsi="新宋体" w:eastAsia="新宋体" w:cs="新宋体"/>
          <w:color w:val="000000"/>
          <w:kern w:val="0"/>
          <w:sz w:val="24"/>
          <w:szCs w:val="24"/>
          <w:lang w:val="en-US" w:eastAsia="zh-CN"/>
        </w:rPr>
        <w:t>0374-8087477</w:t>
      </w:r>
    </w:p>
    <w:p>
      <w:pPr>
        <w:keepNext w:val="0"/>
        <w:keepLines w:val="0"/>
        <w:pageBreakBefore w:val="0"/>
        <w:widowControl/>
        <w:shd w:val="clear" w:color="auto" w:fill="FFFFFF"/>
        <w:kinsoku/>
        <w:overflowPunct/>
        <w:bidi w:val="0"/>
        <w:spacing w:line="440" w:lineRule="exact"/>
        <w:ind w:firstLine="4329" w:firstLineChars="1804"/>
        <w:jc w:val="left"/>
        <w:textAlignment w:val="auto"/>
        <w:rPr>
          <w:rFonts w:hint="eastAsia" w:ascii="新宋体" w:hAnsi="新宋体" w:eastAsia="新宋体" w:cs="新宋体"/>
          <w:sz w:val="24"/>
          <w:szCs w:val="24"/>
        </w:rPr>
      </w:pPr>
    </w:p>
    <w:p>
      <w:pPr>
        <w:keepNext w:val="0"/>
        <w:keepLines w:val="0"/>
        <w:pageBreakBefore w:val="0"/>
        <w:widowControl/>
        <w:shd w:val="clear" w:color="auto" w:fill="FFFFFF"/>
        <w:kinsoku/>
        <w:overflowPunct/>
        <w:bidi w:val="0"/>
        <w:spacing w:line="440" w:lineRule="exact"/>
        <w:ind w:firstLine="4329" w:firstLineChars="1804"/>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2019年 </w:t>
      </w: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日</w:t>
      </w:r>
    </w:p>
    <w:p>
      <w:pPr>
        <w:spacing w:line="600" w:lineRule="exact"/>
        <w:jc w:val="center"/>
        <w:rPr>
          <w:rFonts w:hint="eastAsia" w:ascii="新宋体" w:hAnsi="新宋体" w:eastAsia="新宋体" w:cs="新宋体"/>
          <w:b/>
          <w:bCs/>
          <w:sz w:val="24"/>
          <w:szCs w:val="24"/>
          <w:lang w:eastAsia="zh-CN"/>
        </w:rPr>
      </w:pPr>
    </w:p>
    <w:p>
      <w:pPr>
        <w:spacing w:line="600" w:lineRule="exact"/>
        <w:jc w:val="center"/>
        <w:rPr>
          <w:rFonts w:hint="eastAsia"/>
          <w:b/>
          <w:bCs/>
          <w:sz w:val="44"/>
          <w:szCs w:val="44"/>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24"/>
          <w:szCs w:val="24"/>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both"/>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6"/>
        </w:numPr>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widowControl/>
        <w:numPr>
          <w:ilvl w:val="0"/>
          <w:numId w:val="0"/>
        </w:numPr>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en-US" w:eastAsia="zh-CN"/>
        </w:rPr>
      </w:pPr>
      <w:r>
        <w:rPr>
          <w:rFonts w:hint="eastAsia" w:cs="黑体" w:asciiTheme="minorEastAsia" w:hAnsiTheme="minorEastAsia"/>
          <w:b/>
          <w:bCs/>
          <w:color w:val="000000"/>
          <w:sz w:val="24"/>
          <w:szCs w:val="24"/>
          <w:shd w:val="clear" w:color="auto" w:fill="FFFFFF"/>
          <w:lang w:val="en-US" w:eastAsia="zh-CN"/>
        </w:rPr>
        <w:t xml:space="preserve">    </w:t>
      </w:r>
      <w:r>
        <w:rPr>
          <w:rFonts w:hint="eastAsia" w:cs="黑体" w:asciiTheme="minorEastAsia" w:hAnsiTheme="minorEastAsia"/>
          <w:b w:val="0"/>
          <w:bCs w:val="0"/>
          <w:color w:val="000000"/>
          <w:sz w:val="24"/>
          <w:szCs w:val="24"/>
          <w:shd w:val="clear" w:color="auto" w:fill="FFFFFF"/>
          <w:lang w:val="en-US" w:eastAsia="zh-CN"/>
        </w:rPr>
        <w:t>1、出入境管理信息自助查询机，市民持本人身份证可直接在自助终端上自助查询、打印出入境记录，2分钟内即能完成出入境记录查询，实现“立等可取”。</w:t>
      </w:r>
    </w:p>
    <w:p>
      <w:pPr>
        <w:widowControl/>
        <w:numPr>
          <w:ilvl w:val="0"/>
          <w:numId w:val="0"/>
        </w:numPr>
        <w:shd w:val="clear" w:color="auto" w:fill="FFFFFF"/>
        <w:spacing w:line="360" w:lineRule="auto"/>
        <w:ind w:firstLine="480" w:firstLineChars="200"/>
        <w:contextualSpacing/>
        <w:jc w:val="left"/>
        <w:rPr>
          <w:rFonts w:hint="eastAsia" w:cs="黑体" w:asciiTheme="minorEastAsia" w:hAnsiTheme="minorEastAsia"/>
          <w:b w:val="0"/>
          <w:bCs w:val="0"/>
          <w:color w:val="000000"/>
          <w:sz w:val="24"/>
          <w:szCs w:val="24"/>
          <w:shd w:val="clear" w:color="auto" w:fill="FFFFFF"/>
          <w:lang w:val="en-US" w:eastAsia="zh-CN"/>
        </w:rPr>
      </w:pPr>
      <w:r>
        <w:rPr>
          <w:rFonts w:hint="eastAsia" w:cs="黑体" w:asciiTheme="minorEastAsia" w:hAnsiTheme="minorEastAsia"/>
          <w:b w:val="0"/>
          <w:bCs w:val="0"/>
          <w:color w:val="000000"/>
          <w:sz w:val="24"/>
          <w:szCs w:val="24"/>
          <w:shd w:val="clear" w:color="auto" w:fill="FFFFFF"/>
          <w:lang w:val="en-US" w:eastAsia="zh-CN"/>
        </w:rPr>
        <w:t>2、排队叫号机，改善群众在办理出入境证照过程中存在的一些混乱、无序现象，打造公平、友好的等候环境。</w:t>
      </w:r>
    </w:p>
    <w:p>
      <w:pPr>
        <w:widowControl/>
        <w:numPr>
          <w:ilvl w:val="0"/>
          <w:numId w:val="0"/>
        </w:numPr>
        <w:shd w:val="clear" w:color="auto" w:fill="FFFFFF"/>
        <w:spacing w:line="360" w:lineRule="auto"/>
        <w:ind w:firstLine="480" w:firstLineChars="200"/>
        <w:contextualSpacing/>
        <w:jc w:val="left"/>
        <w:rPr>
          <w:rFonts w:hint="default" w:cs="黑体" w:asciiTheme="minorEastAsia" w:hAnsiTheme="minorEastAsia" w:eastAsiaTheme="minorEastAsia"/>
          <w:b/>
          <w:bCs/>
          <w:color w:val="000000"/>
          <w:sz w:val="24"/>
          <w:szCs w:val="24"/>
          <w:shd w:val="clear" w:color="auto" w:fill="FFFFFF"/>
          <w:lang w:val="en-US" w:eastAsia="zh-CN"/>
        </w:rPr>
      </w:pPr>
      <w:r>
        <w:rPr>
          <w:rFonts w:hint="eastAsia" w:cs="黑体" w:asciiTheme="minorEastAsia" w:hAnsiTheme="minorEastAsia"/>
          <w:b w:val="0"/>
          <w:bCs w:val="0"/>
          <w:color w:val="000000"/>
          <w:sz w:val="24"/>
          <w:szCs w:val="24"/>
          <w:shd w:val="clear" w:color="auto" w:fill="FFFFFF"/>
          <w:lang w:val="en-US" w:eastAsia="zh-CN"/>
        </w:rPr>
        <w:t>3、出入境管理多业务自动一体机，可以实现自助签注、自助照相、办证申请受理等功能，。</w:t>
      </w:r>
    </w:p>
    <w:p>
      <w:pPr>
        <w:widowControl/>
        <w:shd w:val="clear" w:color="auto" w:fill="FFFFFF"/>
        <w:spacing w:line="360" w:lineRule="auto"/>
        <w:ind w:firstLine="482" w:firstLineChars="200"/>
        <w:contextualSpacing/>
        <w:jc w:val="left"/>
        <w:rPr>
          <w:rFonts w:cs="微软雅黑" w:asciiTheme="minorEastAsia" w:hAnsiTheme="minorEastAsia"/>
          <w:b/>
          <w:color w:val="FF0000"/>
          <w:sz w:val="24"/>
          <w:szCs w:val="24"/>
        </w:rPr>
      </w:pPr>
      <w:r>
        <w:rPr>
          <w:rFonts w:hint="eastAsia" w:cs="黑体" w:asciiTheme="minorEastAsia" w:hAnsiTheme="minorEastAsia"/>
          <w:b/>
          <w:bCs/>
          <w:color w:val="000000"/>
          <w:sz w:val="24"/>
          <w:szCs w:val="24"/>
          <w:shd w:val="clear" w:color="auto" w:fill="FFFFFF"/>
        </w:rPr>
        <w:t>二、</w:t>
      </w:r>
      <w:r>
        <w:rPr>
          <w:rFonts w:hint="eastAsia" w:cs="黑体" w:asciiTheme="minorEastAsia" w:hAnsiTheme="minorEastAsia"/>
          <w:b/>
          <w:bCs/>
          <w:color w:val="000000"/>
          <w:sz w:val="24"/>
          <w:szCs w:val="24"/>
          <w:shd w:val="clear" w:color="auto" w:fill="FFFFFF"/>
          <w:lang w:eastAsia="zh-CN"/>
        </w:rPr>
        <w:t>采购清单</w:t>
      </w:r>
    </w:p>
    <w:tbl>
      <w:tblPr>
        <w:tblStyle w:val="22"/>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
        <w:gridCol w:w="525"/>
        <w:gridCol w:w="7075"/>
        <w:gridCol w:w="66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87" w:hRule="atLeast"/>
        </w:trPr>
        <w:tc>
          <w:tcPr>
            <w:tcW w:w="54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b/>
                <w:bCs w:val="0"/>
                <w:color w:val="000000"/>
                <w:kern w:val="0"/>
                <w:sz w:val="24"/>
                <w:szCs w:val="24"/>
              </w:rPr>
            </w:pPr>
            <w:r>
              <w:rPr>
                <w:rFonts w:hint="eastAsia" w:ascii="新宋体" w:hAnsi="新宋体" w:eastAsia="新宋体" w:cs="新宋体"/>
                <w:b/>
                <w:bCs w:val="0"/>
                <w:color w:val="000000"/>
                <w:kern w:val="0"/>
                <w:sz w:val="24"/>
                <w:szCs w:val="24"/>
              </w:rPr>
              <w:t>序号</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b/>
                <w:bCs w:val="0"/>
                <w:color w:val="000000"/>
                <w:kern w:val="0"/>
                <w:sz w:val="24"/>
                <w:szCs w:val="24"/>
              </w:rPr>
            </w:pPr>
            <w:r>
              <w:rPr>
                <w:rFonts w:hint="eastAsia" w:ascii="新宋体" w:hAnsi="新宋体" w:eastAsia="新宋体" w:cs="新宋体"/>
                <w:b/>
                <w:bCs w:val="0"/>
                <w:color w:val="000000"/>
                <w:kern w:val="0"/>
                <w:sz w:val="24"/>
                <w:szCs w:val="24"/>
              </w:rPr>
              <w:t>货物名称</w:t>
            </w:r>
          </w:p>
        </w:tc>
        <w:tc>
          <w:tcPr>
            <w:tcW w:w="707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b/>
                <w:bCs w:val="0"/>
                <w:color w:val="000000"/>
                <w:kern w:val="0"/>
                <w:sz w:val="24"/>
                <w:szCs w:val="24"/>
              </w:rPr>
            </w:pPr>
            <w:r>
              <w:rPr>
                <w:rFonts w:hint="eastAsia" w:ascii="新宋体" w:hAnsi="新宋体" w:eastAsia="新宋体" w:cs="新宋体"/>
                <w:b/>
                <w:bCs w:val="0"/>
                <w:color w:val="000000"/>
                <w:kern w:val="0"/>
                <w:sz w:val="24"/>
                <w:szCs w:val="24"/>
              </w:rPr>
              <w:t>技术规格及主要参数</w:t>
            </w:r>
          </w:p>
        </w:tc>
        <w:tc>
          <w:tcPr>
            <w:tcW w:w="66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b/>
                <w:bCs w:val="0"/>
                <w:color w:val="000000"/>
                <w:kern w:val="0"/>
                <w:sz w:val="24"/>
                <w:szCs w:val="24"/>
              </w:rPr>
            </w:pPr>
            <w:r>
              <w:rPr>
                <w:rFonts w:hint="eastAsia" w:ascii="新宋体" w:hAnsi="新宋体" w:eastAsia="新宋体" w:cs="新宋体"/>
                <w:b/>
                <w:bCs w:val="0"/>
                <w:color w:val="000000"/>
                <w:kern w:val="0"/>
                <w:sz w:val="24"/>
                <w:szCs w:val="24"/>
              </w:rPr>
              <w:t>单位</w:t>
            </w:r>
          </w:p>
        </w:tc>
        <w:tc>
          <w:tcPr>
            <w:tcW w:w="57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b/>
                <w:bCs w:val="0"/>
                <w:color w:val="000000"/>
                <w:kern w:val="0"/>
                <w:sz w:val="24"/>
                <w:szCs w:val="24"/>
              </w:rPr>
            </w:pPr>
            <w:r>
              <w:rPr>
                <w:rFonts w:hint="eastAsia" w:ascii="新宋体" w:hAnsi="新宋体" w:eastAsia="新宋体" w:cs="新宋体"/>
                <w:b/>
                <w:bCs w:val="0"/>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54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eastAsia="zh-CN"/>
              </w:rPr>
              <w:t>自助查询机</w:t>
            </w:r>
          </w:p>
        </w:tc>
        <w:tc>
          <w:tcPr>
            <w:tcW w:w="707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1.产品规格:500（L）x450（W）x1620（H） mm</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2.重量:约80KG</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3.机柜类型:大堂式，冷轧钢板，防锈、防腐、防爆</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4.工作电源:交流 220V/50Hz</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5.功率:待机：100W；工作：500W</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 xml:space="preserve">6.控制主机:板载2个Realtek ®RTL 千兆网卡 </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支持双屏独立显示（VGA /HDMI /24bit LVDS）</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10 * COM +1* PCI-E 16X +1* MINI PCI-E +4 * SATA+8 * USB2.0 +1 * PS/2+1*LPT</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高保真HDA 6声道声卡</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Intel 双核3GHz CPU；500G硬盘；4G内存</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7.证件阅读器:符合公安部行业标准（GA 450-2003）、国家标准(GB/T 18239-2000)以及国际标准(ISO 14443) </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 xml:space="preserve">通讯接口:智能型，同时支持RS-232C/USB </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读卡时间:&lt;1s </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8.显示屏:19吋触摸显示屏；4096*4096分辨率；5000：1对比度；点击次数：5000（万次）</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9.摄像头:像素800万（软件加强效果）；动态分辨率1280×720；接口类型USB2.0</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10.文件打印:黑白激光双面打印；打印幅度：16k-A4；打印速度&gt;30ppm；分辨率：1200 x 1200dpi；</w:t>
            </w:r>
          </w:p>
          <w:p>
            <w:pPr>
              <w:rPr>
                <w:rFonts w:hint="eastAsia" w:ascii="新宋体" w:hAnsi="新宋体" w:eastAsia="新宋体" w:cs="新宋体"/>
                <w:color w:val="000000"/>
                <w:kern w:val="0"/>
                <w:sz w:val="24"/>
                <w:szCs w:val="24"/>
              </w:rPr>
            </w:pPr>
            <w:r>
              <w:rPr>
                <w:rFonts w:hint="eastAsia" w:ascii="新宋体" w:hAnsi="新宋体" w:eastAsia="新宋体" w:cs="新宋体"/>
                <w:b w:val="0"/>
                <w:bCs w:val="0"/>
                <w:color w:val="000000"/>
                <w:kern w:val="0"/>
                <w:sz w:val="24"/>
                <w:szCs w:val="24"/>
                <w:lang w:val="en-US" w:eastAsia="zh-CN"/>
              </w:rPr>
              <w:t>11.其他：产品必须满足可以与全国出入境信息管理系统对接；</w:t>
            </w:r>
            <w:r>
              <w:rPr>
                <w:rFonts w:hint="eastAsia" w:ascii="新宋体" w:hAnsi="新宋体" w:eastAsia="新宋体" w:cs="新宋体"/>
                <w:b w:val="0"/>
                <w:bCs w:val="0"/>
                <w:color w:val="000000"/>
                <w:kern w:val="0"/>
                <w:sz w:val="24"/>
                <w:szCs w:val="24"/>
                <w:lang w:val="en-US" w:eastAsia="zh-CN"/>
              </w:rPr>
              <w:br w:type="textWrapping"/>
            </w:r>
            <w:r>
              <w:rPr>
                <w:rFonts w:hint="eastAsia" w:ascii="新宋体" w:hAnsi="新宋体" w:eastAsia="新宋体" w:cs="新宋体"/>
                <w:b w:val="0"/>
                <w:bCs w:val="0"/>
                <w:color w:val="000000"/>
                <w:kern w:val="0"/>
                <w:sz w:val="24"/>
                <w:szCs w:val="24"/>
                <w:lang w:val="en-US" w:eastAsia="zh-CN"/>
              </w:rPr>
              <w:t>12.在中标公示期内中标企业需向招标人提供针对本项目所投产品与全国出入境信息管理系统承建商出具的无缝对接成功测试函；</w:t>
            </w:r>
          </w:p>
        </w:tc>
        <w:tc>
          <w:tcPr>
            <w:tcW w:w="66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台</w:t>
            </w:r>
          </w:p>
        </w:tc>
        <w:tc>
          <w:tcPr>
            <w:tcW w:w="57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w:t>
            </w:r>
            <w:r>
              <w:rPr>
                <w:rFonts w:hint="eastAsia" w:ascii="新宋体" w:hAnsi="新宋体" w:eastAsia="新宋体" w:cs="新宋体"/>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54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tabs>
                <w:tab w:val="left" w:pos="498"/>
                <w:tab w:val="center" w:pos="654"/>
              </w:tabs>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eastAsia="zh-CN"/>
              </w:rPr>
              <w:t>排队叫号机</w:t>
            </w:r>
          </w:p>
        </w:tc>
        <w:tc>
          <w:tcPr>
            <w:tcW w:w="707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top"/>
          </w:tcPr>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触摸屏取号机：</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（1）17寸液晶显示屏</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（2）高速热敏打印机（纸宽80mm）</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（4）PC控制主机</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（5）系统转接器</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（6）排队管理控制软件</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（7）语音系统</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（8）内置功放及音响</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显示屏（六个窗口）</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型号：LED点阵模块，无线8字单红，3.75</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软件：</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·发号机界面的图片、按键可根据喜好按个性化自主设计更换；</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·各项业务队列自由增减、调整；</w:t>
            </w:r>
          </w:p>
          <w:p>
            <w:pPr>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·系统可支持100种业务以上；</w:t>
            </w:r>
          </w:p>
          <w:p>
            <w:pPr>
              <w:rPr>
                <w:rFonts w:hint="eastAsia" w:ascii="新宋体" w:hAnsi="新宋体" w:eastAsia="新宋体" w:cs="新宋体"/>
                <w:color w:val="000000"/>
                <w:kern w:val="0"/>
                <w:sz w:val="24"/>
                <w:szCs w:val="24"/>
              </w:rPr>
            </w:pPr>
            <w:r>
              <w:rPr>
                <w:rFonts w:hint="eastAsia" w:ascii="新宋体" w:hAnsi="新宋体" w:eastAsia="新宋体" w:cs="新宋体"/>
                <w:b w:val="0"/>
                <w:bCs w:val="0"/>
                <w:color w:val="000000"/>
                <w:kern w:val="0"/>
                <w:sz w:val="24"/>
                <w:szCs w:val="24"/>
                <w:lang w:val="en-US" w:eastAsia="zh-CN"/>
              </w:rPr>
              <w:t>·需要办理的业务队列可以自主任意设置优先级。</w:t>
            </w:r>
          </w:p>
        </w:tc>
        <w:tc>
          <w:tcPr>
            <w:tcW w:w="66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w:t>
            </w:r>
            <w:r>
              <w:rPr>
                <w:rFonts w:hint="eastAsia" w:ascii="新宋体" w:hAnsi="新宋体" w:eastAsia="新宋体" w:cs="新宋体"/>
                <w:color w:val="000000"/>
                <w:kern w:val="0"/>
                <w:sz w:val="24"/>
                <w:szCs w:val="24"/>
                <w:lang w:eastAsia="zh-CN"/>
              </w:rPr>
              <w:t>台</w:t>
            </w:r>
          </w:p>
        </w:tc>
        <w:tc>
          <w:tcPr>
            <w:tcW w:w="57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w:t>
            </w:r>
            <w:r>
              <w:rPr>
                <w:rFonts w:hint="eastAsia" w:ascii="新宋体" w:hAnsi="新宋体" w:eastAsia="新宋体" w:cs="新宋体"/>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54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lang w:val="en-US" w:eastAsia="zh-CN"/>
              </w:rPr>
              <w:t>3</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tabs>
                <w:tab w:val="left" w:pos="498"/>
                <w:tab w:val="center" w:pos="654"/>
              </w:tabs>
              <w:spacing w:line="360" w:lineRule="auto"/>
              <w:jc w:val="center"/>
              <w:rPr>
                <w:rFonts w:hint="eastAsia" w:ascii="新宋体" w:hAnsi="新宋体" w:eastAsia="新宋体" w:cs="新宋体"/>
                <w:kern w:val="0"/>
                <w:sz w:val="24"/>
                <w:szCs w:val="24"/>
                <w:lang w:eastAsia="zh-CN"/>
              </w:rPr>
            </w:pPr>
            <w:r>
              <w:rPr>
                <w:rFonts w:hint="eastAsia" w:ascii="新宋体" w:hAnsi="新宋体" w:eastAsia="新宋体" w:cs="新宋体"/>
                <w:color w:val="000000"/>
                <w:kern w:val="0"/>
                <w:sz w:val="24"/>
                <w:szCs w:val="24"/>
                <w:lang w:eastAsia="zh-CN"/>
              </w:rPr>
              <w:t>多业务自动一体机</w:t>
            </w:r>
          </w:p>
        </w:tc>
        <w:tc>
          <w:tcPr>
            <w:tcW w:w="707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eastAsia="zh-CN"/>
              </w:rPr>
              <w:t>一、</w:t>
            </w:r>
            <w:r>
              <w:rPr>
                <w:rFonts w:hint="eastAsia" w:ascii="新宋体" w:hAnsi="新宋体" w:eastAsia="新宋体" w:cs="新宋体"/>
                <w:sz w:val="24"/>
                <w:szCs w:val="24"/>
              </w:rPr>
              <w:t>自助签注</w:t>
            </w:r>
            <w:r>
              <w:rPr>
                <w:rFonts w:hint="eastAsia" w:ascii="新宋体" w:hAnsi="新宋体" w:eastAsia="新宋体" w:cs="新宋体"/>
                <w:sz w:val="24"/>
                <w:szCs w:val="24"/>
              </w:rPr>
              <w:br w:type="textWrapping"/>
            </w:r>
            <w:r>
              <w:rPr>
                <w:rFonts w:hint="eastAsia" w:ascii="新宋体" w:hAnsi="新宋体" w:eastAsia="新宋体" w:cs="新宋体"/>
                <w:sz w:val="24"/>
                <w:szCs w:val="24"/>
              </w:rPr>
              <w:t>功能</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港澳证及台胞的二次签注，设备需集签注、证件信息读取、现场人像拍摄、与支付对接、回执扫描等诸多功能于一体的全自助一站式签注系统，且签注模块确保制证安全和统一</w:t>
            </w:r>
            <w:r>
              <w:rPr>
                <w:rFonts w:hint="eastAsia" w:ascii="新宋体" w:hAnsi="新宋体" w:eastAsia="新宋体" w:cs="新宋体"/>
                <w:sz w:val="24"/>
                <w:szCs w:val="24"/>
                <w:lang w:eastAsia="zh-CN"/>
              </w:rPr>
              <w:t>。</w:t>
            </w:r>
          </w:p>
          <w:p>
            <w:pP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1.1</w:t>
            </w:r>
            <w:r>
              <w:rPr>
                <w:rFonts w:hint="eastAsia" w:ascii="新宋体" w:hAnsi="新宋体" w:eastAsia="新宋体" w:cs="新宋体"/>
                <w:sz w:val="24"/>
                <w:szCs w:val="24"/>
              </w:rPr>
              <w:t>显示界面</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15-20寸触摸式显示屏；</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1.2</w:t>
            </w:r>
            <w:r>
              <w:rPr>
                <w:rFonts w:hint="eastAsia" w:ascii="新宋体" w:hAnsi="新宋体" w:eastAsia="新宋体" w:cs="新宋体"/>
                <w:sz w:val="24"/>
                <w:szCs w:val="24"/>
              </w:rPr>
              <w:t>签注模块</w:t>
            </w:r>
            <w:r>
              <w:rPr>
                <w:rFonts w:hint="eastAsia" w:ascii="新宋体" w:hAnsi="新宋体" w:eastAsia="新宋体" w:cs="新宋体"/>
                <w:sz w:val="24"/>
                <w:szCs w:val="24"/>
                <w:lang w:eastAsia="zh-CN"/>
              </w:rPr>
              <w:t>：</w:t>
            </w: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(1)具备卡面自动翻转功能，现场擦写打印卡面签注信息。                         </w:t>
            </w: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(2)电子签注模块：实现签注信息自动擦写，电子签注信息芯片写入。             </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(3)为保证签注信息安全及制证统一，符合公安部“公境字[2013]3384号”文件要求、能够无缝与全国出入境信息管理系统对接。</w:t>
            </w:r>
            <w:r>
              <w:rPr>
                <w:rFonts w:hint="eastAsia" w:ascii="新宋体" w:hAnsi="新宋体" w:eastAsia="新宋体" w:cs="新宋体"/>
                <w:sz w:val="24"/>
                <w:szCs w:val="24"/>
                <w:lang w:val="en-US" w:eastAsia="zh-CN"/>
              </w:rPr>
              <w:br w:type="textWrapping"/>
            </w:r>
            <w:r>
              <w:rPr>
                <w:rFonts w:hint="eastAsia" w:ascii="新宋体" w:hAnsi="新宋体" w:eastAsia="新宋体" w:cs="新宋体"/>
                <w:sz w:val="24"/>
                <w:szCs w:val="24"/>
                <w:lang w:val="en-US" w:eastAsia="zh-CN"/>
              </w:rPr>
              <w:t>1.3</w:t>
            </w:r>
            <w:r>
              <w:rPr>
                <w:rFonts w:hint="eastAsia" w:ascii="新宋体" w:hAnsi="新宋体" w:eastAsia="新宋体" w:cs="新宋体"/>
                <w:sz w:val="24"/>
                <w:szCs w:val="24"/>
              </w:rPr>
              <w:t>费用支付方式</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现金支付：识别多种面值纸币</w:t>
            </w:r>
            <w:r>
              <w:rPr>
                <w:rFonts w:hint="eastAsia" w:ascii="新宋体" w:hAnsi="新宋体" w:eastAsia="新宋体" w:cs="新宋体"/>
                <w:sz w:val="24"/>
                <w:szCs w:val="24"/>
                <w:lang w:eastAsia="zh-CN"/>
              </w:rPr>
              <w:t>。</w:t>
            </w:r>
          </w:p>
          <w:p>
            <w:pPr>
              <w:rPr>
                <w:rFonts w:hint="eastAsia" w:ascii="新宋体" w:hAnsi="新宋体" w:eastAsia="新宋体" w:cs="新宋体"/>
                <w:color w:val="auto"/>
                <w:sz w:val="24"/>
                <w:szCs w:val="24"/>
                <w:lang w:eastAsia="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银联支付：支持各类储蓄卡、借记</w:t>
            </w:r>
            <w:r>
              <w:rPr>
                <w:rFonts w:hint="eastAsia" w:ascii="新宋体" w:hAnsi="新宋体" w:eastAsia="新宋体" w:cs="新宋体"/>
                <w:sz w:val="24"/>
                <w:szCs w:val="24"/>
                <w:lang w:eastAsia="zh-CN"/>
              </w:rPr>
              <w:t>卡、</w:t>
            </w:r>
            <w:r>
              <w:rPr>
                <w:rFonts w:hint="eastAsia" w:ascii="新宋体" w:hAnsi="新宋体" w:eastAsia="新宋体" w:cs="新宋体"/>
                <w:color w:val="auto"/>
                <w:sz w:val="24"/>
                <w:szCs w:val="24"/>
                <w:lang w:eastAsia="zh-CN"/>
              </w:rPr>
              <w:t>支持与互联网缴费平台对接；</w:t>
            </w:r>
          </w:p>
          <w:p>
            <w:pP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1.4</w:t>
            </w:r>
            <w:r>
              <w:rPr>
                <w:rFonts w:hint="eastAsia" w:ascii="新宋体" w:hAnsi="新宋体" w:eastAsia="新宋体" w:cs="新宋体"/>
                <w:sz w:val="24"/>
                <w:szCs w:val="24"/>
              </w:rPr>
              <w:t>网络连接</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有线方式——以太网；可实现互联网与公安网交换链接</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eastAsia="zh-CN"/>
              </w:rPr>
              <w:t>二、</w:t>
            </w:r>
            <w:r>
              <w:rPr>
                <w:rFonts w:hint="eastAsia" w:ascii="新宋体" w:hAnsi="新宋体" w:eastAsia="新宋体" w:cs="新宋体"/>
                <w:sz w:val="24"/>
                <w:szCs w:val="24"/>
              </w:rPr>
              <w:t>自助照相</w:t>
            </w:r>
            <w:r>
              <w:rPr>
                <w:rFonts w:hint="eastAsia" w:ascii="新宋体" w:hAnsi="新宋体" w:eastAsia="新宋体" w:cs="新宋体"/>
                <w:sz w:val="24"/>
                <w:szCs w:val="24"/>
              </w:rPr>
              <w:br w:type="textWrapping"/>
            </w:r>
            <w:r>
              <w:rPr>
                <w:rFonts w:hint="eastAsia" w:ascii="新宋体" w:hAnsi="新宋体" w:eastAsia="新宋体" w:cs="新宋体"/>
                <w:sz w:val="24"/>
                <w:szCs w:val="24"/>
              </w:rPr>
              <w:t>功能：申请人可通过本模块，自助完成证件相片的拍摄，并与检测平台、照片库对接。申请受理时，以身份证号或相片回执所携信息为检索依据，可获取合格的证件照片</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2.1</w:t>
            </w:r>
            <w:r>
              <w:rPr>
                <w:rFonts w:hint="eastAsia" w:ascii="新宋体" w:hAnsi="新宋体" w:eastAsia="新宋体" w:cs="新宋体"/>
                <w:sz w:val="24"/>
                <w:szCs w:val="24"/>
              </w:rPr>
              <w:t>显示界面</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15寸触摸式显示屏</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2.2</w:t>
            </w:r>
            <w:r>
              <w:rPr>
                <w:rFonts w:hint="eastAsia" w:ascii="新宋体" w:hAnsi="新宋体" w:eastAsia="新宋体" w:cs="新宋体"/>
                <w:sz w:val="24"/>
                <w:szCs w:val="24"/>
              </w:rPr>
              <w:t>内置相机类型</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数码单反相机，有效像素≥1500万，镜头焦距：18-55</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2.3</w:t>
            </w:r>
            <w:r>
              <w:rPr>
                <w:rFonts w:hint="eastAsia" w:ascii="新宋体" w:hAnsi="新宋体" w:eastAsia="新宋体" w:cs="新宋体"/>
                <w:sz w:val="24"/>
                <w:szCs w:val="24"/>
              </w:rPr>
              <w:t>上下移动模块</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降幅度35~60cm；配备LED指示灯；支持手动调节升降速度；通过人脸识别技术，可自动调整拍摄模块高度</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2.4</w:t>
            </w:r>
            <w:r>
              <w:rPr>
                <w:rFonts w:hint="eastAsia" w:ascii="新宋体" w:hAnsi="新宋体" w:eastAsia="新宋体" w:cs="新宋体"/>
                <w:sz w:val="24"/>
                <w:szCs w:val="24"/>
              </w:rPr>
              <w:t>灯光系统</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配备LED主灯光；色温5000-6000K；显色指数&gt;80；多组可调补光灯：确保360度立体补光，完美呈现人像拍摄效果</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2.5</w:t>
            </w:r>
            <w:r>
              <w:rPr>
                <w:rFonts w:hint="eastAsia" w:ascii="新宋体" w:hAnsi="新宋体" w:eastAsia="新宋体" w:cs="新宋体"/>
                <w:sz w:val="24"/>
                <w:szCs w:val="24"/>
              </w:rPr>
              <w:t>拍照模块</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有效像素≥1500万，对焦方式：单次自动对焦，人工智能伺服自动对焦，人工智能自动对焦；自动对焦；内置麦克风；面部跟踪；动作检测</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2.6</w:t>
            </w:r>
            <w:r>
              <w:rPr>
                <w:rFonts w:hint="eastAsia" w:ascii="新宋体" w:hAnsi="新宋体" w:eastAsia="新宋体" w:cs="新宋体"/>
                <w:sz w:val="24"/>
                <w:szCs w:val="24"/>
              </w:rPr>
              <w:t>制证照片采集（软件）</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严格按照公安部出入境管理局2011年制定的《出入境证件相片照相指引》要求：正面免冠彩色照片，24为红绿蓝真彩色，清晰度、亮度、色彩符合要求，相片规格分辨率300像素/平方英寸，大小30*40mm，人像居中，头部宽19.5-24mm，高度28-33mm，眼睛距离7-10mm。</w:t>
            </w:r>
            <w:r>
              <w:rPr>
                <w:rFonts w:hint="eastAsia" w:ascii="新宋体" w:hAnsi="新宋体" w:eastAsia="新宋体" w:cs="新宋体"/>
                <w:sz w:val="24"/>
                <w:szCs w:val="24"/>
              </w:rPr>
              <w:br w:type="textWrapping"/>
            </w:r>
            <w:r>
              <w:rPr>
                <w:rFonts w:hint="eastAsia" w:ascii="新宋体" w:hAnsi="新宋体" w:eastAsia="新宋体" w:cs="新宋体"/>
                <w:sz w:val="24"/>
                <w:szCs w:val="24"/>
                <w:lang w:eastAsia="zh-CN"/>
              </w:rPr>
              <w:t>三、</w:t>
            </w:r>
            <w:r>
              <w:rPr>
                <w:rFonts w:hint="eastAsia" w:ascii="新宋体" w:hAnsi="新宋体" w:eastAsia="新宋体" w:cs="新宋体"/>
                <w:sz w:val="24"/>
                <w:szCs w:val="24"/>
              </w:rPr>
              <w:t>办证申请受理</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rPr>
              <w:t>功能：集成现场人像采集、签名、指纹采集，受理信息填写等功能，申请人填写的信息可同步传送至出入境信息化管理系统全国版（设备与全国版系统在软件层无缝对接</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3.1</w:t>
            </w:r>
            <w:r>
              <w:rPr>
                <w:rFonts w:hint="eastAsia" w:ascii="新宋体" w:hAnsi="新宋体" w:eastAsia="新宋体" w:cs="新宋体"/>
                <w:sz w:val="24"/>
                <w:szCs w:val="24"/>
              </w:rPr>
              <w:t>显示界面</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15寸触摸式显示屏</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3.2</w:t>
            </w:r>
            <w:r>
              <w:rPr>
                <w:rFonts w:hint="eastAsia" w:ascii="新宋体" w:hAnsi="新宋体" w:eastAsia="新宋体" w:cs="新宋体"/>
                <w:sz w:val="24"/>
                <w:szCs w:val="24"/>
              </w:rPr>
              <w:t>现场人像采集</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采集办证现场人像，用于后续环节比对，确保采集所有受理信息为同一人</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3.3</w:t>
            </w:r>
            <w:r>
              <w:rPr>
                <w:rFonts w:hint="eastAsia" w:ascii="新宋体" w:hAnsi="新宋体" w:eastAsia="新宋体" w:cs="新宋体"/>
                <w:sz w:val="24"/>
                <w:szCs w:val="24"/>
              </w:rPr>
              <w:t>身份证读卡器</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公安部授权产品，支持二代身份证快速阅读，兼容ISO14443(TypeB)标准，智能通讯接口，同时支持RS-232C/USB，读卡时间：≤1.5s</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3.4</w:t>
            </w:r>
            <w:r>
              <w:rPr>
                <w:rFonts w:hint="eastAsia" w:ascii="新宋体" w:hAnsi="新宋体" w:eastAsia="新宋体" w:cs="新宋体"/>
                <w:sz w:val="24"/>
                <w:szCs w:val="24"/>
              </w:rPr>
              <w:t>二维码扫描仪</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支持各种常用二维码、手机屏幕条码、反色条码的识读</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3.5</w:t>
            </w:r>
            <w:r>
              <w:rPr>
                <w:rFonts w:hint="eastAsia" w:ascii="新宋体" w:hAnsi="新宋体" w:eastAsia="新宋体" w:cs="新宋体"/>
                <w:sz w:val="24"/>
                <w:szCs w:val="24"/>
              </w:rPr>
              <w:t>电子签名</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有传输加密功能，支持显示书写笔迹，感应灵敏、字迹还原度高，符合出入境办证申请要求</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3.6</w:t>
            </w:r>
            <w:r>
              <w:rPr>
                <w:rFonts w:hint="eastAsia" w:ascii="新宋体" w:hAnsi="新宋体" w:eastAsia="新宋体" w:cs="新宋体"/>
                <w:sz w:val="24"/>
                <w:szCs w:val="24"/>
              </w:rPr>
              <w:t>指纹采集</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通过中国安全技术防范认证中心认证，能够顺利、完整的采集申请人指纹，清晰、完整、不断层。</w:t>
            </w:r>
            <w:r>
              <w:rPr>
                <w:rFonts w:hint="eastAsia" w:ascii="新宋体" w:hAnsi="新宋体" w:eastAsia="新宋体" w:cs="新宋体"/>
                <w:sz w:val="24"/>
                <w:szCs w:val="24"/>
              </w:rPr>
              <w:br w:type="textWrapping"/>
            </w:r>
            <w:r>
              <w:rPr>
                <w:rFonts w:hint="eastAsia" w:ascii="新宋体" w:hAnsi="新宋体" w:eastAsia="新宋体" w:cs="新宋体"/>
                <w:sz w:val="24"/>
                <w:szCs w:val="24"/>
                <w:lang w:eastAsia="zh-CN"/>
              </w:rPr>
              <w:t>四、</w:t>
            </w:r>
            <w:r>
              <w:rPr>
                <w:rFonts w:hint="eastAsia" w:ascii="新宋体" w:hAnsi="新宋体" w:eastAsia="新宋体" w:cs="新宋体"/>
                <w:sz w:val="24"/>
                <w:szCs w:val="24"/>
              </w:rPr>
              <w:t>系统集成</w:t>
            </w:r>
            <w:r>
              <w:rPr>
                <w:rFonts w:hint="eastAsia" w:ascii="新宋体" w:hAnsi="新宋体" w:eastAsia="新宋体" w:cs="新宋体"/>
                <w:sz w:val="24"/>
                <w:szCs w:val="24"/>
              </w:rPr>
              <w:br w:type="textWrapping"/>
            </w:r>
            <w:r>
              <w:rPr>
                <w:rFonts w:hint="eastAsia" w:ascii="新宋体" w:hAnsi="新宋体" w:eastAsia="新宋体" w:cs="新宋体"/>
                <w:sz w:val="24"/>
                <w:szCs w:val="24"/>
              </w:rPr>
              <w:t>签注、照相、受理，三大功能，模块组成设计科学、运行安全可靠。</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4.1</w:t>
            </w:r>
            <w:r>
              <w:rPr>
                <w:rFonts w:hint="eastAsia" w:ascii="新宋体" w:hAnsi="新宋体" w:eastAsia="新宋体" w:cs="新宋体"/>
                <w:sz w:val="24"/>
                <w:szCs w:val="24"/>
              </w:rPr>
              <w:t>操作系统</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Windows 7</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4.2</w:t>
            </w:r>
            <w:r>
              <w:rPr>
                <w:rFonts w:hint="eastAsia" w:ascii="新宋体" w:hAnsi="新宋体" w:eastAsia="新宋体" w:cs="新宋体"/>
                <w:sz w:val="24"/>
                <w:szCs w:val="24"/>
              </w:rPr>
              <w:t>额定电压</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交流 220V/50Hz</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4.3</w:t>
            </w:r>
            <w:r>
              <w:rPr>
                <w:rFonts w:hint="eastAsia" w:ascii="新宋体" w:hAnsi="新宋体" w:eastAsia="新宋体" w:cs="新宋体"/>
                <w:sz w:val="24"/>
                <w:szCs w:val="24"/>
              </w:rPr>
              <w:t>业务控制</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双主机，采用工业级主板，网卡，双核CPU，内存＞2G，签注机硬盘≥500G，受理照相机固态硬盘≥40G</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4.4</w:t>
            </w:r>
            <w:r>
              <w:rPr>
                <w:rFonts w:hint="eastAsia" w:ascii="新宋体" w:hAnsi="新宋体" w:eastAsia="新宋体" w:cs="新宋体"/>
                <w:sz w:val="24"/>
                <w:szCs w:val="24"/>
              </w:rPr>
              <w:t>多重身份核验</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对申请人身份信息进行核验、校对，对接公安部人口库信息，能够进行人像比对、指纹校验、基础信息核对</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4.5</w:t>
            </w:r>
            <w:r>
              <w:rPr>
                <w:rFonts w:hint="eastAsia" w:ascii="新宋体" w:hAnsi="新宋体" w:eastAsia="新宋体" w:cs="新宋体"/>
                <w:sz w:val="24"/>
                <w:szCs w:val="24"/>
              </w:rPr>
              <w:t>业务指引</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语音播报指引，双声道输出；带物理音量调节开关；</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4.6</w:t>
            </w:r>
            <w:r>
              <w:rPr>
                <w:rFonts w:hint="eastAsia" w:ascii="新宋体" w:hAnsi="新宋体" w:eastAsia="新宋体" w:cs="新宋体"/>
                <w:sz w:val="24"/>
                <w:szCs w:val="24"/>
              </w:rPr>
              <w:t>凭条打印</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热敏打印，自动切纸</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4.7</w:t>
            </w:r>
            <w:r>
              <w:rPr>
                <w:rFonts w:hint="eastAsia" w:ascii="新宋体" w:hAnsi="新宋体" w:eastAsia="新宋体" w:cs="新宋体"/>
                <w:sz w:val="24"/>
                <w:szCs w:val="24"/>
              </w:rPr>
              <w:t>回执打印</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黑白激光双面打印；打印幅度：A4纸张；打印速度&gt;20ppm；分辨率：≥300dpi</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br w:type="textWrapping"/>
            </w:r>
            <w:r>
              <w:rPr>
                <w:rFonts w:hint="eastAsia" w:ascii="新宋体" w:hAnsi="新宋体" w:eastAsia="新宋体" w:cs="新宋体"/>
                <w:sz w:val="24"/>
                <w:szCs w:val="24"/>
                <w:lang w:val="en-US" w:eastAsia="zh-CN"/>
              </w:rPr>
              <w:t>4.8</w:t>
            </w:r>
            <w:r>
              <w:rPr>
                <w:rFonts w:hint="eastAsia" w:ascii="新宋体" w:hAnsi="新宋体" w:eastAsia="新宋体" w:cs="新宋体"/>
                <w:sz w:val="24"/>
                <w:szCs w:val="24"/>
              </w:rPr>
              <w:t>银联模块</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带16键金属加密键盘（含遮挡罩），通过EMV&amp;PBOC2.0认证，多卡合一，支持可操作磁卡、接触式IC卡、非接触式IC卡</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eastAsia="zh-CN"/>
              </w:rPr>
              <w:br w:type="textWrapping"/>
            </w:r>
            <w:r>
              <w:rPr>
                <w:rFonts w:hint="eastAsia" w:ascii="新宋体" w:hAnsi="新宋体" w:eastAsia="新宋体" w:cs="新宋体"/>
                <w:sz w:val="24"/>
                <w:szCs w:val="24"/>
                <w:lang w:eastAsia="zh-CN"/>
              </w:rPr>
              <w:t>五、证明</w:t>
            </w:r>
          </w:p>
          <w:p>
            <w:pPr>
              <w:numPr>
                <w:ilvl w:val="0"/>
                <w:numId w:val="0"/>
              </w:num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eastAsia="zh-CN"/>
              </w:rPr>
              <w:t>在中标公示期内中标企业需向招标人提供针对本项目所投产品与全国出入境信息管理系统承建商出具的无缝对接成功测试函；</w:t>
            </w:r>
          </w:p>
        </w:tc>
        <w:tc>
          <w:tcPr>
            <w:tcW w:w="66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lang w:val="en-US" w:eastAsia="zh-CN"/>
              </w:rPr>
              <w:t>台</w:t>
            </w:r>
          </w:p>
        </w:tc>
        <w:tc>
          <w:tcPr>
            <w:tcW w:w="57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lang w:val="en-US" w:eastAsia="zh-CN"/>
              </w:rPr>
              <w:t>1</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lang w:eastAsia="zh-CN"/>
        </w:rPr>
        <w:t>注：</w:t>
      </w:r>
      <w:r>
        <w:rPr>
          <w:rFonts w:hint="eastAsia" w:cs="微软雅黑" w:asciiTheme="minorEastAsia" w:hAnsiTheme="minorEastAsia"/>
          <w:b/>
          <w:color w:val="FF0000"/>
          <w:sz w:val="24"/>
          <w:szCs w:val="24"/>
        </w:rPr>
        <w:t>本采购清单中所列技术规格或主要参数为最低要求，不允许负偏离，否则为无效响应文件。</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并在有效期内的产品，应在响应文件中提供“所投产品符合国家强制性要求承诺函”并加盖投标人公章，否则将承担其响应被视为非实质性响应的风险。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w:t>
      </w:r>
      <w:r>
        <w:rPr>
          <w:rFonts w:hint="eastAsia" w:cs="宋体" w:asciiTheme="minorEastAsia" w:hAnsiTheme="minorEastAsia"/>
          <w:kern w:val="0"/>
          <w:sz w:val="24"/>
          <w:szCs w:val="24"/>
        </w:rPr>
        <w:t>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供应商</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并须在响应文件中提供：</w:t>
      </w:r>
    </w:p>
    <w:p>
      <w:pPr>
        <w:wordWrap w:val="0"/>
        <w:spacing w:line="360" w:lineRule="auto"/>
        <w:ind w:firstLine="480" w:firstLineChars="200"/>
        <w:contextualSpacing/>
        <w:rPr>
          <w:rFonts w:cs="仿宋_GB2312" w:asciiTheme="minorEastAsia" w:hAnsiTheme="minorEastAsia"/>
          <w:sz w:val="24"/>
          <w:szCs w:val="24"/>
        </w:rPr>
      </w:pPr>
      <w:r>
        <w:rPr>
          <w:rFonts w:hint="eastAsia" w:cs="仿宋_GB2312" w:asciiTheme="minorEastAsia" w:hAnsiTheme="minorEastAsia"/>
          <w:sz w:val="24"/>
          <w:szCs w:val="24"/>
        </w:rPr>
        <w:t>①</w:t>
      </w:r>
      <w:r>
        <w:rPr>
          <w:rFonts w:hint="eastAsia" w:cs="仿宋_GB2312" w:asciiTheme="minorEastAsia" w:hAnsiTheme="minorEastAsia"/>
          <w:sz w:val="24"/>
          <w:szCs w:val="24"/>
          <w:lang w:val="zh-CN"/>
        </w:rPr>
        <w:t>中国信息安全认证中心官网</w:t>
      </w:r>
      <w:r>
        <w:rPr>
          <w:rFonts w:hint="eastAsia" w:cs="仿宋_GB2312" w:asciiTheme="minorEastAsia" w:hAnsiTheme="minorEastAsia"/>
          <w:sz w:val="24"/>
          <w:szCs w:val="24"/>
        </w:rPr>
        <w:t>（</w:t>
      </w:r>
      <w:r>
        <w:rPr>
          <w:rFonts w:cs="仿宋_GB2312" w:asciiTheme="minorEastAsia" w:hAnsiTheme="minorEastAsia"/>
          <w:sz w:val="24"/>
          <w:szCs w:val="24"/>
        </w:rPr>
        <w:t>http://www.isccc.gov.cn/index.shtml</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产品查询结果截图并加盖供应商公章</w:t>
      </w:r>
      <w:r>
        <w:rPr>
          <w:rFonts w:hint="eastAsia" w:cs="仿宋_GB2312" w:asciiTheme="minorEastAsia" w:hAnsiTheme="minorEastAsia"/>
          <w:sz w:val="24"/>
          <w:szCs w:val="24"/>
        </w:rPr>
        <w:t>；</w:t>
      </w:r>
    </w:p>
    <w:p>
      <w:pPr>
        <w:wordWrap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②中国信息安全认证中心颁发的</w:t>
      </w:r>
      <w:r>
        <w:rPr>
          <w:rFonts w:cs="仿宋_GB2312" w:asciiTheme="minorEastAsia" w:hAnsiTheme="minorEastAsia"/>
          <w:sz w:val="24"/>
          <w:szCs w:val="24"/>
          <w:lang w:val="zh-CN"/>
        </w:rPr>
        <w:t>《</w:t>
      </w:r>
      <w:r>
        <w:fldChar w:fldCharType="begin"/>
      </w:r>
      <w:r>
        <w:instrText xml:space="preserve"> HYPERLINK "http://www.cnca.gov.cn/cnca/zwxx/ggxx/images/2010/07/19/A6C32D2A507AC2A38326896013A67542.doc" \t "_blank" </w:instrText>
      </w:r>
      <w:r>
        <w:fldChar w:fldCharType="separate"/>
      </w:r>
      <w:r>
        <w:rPr>
          <w:rFonts w:hint="eastAsia" w:cs="仿宋_GB2312" w:asciiTheme="minorEastAsia" w:hAnsiTheme="minorEastAsia"/>
          <w:sz w:val="24"/>
          <w:szCs w:val="24"/>
          <w:lang w:val="zh-CN"/>
        </w:rPr>
        <w:t>中国国家信息安全产品认证证书</w:t>
      </w:r>
      <w:r>
        <w:rPr>
          <w:rFonts w:hint="eastAsia" w:cs="仿宋_GB2312" w:asciiTheme="minorEastAsia" w:hAnsiTheme="minorEastAsia"/>
          <w:sz w:val="24"/>
          <w:szCs w:val="24"/>
          <w:lang w:val="zh-CN"/>
        </w:rPr>
        <w:fldChar w:fldCharType="end"/>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的原件扫描件（或图片）并加盖供应商公章。</w:t>
      </w:r>
    </w:p>
    <w:p>
      <w:pPr>
        <w:wordWrap w:val="0"/>
        <w:spacing w:line="360" w:lineRule="auto"/>
        <w:ind w:firstLine="480" w:firstLineChars="200"/>
        <w:contextualSpacing/>
        <w:rPr>
          <w:rFonts w:hint="eastAsia"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2"/>
      </w:pPr>
      <w:r>
        <w:rPr>
          <w:rFonts w:hint="eastAsia" w:cs="宋体" w:asciiTheme="minorEastAsia" w:hAnsiTheme="minorEastAsia"/>
          <w:kern w:val="0"/>
          <w:sz w:val="24"/>
          <w:szCs w:val="24"/>
          <w:lang w:val="en-US" w:eastAsia="zh-CN"/>
        </w:rPr>
        <w:t>2、其他</w:t>
      </w:r>
      <w:r>
        <w:rPr>
          <w:rFonts w:hint="eastAsia" w:cs="宋体" w:asciiTheme="minorEastAsia" w:hAnsiTheme="minorEastAsia"/>
          <w:kern w:val="0"/>
          <w:sz w:val="24"/>
          <w:szCs w:val="24"/>
        </w:rPr>
        <w:t>国家标准</w:t>
      </w:r>
    </w:p>
    <w:p>
      <w:pPr>
        <w:widowControl/>
        <w:numPr>
          <w:numId w:val="0"/>
        </w:numPr>
        <w:shd w:val="clear" w:color="auto" w:fill="FFFFFF"/>
        <w:spacing w:line="360" w:lineRule="auto"/>
        <w:contextualSpacing/>
        <w:jc w:val="left"/>
        <w:rPr>
          <w:rFonts w:hint="eastAsia" w:cs="宋体" w:asciiTheme="minorEastAsia" w:hAnsiTheme="minorEastAsia"/>
          <w:b/>
          <w:color w:val="000000"/>
          <w:kern w:val="0"/>
          <w:sz w:val="24"/>
          <w:szCs w:val="24"/>
          <w:lang w:val="zh-CN"/>
        </w:rPr>
      </w:pPr>
      <w:r>
        <w:rPr>
          <w:rFonts w:hint="eastAsia" w:ascii="宋体" w:cs="宋体"/>
          <w:sz w:val="24"/>
          <w:lang w:val="en-US" w:eastAsia="zh-CN"/>
        </w:rPr>
        <w:t xml:space="preserve"> </w:t>
      </w:r>
      <w:r>
        <w:rPr>
          <w:rFonts w:hint="eastAsia" w:cs="宋体" w:asciiTheme="minorEastAsia" w:hAnsiTheme="minorEastAsia"/>
          <w:b/>
          <w:color w:val="000000"/>
          <w:kern w:val="0"/>
          <w:sz w:val="24"/>
          <w:szCs w:val="24"/>
          <w:lang w:val="en-US" w:eastAsia="zh-CN"/>
        </w:rPr>
        <w:t xml:space="preserve">  四、</w:t>
      </w:r>
      <w:r>
        <w:rPr>
          <w:rFonts w:hint="eastAsia" w:cs="宋体" w:asciiTheme="minorEastAsia" w:hAnsiTheme="minorEastAsia"/>
          <w:b/>
          <w:color w:val="000000"/>
          <w:kern w:val="0"/>
          <w:sz w:val="24"/>
          <w:szCs w:val="24"/>
          <w:lang w:val="zh-CN"/>
        </w:rPr>
        <w:t>服务标准、期限、效率等要求</w:t>
      </w:r>
    </w:p>
    <w:p>
      <w:pPr>
        <w:widowControl/>
        <w:numPr>
          <w:ilvl w:val="0"/>
          <w:numId w:val="0"/>
        </w:numPr>
        <w:shd w:val="clear" w:color="auto" w:fill="FFFFFF"/>
        <w:spacing w:line="360" w:lineRule="auto"/>
        <w:contextualSpacing/>
        <w:jc w:val="left"/>
        <w:rPr>
          <w:rFonts w:hint="eastAsia" w:ascii="新宋体" w:hAnsi="新宋体" w:eastAsia="新宋体" w:cs="新宋体"/>
          <w:sz w:val="24"/>
          <w:szCs w:val="24"/>
          <w:lang w:val="en-US" w:eastAsia="zh-CN"/>
        </w:rPr>
      </w:pPr>
      <w:r>
        <w:rPr>
          <w:rFonts w:hint="eastAsia" w:ascii="仿宋" w:hAnsi="仿宋" w:eastAsia="仿宋" w:cs="仿宋"/>
          <w:color w:val="000000"/>
          <w:kern w:val="0"/>
          <w:sz w:val="32"/>
          <w:szCs w:val="32"/>
          <w:lang w:val="en-US" w:eastAsia="zh-CN"/>
        </w:rPr>
        <w:t xml:space="preserve">  </w:t>
      </w:r>
      <w:r>
        <w:rPr>
          <w:rFonts w:hint="eastAsia" w:ascii="新宋体" w:hAnsi="新宋体" w:eastAsia="新宋体" w:cs="新宋体"/>
          <w:color w:val="000000"/>
          <w:kern w:val="0"/>
          <w:sz w:val="24"/>
          <w:szCs w:val="24"/>
          <w:lang w:val="en-US" w:eastAsia="zh-CN"/>
        </w:rPr>
        <w:t>质保期1年，质保期内提供免费上门服务，8小时响应，48小时内解决问题，如不能在限定时间内解决问题，需提供备机，不影响正常使用；终身提供软件免费升级服务。</w:t>
      </w:r>
    </w:p>
    <w:p>
      <w:pPr>
        <w:widowControl/>
        <w:shd w:val="clear" w:color="auto" w:fill="FFFFFF"/>
        <w:spacing w:line="360" w:lineRule="auto"/>
        <w:ind w:firstLine="482" w:firstLineChars="200"/>
        <w:contextualSpacing/>
        <w:jc w:val="left"/>
        <w:rPr>
          <w:rFonts w:hint="eastAsia" w:ascii="宋体" w:cs="宋体"/>
          <w:sz w:val="24"/>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hint="eastAsia"/>
          <w:lang w:val="zh-CN"/>
        </w:rPr>
      </w:pPr>
      <w:r>
        <w:rPr>
          <w:rFonts w:hint="eastAsia" w:ascii="宋体" w:cs="宋体"/>
          <w:sz w:val="24"/>
          <w:lang w:val="zh-CN"/>
        </w:rPr>
        <w:t>1、供应商须明确响应产品的厂家、产地、品牌、型号、详细参数（采购清单序号</w:t>
      </w:r>
      <w:r>
        <w:rPr>
          <w:rFonts w:hint="eastAsia" w:ascii="宋体" w:cs="宋体"/>
          <w:sz w:val="24"/>
          <w:lang w:val="en-US" w:eastAsia="zh-CN"/>
        </w:rPr>
        <w:t>1.2.3</w:t>
      </w:r>
      <w:r>
        <w:rPr>
          <w:rFonts w:hint="eastAsia" w:ascii="宋体" w:cs="宋体"/>
          <w:sz w:val="24"/>
          <w:lang w:val="zh-CN"/>
        </w:rPr>
        <w:t>），</w:t>
      </w:r>
      <w:r>
        <w:rPr>
          <w:rFonts w:hint="eastAsia" w:ascii="宋体" w:cs="宋体"/>
          <w:b/>
          <w:sz w:val="24"/>
          <w:lang w:val="zh-CN"/>
        </w:rPr>
        <w:t>否则为无效响应。</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2</w:t>
      </w:r>
      <w:r>
        <w:rPr>
          <w:rFonts w:hint="eastAsia" w:ascii="宋体" w:cs="宋体"/>
          <w:sz w:val="24"/>
          <w:lang w:val="zh-CN"/>
        </w:rPr>
        <w:t>、投标人应就该项目完整投标（报价含运输费、税费等综合费用），否则为无效响应文件。</w:t>
      </w:r>
    </w:p>
    <w:p>
      <w:pPr>
        <w:pStyle w:val="2"/>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zh-CN" w:eastAsia="zh-CN" w:bidi="ar-SA"/>
        </w:rPr>
        <w:t>3、所响应产品必须符合国家质量检测标准和本竞争性谈判文件规定标准的全新正品现货。</w:t>
      </w:r>
    </w:p>
    <w:p>
      <w:pPr>
        <w:pStyle w:val="2"/>
        <w:ind w:firstLine="480" w:firstLineChars="200"/>
        <w:rPr>
          <w:rFonts w:hint="eastAsia" w:ascii="宋体" w:cs="宋体" w:hAnsiTheme="minorHAnsi" w:eastAsiaTheme="minorEastAsia"/>
          <w:kern w:val="2"/>
          <w:sz w:val="24"/>
          <w:szCs w:val="22"/>
          <w:lang w:val="en-US" w:eastAsia="zh-CN" w:bidi="ar-SA"/>
        </w:rPr>
      </w:pPr>
      <w:r>
        <w:rPr>
          <w:rFonts w:hint="eastAsia" w:ascii="宋体" w:cs="宋体"/>
          <w:bCs/>
          <w:color w:val="FF0000"/>
          <w:sz w:val="24"/>
          <w:lang w:val="en-US" w:eastAsia="zh-CN"/>
        </w:rPr>
        <w:t>4.</w:t>
      </w:r>
      <w:r>
        <w:rPr>
          <w:rFonts w:hint="eastAsia" w:ascii="宋体" w:cs="宋体"/>
          <w:bCs/>
          <w:color w:val="FF0000"/>
          <w:sz w:val="24"/>
          <w:lang w:val="zh-CN"/>
        </w:rPr>
        <w:t>投标文件中须有详细的实施（技术）方案</w:t>
      </w:r>
      <w:r>
        <w:rPr>
          <w:rFonts w:hint="eastAsia" w:ascii="宋体" w:cs="宋体"/>
          <w:b/>
          <w:bCs/>
          <w:color w:val="FF0000"/>
          <w:sz w:val="24"/>
          <w:lang w:val="zh-CN"/>
        </w:rPr>
        <w:t>，否则为无效投标。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5、</w:t>
      </w:r>
      <w:r>
        <w:rPr>
          <w:rFonts w:hint="eastAsia" w:ascii="宋体" w:cs="宋体"/>
          <w:sz w:val="24"/>
          <w:lang w:val="zh-CN"/>
        </w:rPr>
        <w:t>投标商必须由法定代表人或其授权代表参加开标会议，随时接受谈判小组询问，并予作出书面解答。</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1、按照采购标的相关国家标准规范验收；</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2、按照谈判文件要求、投标文件响应和承诺验收。</w:t>
      </w:r>
    </w:p>
    <w:p>
      <w:pPr>
        <w:pStyle w:val="2"/>
        <w:ind w:firstLine="241" w:firstLineChars="100"/>
        <w:rPr>
          <w:rFonts w:hint="eastAsia" w:cs="宋体" w:asciiTheme="minorEastAsia" w:hAnsiTheme="minorEastAsia" w:eastAsiaTheme="minorEastAsia"/>
          <w:b/>
          <w:color w:val="000000"/>
          <w:kern w:val="0"/>
          <w:sz w:val="24"/>
          <w:szCs w:val="24"/>
          <w:lang w:val="zh-CN" w:eastAsia="zh-CN" w:bidi="ar-SA"/>
        </w:rPr>
      </w:pPr>
    </w:p>
    <w:p>
      <w:pPr>
        <w:pStyle w:val="2"/>
        <w:ind w:firstLine="241" w:firstLineChars="100"/>
        <w:rPr>
          <w:rFonts w:hint="eastAsia" w:cs="宋体" w:asciiTheme="minorEastAsia" w:hAnsiTheme="minorEastAsia" w:eastAsiaTheme="minorEastAsia"/>
          <w:b/>
          <w:color w:val="000000"/>
          <w:kern w:val="0"/>
          <w:sz w:val="24"/>
          <w:szCs w:val="24"/>
          <w:lang w:val="zh-CN" w:eastAsia="zh-CN" w:bidi="ar-SA"/>
        </w:rPr>
      </w:pPr>
      <w:r>
        <w:rPr>
          <w:rFonts w:hint="eastAsia" w:cs="宋体" w:asciiTheme="minorEastAsia" w:hAnsiTheme="minorEastAsia" w:eastAsiaTheme="minorEastAsia"/>
          <w:b/>
          <w:color w:val="000000"/>
          <w:kern w:val="0"/>
          <w:sz w:val="24"/>
          <w:szCs w:val="24"/>
          <w:lang w:val="zh-CN" w:eastAsia="zh-CN" w:bidi="ar-SA"/>
        </w:rPr>
        <w:t>七、付款方式：完成供货，安装调试完毕，经验收合格后30日内一次性支付。</w:t>
      </w:r>
    </w:p>
    <w:p>
      <w:pPr>
        <w:spacing w:line="500" w:lineRule="exact"/>
        <w:jc w:val="left"/>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autoSpaceDE w:val="0"/>
        <w:autoSpaceDN w:val="0"/>
        <w:adjustRightInd w:val="0"/>
        <w:jc w:val="both"/>
        <w:rPr>
          <w:rFonts w:cs="宋体" w:asciiTheme="majorEastAsia" w:hAnsiTheme="majorEastAsia" w:eastAsiaTheme="majorEastAsia"/>
          <w:b/>
          <w:kern w:val="0"/>
          <w:sz w:val="32"/>
          <w:szCs w:val="32"/>
        </w:rPr>
      </w:pPr>
    </w:p>
    <w:p>
      <w:pPr>
        <w:numPr>
          <w:ilvl w:val="0"/>
          <w:numId w:val="4"/>
        </w:numPr>
        <w:autoSpaceDE w:val="0"/>
        <w:autoSpaceDN w:val="0"/>
        <w:adjustRightInd w:val="0"/>
        <w:ind w:left="0" w:leftChars="0" w:firstLine="0" w:firstLineChars="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项目名称：禹州市</w:t>
            </w:r>
            <w:r>
              <w:rPr>
                <w:rFonts w:hint="eastAsia" w:cs="仿宋_GB2312" w:asciiTheme="minorEastAsia" w:hAnsiTheme="minorEastAsia"/>
                <w:szCs w:val="21"/>
                <w:lang w:eastAsia="zh-CN"/>
              </w:rPr>
              <w:t>公安局出入境管理自助设备采购</w:t>
            </w:r>
            <w:r>
              <w:rPr>
                <w:rFonts w:hint="eastAsia" w:cs="仿宋_GB2312" w:asciiTheme="minorEastAsia" w:hAnsiTheme="minorEastAsia"/>
                <w:szCs w:val="21"/>
              </w:rPr>
              <w:t>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YZCG-T2019139</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lang w:eastAsia="zh-CN"/>
              </w:rPr>
              <w:t>工期：以签订合同为准</w:t>
            </w:r>
            <w:r>
              <w:rPr>
                <w:rFonts w:hint="eastAsia" w:cs="仿宋_GB2312" w:asciiTheme="minorEastAsia" w:hAnsiTheme="minorEastAsia"/>
                <w:szCs w:val="21"/>
                <w:lang w:val="en-US" w:eastAsia="zh-CN"/>
              </w:rPr>
              <w:t>15天</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禹州市华夏大道</w:t>
            </w:r>
            <w:r>
              <w:rPr>
                <w:rFonts w:hint="eastAsia" w:cs="仿宋_GB2312" w:asciiTheme="minorEastAsia" w:hAnsiTheme="minorEastAsia"/>
                <w:szCs w:val="21"/>
                <w:lang w:val="en-US" w:eastAsia="zh-CN"/>
              </w:rPr>
              <w:t>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名称：禹州市</w:t>
            </w:r>
            <w:r>
              <w:rPr>
                <w:rFonts w:hint="eastAsia" w:cs="仿宋_GB2312" w:asciiTheme="minorEastAsia" w:hAnsiTheme="minorEastAsia"/>
                <w:szCs w:val="21"/>
                <w:lang w:eastAsia="zh-CN"/>
              </w:rPr>
              <w:t>公安局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董冰</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0374-8087477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w:t>
            </w: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“国家企业信用公示系统”网站（</w:t>
            </w:r>
            <w:r>
              <w:rPr>
                <w:rFonts w:cs="仿宋_GB2312" w:asciiTheme="minorEastAsia" w:hAnsiTheme="minorEastAsia"/>
                <w:b/>
                <w:color w:val="000000"/>
                <w:szCs w:val="21"/>
                <w:shd w:val="clear" w:color="auto" w:fill="FFFFFF"/>
              </w:rPr>
              <w:t>www.gsxt.gov.cn</w:t>
            </w:r>
            <w:r>
              <w:rPr>
                <w:rFonts w:hint="eastAsia" w:cs="仿宋_GB2312" w:asciiTheme="minorEastAsia" w:hAnsiTheme="minorEastAsia"/>
                <w:b/>
                <w:color w:val="000000"/>
                <w:szCs w:val="21"/>
                <w:shd w:val="clear" w:color="auto" w:fill="FFFFFF"/>
              </w:rPr>
              <w:t>）严重违法失信企业名单（黑名单）的供应商；“中国社会组织公共服务平台”网站（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default" w:cs="宋体" w:asciiTheme="minorEastAsia" w:hAnsiTheme="minorEastAsia"/>
                <w:kern w:val="0"/>
                <w:szCs w:val="21"/>
                <w:lang w:val="en-US" w:eastAsia="zh-CN"/>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lang w:eastAsia="zh-CN"/>
              </w:rPr>
              <w:t>八</w:t>
            </w:r>
            <w:r>
              <w:rPr>
                <w:rFonts w:hint="eastAsia" w:cs="宋体" w:asciiTheme="minorEastAsia" w:hAnsiTheme="minorEastAsia"/>
                <w:kern w:val="0"/>
                <w:szCs w:val="21"/>
              </w:rPr>
              <w:t>、被委托人是须是本单位职工，须提供公司为本人缴纳社会保险证明；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hint="eastAsia" w:cs="宋体" w:asciiTheme="minorEastAsia" w:hAnsiTheme="minorEastAsia"/>
                <w:kern w:val="0"/>
                <w:szCs w:val="21"/>
                <w:lang w:val="en-US" w:eastAsia="zh-CN"/>
              </w:rPr>
              <w:t xml:space="preserve">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bookmarkStart w:id="81" w:name="_GoBack"/>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43</w:t>
            </w:r>
            <w:r>
              <w:rPr>
                <w:rFonts w:hint="eastAsia" w:cs="宋体" w:asciiTheme="minorEastAsia" w:hAnsiTheme="minorEastAsia"/>
                <w:bCs/>
                <w:szCs w:val="21"/>
              </w:rPr>
              <w:t>万</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2019年7月</w:t>
            </w:r>
            <w:r>
              <w:rPr>
                <w:rFonts w:hint="eastAsia" w:cs="宋体" w:asciiTheme="minorEastAsia" w:hAnsiTheme="minorEastAsia"/>
                <w:bCs/>
                <w:szCs w:val="21"/>
                <w:lang w:val="en-US" w:eastAsia="zh-CN"/>
              </w:rPr>
              <w:t>15</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缴纳截止时间：同谈判响应截止时间。</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金额：伍仟元整</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5</w:t>
            </w:r>
            <w:r>
              <w:rPr>
                <w:rFonts w:hint="eastAsia" w:cs="仿宋_GB2312" w:asciiTheme="minorEastAsia" w:hAnsiTheme="minorEastAsia"/>
                <w:szCs w:val="21"/>
              </w:rPr>
              <w:t>000元</w:t>
            </w:r>
            <w:r>
              <w:rPr>
                <w:rFonts w:hint="eastAsia" w:cs="仿宋_GB2312" w:asciiTheme="minorEastAsia" w:hAnsiTheme="minorEastAsia"/>
                <w:szCs w:val="21"/>
                <w:lang w:val="zh-CN"/>
              </w:rPr>
              <w:t>）</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一、谈判保证金的递交方式：银行转帐、银行电汇（均需从供应商注册银行账户转出），不接受以现金方式缴纳的谈判保证金。凡以现金方式缴纳谈判保证金而影响其响应结果的，由供应商自行负责。 </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二、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三、谈判保证金缴纳方式：</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1、供应商网上下载谈判文件后，登录</w:t>
            </w:r>
            <w:r>
              <w:fldChar w:fldCharType="begin"/>
            </w:r>
            <w:r>
              <w:instrText xml:space="preserve"> HYPERLINK "http://221.14.6.70:8088/ggzy" </w:instrText>
            </w:r>
            <w:r>
              <w:fldChar w:fldCharType="separate"/>
            </w:r>
            <w:r>
              <w:rPr>
                <w:rFonts w:hint="eastAsia" w:cs="仿宋_GB2312" w:asciiTheme="minorEastAsia" w:hAnsiTheme="minorEastAsia"/>
                <w:szCs w:val="21"/>
                <w:lang w:val="zh-CN"/>
              </w:rPr>
              <w:t>http://221.14.6.70:8088/ggzy</w: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2、成功缴纳后重新登录前述系统，依次点击“会员向导”→“参与投标”→“保证金绑定”→“绑定”进行谈判保证金绑定。</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禹州市公共资源交易中心保证金缴纳回执”以备查询。（</w:t>
            </w: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5、每个供应商每个项目每个标段只有唯一缴纳账号，切勿重复缴纳或错误缴纳。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7、不同供应商的谈判保证金不得从同一单位或者个人的账户转出。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8、未按上述规定操作引起的无效响应，由供应商自行负责。</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四、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五、投标保证金退还咨询电话：0374-</w:t>
            </w:r>
            <w:r>
              <w:rPr>
                <w:rFonts w:hint="eastAsia" w:cs="仿宋_GB2312" w:asciiTheme="minorEastAsia" w:hAnsiTheme="minorEastAsia"/>
                <w:szCs w:val="21"/>
                <w:lang w:val="en-US" w:eastAsia="zh-CN"/>
              </w:rPr>
              <w:t>8112523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lang w:val="en-US" w:eastAsia="zh-CN"/>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r>
        <w:rPr>
          <w:rFonts w:hint="eastAsia" w:cs="仿宋_GB2312" w:asciiTheme="minorEastAsia" w:hAnsiTheme="minorEastAsia"/>
          <w:color w:val="000000"/>
          <w:szCs w:val="21"/>
          <w:shd w:val="clear" w:color="auto" w:fill="FFFFFF"/>
        </w:rPr>
        <w:t>“国家企业信用公示系统”网站（</w:t>
      </w:r>
      <w:r>
        <w:rPr>
          <w:rFonts w:cs="仿宋_GB2312" w:asciiTheme="minorEastAsia" w:hAnsiTheme="minorEastAsia"/>
          <w:color w:val="000000"/>
          <w:szCs w:val="21"/>
          <w:shd w:val="clear" w:color="auto" w:fill="FFFFFF"/>
        </w:rPr>
        <w:t>www.gsxt.gov.cn</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（1）供应商应按“供应商须知前附表”规定时间及金额提交谈判保证金，并作为其谈判的一部分。未按要求提交谈判保证金的响应文件为无效报价。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（2）谈判保证金用于避免和减少本次谈判由于供应商的行为而给采购人带来的损失。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谈判保证金的递交方式：银行转帐、银行电汇（均需从供应商注册银行账户转出），不接受以现金方式缴纳的谈判保证金。凡以现金方式缴纳谈判保证金而影响其响应结果的，由供应商自行负责。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（5）谈判保证金缴纳方式：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供应商网上下载谈判文件后，登录</w:t>
      </w:r>
      <w:r>
        <w:fldChar w:fldCharType="begin"/>
      </w:r>
      <w:r>
        <w:instrText xml:space="preserve"> HYPERLINK "http://221.14.6.70:8088/ggzy" </w:instrText>
      </w:r>
      <w:r>
        <w:fldChar w:fldCharType="separate"/>
      </w:r>
      <w:r>
        <w:rPr>
          <w:rFonts w:hint="eastAsia" w:cs="宋体" w:asciiTheme="minorEastAsia" w:hAnsiTheme="minorEastAsia"/>
          <w:kern w:val="0"/>
          <w:szCs w:val="21"/>
        </w:rPr>
        <w:t>http://221.14.6.70:8088/ggzy</w:t>
      </w:r>
      <w:r>
        <w:rPr>
          <w:rFonts w:hint="eastAsia" w:cs="宋体" w:asciiTheme="minorEastAsia" w:hAnsiTheme="minorEastAsia"/>
          <w:kern w:val="0"/>
          <w:szCs w:val="21"/>
        </w:rP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成功缴纳后重新登录前述系统，依次点击“会员向导”→“参与投标”→“保证金绑定”→“绑定”进行谈判保证金绑定。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供应商要严格按照“保证金缴纳说明单”内容缴纳、成功绑定谈判保证金，未绑定标段的谈判保证金，视为未按时交纳。并将缴纳凭证“</w:t>
      </w:r>
      <w:r>
        <w:rPr>
          <w:rFonts w:hint="eastAsia" w:cs="宋体" w:asciiTheme="minorEastAsia" w:hAnsiTheme="minorEastAsia"/>
          <w:kern w:val="0"/>
          <w:szCs w:val="21"/>
          <w:lang w:eastAsia="zh-CN"/>
        </w:rPr>
        <w:t>禹州市</w:t>
      </w:r>
      <w:r>
        <w:rPr>
          <w:rFonts w:hint="eastAsia" w:cs="宋体" w:asciiTheme="minorEastAsia" w:hAnsiTheme="minorEastAsia"/>
          <w:kern w:val="0"/>
          <w:szCs w:val="21"/>
        </w:rPr>
        <w:t>公共资源交易中心保证金缴纳回执”附于响应文件中，同时在谈判响应文件递交现场提供一份“</w:t>
      </w:r>
      <w:r>
        <w:rPr>
          <w:rFonts w:hint="eastAsia" w:cs="宋体" w:asciiTheme="minorEastAsia" w:hAnsiTheme="minorEastAsia"/>
          <w:kern w:val="0"/>
          <w:szCs w:val="21"/>
          <w:lang w:eastAsia="zh-CN"/>
        </w:rPr>
        <w:t>禹州市</w:t>
      </w:r>
      <w:r>
        <w:rPr>
          <w:rFonts w:hint="eastAsia" w:cs="宋体" w:asciiTheme="minorEastAsia" w:hAnsiTheme="minorEastAsia"/>
          <w:kern w:val="0"/>
          <w:szCs w:val="21"/>
        </w:rPr>
        <w:t>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每个供应商每个项目每个标段只有唯一缴纳账号，切勿重复缴纳或错误缴纳。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供应商所提交的谈判保证金仅限当次谈判项目（标段）有效，不得重复替代使用。一个谈判项目有多个标段或者有多个项目同时谈判的，供应商必须按项目、标段分别提交谈判保证金。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不同供应商的谈判保证金不得从同一单位或者个人的账户转出。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未按上述规定操作引起的报价无效，由供应商自行负责。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43"/>
        <w:numPr>
          <w:ilvl w:val="1"/>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退还谈判保证金时，区别成交与否，按不同时序由银行按来款途径退还原账户。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自成交通知书发出之日起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个工作日内退还未成交供应商的谈判保证金。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w:t>
      </w:r>
      <w:r>
        <w:rPr>
          <w:rFonts w:hint="eastAsia" w:cs="宋体" w:asciiTheme="minorEastAsia" w:hAnsiTheme="minorEastAsia"/>
          <w:kern w:val="0"/>
          <w:szCs w:val="21"/>
          <w:lang w:eastAsia="zh-CN"/>
        </w:rPr>
        <w:t>并备案后</w:t>
      </w:r>
      <w:r>
        <w:rPr>
          <w:rFonts w:cs="宋体" w:asciiTheme="minorEastAsia" w:hAnsiTheme="minorEastAsia"/>
          <w:kern w:val="0"/>
          <w:szCs w:val="21"/>
        </w:rPr>
        <w:t>5</w:t>
      </w:r>
      <w:r>
        <w:rPr>
          <w:rFonts w:hint="eastAsia" w:cs="宋体" w:asciiTheme="minorEastAsia" w:hAnsiTheme="minorEastAsia"/>
          <w:kern w:val="0"/>
          <w:szCs w:val="21"/>
        </w:rPr>
        <w:t>个工作日内退还成交供应商的投标保证金。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特殊情况处理：供应商谈判响应过程中因账户开户银行、银行账号发生变化，不能按照来款途径原路返还谈判保证金的，供应商须提供原账户开户银行相关证明及新开账户开户许可证，到</w:t>
      </w:r>
      <w:r>
        <w:rPr>
          <w:rFonts w:hint="eastAsia" w:cs="宋体" w:asciiTheme="minorEastAsia" w:hAnsiTheme="minorEastAsia"/>
          <w:kern w:val="0"/>
          <w:szCs w:val="21"/>
          <w:lang w:eastAsia="zh-CN"/>
        </w:rPr>
        <w:t>禹州市政府采购监督管理办公室</w:t>
      </w:r>
      <w:r>
        <w:rPr>
          <w:rFonts w:hint="eastAsia" w:cs="宋体" w:asciiTheme="minorEastAsia" w:hAnsiTheme="minorEastAsia"/>
          <w:kern w:val="0"/>
          <w:szCs w:val="21"/>
        </w:rPr>
        <w:t>办理退款手续（0374-</w:t>
      </w:r>
      <w:r>
        <w:rPr>
          <w:rFonts w:hint="eastAsia" w:cs="宋体" w:asciiTheme="minorEastAsia" w:hAnsiTheme="minorEastAsia"/>
          <w:kern w:val="0"/>
          <w:szCs w:val="21"/>
          <w:lang w:val="en-US" w:eastAsia="zh-CN"/>
        </w:rPr>
        <w:t>8112523</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因供应商自身原因无法及时退还谈判保证金，滞留三年以上的，谈判保证金上缴财政。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有下列情形之一的，谈判保证金不予退还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a. </w:t>
      </w:r>
      <w:r>
        <w:rPr>
          <w:rFonts w:ascii="ˎ̥" w:hAnsi="ˎ̥"/>
        </w:rPr>
        <w:t>供应商在提交响应文件截止时间后撤回响应文件的</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供应商在谈判文件中提供虚假材料的；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除因不可抗力或谈判文件认可的情形以外，成交供应商不与采购人签订合同的；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供应商与采购人、其他供应商或者采购代理机构恶意串通的；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法律法规及谈判文件规定的其他情形。</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3"/>
        <w:numPr>
          <w:ilvl w:val="1"/>
          <w:numId w:val="12"/>
        </w:numPr>
        <w:autoSpaceDE w:val="0"/>
        <w:autoSpaceDN w:val="0"/>
        <w:spacing w:line="360" w:lineRule="auto"/>
        <w:ind w:firstLineChars="0"/>
        <w:contextualSpacing/>
        <w:rPr>
          <w:rFonts w:ascii="ˎ̥" w:hAnsi="ˎ̥"/>
          <w:vanish/>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3"/>
        <w:numPr>
          <w:ilvl w:val="1"/>
          <w:numId w:val="12"/>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未按照谈判文件的规定提交投标保证金的；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3"/>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3"/>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不同供应商的谈判保证金从同一单位或者个人的账户转出。</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1"/>
          <w:numId w:val="12"/>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3"/>
        <w:numPr>
          <w:ilvl w:val="1"/>
          <w:numId w:val="12"/>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3"/>
        <w:numPr>
          <w:ilvl w:val="1"/>
          <w:numId w:val="12"/>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3"/>
        <w:numPr>
          <w:ilvl w:val="1"/>
          <w:numId w:val="12"/>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3"/>
        <w:numPr>
          <w:ilvl w:val="1"/>
          <w:numId w:val="12"/>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17"/>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3"/>
        <w:numPr>
          <w:ilvl w:val="0"/>
          <w:numId w:val="12"/>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21"/>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第五章 </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szCs w:val="21"/>
              </w:rPr>
              <w:t>www.gsxt.gov.cn</w:t>
            </w:r>
            <w:r>
              <w:rPr>
                <w:rStyle w:val="27"/>
                <w:rFonts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bCs/>
                <w:szCs w:val="21"/>
              </w:rPr>
            </w:pPr>
            <w:r>
              <w:rPr>
                <w:rFonts w:hint="eastAsia" w:asciiTheme="minorEastAsia" w:hAnsiTheme="minorEastAsia"/>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是否按供应商须知前附表规定成功交纳。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numPr>
          <w:ilvl w:val="0"/>
          <w:numId w:val="22"/>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color w:val="FF0000"/>
          <w:sz w:val="24"/>
          <w:szCs w:val="24"/>
          <w:lang w:val="zh-CN"/>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3"/>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line="360" w:lineRule="auto"/>
        <w:rPr>
          <w:rFonts w:ascii="宋体" w:hAnsi="宋体" w:eastAsia="微软雅黑"/>
          <w:color w:val="000000"/>
          <w:u w:val="single"/>
        </w:rPr>
      </w:pPr>
    </w:p>
    <w:p>
      <w:pPr>
        <w:pStyle w:val="13"/>
        <w:spacing w:line="360" w:lineRule="auto"/>
        <w:contextualSpacing/>
        <w:jc w:val="center"/>
        <w:rPr>
          <w:rFonts w:cs="宋体" w:asciiTheme="majorEastAsia" w:hAnsiTheme="majorEastAsia" w:eastAsiaTheme="majorEastAsia"/>
          <w:b/>
          <w:kern w:val="0"/>
          <w:sz w:val="36"/>
          <w:szCs w:val="36"/>
        </w:rPr>
      </w:pPr>
    </w:p>
    <w:p>
      <w:pPr>
        <w:pStyle w:val="5"/>
        <w:spacing w:line="500" w:lineRule="exact"/>
        <w:jc w:val="center"/>
        <w:rPr>
          <w:rFonts w:hint="eastAsia" w:ascii="仿宋" w:hAnsi="仿宋" w:eastAsia="仿宋"/>
          <w:bCs w:val="0"/>
          <w:color w:val="000000"/>
          <w:sz w:val="24"/>
          <w:szCs w:val="24"/>
        </w:rPr>
      </w:pPr>
      <w:bookmarkStart w:id="0" w:name="_Toc354922980"/>
      <w:bookmarkStart w:id="1" w:name="_Toc354923119"/>
      <w:bookmarkStart w:id="2" w:name="_Toc355649942"/>
      <w:bookmarkStart w:id="3" w:name="_Toc356744034"/>
      <w:bookmarkStart w:id="4" w:name="_Toc329278149"/>
      <w:bookmarkStart w:id="5" w:name="_Toc357868214"/>
      <w:bookmarkStart w:id="6" w:name="_Toc326060505"/>
      <w:bookmarkStart w:id="7" w:name="_Toc364457259"/>
      <w:bookmarkStart w:id="8" w:name="_Toc354404029"/>
      <w:r>
        <w:rPr>
          <w:rFonts w:hint="eastAsia" w:ascii="仿宋" w:hAnsi="仿宋" w:eastAsia="仿宋"/>
          <w:bCs w:val="0"/>
          <w:color w:val="000000"/>
          <w:sz w:val="24"/>
          <w:szCs w:val="24"/>
        </w:rPr>
        <w:t>一、词语定义及合同文件</w:t>
      </w:r>
      <w:bookmarkEnd w:id="0"/>
      <w:bookmarkEnd w:id="1"/>
      <w:bookmarkEnd w:id="2"/>
      <w:bookmarkEnd w:id="3"/>
      <w:bookmarkEnd w:id="4"/>
      <w:bookmarkEnd w:id="5"/>
      <w:bookmarkEnd w:id="6"/>
      <w:bookmarkEnd w:id="7"/>
      <w:bookmarkEnd w:id="8"/>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1、合同文件及解释顺序</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合同文件组成及解释顺序:       按照通用条款执行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2、语言文字和适用法律、标准及规范</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2．1本合同除使用汉语外，还使用       无                  语言文字。</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2．2适用法律和法规</w:t>
      </w:r>
    </w:p>
    <w:p>
      <w:pPr>
        <w:spacing w:line="500" w:lineRule="exact"/>
        <w:ind w:firstLine="482"/>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需要明示的法律、行政法规:  国家及省、市的法律、法规、规章、规范性文件及协议条款约定的规章。</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2．3适用标准、规范</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适用标准、规范的名称:</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工程设计要求</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国家、河南省、许昌市现行有关工程的施工及验收规定、规程和标准</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对不在规范验评范围内项目，执行设计院、制造厂家或发包人和承包人双方议定的补充技术标准及本标书的施工技术要求；</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新材料、新工艺必须具有省级以上行业主管部门技术鉴定并须征得发包人和监理单位同意。</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发包人提供标准、规范的时间: 无。</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国内没有相应标准、规范时的约定: 由承包人提供并经发包人和设计单位认可后执行。</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3、图纸</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3．1发包人向承包人提供图纸日期和套数: 合同约定。</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 2发包人对图纸的保密要求: 施工图纸应保密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3. 3使用国外图纸的要求及费用承担:  无  </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9" w:name="_Toc329278150"/>
      <w:bookmarkStart w:id="10" w:name="_Toc354923120"/>
      <w:bookmarkStart w:id="11" w:name="_Toc357868215"/>
      <w:bookmarkStart w:id="12" w:name="_Toc326060506"/>
      <w:bookmarkStart w:id="13" w:name="_Toc355649943"/>
      <w:bookmarkStart w:id="14" w:name="_Toc356744035"/>
      <w:bookmarkStart w:id="15" w:name="_Toc354922981"/>
      <w:bookmarkStart w:id="16" w:name="_Toc354404030"/>
      <w:bookmarkStart w:id="17" w:name="_Toc364457260"/>
      <w:r>
        <w:rPr>
          <w:rFonts w:hint="eastAsia" w:cs="宋体" w:asciiTheme="minorEastAsia" w:hAnsiTheme="minorEastAsia" w:eastAsiaTheme="minorEastAsia"/>
          <w:kern w:val="0"/>
          <w:sz w:val="21"/>
          <w:szCs w:val="21"/>
          <w:lang w:val="en-US" w:eastAsia="zh-CN" w:bidi="ar-SA"/>
        </w:rPr>
        <w:t>二、双方一般权利和义务</w:t>
      </w:r>
      <w:bookmarkEnd w:id="9"/>
      <w:bookmarkEnd w:id="10"/>
      <w:bookmarkEnd w:id="11"/>
      <w:bookmarkEnd w:id="12"/>
      <w:bookmarkEnd w:id="13"/>
      <w:bookmarkEnd w:id="14"/>
      <w:bookmarkEnd w:id="15"/>
      <w:bookmarkEnd w:id="16"/>
      <w:bookmarkEnd w:id="17"/>
    </w:p>
    <w:p>
      <w:pPr>
        <w:pStyle w:val="13"/>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4．工程师</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4．1监理单位委派的工程师</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pStyle w:val="59"/>
        <w:spacing w:line="500" w:lineRule="exact"/>
        <w:ind w:left="0" w:right="9"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发包人委托的职权: 按《建设工程监理规范》(GB50319-2000)执行</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4．2发包人派驻的工程师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职权: 全权负责施工现场的管理和协调工作，并代表发包人对施工中所用材料(设备)的质量进行检验。</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4．3不实行监理的，工程师的职权: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5．项目经理(建造师)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姓名:  (中标项目经理/建造师)      职务:  (待定)  _</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6、发包人工作</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6．1发包人应按约定的时间和要求完成以下工作:</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(1)施工场地具备施工条件的要求及完成的时间： 合同签订后7日内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(2)将施工所需的水、电、电讯线路接至施工场地的时间、地点和供应要求：施工所需的水、电、电讯线路已经具备条件，施工中所产生的费用由承包人负担。</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(3)施工场地与道路的通道开通时间和要求: 已具备。</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(4)工程地质和地下管线资料的提供时间：合同签订日。</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(5)由发包人办理的施工所需证件、批件的名称和完成时间:  合同开工日期前，由承包方负责办理进场的相关手续，发包方配合。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(6)水准点与坐标控制点交验要求：合同开工日期前7天。</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(7)图纸会审和设计交底时间: 合同开工日期前7天。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(8)双方约定发包人应做的其他工作：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6．2发包人委托承包人办理的工作：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7．承包人工作</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招标范围，具体有招标人与中标人协商                    。</w:t>
      </w:r>
    </w:p>
    <w:p>
      <w:pPr>
        <w:pStyle w:val="13"/>
        <w:spacing w:line="500" w:lineRule="exact"/>
        <w:ind w:left="338" w:leftChars="86" w:hanging="157" w:hangingChars="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7．1承包人应按约定时间和要求，完成以下工作:</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需自设计资质等级和业务范围允许的承包人完成的设计文件提交时间：          无      </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应提供计划、报表的名称及完成时间:</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开工前7日提交施工组织设计、总进度计划、施工机械和人员使用计划、主要材料供应计划。</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承担施工安全保卫工作及非夜间施工照明的责任和要求:设专职安全保卫人员和安全防护设施，负责施工现场安全保卫，费用自理。</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向发包人提供的办公和生活房屋及设施的要求:  无   </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需承包人办理的有关施工场地交通、住建、环卫和施工噪音管理等手续: 按照国家、省、市、县有关规定执行。</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完工工程成品保护的特殊要求及费用承担:由承包人负责。</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施工现场清洁卫生的要求：按通用条款，保证每日清理，符合当地有关文明施工的规定，费用由承包方承担。</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3"/>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3"/>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(10)按计划完成施工任务。</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18" w:name="_Toc364457261"/>
      <w:bookmarkStart w:id="19" w:name="_Toc355649944"/>
      <w:bookmarkStart w:id="20" w:name="_Toc326060507"/>
      <w:bookmarkStart w:id="21" w:name="_Toc356744036"/>
      <w:bookmarkStart w:id="22" w:name="_Toc354922982"/>
      <w:bookmarkStart w:id="23" w:name="_Toc354404031"/>
      <w:bookmarkStart w:id="24" w:name="_Toc357868216"/>
      <w:bookmarkStart w:id="25" w:name="_Toc329278151"/>
      <w:bookmarkStart w:id="26" w:name="_Toc354923121"/>
      <w:r>
        <w:rPr>
          <w:rFonts w:hint="eastAsia" w:cs="宋体" w:asciiTheme="minorEastAsia" w:hAnsiTheme="minorEastAsia" w:eastAsiaTheme="minorEastAsia"/>
          <w:kern w:val="0"/>
          <w:sz w:val="21"/>
          <w:szCs w:val="21"/>
          <w:lang w:val="en-US" w:eastAsia="zh-CN" w:bidi="ar-SA"/>
        </w:rPr>
        <w:t>三、施工组织设计和工期</w:t>
      </w:r>
      <w:bookmarkEnd w:id="18"/>
      <w:bookmarkEnd w:id="19"/>
      <w:bookmarkEnd w:id="20"/>
      <w:bookmarkEnd w:id="21"/>
      <w:bookmarkEnd w:id="22"/>
      <w:bookmarkEnd w:id="23"/>
      <w:bookmarkEnd w:id="24"/>
      <w:bookmarkEnd w:id="25"/>
      <w:bookmarkEnd w:id="26"/>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8．进度计划</w:t>
      </w:r>
    </w:p>
    <w:p>
      <w:pPr>
        <w:pStyle w:val="13"/>
        <w:spacing w:line="500" w:lineRule="exact"/>
        <w:ind w:left="1012" w:leftChars="258" w:hanging="470" w:hanging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8．1承包人提供施工组织设计(施工方案)和进度计划的时间：合同开工日期前7天。工程师确认的时间：7个工作日</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8.2群体工程中有关进度计划的要求：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8.3如发包人需要调整施工顺序时，承包人应无条件响应，额外发生的费用视为已包含在合同价内。</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9．工期延误</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9.2由于承包人的原因造成工期延误，每延迟一天扣除工程款的     ‰。</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27" w:name="_Toc354922983"/>
      <w:bookmarkStart w:id="28" w:name="_Toc354923122"/>
      <w:bookmarkStart w:id="29" w:name="_Toc326060508"/>
      <w:bookmarkStart w:id="30" w:name="_Toc329278152"/>
      <w:bookmarkStart w:id="31" w:name="_Toc355649945"/>
      <w:bookmarkStart w:id="32" w:name="_Toc356744037"/>
      <w:bookmarkStart w:id="33" w:name="_Toc357868217"/>
      <w:bookmarkStart w:id="34" w:name="_Toc354404032"/>
      <w:bookmarkStart w:id="35" w:name="_Toc364457262"/>
      <w:r>
        <w:rPr>
          <w:rFonts w:hint="eastAsia" w:cs="宋体" w:asciiTheme="minorEastAsia" w:hAnsiTheme="minorEastAsia" w:eastAsiaTheme="minorEastAsia"/>
          <w:kern w:val="0"/>
          <w:sz w:val="21"/>
          <w:szCs w:val="21"/>
          <w:lang w:val="en-US" w:eastAsia="zh-CN" w:bidi="ar-SA"/>
        </w:rPr>
        <w:t>四、质量与验收</w:t>
      </w:r>
      <w:bookmarkEnd w:id="27"/>
      <w:bookmarkEnd w:id="28"/>
      <w:bookmarkEnd w:id="29"/>
      <w:bookmarkEnd w:id="30"/>
      <w:bookmarkEnd w:id="31"/>
      <w:bookmarkEnd w:id="32"/>
      <w:bookmarkEnd w:id="33"/>
      <w:bookmarkEnd w:id="34"/>
      <w:bookmarkEnd w:id="35"/>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10．隐蔽工程验收和执行规范及适用范围</w:t>
      </w:r>
    </w:p>
    <w:p>
      <w:pPr>
        <w:pStyle w:val="13"/>
        <w:numPr>
          <w:ilvl w:val="1"/>
          <w:numId w:val="25"/>
        </w:numPr>
        <w:spacing w:line="500" w:lineRule="exact"/>
        <w:ind w:hanging="27"/>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双方约定隐蔽工程验收部位：按照国家施工及验收规范要求的执行。</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10.2 适用范围：使用于本项目工程施工。</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36" w:name="_Toc364457263"/>
      <w:bookmarkStart w:id="37" w:name="_Toc329278153"/>
      <w:bookmarkStart w:id="38" w:name="_Toc354404033"/>
      <w:bookmarkStart w:id="39" w:name="_Toc357868218"/>
      <w:bookmarkStart w:id="40" w:name="_Toc354923123"/>
      <w:bookmarkStart w:id="41" w:name="_Toc326060509"/>
      <w:bookmarkStart w:id="42" w:name="_Toc354922984"/>
      <w:bookmarkStart w:id="43" w:name="_Toc355649946"/>
      <w:bookmarkStart w:id="44" w:name="_Toc356744038"/>
      <w:r>
        <w:rPr>
          <w:rFonts w:hint="eastAsia" w:cs="宋体" w:asciiTheme="minorEastAsia" w:hAnsiTheme="minorEastAsia" w:eastAsiaTheme="minorEastAsia"/>
          <w:kern w:val="0"/>
          <w:sz w:val="21"/>
          <w:szCs w:val="21"/>
          <w:lang w:val="en-US" w:eastAsia="zh-CN" w:bidi="ar-SA"/>
        </w:rPr>
        <w:t>五、安全施工</w:t>
      </w:r>
      <w:bookmarkEnd w:id="36"/>
      <w:bookmarkEnd w:id="37"/>
      <w:bookmarkEnd w:id="38"/>
      <w:bookmarkEnd w:id="39"/>
      <w:bookmarkEnd w:id="40"/>
      <w:bookmarkEnd w:id="41"/>
      <w:bookmarkEnd w:id="42"/>
      <w:bookmarkEnd w:id="43"/>
      <w:bookmarkEnd w:id="44"/>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按合同文本通用条款执行</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45" w:name="_Toc354404034"/>
      <w:bookmarkStart w:id="46" w:name="_Toc357868219"/>
      <w:bookmarkStart w:id="47" w:name="_Toc329278154"/>
      <w:bookmarkStart w:id="48" w:name="_Toc326060510"/>
      <w:bookmarkStart w:id="49" w:name="_Toc354923124"/>
      <w:bookmarkStart w:id="50" w:name="_Toc364457264"/>
      <w:bookmarkStart w:id="51" w:name="_Toc355649947"/>
      <w:bookmarkStart w:id="52" w:name="_Toc354922985"/>
      <w:bookmarkStart w:id="53" w:name="_Toc356744039"/>
      <w:r>
        <w:rPr>
          <w:rFonts w:hint="eastAsia" w:cs="宋体" w:asciiTheme="minorEastAsia" w:hAnsiTheme="minorEastAsia" w:eastAsiaTheme="minorEastAsia"/>
          <w:kern w:val="0"/>
          <w:sz w:val="21"/>
          <w:szCs w:val="21"/>
          <w:lang w:val="en-US" w:eastAsia="zh-CN" w:bidi="ar-SA"/>
        </w:rPr>
        <w:t>六、合同价款与支付</w:t>
      </w:r>
      <w:bookmarkEnd w:id="45"/>
      <w:bookmarkEnd w:id="46"/>
      <w:bookmarkEnd w:id="47"/>
      <w:bookmarkEnd w:id="48"/>
      <w:bookmarkEnd w:id="49"/>
      <w:bookmarkEnd w:id="50"/>
      <w:bookmarkEnd w:id="51"/>
      <w:bookmarkEnd w:id="52"/>
      <w:bookmarkEnd w:id="53"/>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11．合同价款及调整</w:t>
      </w:r>
    </w:p>
    <w:p>
      <w:pPr>
        <w:pStyle w:val="13"/>
        <w:spacing w:line="360" w:lineRule="auto"/>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3"/>
        <w:spacing w:line="360" w:lineRule="auto"/>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当发生下列情况时，合同价可作调整：</w:t>
      </w:r>
    </w:p>
    <w:p>
      <w:pPr>
        <w:pStyle w:val="13"/>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发包人相应部门签证后报主管领导批准后的工程变更及工程洽商；</w:t>
      </w:r>
    </w:p>
    <w:p>
      <w:pPr>
        <w:pStyle w:val="13"/>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暂估价项目、暂估材料设备及发包人指定的产品价在实际发生前由发包人认可后，按实际发生予以调整，仅计取税金；</w:t>
      </w:r>
    </w:p>
    <w:p>
      <w:pPr>
        <w:pStyle w:val="13"/>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发包人提供的地下管网、地下构筑物等资料与现场实际情况不符，而引起的工程处理费用增加，据实调整；</w:t>
      </w:r>
    </w:p>
    <w:p>
      <w:pPr>
        <w:pStyle w:val="13"/>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法律、行政法规和国家有关政策变化影响合同价款。</w:t>
      </w:r>
    </w:p>
    <w:p>
      <w:pPr>
        <w:pStyle w:val="13"/>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11．2合同价款调整原则及方法：</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增减工程量清单按11.1执行；</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11．3双方约定合同价款的其他调整因素: 双方协商解决。</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12．工程付款</w:t>
      </w:r>
    </w:p>
    <w:p>
      <w:pPr>
        <w:pStyle w:val="13"/>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12．1工程款的支付方式：采取银行转帐结算的形式，由项目所属单位支付；</w:t>
      </w:r>
    </w:p>
    <w:p>
      <w:pPr>
        <w:pStyle w:val="13"/>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12．2设计变更和现场经济签证引起的费用在拨付进度款时暂不予考虑。</w:t>
      </w:r>
    </w:p>
    <w:p>
      <w:pPr>
        <w:pStyle w:val="13"/>
        <w:spacing w:line="500" w:lineRule="exact"/>
        <w:ind w:firstLine="577" w:firstLineChars="2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13.工程量增减</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 投标报价</w:t>
      </w:r>
    </w:p>
    <w:p>
      <w:pPr>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14.3 投标人只能提出一个不变价格，招标人不接受任何选择价。</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54" w:name="_Toc329278155"/>
      <w:bookmarkStart w:id="55" w:name="_Toc355649948"/>
      <w:bookmarkStart w:id="56" w:name="_Toc354923125"/>
      <w:bookmarkStart w:id="57" w:name="_Toc354922986"/>
      <w:bookmarkStart w:id="58" w:name="_Toc364457265"/>
      <w:bookmarkStart w:id="59" w:name="_Toc326060511"/>
      <w:bookmarkStart w:id="60" w:name="_Toc357868220"/>
      <w:bookmarkStart w:id="61" w:name="_Toc354404035"/>
      <w:bookmarkStart w:id="62" w:name="_Toc356744040"/>
      <w:r>
        <w:rPr>
          <w:rFonts w:hint="eastAsia" w:cs="宋体" w:asciiTheme="minorEastAsia" w:hAnsiTheme="minorEastAsia" w:eastAsiaTheme="minorEastAsia"/>
          <w:kern w:val="0"/>
          <w:sz w:val="21"/>
          <w:szCs w:val="21"/>
          <w:lang w:val="en-US" w:eastAsia="zh-CN" w:bidi="ar-SA"/>
        </w:rPr>
        <w:t>七、竣工验收与结算</w:t>
      </w:r>
      <w:bookmarkEnd w:id="54"/>
      <w:bookmarkEnd w:id="55"/>
      <w:bookmarkEnd w:id="56"/>
      <w:bookmarkEnd w:id="57"/>
      <w:bookmarkEnd w:id="58"/>
      <w:bookmarkEnd w:id="59"/>
      <w:bookmarkEnd w:id="60"/>
      <w:bookmarkEnd w:id="61"/>
      <w:bookmarkEnd w:id="62"/>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15．竣工验收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15．1承包人提供竣工图的约定：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15．2中间交工工程的范围和竣工时间：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15．3竣工结算：审减金额超过报审金额10%时，超过部分审计费用由施工单位承担，并承担一定的违约责任。</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63" w:name="_Toc357868221"/>
      <w:bookmarkStart w:id="64" w:name="_Toc355649949"/>
      <w:bookmarkStart w:id="65" w:name="_Toc356744041"/>
      <w:bookmarkStart w:id="66" w:name="_Toc364457266"/>
      <w:bookmarkStart w:id="67" w:name="_Toc329278156"/>
      <w:bookmarkStart w:id="68" w:name="_Toc354404036"/>
      <w:bookmarkStart w:id="69" w:name="_Toc326060512"/>
      <w:bookmarkStart w:id="70" w:name="_Toc354922987"/>
      <w:bookmarkStart w:id="71" w:name="_Toc354923126"/>
      <w:r>
        <w:rPr>
          <w:rFonts w:hint="eastAsia" w:cs="宋体" w:asciiTheme="minorEastAsia" w:hAnsiTheme="minorEastAsia" w:eastAsiaTheme="minorEastAsia"/>
          <w:kern w:val="0"/>
          <w:sz w:val="21"/>
          <w:szCs w:val="21"/>
          <w:lang w:val="en-US" w:eastAsia="zh-CN" w:bidi="ar-SA"/>
        </w:rPr>
        <w:t>八、违约、索赔和争议</w:t>
      </w:r>
      <w:bookmarkEnd w:id="63"/>
      <w:bookmarkEnd w:id="64"/>
      <w:bookmarkEnd w:id="65"/>
      <w:bookmarkEnd w:id="66"/>
      <w:bookmarkEnd w:id="67"/>
      <w:bookmarkEnd w:id="68"/>
      <w:bookmarkEnd w:id="69"/>
      <w:bookmarkEnd w:id="70"/>
      <w:bookmarkEnd w:id="71"/>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16．违约</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16．1本合同中关于发包人违约的具体责任如下，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本合同通用条款第24条约定发包人违约应承担的违约责任：甲方根据实际情况决定采取处罚措施。</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本合同通用条款第26.4款约定发包人违约应承担的违约责任: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本合同通用条款第33.3款约定发包人违约应承担的违约责任: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双方约定的发包人其他违约责任: 见补充条款。</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16．2本合同中关于承包人违约的具体责任如下: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本合同通用条款第14.2款约定承包人违约承担的违约责任: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本合同通用条款第15.1款约定承包人违约应承担的违约责任: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双方约定的承包人其他违约责任: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17．争议</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17．1双方约定，在履行合同过程中产生争议时:</w:t>
      </w:r>
    </w:p>
    <w:p>
      <w:pPr>
        <w:pStyle w:val="13"/>
        <w:numPr>
          <w:ilvl w:val="0"/>
          <w:numId w:val="28"/>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双方本着友好协商方式解决。</w:t>
      </w:r>
    </w:p>
    <w:p>
      <w:pPr>
        <w:pStyle w:val="13"/>
        <w:numPr>
          <w:ilvl w:val="0"/>
          <w:numId w:val="28"/>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协商不成的，向  工程所在地  人民法院提起诉讼。</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72" w:name="_Toc364457267"/>
      <w:bookmarkStart w:id="73" w:name="_Toc357868222"/>
      <w:bookmarkStart w:id="74" w:name="_Toc354923127"/>
      <w:bookmarkStart w:id="75" w:name="_Toc354922988"/>
      <w:bookmarkStart w:id="76" w:name="_Toc356744042"/>
      <w:bookmarkStart w:id="77" w:name="_Toc355649950"/>
      <w:bookmarkStart w:id="78" w:name="_Toc354404037"/>
      <w:bookmarkStart w:id="79" w:name="_Toc326060513"/>
      <w:bookmarkStart w:id="80" w:name="_Toc329278157"/>
      <w:r>
        <w:rPr>
          <w:rFonts w:hint="eastAsia" w:cs="宋体" w:asciiTheme="minorEastAsia" w:hAnsiTheme="minorEastAsia" w:eastAsiaTheme="minorEastAsia"/>
          <w:kern w:val="0"/>
          <w:sz w:val="21"/>
          <w:szCs w:val="21"/>
          <w:lang w:val="en-US" w:eastAsia="zh-CN" w:bidi="ar-SA"/>
        </w:rPr>
        <w:t>九、其他</w:t>
      </w:r>
      <w:bookmarkEnd w:id="72"/>
      <w:bookmarkEnd w:id="73"/>
      <w:bookmarkEnd w:id="74"/>
      <w:bookmarkEnd w:id="75"/>
      <w:bookmarkEnd w:id="76"/>
      <w:bookmarkEnd w:id="77"/>
      <w:bookmarkEnd w:id="78"/>
      <w:bookmarkEnd w:id="79"/>
      <w:bookmarkEnd w:id="80"/>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18．工程分包</w:t>
      </w:r>
    </w:p>
    <w:p>
      <w:pPr>
        <w:pStyle w:val="10"/>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18．1本工程主体工程不允许分包。其他配套专业若确需分包，分包商须经得发包人同意。</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19．不可抗力</w:t>
      </w:r>
    </w:p>
    <w:p>
      <w:pPr>
        <w:pStyle w:val="10"/>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19．1双方关于不可抗力的约定:  所发生的工期相应顺延，但涉及的费用根据国家有关规定由双方分担。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20．保险</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20．1本工程双方约定投保内容如下:</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(l)发包人投保内容: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发包人委托承包人办理的保险事项: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(2)承包人投保内容: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21．担保</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21．1本工程双方约定担保事项如下: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(l)发包人向承包人提供履约担保，担保方式为:    (待定)     担保合同作为本合同附件。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(2)承包人向发包人提供履约担保，担保方式为:   中标人在接到中标通知书后10日内，按中标价的5%交纳履约保证金，以转账或电汇交纳至到招标人指定账户。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(3)双方约定的其他担保事项: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22．合同份数</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22．1双方约定合同副本份数:正本2份，副本4份</w:t>
      </w:r>
    </w:p>
    <w:p>
      <w:pPr>
        <w:pStyle w:val="13"/>
        <w:spacing w:line="500" w:lineRule="exact"/>
        <w:ind w:firstLine="470" w:firstLine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23．补充条款</w:t>
      </w:r>
    </w:p>
    <w:p>
      <w:pPr>
        <w:pStyle w:val="13"/>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审减金额超过报审金额10%时，超过部分审计费用由施工单位承担，并承担一定的违约责任。</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24．其他未尽事宜由双方协商后确定：</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(1)若承包方未达到双方约定的工程质量要求，承担其由此产生的一切责任。</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(2)经甲乙双方签字盖章后方可生效。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spacing w:line="360" w:lineRule="auto"/>
        <w:jc w:val="center"/>
        <w:outlineLvl w:val="1"/>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br w:type="page"/>
      </w:r>
    </w:p>
    <w:p>
      <w:pPr>
        <w:spacing w:line="440" w:lineRule="exact"/>
        <w:ind w:firstLine="482" w:firstLineChars="200"/>
        <w:jc w:val="center"/>
        <w:rPr>
          <w:rFonts w:hint="eastAsia"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1．本协议书与下列文件一起构成合同文件：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(l)中标通知书；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(2)投标函及投标函附录；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(3)专用合同条款；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(4)通用合同条款；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(5)技术标准和要求；</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 已标价的工程量清单；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(7)图纸；</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(8)其他合同文件。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2．上述文件互相补充和解释，如有不明确或不一致之处，以合同约定次序在先者为准。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3．签约合同价：人民币(大写)                元(￥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4．承包人项目经理(建造师)：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5．工程质量符合                     标准。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6．承包人承诺按合同约定承担工程的实施、完成及缺陷修复。</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7．发包人承诺按合同约定的条件、时间和方式向承包人支付合同价款。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8．承包人应按照监理人指示开工，工期为      日历天。</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9．本协议书一式     份，合同双方各执      份。</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10.双方签字盖章后生效。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11．合同未尽事宜，双方另行签订补充协议。补充协议是合同的组成部分。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承包人：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禹州市公共资源交易中心保证金缴纳回执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仿宋" w:hAnsi="仿宋" w:eastAsia="仿宋" w:cs="仿宋"/>
          <w:sz w:val="24"/>
          <w:szCs w:val="24"/>
        </w:rPr>
        <w:t xml:space="preserve">                </w:t>
      </w:r>
      <w:r>
        <w:rPr>
          <w:rFonts w:hint="eastAsia" w:ascii="宋体" w:hAnsi="宋体"/>
          <w:b/>
          <w:bCs/>
          <w:color w:val="000000"/>
          <w:sz w:val="24"/>
          <w:szCs w:val="24"/>
        </w:rPr>
        <w:t>4.1分项报价表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7">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8">
    <w:nsid w:val="00000013"/>
    <w:multiLevelType w:val="singleLevel"/>
    <w:tmpl w:val="00000013"/>
    <w:lvl w:ilvl="0" w:tentative="0">
      <w:start w:val="17"/>
      <w:numFmt w:val="decimal"/>
      <w:suff w:val="nothing"/>
      <w:lvlText w:val="%1、"/>
      <w:lvlJc w:val="left"/>
    </w:lvl>
  </w:abstractNum>
  <w:abstractNum w:abstractNumId="9">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5EFCDC2"/>
    <w:multiLevelType w:val="singleLevel"/>
    <w:tmpl w:val="05EFCDC2"/>
    <w:lvl w:ilvl="0" w:tentative="0">
      <w:start w:val="6"/>
      <w:numFmt w:val="chineseCounting"/>
      <w:suff w:val="nothing"/>
      <w:lvlText w:val="%1、"/>
      <w:lvlJc w:val="left"/>
      <w:rPr>
        <w:rFonts w:hint="eastAsia"/>
      </w:rPr>
    </w:lvl>
  </w:abstractNum>
  <w:abstractNum w:abstractNumId="11">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9F817E8"/>
    <w:multiLevelType w:val="singleLevel"/>
    <w:tmpl w:val="59F817E8"/>
    <w:lvl w:ilvl="0" w:tentative="0">
      <w:start w:val="1"/>
      <w:numFmt w:val="chineseCounting"/>
      <w:pStyle w:val="53"/>
      <w:suff w:val="nothing"/>
      <w:lvlText w:val="%1、"/>
      <w:lvlJc w:val="left"/>
    </w:lvl>
  </w:abstractNum>
  <w:abstractNum w:abstractNumId="22">
    <w:nsid w:val="5A051E9E"/>
    <w:multiLevelType w:val="singleLevel"/>
    <w:tmpl w:val="5A051E9E"/>
    <w:lvl w:ilvl="0" w:tentative="0">
      <w:start w:val="1"/>
      <w:numFmt w:val="chineseCounting"/>
      <w:suff w:val="nothing"/>
      <w:lvlText w:val="%1、"/>
      <w:lvlJc w:val="left"/>
    </w:lvl>
  </w:abstractNum>
  <w:abstractNum w:abstractNumId="2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54E4703"/>
    <w:multiLevelType w:val="singleLevel"/>
    <w:tmpl w:val="754E4703"/>
    <w:lvl w:ilvl="0" w:tentative="0">
      <w:start w:val="1"/>
      <w:numFmt w:val="chineseCounting"/>
      <w:suff w:val="nothing"/>
      <w:lvlText w:val="%1、"/>
      <w:lvlJc w:val="left"/>
      <w:rPr>
        <w:rFonts w:hint="eastAsia"/>
      </w:rPr>
    </w:lvl>
  </w:abstractNum>
  <w:abstractNum w:abstractNumId="2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9"/>
  </w:num>
  <w:num w:numId="3">
    <w:abstractNumId w:val="21"/>
  </w:num>
  <w:num w:numId="4">
    <w:abstractNumId w:val="1"/>
  </w:num>
  <w:num w:numId="5">
    <w:abstractNumId w:val="22"/>
  </w:num>
  <w:num w:numId="6">
    <w:abstractNumId w:val="26"/>
  </w:num>
  <w:num w:numId="7">
    <w:abstractNumId w:val="18"/>
  </w:num>
  <w:num w:numId="8">
    <w:abstractNumId w:val="23"/>
  </w:num>
  <w:num w:numId="9">
    <w:abstractNumId w:val="16"/>
  </w:num>
  <w:num w:numId="10">
    <w:abstractNumId w:val="11"/>
  </w:num>
  <w:num w:numId="11">
    <w:abstractNumId w:val="17"/>
  </w:num>
  <w:num w:numId="12">
    <w:abstractNumId w:val="19"/>
  </w:num>
  <w:num w:numId="13">
    <w:abstractNumId w:val="27"/>
  </w:num>
  <w:num w:numId="14">
    <w:abstractNumId w:val="15"/>
  </w:num>
  <w:num w:numId="15">
    <w:abstractNumId w:val="12"/>
  </w:num>
  <w:num w:numId="16">
    <w:abstractNumId w:val="24"/>
  </w:num>
  <w:num w:numId="17">
    <w:abstractNumId w:val="10"/>
  </w:num>
  <w:num w:numId="18">
    <w:abstractNumId w:val="20"/>
  </w:num>
  <w:num w:numId="19">
    <w:abstractNumId w:val="14"/>
  </w:num>
  <w:num w:numId="20">
    <w:abstractNumId w:val="25"/>
  </w:num>
  <w:num w:numId="21">
    <w:abstractNumId w:val="28"/>
  </w:num>
  <w:num w:numId="22">
    <w:abstractNumId w:val="0"/>
  </w:num>
  <w:num w:numId="23">
    <w:abstractNumId w:val="4"/>
  </w:num>
  <w:num w:numId="24">
    <w:abstractNumId w:val="8"/>
  </w:num>
  <w:num w:numId="25">
    <w:abstractNumId w:val="5"/>
  </w:num>
  <w:num w:numId="26">
    <w:abstractNumId w:val="7"/>
  </w:num>
  <w:num w:numId="27">
    <w:abstractNumId w:val="3"/>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C861C5"/>
    <w:rsid w:val="02042EF4"/>
    <w:rsid w:val="02314E41"/>
    <w:rsid w:val="02BB5D2E"/>
    <w:rsid w:val="032C493C"/>
    <w:rsid w:val="03B6440A"/>
    <w:rsid w:val="04A6236A"/>
    <w:rsid w:val="053F5432"/>
    <w:rsid w:val="064E7C45"/>
    <w:rsid w:val="07BF5E31"/>
    <w:rsid w:val="07F96DEB"/>
    <w:rsid w:val="08ED0258"/>
    <w:rsid w:val="08EF08AA"/>
    <w:rsid w:val="09097ED2"/>
    <w:rsid w:val="09611AE5"/>
    <w:rsid w:val="09B61E03"/>
    <w:rsid w:val="0A1E34A8"/>
    <w:rsid w:val="0A962F1E"/>
    <w:rsid w:val="0AD81D4C"/>
    <w:rsid w:val="0AED524D"/>
    <w:rsid w:val="0B042130"/>
    <w:rsid w:val="0B391354"/>
    <w:rsid w:val="0CAE7D79"/>
    <w:rsid w:val="0CE7384B"/>
    <w:rsid w:val="0DAC0795"/>
    <w:rsid w:val="0E1D453B"/>
    <w:rsid w:val="0EA30502"/>
    <w:rsid w:val="0F492F98"/>
    <w:rsid w:val="10060191"/>
    <w:rsid w:val="100B4F00"/>
    <w:rsid w:val="10C20E4B"/>
    <w:rsid w:val="110E6C6E"/>
    <w:rsid w:val="115665C0"/>
    <w:rsid w:val="115D39B8"/>
    <w:rsid w:val="122C725F"/>
    <w:rsid w:val="128E3D8E"/>
    <w:rsid w:val="12E50F51"/>
    <w:rsid w:val="13BF63D1"/>
    <w:rsid w:val="14214638"/>
    <w:rsid w:val="143F6CA5"/>
    <w:rsid w:val="149819C8"/>
    <w:rsid w:val="14D058A3"/>
    <w:rsid w:val="15E8716E"/>
    <w:rsid w:val="15EE44D7"/>
    <w:rsid w:val="16B051B6"/>
    <w:rsid w:val="175E24E1"/>
    <w:rsid w:val="17B078B6"/>
    <w:rsid w:val="18C216D0"/>
    <w:rsid w:val="197B011F"/>
    <w:rsid w:val="198F1D07"/>
    <w:rsid w:val="1B70335D"/>
    <w:rsid w:val="1BC27E34"/>
    <w:rsid w:val="1C317F37"/>
    <w:rsid w:val="1C527EEE"/>
    <w:rsid w:val="1D90357B"/>
    <w:rsid w:val="1EAC0576"/>
    <w:rsid w:val="1F457DEB"/>
    <w:rsid w:val="1F4F76D7"/>
    <w:rsid w:val="1F5E25BF"/>
    <w:rsid w:val="204C3CC9"/>
    <w:rsid w:val="20ED0E50"/>
    <w:rsid w:val="20FF154F"/>
    <w:rsid w:val="21DF17AC"/>
    <w:rsid w:val="22B643D4"/>
    <w:rsid w:val="2301785C"/>
    <w:rsid w:val="23177121"/>
    <w:rsid w:val="24326801"/>
    <w:rsid w:val="2461458C"/>
    <w:rsid w:val="24D83346"/>
    <w:rsid w:val="25720679"/>
    <w:rsid w:val="25DF5154"/>
    <w:rsid w:val="265B42DF"/>
    <w:rsid w:val="27553E85"/>
    <w:rsid w:val="27A229B2"/>
    <w:rsid w:val="27B5253B"/>
    <w:rsid w:val="283E3CD3"/>
    <w:rsid w:val="2B3F5F01"/>
    <w:rsid w:val="2C0B7CF9"/>
    <w:rsid w:val="2C2E4C48"/>
    <w:rsid w:val="2D5F028F"/>
    <w:rsid w:val="2EC5794C"/>
    <w:rsid w:val="2F124B1C"/>
    <w:rsid w:val="2F45482D"/>
    <w:rsid w:val="2F477084"/>
    <w:rsid w:val="2FF24A9E"/>
    <w:rsid w:val="305F0D15"/>
    <w:rsid w:val="307D673F"/>
    <w:rsid w:val="31324247"/>
    <w:rsid w:val="320D3218"/>
    <w:rsid w:val="32985053"/>
    <w:rsid w:val="32B20743"/>
    <w:rsid w:val="32E31462"/>
    <w:rsid w:val="32E81473"/>
    <w:rsid w:val="34280373"/>
    <w:rsid w:val="3439458D"/>
    <w:rsid w:val="345D5D57"/>
    <w:rsid w:val="350A079B"/>
    <w:rsid w:val="35306958"/>
    <w:rsid w:val="35316934"/>
    <w:rsid w:val="35C15576"/>
    <w:rsid w:val="35C46C85"/>
    <w:rsid w:val="36D45DBC"/>
    <w:rsid w:val="37571F09"/>
    <w:rsid w:val="38014F46"/>
    <w:rsid w:val="38E97278"/>
    <w:rsid w:val="391E6950"/>
    <w:rsid w:val="3A1A525E"/>
    <w:rsid w:val="3B380893"/>
    <w:rsid w:val="3C175755"/>
    <w:rsid w:val="3C725167"/>
    <w:rsid w:val="3C9839FA"/>
    <w:rsid w:val="3CB04E80"/>
    <w:rsid w:val="3CC67CD4"/>
    <w:rsid w:val="3D96637E"/>
    <w:rsid w:val="3DEC2498"/>
    <w:rsid w:val="3E4F494F"/>
    <w:rsid w:val="40BE3049"/>
    <w:rsid w:val="42547D8B"/>
    <w:rsid w:val="42F23437"/>
    <w:rsid w:val="43663E29"/>
    <w:rsid w:val="444769AF"/>
    <w:rsid w:val="44EA4606"/>
    <w:rsid w:val="458C667A"/>
    <w:rsid w:val="46366161"/>
    <w:rsid w:val="46465AAA"/>
    <w:rsid w:val="467D2F1A"/>
    <w:rsid w:val="46CE1703"/>
    <w:rsid w:val="46E35449"/>
    <w:rsid w:val="473960E8"/>
    <w:rsid w:val="47A07BC1"/>
    <w:rsid w:val="47A4555A"/>
    <w:rsid w:val="48080763"/>
    <w:rsid w:val="485128BA"/>
    <w:rsid w:val="48737219"/>
    <w:rsid w:val="48C0687E"/>
    <w:rsid w:val="48EE371C"/>
    <w:rsid w:val="49574371"/>
    <w:rsid w:val="49CF3E0F"/>
    <w:rsid w:val="49E32D62"/>
    <w:rsid w:val="4A222BB1"/>
    <w:rsid w:val="4D005CCE"/>
    <w:rsid w:val="4DE45808"/>
    <w:rsid w:val="4E9448CD"/>
    <w:rsid w:val="4F374C6E"/>
    <w:rsid w:val="4FF65309"/>
    <w:rsid w:val="505F0174"/>
    <w:rsid w:val="50A050A3"/>
    <w:rsid w:val="51352836"/>
    <w:rsid w:val="51A13899"/>
    <w:rsid w:val="52581E68"/>
    <w:rsid w:val="528771C6"/>
    <w:rsid w:val="531600B4"/>
    <w:rsid w:val="535A1FCB"/>
    <w:rsid w:val="536561B2"/>
    <w:rsid w:val="53FA012A"/>
    <w:rsid w:val="54150FD2"/>
    <w:rsid w:val="544C0545"/>
    <w:rsid w:val="55684A64"/>
    <w:rsid w:val="557F3457"/>
    <w:rsid w:val="56626902"/>
    <w:rsid w:val="57D2139A"/>
    <w:rsid w:val="57DF4B76"/>
    <w:rsid w:val="586B1477"/>
    <w:rsid w:val="58A31F4C"/>
    <w:rsid w:val="59484EC2"/>
    <w:rsid w:val="5A85418B"/>
    <w:rsid w:val="5BAE2A99"/>
    <w:rsid w:val="5C1717D9"/>
    <w:rsid w:val="5C1A7007"/>
    <w:rsid w:val="5C20031E"/>
    <w:rsid w:val="5CB139A0"/>
    <w:rsid w:val="5CD938B8"/>
    <w:rsid w:val="5D823D4C"/>
    <w:rsid w:val="5DD54801"/>
    <w:rsid w:val="5E8E5AC1"/>
    <w:rsid w:val="5E921C4D"/>
    <w:rsid w:val="5EE83EB0"/>
    <w:rsid w:val="5EFB17CA"/>
    <w:rsid w:val="5F4A434F"/>
    <w:rsid w:val="6001186C"/>
    <w:rsid w:val="60DB3FC7"/>
    <w:rsid w:val="614E3A65"/>
    <w:rsid w:val="617D2E49"/>
    <w:rsid w:val="61BC4DC2"/>
    <w:rsid w:val="634675E2"/>
    <w:rsid w:val="638962A8"/>
    <w:rsid w:val="63BF3CCD"/>
    <w:rsid w:val="63F4509F"/>
    <w:rsid w:val="6486046D"/>
    <w:rsid w:val="64BF36B4"/>
    <w:rsid w:val="64C76A4D"/>
    <w:rsid w:val="64FE6613"/>
    <w:rsid w:val="66980FBD"/>
    <w:rsid w:val="67341FB4"/>
    <w:rsid w:val="67F03A67"/>
    <w:rsid w:val="68D23C1D"/>
    <w:rsid w:val="69294622"/>
    <w:rsid w:val="69995CD6"/>
    <w:rsid w:val="69CA0494"/>
    <w:rsid w:val="69FB4D8B"/>
    <w:rsid w:val="6C2234CC"/>
    <w:rsid w:val="6D32159C"/>
    <w:rsid w:val="6D351CF7"/>
    <w:rsid w:val="6EB746A7"/>
    <w:rsid w:val="6F34277B"/>
    <w:rsid w:val="6F832092"/>
    <w:rsid w:val="704D75D1"/>
    <w:rsid w:val="70506DB5"/>
    <w:rsid w:val="7072440C"/>
    <w:rsid w:val="7092622D"/>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87D7581"/>
    <w:rsid w:val="78AF68A0"/>
    <w:rsid w:val="78C37659"/>
    <w:rsid w:val="790B56C3"/>
    <w:rsid w:val="7B0155BF"/>
    <w:rsid w:val="7BC16393"/>
    <w:rsid w:val="7C1D0C87"/>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33"/>
    <w:semiHidden/>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2"/>
    <w:qFormat/>
    <w:uiPriority w:val="0"/>
    <w:rPr>
      <w:rFonts w:ascii="Times New Roman" w:hAnsi="Times New Roman" w:eastAsia="宋体" w:cs="Times New Roman"/>
      <w:color w:val="FF0000"/>
      <w:sz w:val="24"/>
      <w:szCs w:val="24"/>
    </w:r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2"/>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3"/>
    <w:qFormat/>
    <w:uiPriority w:val="0"/>
    <w:rPr>
      <w:rFonts w:ascii="Calibri" w:hAnsi="Calibri" w:eastAsia="宋体" w:cs="Times New Roman"/>
      <w:b/>
      <w:bCs/>
      <w:kern w:val="44"/>
      <w:sz w:val="44"/>
      <w:szCs w:val="44"/>
    </w:rPr>
  </w:style>
  <w:style w:type="character" w:customStyle="1" w:styleId="29">
    <w:name w:val="标题 2 Char"/>
    <w:basedOn w:val="23"/>
    <w:link w:val="4"/>
    <w:qFormat/>
    <w:uiPriority w:val="0"/>
    <w:rPr>
      <w:rFonts w:ascii="Arial" w:hAnsi="Arial" w:eastAsia="黑体" w:cs="Times New Roman"/>
      <w:b/>
      <w:bCs/>
      <w:sz w:val="32"/>
      <w:szCs w:val="32"/>
    </w:rPr>
  </w:style>
  <w:style w:type="character" w:customStyle="1" w:styleId="30">
    <w:name w:val="标题 3 Char"/>
    <w:basedOn w:val="23"/>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6"/>
    <w:qFormat/>
    <w:uiPriority w:val="0"/>
    <w:rPr>
      <w:rFonts w:ascii="Arial" w:hAnsi="Arial" w:eastAsia="黑体" w:cs="Times New Roman"/>
      <w:b/>
      <w:bCs/>
      <w:sz w:val="28"/>
      <w:szCs w:val="28"/>
    </w:rPr>
  </w:style>
  <w:style w:type="character" w:customStyle="1" w:styleId="32">
    <w:name w:val="正文文本 3 Char"/>
    <w:basedOn w:val="23"/>
    <w:link w:val="9"/>
    <w:qFormat/>
    <w:uiPriority w:val="0"/>
    <w:rPr>
      <w:rFonts w:ascii="Times New Roman" w:hAnsi="Times New Roman" w:eastAsia="宋体" w:cs="Times New Roman"/>
      <w:color w:val="FF0000"/>
      <w:sz w:val="24"/>
      <w:szCs w:val="24"/>
    </w:rPr>
  </w:style>
  <w:style w:type="character" w:customStyle="1" w:styleId="33">
    <w:name w:val="正文文本 Char"/>
    <w:basedOn w:val="23"/>
    <w:link w:val="2"/>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 w:type="character" w:customStyle="1" w:styleId="58">
    <w:name w:val="样式 标书正文 + 下划线 Char"/>
    <w:qFormat/>
    <w:uiPriority w:val="0"/>
    <w:rPr>
      <w:rFonts w:eastAsia="Ari"/>
      <w:kern w:val="2"/>
      <w:sz w:val="28"/>
      <w:szCs w:val="28"/>
      <w:u w:val="single"/>
      <w:lang w:val="en-US" w:eastAsia="zh-CN"/>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0">
    <w:name w:val="Plain Text"/>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4</TotalTime>
  <ScaleCrop>false</ScaleCrop>
  <LinksUpToDate>false</LinksUpToDate>
  <CharactersWithSpaces>34645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禹州市公共资源交易中心:郭亚青</cp:lastModifiedBy>
  <cp:lastPrinted>2018-03-20T03:26:00Z</cp:lastPrinted>
  <dcterms:modified xsi:type="dcterms:W3CDTF">2019-07-08T02:59:39Z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