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项目需求及其他要求</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一、项目简要说明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葛市数字化城市管理系统（简称“数字城管”）系依托空间信息技术、工作流技术、计算机网络技术、无线通信技术等先进技术手段，实现城市部件和事件管理的数字化、网络化和空间可视化，创新城市管理模式，再造城市管理流程，建立一套科学完善夫人监督评价体系，并实现政府信息化建设相关资源的共享，提高城市管理水平，构建和谐社会，提升城市品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字城管”业务流程外包是本着“政府花钱买服务”、“养事不养人”的原则，将单元网格范围内的城市事、部件委托给具有信息采集能力、且具有合法经营资质的法人单位，按照城市事、部件管理标准、巡查监管要求，根据部件、事情多少，综合考虑，并以一定量的责任网格数作为基本单位，进行定时、全覆盖、公正、及时的监管和有效信息采集、准确传输以及核查、核实等。从而保证城市管理问题及时发现和全面处置。通过外包选取的信息采集公司，将组织一支专业的信息采集员队伍，依据“数字城管”系统统一的管理标准，负责对城市事件动态问题及部件完好、变更信息的限时采集；对热线投诉、视频监控、领导交办等途径反馈问题进行核查；对所发现的问题结案前进行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需要对数字城管理范围的地理信息及数据进行更新和升级。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项目采购内容：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乙方负责组建服务外包信息采集队伍51人；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项目服务内容：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相关城市管理标准，在“数字城管”覆盖区域内，以人工巡查的方式负责对城市事件动态问题及部件完信息变更的限时采集；对热线投诉、视频监控、领导交办等途径反馈问题进行核实；对所发现问题结案前进行核查；对责任网格内力所能及的内容环境脏乱问题做到“举手之劳”。以及处理“数字管理”平台其他指定任务。具体工作如下（不仅限于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①依据相关城市管理标准，以人工巡查的负责方式负责对城市事件动态问题及部件完好、变更信息的限时采集；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②对热线投诉等途径反馈问题进行核实；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③对所发现问题结案前进行核查；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④对政府关注的专项内容提供专项普查服务；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⑤针对地震、暴雨等灾害天气提供快速的紧急情况普查服务；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⑥定期提供“数字城管”数据分析、趋势分析服务；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⑦处理“数字城管”平台其他指定任务；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根据需要，完成地理信息数据的更新、建档、入库等工作，实施经费进行核算；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“数字城管”范围内地理情况发生变化，需要对其进行测绘建模，并进行地理信息数据更新和数据库升级。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项目实施范围：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本期项目信息采集范围：长葛市约26平方公里。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服务期限：本次招标服务期限为一年，具体实施开始时间以采购人的书面通知为准。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项目定量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定量基数：指每年（按365天计算）投标服务商上传有效案卷的累计总量。一年必须保证上传有效数据量9万件。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工作时间、内容、质量、项目报价的相关要求：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采集时间要求：每天8：00—18：00，采取“做二休一”模式作业，根据季节的变化进行适当的调整，禁止超出劳动法规定的工作时间；节假日和双休日上班时间、人数与其他工作时间上班一致，按劳动合同法支付相应加班工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工作内容要求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部件是指城市市政管理区域内的各项设施，包括7大类，101小类。（公共设施类、道路交通类、市容环境类、园林绿化类、房屋土地类、其他部件类、扩展类）。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部件信息包括部件丢失、损坏、维护等问题上报、核实和核查信息，以及部件普查中丢漏，部件普查后发生增加、更新等变化的部件信息。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事件指人为或自然因素导致城市市容环境和环境秩序受到影响或破坏，需要城市管理专业部门处理并使之恢复正常的现象和行为的统称。事件信息包括上报、核实和核查的信息。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时间分类按照其性质和特点划分，城市管理事件大类分类包括市容环境、宣传广告、施工管理、突发事件、街面秩序和扩展事件。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有效信息指除去差错信息、模糊信息、虚假信息、同一事/部件重复上报等后的真实可用信息，是可予立案的事件信息和部件信息。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差错率计算方式：不可立案信息/上报信息总数*100%。</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巡查密度是指在规定的时间内巡查规定区域的覆盖率。间隔密度合格率=（1-被抽查不合格采集员数/该采集公司采集员总数）*100%。</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要求定期对信息采集员负责的工作单元网格进行轮换。</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定期向采购人提供阶段工作总结报告。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关于超量奖励 ：每超出500件按500元奖励，超量奖励金额不得超过全年所有扣除金额。</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工作质量要求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证上传各类数据的准确性，要求上传信息（包括核查和核实）差错率（按月统计）不超过4%（含4%）。月计扣办法：差错率每增加1%扣1000元，其余类推。如上传产生重大差错每件扣100-200元；差错产生较大影响的，一经核实，每件扣1000-5000。</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指挥中心发出的核查、核定指令回重点区域需在1小时内予以回复，其他区域需在2小时内予以回复，如因核查超时导致自动结案的，每件扣100-200元；</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巡查及时准确，工作时间和区域内不发生因巡查不到位（未上传）情况的发生，即如热线受理、行业监管、社会各界反映问题失报的每件扣500元；行业监管、信息中心巡查失报的每件扣100-200元。如工作时间和区域内发生新闻曝光、社会反响较大的问题而采集员未作反馈的，每发生一次扣1000-5000元。</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员工队伍管理，不发生与工作相关的吃、拿、要等问题，不发生有责纠纷，不发生弄虚作假的行为。月计扣办法：出现第一次，经确认视情扣1000-5000元，出现第二次则立即中止合同，同时不能参见与下次信息采集的招标。</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考核方式：每月考核，按季兑付。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按期提供“数字城管”数据分析、趋势分析服务。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如因数字城管运行实际需要，协商一致，可临时调整相关指标。</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发扬精神文明，提倡职业道德，轻微问题做到举手之劳（劝导）。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①不符合立案的小广告；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②垃圾箱小门打开或盖子移位；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③井盖轻微错位，在能力范围内；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④交通护栏轻微移位、脱节、侧倒（非水泥柱等）；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⑤垃圾箱外的小袋装垃圾；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⑥非泊车位的停车（车主正准备停）单个现象，自行车停在泊车线外；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⑦绿地或主干道的小木板广告类；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⑧网络通讯交接箱门打开（设施不坏）；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⑨单个影响交通及自身安全的无证商贩；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⑩劝导违反城市管理有关规定的其他行为。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项目报价要求（约定项目费用组成，不得因某项目费用未纳入不执行相关工作或克扣员工费用，防止恶性竞争给项目运行带来恶性循环）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投标人投标报价包括但不限于以下几方面：</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人员工资、社保五险缴纳、节假日加班费、福利费等；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人员培训费用；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各种税费和管理费；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公司各类办公支出（包括房租、电话、网络、办公设备、办公用品等）、交通住宿、差旅等费用；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小广告清理费；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特别要求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人员工资：不得低于河南省人社局规定的“长葛市最低基本工资”标准；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员工社保：社保五险（包括养老、医疗、失业、工伤、生育）按照长葛市人社部门规定的缴费政策和缴费基数、费率进行缴纳（具体情况投标人可向长葛市人社部门咨询）。</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节假日加班费:详见第八页《第五条工作时间、内容、质量、项目报价的相关要求》，全年节假日按劳动法规定执行。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如遇政策调整（如最低基本工资调整、社保基数调整），根据政府文件，双方协调一致，相应增减服务费用。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“信息采集器”的管理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集设备的配备和管理：信息采集员和管理人员所需的“信息采集器”原则由采购人按人员配置的情况足额提供。采集服务范围的无线网通信费（只包含数据流流量费）由采购人提供，并保证功能正常使用。如因使用不当造成采集器外观破损或影响功能正常使用的，由中标单位按95%（使用一年以内）、80%（使用1-2年）、60%（使用2-3年）的比例承担维修费用。中标单位应该向采购人交纳1000元/部的设备保障金。合同履行期内，每少一部按照采购价和使用的年限（同上）的比例赔偿，合同终止时，乙方须如数返还信息采集器；中标单位支付足额抵押金后，向采购人领取“信息采集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采集器在保修期内出现硬件损坏的应到采购人处获得保修合同后进行维保；采集器在保修期外出现硬件损坏的应由中标单位自行维修。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中标单位应加强机器的管理，并落实专人负责，同时要制定采集器管理使用制度，保障信息采集器正常的使用。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队伍的组建要求：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本期招标服务外包人员数量：信息采集员和管理人员名；</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中标供应商在签订合同30日内，要求按照投标文件的承诺，完成信息采集人员队伍的组建。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信息采集员条件：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文化程度：中专、高中（职高）文化程度以上，下岗失业人员优先，复退军人优先。</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年龄：20周岁以上，48周岁以下。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性别：不限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健康状况：身体条件能适应全天候连续户外巡查执勤，无明显身体缺陷。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无犯罪记录和明显不良嗜好。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其他要求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应当充分考虑所有可能影响到报价的价格因素（物价变动等），一旦中标总价将包定，除长葛市最低工资标准及社保上涨时做相应调整外，一律不予调整，如发生漏、缺、少项，都将被认定为中标供应商的报价让利行为，损失自负。</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中标供应商应与软件方平台关于采集方面做到无缝对接。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中标供应商与采购人根据长葛市实际情况，协商划分各管理区域范围，并确定各管理区域巡查密度。在符合国家有关劳动法律的前提下，保持总投入信息采集员数量不变。</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采购人有权根据中标供应商“信息采集员、管理人”员所报综合服务单价（综合服务单价包含人员工资、相关社保、劳动保护、管理费、税金、利润等所有费用），直接要求增减服务人员，另行签订补充合同。</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投标人必须充分了解长葛市当地薪资水平，最低工资标准，社保福利等有关规定，拒绝恶性竞争。</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投标人不得以任何理由拖欠信息采集人员的工资及福利，否则采购人有权单方终止合同。</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中标人在签订合同前，必须完成应该于签订合同前完成的所有事项（包括优惠条件及承诺事项），否则采购人有权按中标人借故否认已经承诺的条件而据签合同处理。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中标人在签订合同30日内，未能按照投标文件的承诺，完成组建人员队伍，采购人有权单方终止合同，并没收全部履约保证金，乙方应无条件退还全额合同首付款。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付款方法：合同签订后15日内支付年总服务经费的十二分之一（扣除考核罚款后）的金额，之后根据每月考核情况，于次月15日前甲方按总服务经费的十二分之一（扣除考核罚款后）的总额支付给乙方。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预算上限：超出者为无效投标。</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关于投标报价的要求，至少应当包括下表，但不限于，供应商认为增加可自行增加，但年总报价不得超出预算金额。</w:t>
      </w:r>
    </w:p>
    <w:tbl>
      <w:tblPr>
        <w:tblStyle w:val="4"/>
        <w:tblW w:w="9567"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17"/>
        <w:gridCol w:w="767"/>
        <w:gridCol w:w="1433"/>
        <w:gridCol w:w="148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950" w:type="dxa"/>
            <w:gridSpan w:val="2"/>
          </w:tcPr>
          <w:p>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w:t>
            </w:r>
          </w:p>
        </w:tc>
        <w:tc>
          <w:tcPr>
            <w:tcW w:w="767" w:type="dxa"/>
          </w:tcPr>
          <w:p>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数量</w:t>
            </w:r>
          </w:p>
        </w:tc>
        <w:tc>
          <w:tcPr>
            <w:tcW w:w="1433" w:type="dxa"/>
          </w:tcPr>
          <w:p>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单位基数C</w:t>
            </w:r>
          </w:p>
        </w:tc>
        <w:tc>
          <w:tcPr>
            <w:tcW w:w="1483" w:type="dxa"/>
          </w:tcPr>
          <w:p>
            <w:pPr>
              <w:spacing w:line="400" w:lineRule="exact"/>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4"/>
                <w:lang w:val="en-US" w:eastAsia="zh-CN"/>
              </w:rPr>
              <w:t>年合计(元）</w:t>
            </w:r>
          </w:p>
        </w:tc>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restart"/>
          </w:tcPr>
          <w:p>
            <w:pPr>
              <w:spacing w:line="400" w:lineRule="exact"/>
              <w:jc w:val="center"/>
              <w:rPr>
                <w:rFonts w:hint="eastAsia" w:ascii="宋体" w:hAnsi="宋体" w:eastAsia="宋体" w:cs="宋体"/>
                <w:sz w:val="24"/>
                <w:lang w:val="en-US" w:eastAsia="zh-CN"/>
              </w:rPr>
            </w:pPr>
          </w:p>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管理人员工资</w:t>
            </w: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项目经理</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督导</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助理</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3人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restart"/>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采集员工资</w:t>
            </w: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组长</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3人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continue"/>
          </w:tcPr>
          <w:p>
            <w:pPr>
              <w:spacing w:line="400" w:lineRule="exact"/>
              <w:jc w:val="center"/>
              <w:rPr>
                <w:rFonts w:hint="eastAsia" w:ascii="宋体" w:hAnsi="宋体" w:eastAsia="宋体" w:cs="宋体"/>
                <w:sz w:val="24"/>
                <w:lang w:val="en-US" w:eastAsia="zh-CN"/>
              </w:rPr>
            </w:pP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采集员</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45人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社会保险</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51人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法定五险(单位缴纳部分)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员工培训费</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51人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加班费</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11天</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法定节假日1/3人员上岗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设备维护费</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60部</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restart"/>
          </w:tcPr>
          <w:p>
            <w:pPr>
              <w:spacing w:line="400" w:lineRule="exact"/>
              <w:jc w:val="center"/>
              <w:rPr>
                <w:rFonts w:hint="eastAsia" w:ascii="宋体" w:hAnsi="宋体" w:eastAsia="宋体" w:cs="宋体"/>
                <w:sz w:val="24"/>
                <w:lang w:val="en-US" w:eastAsia="zh-CN"/>
              </w:rPr>
            </w:pPr>
          </w:p>
          <w:p>
            <w:pPr>
              <w:spacing w:line="400" w:lineRule="exact"/>
              <w:jc w:val="center"/>
              <w:rPr>
                <w:rFonts w:hint="eastAsia" w:ascii="宋体" w:hAnsi="宋体" w:eastAsia="宋体" w:cs="宋体"/>
                <w:sz w:val="24"/>
                <w:lang w:val="en-US" w:eastAsia="zh-CN"/>
              </w:rPr>
            </w:pPr>
          </w:p>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办公费用</w:t>
            </w: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房租</w:t>
            </w:r>
          </w:p>
        </w:tc>
        <w:tc>
          <w:tcPr>
            <w:tcW w:w="767"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continue"/>
          </w:tcPr>
          <w:p>
            <w:pPr>
              <w:spacing w:line="400" w:lineRule="exact"/>
              <w:jc w:val="center"/>
              <w:rPr>
                <w:rFonts w:hint="eastAsia" w:ascii="宋体" w:hAnsi="宋体" w:eastAsia="宋体" w:cs="宋体"/>
                <w:sz w:val="24"/>
                <w:lang w:val="en-US" w:eastAsia="zh-CN"/>
              </w:rPr>
            </w:pP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固定资产</w:t>
            </w:r>
          </w:p>
        </w:tc>
        <w:tc>
          <w:tcPr>
            <w:tcW w:w="767"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Merge w:val="continue"/>
          </w:tcPr>
          <w:p>
            <w:pPr>
              <w:spacing w:line="400" w:lineRule="exact"/>
              <w:jc w:val="center"/>
              <w:rPr>
                <w:rFonts w:hint="eastAsia" w:ascii="宋体" w:hAnsi="宋体" w:eastAsia="宋体" w:cs="宋体"/>
                <w:sz w:val="24"/>
                <w:lang w:val="en-US" w:eastAsia="zh-CN"/>
              </w:rPr>
            </w:pPr>
          </w:p>
        </w:tc>
        <w:tc>
          <w:tcPr>
            <w:tcW w:w="1217" w:type="dxa"/>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日常费用</w:t>
            </w:r>
          </w:p>
        </w:tc>
        <w:tc>
          <w:tcPr>
            <w:tcW w:w="767" w:type="dxa"/>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劳保费</w:t>
            </w:r>
          </w:p>
        </w:tc>
        <w:tc>
          <w:tcPr>
            <w:tcW w:w="767" w:type="dxa"/>
            <w:vAlign w:val="top"/>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51人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降温费</w:t>
            </w:r>
          </w:p>
        </w:tc>
        <w:tc>
          <w:tcPr>
            <w:tcW w:w="767" w:type="dxa"/>
            <w:vAlign w:val="top"/>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51人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小广告清理费</w:t>
            </w:r>
          </w:p>
        </w:tc>
        <w:tc>
          <w:tcPr>
            <w:tcW w:w="767" w:type="dxa"/>
          </w:tcPr>
          <w:p>
            <w:pPr>
              <w:spacing w:line="400" w:lineRule="exact"/>
              <w:rPr>
                <w:rFonts w:hint="default" w:ascii="宋体" w:hAnsi="宋体" w:eastAsia="宋体" w:cs="宋体"/>
                <w:sz w:val="24"/>
                <w:lang w:val="en-US" w:eastAsia="zh-CN"/>
              </w:rPr>
            </w:pPr>
            <w:r>
              <w:rPr>
                <w:rFonts w:hint="eastAsia" w:ascii="宋体" w:hAnsi="宋体" w:eastAsia="宋体" w:cs="宋体"/>
                <w:sz w:val="24"/>
                <w:lang w:val="en-US" w:eastAsia="zh-CN"/>
              </w:rPr>
              <w:t>51人</w:t>
            </w: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小计</w:t>
            </w:r>
          </w:p>
        </w:tc>
        <w:tc>
          <w:tcPr>
            <w:tcW w:w="767" w:type="dxa"/>
          </w:tcPr>
          <w:p>
            <w:pPr>
              <w:spacing w:line="400" w:lineRule="exact"/>
              <w:rPr>
                <w:rFonts w:hint="default" w:ascii="宋体" w:hAnsi="宋体" w:eastAsia="宋体" w:cs="宋体"/>
                <w:sz w:val="24"/>
                <w:lang w:val="en-US" w:eastAsia="zh-CN"/>
              </w:rPr>
            </w:pP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利润</w:t>
            </w:r>
          </w:p>
        </w:tc>
        <w:tc>
          <w:tcPr>
            <w:tcW w:w="767" w:type="dxa"/>
          </w:tcPr>
          <w:p>
            <w:pPr>
              <w:spacing w:line="400" w:lineRule="exact"/>
              <w:rPr>
                <w:rFonts w:hint="eastAsia" w:ascii="宋体" w:hAnsi="宋体" w:eastAsia="宋体" w:cs="宋体"/>
                <w:sz w:val="24"/>
                <w:lang w:val="en-US" w:eastAsia="zh-CN"/>
              </w:rPr>
            </w:pP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税费</w:t>
            </w:r>
          </w:p>
        </w:tc>
        <w:tc>
          <w:tcPr>
            <w:tcW w:w="767" w:type="dxa"/>
          </w:tcPr>
          <w:p>
            <w:pPr>
              <w:spacing w:line="400" w:lineRule="exact"/>
              <w:rPr>
                <w:rFonts w:hint="eastAsia" w:ascii="宋体" w:hAnsi="宋体" w:eastAsia="宋体" w:cs="宋体"/>
                <w:sz w:val="24"/>
                <w:lang w:val="en-US" w:eastAsia="zh-CN"/>
              </w:rPr>
            </w:pP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0" w:type="dxa"/>
            <w:gridSpan w:val="2"/>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8"/>
                <w:szCs w:val="28"/>
                <w:vertAlign w:val="baseline"/>
                <w:lang w:val="en-US" w:eastAsia="zh-CN"/>
              </w:rPr>
              <w:t>总计</w:t>
            </w:r>
          </w:p>
        </w:tc>
        <w:tc>
          <w:tcPr>
            <w:tcW w:w="767" w:type="dxa"/>
          </w:tcPr>
          <w:p>
            <w:pPr>
              <w:spacing w:line="400" w:lineRule="exact"/>
              <w:rPr>
                <w:rFonts w:hint="eastAsia" w:ascii="宋体" w:hAnsi="宋体" w:eastAsia="宋体" w:cs="宋体"/>
                <w:sz w:val="24"/>
                <w:lang w:val="en-US" w:eastAsia="zh-CN"/>
              </w:rPr>
            </w:pPr>
          </w:p>
        </w:tc>
        <w:tc>
          <w:tcPr>
            <w:tcW w:w="1433" w:type="dxa"/>
          </w:tcPr>
          <w:p>
            <w:pPr>
              <w:spacing w:line="400" w:lineRule="exact"/>
              <w:rPr>
                <w:rFonts w:hint="eastAsia" w:ascii="宋体" w:hAnsi="宋体" w:eastAsia="宋体" w:cs="宋体"/>
                <w:sz w:val="24"/>
                <w:lang w:val="en-US" w:eastAsia="zh-CN"/>
              </w:rPr>
            </w:pPr>
          </w:p>
        </w:tc>
        <w:tc>
          <w:tcPr>
            <w:tcW w:w="1483" w:type="dxa"/>
          </w:tcPr>
          <w:p>
            <w:pPr>
              <w:spacing w:line="400" w:lineRule="exact"/>
              <w:rPr>
                <w:rFonts w:hint="eastAsia" w:ascii="宋体" w:hAnsi="宋体" w:eastAsia="宋体" w:cs="宋体"/>
                <w:sz w:val="24"/>
                <w:lang w:val="en-US" w:eastAsia="zh-CN"/>
              </w:rPr>
            </w:pPr>
          </w:p>
        </w:tc>
        <w:tc>
          <w:tcPr>
            <w:tcW w:w="2934" w:type="dxa"/>
          </w:tcPr>
          <w:p>
            <w:pPr>
              <w:spacing w:line="400" w:lineRule="exact"/>
              <w:rPr>
                <w:rFonts w:hint="eastAsia" w:ascii="宋体" w:hAnsi="宋体" w:eastAsia="宋体" w:cs="宋体"/>
                <w:sz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此表仅供投标人参考，投标人可以设计更明细的表格方式，但内</w:t>
      </w:r>
      <w:bookmarkStart w:id="0" w:name="_GoBack"/>
      <w:bookmarkEnd w:id="0"/>
      <w:r>
        <w:rPr>
          <w:rFonts w:hint="eastAsia" w:ascii="宋体" w:hAnsi="宋体" w:eastAsia="宋体" w:cs="宋体"/>
          <w:sz w:val="21"/>
          <w:szCs w:val="21"/>
          <w:lang w:val="en-US" w:eastAsia="zh-CN"/>
        </w:rPr>
        <w:t>容项应不少于此要求。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10、所招信息采集员工长葛市户籍人数比例不得少于90%。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56183"/>
    <w:multiLevelType w:val="singleLevel"/>
    <w:tmpl w:val="98056183"/>
    <w:lvl w:ilvl="0" w:tentative="0">
      <w:start w:val="1"/>
      <w:numFmt w:val="decimal"/>
      <w:suff w:val="nothing"/>
      <w:lvlText w:val="%1、"/>
      <w:lvlJc w:val="left"/>
    </w:lvl>
  </w:abstractNum>
  <w:abstractNum w:abstractNumId="1">
    <w:nsid w:val="9A39AAD3"/>
    <w:multiLevelType w:val="singleLevel"/>
    <w:tmpl w:val="9A39AAD3"/>
    <w:lvl w:ilvl="0" w:tentative="0">
      <w:start w:val="1"/>
      <w:numFmt w:val="decimal"/>
      <w:lvlText w:val="%1."/>
      <w:lvlJc w:val="left"/>
      <w:pPr>
        <w:tabs>
          <w:tab w:val="left" w:pos="312"/>
        </w:tabs>
      </w:pPr>
    </w:lvl>
  </w:abstractNum>
  <w:abstractNum w:abstractNumId="2">
    <w:nsid w:val="B1D9B719"/>
    <w:multiLevelType w:val="singleLevel"/>
    <w:tmpl w:val="B1D9B719"/>
    <w:lvl w:ilvl="0" w:tentative="0">
      <w:start w:val="1"/>
      <w:numFmt w:val="decimal"/>
      <w:suff w:val="nothing"/>
      <w:lvlText w:val="%1、"/>
      <w:lvlJc w:val="left"/>
    </w:lvl>
  </w:abstractNum>
  <w:abstractNum w:abstractNumId="3">
    <w:nsid w:val="BF260172"/>
    <w:multiLevelType w:val="singleLevel"/>
    <w:tmpl w:val="BF260172"/>
    <w:lvl w:ilvl="0" w:tentative="0">
      <w:start w:val="1"/>
      <w:numFmt w:val="decimal"/>
      <w:suff w:val="nothing"/>
      <w:lvlText w:val="（%1）"/>
      <w:lvlJc w:val="left"/>
    </w:lvl>
  </w:abstractNum>
  <w:abstractNum w:abstractNumId="4">
    <w:nsid w:val="C54045DA"/>
    <w:multiLevelType w:val="singleLevel"/>
    <w:tmpl w:val="C54045DA"/>
    <w:lvl w:ilvl="0" w:tentative="0">
      <w:start w:val="1"/>
      <w:numFmt w:val="decimal"/>
      <w:suff w:val="nothing"/>
      <w:lvlText w:val="（%1）"/>
      <w:lvlJc w:val="left"/>
    </w:lvl>
  </w:abstractNum>
  <w:abstractNum w:abstractNumId="5">
    <w:nsid w:val="C8D41EE5"/>
    <w:multiLevelType w:val="singleLevel"/>
    <w:tmpl w:val="C8D41EE5"/>
    <w:lvl w:ilvl="0" w:tentative="0">
      <w:start w:val="1"/>
      <w:numFmt w:val="decimal"/>
      <w:suff w:val="nothing"/>
      <w:lvlText w:val="（%1）"/>
      <w:lvlJc w:val="left"/>
    </w:lvl>
  </w:abstractNum>
  <w:abstractNum w:abstractNumId="6">
    <w:nsid w:val="C9547A17"/>
    <w:multiLevelType w:val="singleLevel"/>
    <w:tmpl w:val="C9547A17"/>
    <w:lvl w:ilvl="0" w:tentative="0">
      <w:start w:val="1"/>
      <w:numFmt w:val="decimal"/>
      <w:suff w:val="nothing"/>
      <w:lvlText w:val="%1、"/>
      <w:lvlJc w:val="left"/>
    </w:lvl>
  </w:abstractNum>
  <w:abstractNum w:abstractNumId="7">
    <w:nsid w:val="308295A9"/>
    <w:multiLevelType w:val="singleLevel"/>
    <w:tmpl w:val="308295A9"/>
    <w:lvl w:ilvl="0" w:tentative="0">
      <w:start w:val="1"/>
      <w:numFmt w:val="decimal"/>
      <w:suff w:val="nothing"/>
      <w:lvlText w:val="（%1）"/>
      <w:lvlJc w:val="left"/>
    </w:lvl>
  </w:abstractNum>
  <w:abstractNum w:abstractNumId="8">
    <w:nsid w:val="3C59C6B6"/>
    <w:multiLevelType w:val="singleLevel"/>
    <w:tmpl w:val="3C59C6B6"/>
    <w:lvl w:ilvl="0" w:tentative="0">
      <w:start w:val="1"/>
      <w:numFmt w:val="chineseCounting"/>
      <w:suff w:val="nothing"/>
      <w:lvlText w:val="（%1）"/>
      <w:lvlJc w:val="left"/>
      <w:rPr>
        <w:rFonts w:hint="eastAsia"/>
      </w:rPr>
    </w:lvl>
  </w:abstractNum>
  <w:abstractNum w:abstractNumId="9">
    <w:nsid w:val="50B4F9C8"/>
    <w:multiLevelType w:val="singleLevel"/>
    <w:tmpl w:val="50B4F9C8"/>
    <w:lvl w:ilvl="0" w:tentative="0">
      <w:start w:val="1"/>
      <w:numFmt w:val="decimal"/>
      <w:suff w:val="nothing"/>
      <w:lvlText w:val="（%1）"/>
      <w:lvlJc w:val="left"/>
    </w:lvl>
  </w:abstractNum>
  <w:abstractNum w:abstractNumId="10">
    <w:nsid w:val="5BD11F49"/>
    <w:multiLevelType w:val="singleLevel"/>
    <w:tmpl w:val="5BD11F49"/>
    <w:lvl w:ilvl="0" w:tentative="0">
      <w:start w:val="1"/>
      <w:numFmt w:val="chineseCounting"/>
      <w:suff w:val="nothing"/>
      <w:lvlText w:val="%1、"/>
      <w:lvlJc w:val="left"/>
      <w:rPr>
        <w:rFonts w:hint="eastAsia"/>
      </w:rPr>
    </w:lvl>
  </w:abstractNum>
  <w:abstractNum w:abstractNumId="11">
    <w:nsid w:val="6356BAD1"/>
    <w:multiLevelType w:val="singleLevel"/>
    <w:tmpl w:val="6356BAD1"/>
    <w:lvl w:ilvl="0" w:tentative="0">
      <w:start w:val="1"/>
      <w:numFmt w:val="decimal"/>
      <w:suff w:val="nothing"/>
      <w:lvlText w:val="（%1）"/>
      <w:lvlJc w:val="left"/>
    </w:lvl>
  </w:abstractNum>
  <w:num w:numId="1">
    <w:abstractNumId w:val="10"/>
  </w:num>
  <w:num w:numId="2">
    <w:abstractNumId w:val="8"/>
  </w:num>
  <w:num w:numId="3">
    <w:abstractNumId w:val="0"/>
  </w:num>
  <w:num w:numId="4">
    <w:abstractNumId w:val="5"/>
  </w:num>
  <w:num w:numId="5">
    <w:abstractNumId w:val="2"/>
  </w:num>
  <w:num w:numId="6">
    <w:abstractNumId w:val="3"/>
  </w:num>
  <w:num w:numId="7">
    <w:abstractNumId w:val="11"/>
  </w:num>
  <w:num w:numId="8">
    <w:abstractNumId w:val="9"/>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131E"/>
    <w:rsid w:val="02EF1D6C"/>
    <w:rsid w:val="075731C6"/>
    <w:rsid w:val="17B21FE4"/>
    <w:rsid w:val="29B7133F"/>
    <w:rsid w:val="2A146CF8"/>
    <w:rsid w:val="2C0B13D2"/>
    <w:rsid w:val="2EB0690F"/>
    <w:rsid w:val="2F39030E"/>
    <w:rsid w:val="32165717"/>
    <w:rsid w:val="34420C5D"/>
    <w:rsid w:val="389570EA"/>
    <w:rsid w:val="38CD0689"/>
    <w:rsid w:val="39FD1354"/>
    <w:rsid w:val="40A6097D"/>
    <w:rsid w:val="419F15D0"/>
    <w:rsid w:val="47D96C76"/>
    <w:rsid w:val="51C06A12"/>
    <w:rsid w:val="522B50FF"/>
    <w:rsid w:val="541108FE"/>
    <w:rsid w:val="5D841D63"/>
    <w:rsid w:val="5E8B7459"/>
    <w:rsid w:val="6541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智远工程管理有限公司:康栋</cp:lastModifiedBy>
  <cp:lastPrinted>2019-06-21T00:22:00Z</cp:lastPrinted>
  <dcterms:modified xsi:type="dcterms:W3CDTF">2019-07-01T08:42:12Z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