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rPr>
          <w:rFonts w:hint="eastAsia" w:ascii="微软雅黑" w:hAnsi="微软雅黑" w:eastAsia="微软雅黑" w:cs="微软雅黑"/>
          <w:b/>
          <w:bCs/>
          <w:sz w:val="44"/>
          <w:szCs w:val="44"/>
        </w:rPr>
      </w:pPr>
      <w:r>
        <w:rPr>
          <w:rFonts w:hint="eastAsia" w:ascii="微软雅黑" w:hAnsi="微软雅黑" w:eastAsia="微软雅黑" w:cs="微软雅黑"/>
          <w:b/>
          <w:bCs/>
          <w:sz w:val="44"/>
          <w:szCs w:val="44"/>
        </w:rPr>
        <w:t>禹州市创建国家公共文化服务体系</w:t>
      </w:r>
    </w:p>
    <w:p>
      <w:pPr>
        <w:ind w:firstLine="440" w:firstLineChars="100"/>
        <w:rPr>
          <w:rFonts w:ascii="微软简隶书" w:eastAsia="微软简隶书"/>
          <w:color w:val="000000"/>
        </w:rPr>
      </w:pPr>
      <w:r>
        <w:rPr>
          <w:rFonts w:hint="eastAsia" w:ascii="微软雅黑" w:hAnsi="微软雅黑" w:eastAsia="微软雅黑" w:cs="微软雅黑"/>
          <w:b/>
          <w:bCs/>
          <w:sz w:val="44"/>
          <w:szCs w:val="44"/>
        </w:rPr>
        <w:t>示范区村级文化服务中心设备提升项目</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黑体" w:hAnsi="黑体" w:eastAsia="黑体" w:cs="黑体"/>
          <w:bCs/>
          <w:color w:val="000000"/>
          <w:w w:val="90"/>
          <w:sz w:val="72"/>
          <w:szCs w:val="72"/>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采购单位： 禹州市文化广电</w:t>
      </w:r>
      <w:r>
        <w:rPr>
          <w:rFonts w:hint="eastAsia" w:ascii="仿宋" w:hAnsi="仿宋" w:eastAsia="仿宋" w:cs="仿宋"/>
          <w:b/>
          <w:bCs/>
          <w:color w:val="000000"/>
          <w:sz w:val="32"/>
          <w:szCs w:val="32"/>
          <w:lang w:eastAsia="zh-CN"/>
        </w:rPr>
        <w:t>和旅游</w:t>
      </w:r>
      <w:r>
        <w:rPr>
          <w:rFonts w:hint="eastAsia" w:ascii="仿宋" w:hAnsi="仿宋" w:eastAsia="仿宋" w:cs="仿宋"/>
          <w:b/>
          <w:bCs/>
          <w:color w:val="000000"/>
          <w:sz w:val="32"/>
          <w:szCs w:val="32"/>
        </w:rPr>
        <w:t>局</w:t>
      </w:r>
    </w:p>
    <w:p>
      <w:pPr>
        <w:ind w:firstLine="1285" w:firstLineChars="4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YZCG-G2019</w:t>
      </w:r>
      <w:r>
        <w:rPr>
          <w:rFonts w:hint="eastAsia" w:ascii="仿宋" w:hAnsi="仿宋" w:eastAsia="仿宋" w:cs="仿宋"/>
          <w:b/>
          <w:bCs/>
          <w:color w:val="000000"/>
          <w:sz w:val="32"/>
          <w:szCs w:val="32"/>
          <w:lang w:val="en-US" w:eastAsia="zh-CN"/>
        </w:rPr>
        <w:t>135</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六</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autoSpaceDE w:val="0"/>
        <w:autoSpaceDN w:val="0"/>
        <w:adjustRightInd w:val="0"/>
        <w:spacing w:line="700" w:lineRule="exact"/>
        <w:rPr>
          <w:rFonts w:cs="宋体" w:asciiTheme="majorEastAsia" w:hAnsiTheme="majorEastAsia" w:eastAsiaTheme="majorEastAsia"/>
          <w:b/>
          <w:kern w:val="0"/>
          <w:sz w:val="36"/>
          <w:szCs w:val="36"/>
        </w:rPr>
      </w:pPr>
    </w:p>
    <w:p>
      <w:pPr>
        <w:pStyle w:val="19"/>
        <w:widowControl/>
        <w:numPr>
          <w:ilvl w:val="0"/>
          <w:numId w:val="4"/>
        </w:numPr>
        <w:shd w:val="clear" w:color="auto" w:fill="FFFFFF"/>
        <w:spacing w:line="315" w:lineRule="atLeast"/>
        <w:jc w:val="center"/>
        <w:rPr>
          <w:rFonts w:hint="eastAsia"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19"/>
        <w:widowControl/>
        <w:numPr>
          <w:ilvl w:val="0"/>
          <w:numId w:val="0"/>
        </w:numPr>
        <w:shd w:val="clear" w:color="auto" w:fill="FFFFFF"/>
        <w:spacing w:line="315" w:lineRule="atLeast"/>
        <w:jc w:val="both"/>
        <w:rPr>
          <w:rFonts w:hint="eastAsia" w:ascii="宋体" w:hAnsi="宋体" w:cs="宋体"/>
          <w:b/>
          <w:color w:val="000000"/>
          <w:sz w:val="36"/>
          <w:szCs w:val="36"/>
          <w:shd w:val="clear" w:color="auto" w:fill="FFFFFF"/>
        </w:rPr>
      </w:pP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禹州市创建国家公共文化服务体系</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示范区村级文化服务中心设备提升项目</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招  标  邀  请 函</w:t>
      </w:r>
    </w:p>
    <w:p>
      <w:pPr>
        <w:spacing w:line="360" w:lineRule="auto"/>
        <w:rPr>
          <w:rFonts w:hint="eastAsia" w:ascii="新宋体" w:hAnsi="新宋体" w:eastAsia="新宋体" w:cs="新宋体"/>
          <w:b/>
          <w:sz w:val="24"/>
          <w:szCs w:val="24"/>
        </w:rPr>
      </w:pPr>
    </w:p>
    <w:p>
      <w:pPr>
        <w:spacing w:line="60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禹州市政府采购中心受禹州市文化广电和旅游局的委托，就“禹州市创建国家公共文化服务体系示范区村级文化服务中心设备提升项目”进行公开招标，欢迎合格的投标人前来投标。</w:t>
      </w:r>
    </w:p>
    <w:p>
      <w:pPr>
        <w:pStyle w:val="56"/>
        <w:widowControl/>
        <w:numPr>
          <w:ilvl w:val="0"/>
          <w:numId w:val="5"/>
        </w:numPr>
        <w:shd w:val="clear" w:color="auto" w:fill="FFFFFF"/>
        <w:spacing w:line="400" w:lineRule="exact"/>
        <w:ind w:firstLineChars="0"/>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项目基本情况</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rPr>
        <w:t>采购人：禹州市文化广电和旅游局</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lang w:eastAsia="zh-CN"/>
        </w:rPr>
      </w:pPr>
      <w:r>
        <w:rPr>
          <w:rFonts w:hint="eastAsia" w:ascii="新宋体" w:hAnsi="新宋体" w:eastAsia="新宋体" w:cs="新宋体"/>
          <w:color w:val="000000"/>
          <w:kern w:val="0"/>
          <w:sz w:val="24"/>
          <w:szCs w:val="24"/>
        </w:rPr>
        <w:t>2.项目名称</w:t>
      </w:r>
      <w:r>
        <w:rPr>
          <w:rFonts w:hint="eastAsia" w:ascii="新宋体" w:hAnsi="新宋体" w:eastAsia="新宋体" w:cs="新宋体"/>
          <w:color w:val="000000"/>
          <w:kern w:val="0"/>
          <w:sz w:val="24"/>
          <w:szCs w:val="24"/>
          <w:lang w:eastAsia="zh-CN"/>
        </w:rPr>
        <w:t>：禹州市创建国家公共文化服务体系示范区村级文化服务中心设备提升项目</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lang w:val="en-US" w:eastAsia="zh-CN"/>
        </w:rPr>
      </w:pPr>
      <w:r>
        <w:rPr>
          <w:rFonts w:hint="eastAsia" w:ascii="新宋体" w:hAnsi="新宋体" w:eastAsia="新宋体" w:cs="新宋体"/>
          <w:color w:val="000000"/>
          <w:kern w:val="0"/>
          <w:sz w:val="24"/>
          <w:szCs w:val="24"/>
        </w:rPr>
        <w:t>3</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采购编号：</w:t>
      </w:r>
      <w:r>
        <w:rPr>
          <w:rFonts w:hint="eastAsia" w:ascii="新宋体" w:hAnsi="新宋体" w:eastAsia="新宋体" w:cs="新宋体"/>
          <w:sz w:val="24"/>
          <w:szCs w:val="24"/>
        </w:rPr>
        <w:t>YZCG-G2019</w:t>
      </w:r>
      <w:r>
        <w:rPr>
          <w:rFonts w:hint="eastAsia" w:ascii="新宋体" w:hAnsi="新宋体" w:eastAsia="新宋体" w:cs="新宋体"/>
          <w:sz w:val="24"/>
          <w:szCs w:val="24"/>
          <w:lang w:val="en-US" w:eastAsia="zh-CN"/>
        </w:rPr>
        <w:t>135</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项目需求：</w:t>
      </w:r>
      <w:r>
        <w:rPr>
          <w:rFonts w:hint="eastAsia" w:ascii="新宋体" w:hAnsi="新宋体" w:eastAsia="新宋体" w:cs="新宋体"/>
          <w:color w:val="000000"/>
          <w:kern w:val="0"/>
          <w:sz w:val="24"/>
          <w:szCs w:val="24"/>
          <w:lang w:eastAsia="zh-CN"/>
        </w:rPr>
        <w:t>广播系统服务器、分布式</w:t>
      </w:r>
      <w:r>
        <w:rPr>
          <w:rFonts w:hint="eastAsia" w:ascii="新宋体" w:hAnsi="新宋体" w:eastAsia="新宋体" w:cs="新宋体"/>
          <w:color w:val="000000"/>
          <w:kern w:val="0"/>
          <w:sz w:val="24"/>
          <w:szCs w:val="24"/>
          <w:lang w:val="en-US" w:eastAsia="zh-CN"/>
        </w:rPr>
        <w:t>IP广播通信服务系统、4G收扩机等</w:t>
      </w:r>
      <w:r>
        <w:rPr>
          <w:rFonts w:hint="eastAsia" w:ascii="新宋体" w:hAnsi="新宋体" w:eastAsia="新宋体" w:cs="新宋体"/>
          <w:color w:val="000000"/>
          <w:kern w:val="0"/>
          <w:sz w:val="24"/>
          <w:szCs w:val="24"/>
        </w:rPr>
        <w:t>（详见招标文件）</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5</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采购预算：</w:t>
      </w:r>
      <w:r>
        <w:rPr>
          <w:rFonts w:hint="eastAsia" w:ascii="新宋体" w:hAnsi="新宋体" w:eastAsia="新宋体" w:cs="新宋体"/>
          <w:color w:val="000000"/>
          <w:kern w:val="0"/>
          <w:sz w:val="24"/>
          <w:szCs w:val="24"/>
          <w:lang w:val="en-US" w:eastAsia="zh-CN"/>
        </w:rPr>
        <w:t>723.44</w:t>
      </w:r>
      <w:r>
        <w:rPr>
          <w:rFonts w:hint="eastAsia" w:ascii="新宋体" w:hAnsi="新宋体" w:eastAsia="新宋体" w:cs="新宋体"/>
          <w:kern w:val="0"/>
          <w:sz w:val="24"/>
          <w:szCs w:val="24"/>
          <w:lang w:val="en-US" w:eastAsia="zh-CN"/>
        </w:rPr>
        <w:t>万</w:t>
      </w:r>
      <w:r>
        <w:rPr>
          <w:rFonts w:hint="eastAsia" w:ascii="新宋体" w:hAnsi="新宋体" w:eastAsia="新宋体" w:cs="新宋体"/>
          <w:sz w:val="24"/>
          <w:szCs w:val="24"/>
        </w:rPr>
        <w:t>元</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rPr>
        <w:t>采购限价：</w:t>
      </w:r>
      <w:r>
        <w:rPr>
          <w:rFonts w:hint="eastAsia" w:ascii="新宋体" w:hAnsi="新宋体" w:eastAsia="新宋体" w:cs="新宋体"/>
          <w:sz w:val="24"/>
          <w:szCs w:val="24"/>
          <w:lang w:val="en-US" w:eastAsia="zh-CN"/>
        </w:rPr>
        <w:t>723.44</w:t>
      </w:r>
      <w:r>
        <w:rPr>
          <w:rFonts w:hint="eastAsia" w:ascii="新宋体" w:hAnsi="新宋体" w:eastAsia="新宋体" w:cs="新宋体"/>
          <w:sz w:val="24"/>
          <w:szCs w:val="24"/>
        </w:rPr>
        <w:t>万元</w:t>
      </w:r>
    </w:p>
    <w:p>
      <w:pPr>
        <w:widowControl/>
        <w:shd w:val="clear" w:color="auto" w:fill="FFFFFF"/>
        <w:spacing w:line="400" w:lineRule="exact"/>
        <w:ind w:firstLine="354" w:firstLineChars="147"/>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二、需要落实的政府采购政策</w:t>
      </w:r>
    </w:p>
    <w:p>
      <w:pPr>
        <w:widowControl/>
        <w:shd w:val="clear" w:color="auto" w:fill="FFFFFF"/>
        <w:spacing w:line="400" w:lineRule="exact"/>
        <w:ind w:firstLine="240" w:firstLineChars="1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本项目落实节约能源、保护环境、扶持不发达地区和少数民族地区、促进中小企业、监狱企业发展等政府采购政策。（详见招标文件）</w:t>
      </w:r>
    </w:p>
    <w:p>
      <w:pPr>
        <w:widowControl/>
        <w:shd w:val="clear" w:color="auto" w:fill="FFFFFF"/>
        <w:spacing w:line="400" w:lineRule="exact"/>
        <w:ind w:left="482"/>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三、供应商资格要求：</w:t>
      </w:r>
    </w:p>
    <w:p>
      <w:pPr>
        <w:widowControl/>
        <w:shd w:val="clear" w:color="auto" w:fill="FFFFFF"/>
        <w:spacing w:line="400" w:lineRule="exact"/>
        <w:ind w:left="482"/>
        <w:jc w:val="left"/>
        <w:rPr>
          <w:rFonts w:hint="eastAsia" w:ascii="新宋体" w:hAnsi="新宋体" w:eastAsia="新宋体" w:cs="新宋体"/>
          <w:sz w:val="24"/>
          <w:szCs w:val="24"/>
        </w:rPr>
      </w:pPr>
      <w:r>
        <w:rPr>
          <w:rFonts w:hint="eastAsia" w:ascii="新宋体" w:hAnsi="新宋体" w:eastAsia="新宋体" w:cs="新宋体"/>
          <w:sz w:val="24"/>
          <w:szCs w:val="24"/>
        </w:rPr>
        <w:t>1、符合《政府采购法》第二十二条之规定，具有独立法人资格及相应的经营范围（</w:t>
      </w:r>
      <w:r>
        <w:rPr>
          <w:rFonts w:hint="eastAsia" w:ascii="新宋体" w:hAnsi="新宋体" w:eastAsia="新宋体" w:cs="新宋体"/>
          <w:sz w:val="24"/>
          <w:szCs w:val="24"/>
          <w:lang w:eastAsia="zh-CN"/>
        </w:rPr>
        <w:t>以营业执照为准</w:t>
      </w:r>
      <w:r>
        <w:rPr>
          <w:rFonts w:hint="eastAsia" w:ascii="新宋体" w:hAnsi="新宋体" w:eastAsia="新宋体" w:cs="新宋体"/>
          <w:sz w:val="24"/>
          <w:szCs w:val="24"/>
        </w:rPr>
        <w:t>）；</w:t>
      </w:r>
    </w:p>
    <w:p>
      <w:pPr>
        <w:spacing w:line="400" w:lineRule="exact"/>
        <w:ind w:left="319" w:leftChars="152" w:firstLine="120" w:firstLineChars="50"/>
        <w:rPr>
          <w:rFonts w:hint="eastAsia" w:ascii="新宋体" w:hAnsi="新宋体" w:eastAsia="新宋体" w:cs="新宋体"/>
          <w:sz w:val="24"/>
          <w:szCs w:val="24"/>
        </w:rPr>
      </w:pPr>
      <w:r>
        <w:rPr>
          <w:rFonts w:hint="eastAsia" w:ascii="新宋体" w:hAnsi="新宋体" w:eastAsia="新宋体" w:cs="新宋体"/>
          <w:sz w:val="24"/>
          <w:szCs w:val="24"/>
        </w:rPr>
        <w:t>2、被委托人是须是本单位职工，须提供公司为本人缴纳社会保险证明；</w:t>
      </w:r>
    </w:p>
    <w:p>
      <w:pPr>
        <w:spacing w:line="400" w:lineRule="exact"/>
        <w:ind w:left="319" w:leftChars="152" w:firstLine="120" w:firstLineChars="50"/>
        <w:rPr>
          <w:rFonts w:hint="eastAsia" w:ascii="新宋体" w:hAnsi="新宋体" w:eastAsia="新宋体" w:cs="新宋体"/>
          <w:sz w:val="24"/>
          <w:szCs w:val="24"/>
        </w:rPr>
      </w:pPr>
      <w:r>
        <w:rPr>
          <w:rFonts w:hint="eastAsia" w:ascii="新宋体" w:hAnsi="新宋体" w:eastAsia="新宋体" w:cs="新宋体"/>
          <w:sz w:val="24"/>
          <w:szCs w:val="24"/>
        </w:rPr>
        <w:t>3、本项目不接受联合体投标。</w:t>
      </w:r>
    </w:p>
    <w:p>
      <w:pPr>
        <w:widowControl/>
        <w:shd w:val="clear" w:color="auto" w:fill="FFFFFF"/>
        <w:spacing w:line="400" w:lineRule="exact"/>
        <w:ind w:firstLine="482"/>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四、获取招标文件的方式、时间、地点</w:t>
      </w:r>
    </w:p>
    <w:p>
      <w:pPr>
        <w:wordWrap w:val="0"/>
        <w:topLinePunct/>
        <w:snapToGrid w:val="0"/>
        <w:spacing w:line="400" w:lineRule="exact"/>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1、持CA数字认证证书，登录</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HYPERLINK "http://221.14.6.70:8088/ggzy/eps/public/RegistAllJcxx.html" </w:instrText>
      </w:r>
      <w:r>
        <w:rPr>
          <w:rFonts w:hint="eastAsia" w:ascii="新宋体" w:hAnsi="新宋体" w:eastAsia="新宋体" w:cs="新宋体"/>
          <w:sz w:val="24"/>
          <w:szCs w:val="24"/>
        </w:rPr>
        <w:fldChar w:fldCharType="separate"/>
      </w:r>
      <w:r>
        <w:rPr>
          <w:rFonts w:hint="eastAsia" w:ascii="新宋体" w:hAnsi="新宋体" w:eastAsia="新宋体" w:cs="新宋体"/>
          <w:sz w:val="24"/>
          <w:szCs w:val="24"/>
          <w:lang w:val="zh-CN"/>
        </w:rPr>
        <w:t>http://221.14.6.70:8088/ggzy/eps/public/RegistAllJcxx.html</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zh-CN"/>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400" w:lineRule="exact"/>
        <w:ind w:firstLine="482"/>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2、在投标截止时间前登录</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HYPERLINK "http://221.14.6.70:8088/ggzy/" </w:instrText>
      </w:r>
      <w:r>
        <w:rPr>
          <w:rFonts w:hint="eastAsia" w:ascii="新宋体" w:hAnsi="新宋体" w:eastAsia="新宋体" w:cs="新宋体"/>
          <w:sz w:val="24"/>
          <w:szCs w:val="24"/>
        </w:rPr>
        <w:fldChar w:fldCharType="separate"/>
      </w:r>
      <w:r>
        <w:rPr>
          <w:rFonts w:hint="eastAsia" w:ascii="新宋体" w:hAnsi="新宋体" w:eastAsia="新宋体" w:cs="新宋体"/>
          <w:sz w:val="24"/>
          <w:szCs w:val="24"/>
          <w:lang w:val="zh-CN"/>
        </w:rPr>
        <w:t>http://</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en-US" w:eastAsia="zh-CN"/>
        </w:rPr>
        <w:t>ggzy.xuchang.gov.cn</w:t>
      </w:r>
      <w:r>
        <w:rPr>
          <w:rFonts w:hint="eastAsia" w:ascii="新宋体" w:hAnsi="新宋体" w:eastAsia="新宋体" w:cs="新宋体"/>
          <w:sz w:val="24"/>
          <w:szCs w:val="24"/>
          <w:lang w:val="zh-CN"/>
        </w:rPr>
        <w:t>，自行下载招标文件（详见全国公共资源交易平台（河南省·许昌市）“常见问题解答-交易系统操作手册”）。</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　　3、未通过全国公共资源交易平台（河南省·许昌市）下载招标文件的投标企业，拒收其递交的投标文件。</w:t>
      </w:r>
    </w:p>
    <w:p>
      <w:pPr>
        <w:spacing w:line="400" w:lineRule="exact"/>
        <w:ind w:firstLine="640"/>
        <w:rPr>
          <w:rFonts w:hint="eastAsia" w:ascii="新宋体" w:hAnsi="新宋体" w:eastAsia="新宋体" w:cs="新宋体"/>
          <w:sz w:val="24"/>
          <w:szCs w:val="24"/>
        </w:rPr>
      </w:pPr>
      <w:r>
        <w:rPr>
          <w:rFonts w:hint="eastAsia" w:ascii="新宋体" w:hAnsi="新宋体" w:eastAsia="新宋体" w:cs="新宋体"/>
          <w:sz w:val="24"/>
          <w:szCs w:val="24"/>
        </w:rPr>
        <w:t>4、招标文件每份售价人民500元（开标时现场收取现金），于递交投标文件时缴纳给采购代理机构，售后不退。</w:t>
      </w:r>
    </w:p>
    <w:p>
      <w:pPr>
        <w:widowControl/>
        <w:shd w:val="clear" w:color="auto" w:fill="FFFFFF"/>
        <w:spacing w:line="400" w:lineRule="exact"/>
        <w:ind w:firstLine="482"/>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五、投标截止时间、开标时间及地点：</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1、投标截止及开标时间：2019年</w:t>
      </w: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color w:val="000000"/>
          <w:kern w:val="0"/>
          <w:sz w:val="24"/>
          <w:szCs w:val="24"/>
        </w:rPr>
        <w:t>月</w:t>
      </w: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color w:val="000000"/>
          <w:kern w:val="0"/>
          <w:sz w:val="24"/>
          <w:szCs w:val="24"/>
        </w:rPr>
        <w:t>日 9：00（北京时间），逾期送达或不符合规定的投标文件不予接受。</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2、开标地点：</w:t>
      </w:r>
      <w:r>
        <w:rPr>
          <w:rFonts w:hint="eastAsia" w:ascii="新宋体" w:hAnsi="新宋体" w:eastAsia="新宋体" w:cs="新宋体"/>
          <w:sz w:val="24"/>
          <w:szCs w:val="24"/>
        </w:rPr>
        <w:t>禹州市公共资源交易中心第二开标室（禹州市行政服务中心楼9楼）</w:t>
      </w:r>
      <w:r>
        <w:rPr>
          <w:rFonts w:hint="eastAsia" w:ascii="新宋体" w:hAnsi="新宋体" w:eastAsia="新宋体" w:cs="新宋体"/>
          <w:color w:val="000000"/>
          <w:kern w:val="0"/>
          <w:sz w:val="24"/>
          <w:szCs w:val="24"/>
        </w:rPr>
        <w:t xml:space="preserve"> </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3、本项目为全流程电子化交易项目，投标人须提交电子投标文件和纸质投标文件。</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（1）加密电子投标文件（.file格式）须在投标截止时间（开标时间）前通过《全国公共资源交易平台(河南省▪许昌市)》公共资源交易系统成功上传。</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（2）纸质投标文件（正本1份、副本1份）和备份文件1份（使用电子介质存储）在投标截止时间（开标时间）前递交至本项目开标地点。</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六、本次招标公告同时在《中国政府采购网》、《河南省政府采购网》、《全国公共资源交易平台（河南省·许昌市）》发布等。</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七、代理机构及采购单位地址、联系人、联系电话</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（一）代理机构：禹州市政府采购中心</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w:t>
      </w:r>
      <w:r>
        <w:rPr>
          <w:rFonts w:hint="eastAsia" w:ascii="新宋体" w:hAnsi="新宋体" w:eastAsia="新宋体" w:cs="新宋体"/>
          <w:sz w:val="24"/>
          <w:szCs w:val="24"/>
        </w:rPr>
        <w:t>禹州市行政服务中心楼917房间</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联系人：艾先生  联系电话：0374-2077111</w:t>
      </w:r>
    </w:p>
    <w:p>
      <w:pPr>
        <w:widowControl/>
        <w:shd w:val="clear" w:color="auto" w:fill="FFFFFF"/>
        <w:spacing w:line="400" w:lineRule="exact"/>
        <w:ind w:left="481"/>
        <w:jc w:val="left"/>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（二）采购单位：</w:t>
      </w:r>
      <w:r>
        <w:rPr>
          <w:rFonts w:hint="eastAsia" w:ascii="新宋体" w:hAnsi="新宋体" w:eastAsia="新宋体" w:cs="新宋体"/>
          <w:sz w:val="24"/>
          <w:szCs w:val="24"/>
        </w:rPr>
        <w:t>禹州市文化广电和旅游局</w:t>
      </w:r>
    </w:p>
    <w:p>
      <w:pPr>
        <w:widowControl/>
        <w:shd w:val="clear" w:color="auto" w:fill="FFFFFF"/>
        <w:spacing w:line="400" w:lineRule="exact"/>
        <w:ind w:firstLine="720" w:firstLineChars="300"/>
        <w:jc w:val="left"/>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地址：禹州市</w:t>
      </w:r>
      <w:r>
        <w:rPr>
          <w:rFonts w:hint="eastAsia" w:ascii="新宋体" w:hAnsi="新宋体" w:eastAsia="新宋体" w:cs="新宋体"/>
          <w:color w:val="000000"/>
          <w:kern w:val="0"/>
          <w:sz w:val="24"/>
          <w:szCs w:val="24"/>
          <w:lang w:eastAsia="zh-CN"/>
        </w:rPr>
        <w:t>禹王大道东段</w:t>
      </w:r>
      <w:r>
        <w:rPr>
          <w:rFonts w:hint="eastAsia" w:ascii="新宋体" w:hAnsi="新宋体" w:eastAsia="新宋体" w:cs="新宋体"/>
          <w:color w:val="000000"/>
          <w:kern w:val="0"/>
          <w:sz w:val="24"/>
          <w:szCs w:val="24"/>
          <w:lang w:val="en-US" w:eastAsia="zh-CN"/>
        </w:rPr>
        <w:t>170号</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张</w:t>
      </w:r>
      <w:r>
        <w:rPr>
          <w:rFonts w:hint="eastAsia" w:ascii="新宋体" w:hAnsi="新宋体" w:eastAsia="新宋体" w:cs="新宋体"/>
          <w:color w:val="000000"/>
          <w:kern w:val="0"/>
          <w:sz w:val="24"/>
          <w:szCs w:val="24"/>
        </w:rPr>
        <w:t>先生   联系电话：</w:t>
      </w:r>
      <w:r>
        <w:rPr>
          <w:rFonts w:hint="eastAsia" w:ascii="新宋体" w:hAnsi="新宋体" w:eastAsia="新宋体" w:cs="新宋体"/>
          <w:color w:val="000000"/>
          <w:kern w:val="0"/>
          <w:sz w:val="24"/>
          <w:szCs w:val="24"/>
          <w:lang w:val="en-US" w:eastAsia="zh-CN"/>
        </w:rPr>
        <w:t>13837496222</w:t>
      </w:r>
    </w:p>
    <w:p>
      <w:pPr>
        <w:spacing w:line="400" w:lineRule="exact"/>
        <w:ind w:firstLine="4080" w:firstLineChars="1700"/>
        <w:rPr>
          <w:rFonts w:hint="eastAsia" w:ascii="新宋体" w:hAnsi="新宋体" w:eastAsia="新宋体" w:cs="新宋体"/>
          <w:sz w:val="24"/>
          <w:szCs w:val="24"/>
        </w:rPr>
      </w:pPr>
      <w:r>
        <w:rPr>
          <w:rFonts w:hint="eastAsia" w:ascii="新宋体" w:hAnsi="新宋体" w:eastAsia="新宋体" w:cs="新宋体"/>
          <w:sz w:val="24"/>
          <w:szCs w:val="24"/>
        </w:rPr>
        <w:t xml:space="preserve">   </w:t>
      </w:r>
    </w:p>
    <w:p>
      <w:pPr>
        <w:spacing w:line="400" w:lineRule="exact"/>
        <w:ind w:firstLine="5760" w:firstLineChars="2400"/>
        <w:rPr>
          <w:rFonts w:hint="eastAsia" w:ascii="新宋体" w:hAnsi="新宋体" w:eastAsia="新宋体" w:cs="新宋体"/>
          <w:b/>
          <w:sz w:val="24"/>
          <w:szCs w:val="24"/>
        </w:rPr>
      </w:pPr>
      <w:r>
        <w:rPr>
          <w:rFonts w:hint="eastAsia" w:ascii="新宋体" w:hAnsi="新宋体" w:eastAsia="新宋体" w:cs="新宋体"/>
          <w:sz w:val="24"/>
          <w:szCs w:val="24"/>
        </w:rPr>
        <w:t xml:space="preserve"> 2019年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月</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日</w:t>
      </w:r>
    </w:p>
    <w:p>
      <w:pPr>
        <w:spacing w:line="360" w:lineRule="auto"/>
        <w:rPr>
          <w:rFonts w:hint="eastAsia" w:ascii="新宋体" w:hAnsi="新宋体" w:eastAsia="新宋体" w:cs="新宋体"/>
          <w:b/>
          <w:sz w:val="24"/>
          <w:szCs w:val="24"/>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0"/>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6"/>
          <w:rFonts w:hAnsi="宋体"/>
          <w:sz w:val="24"/>
          <w:szCs w:val="24"/>
        </w:rPr>
        <w:t>http://221.14.6.70:8088/ggzy/</w:t>
      </w:r>
      <w:r>
        <w:rPr>
          <w:rStyle w:val="26"/>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6"/>
          <w:rFonts w:hAnsi="宋体"/>
          <w:sz w:val="24"/>
          <w:szCs w:val="24"/>
        </w:rPr>
        <w:t>http://221.14.6.70:8088/ggzy/</w:t>
      </w:r>
      <w:r>
        <w:rPr>
          <w:rStyle w:val="26"/>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6"/>
        </w:numPr>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27"/>
        <w:rPr>
          <w:rFonts w:hint="eastAsia"/>
        </w:rPr>
      </w:pPr>
    </w:p>
    <w:p>
      <w:pPr>
        <w:widowControl/>
        <w:numPr>
          <w:ilvl w:val="0"/>
          <w:numId w:val="7"/>
        </w:numPr>
        <w:shd w:val="clear" w:color="auto" w:fill="FFFFFF"/>
        <w:spacing w:line="360" w:lineRule="auto"/>
        <w:jc w:val="left"/>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rPr>
        <w:t>本项目需实现的功能或者目标</w:t>
      </w:r>
      <w:r>
        <w:rPr>
          <w:rFonts w:hint="eastAsia" w:ascii="新宋体" w:hAnsi="新宋体" w:eastAsia="新宋体" w:cs="新宋体"/>
          <w:b/>
          <w:bCs/>
          <w:color w:val="000000"/>
          <w:kern w:val="0"/>
          <w:sz w:val="24"/>
          <w:szCs w:val="24"/>
          <w:lang w:eastAsia="zh-CN"/>
        </w:rPr>
        <w:t>：</w:t>
      </w:r>
    </w:p>
    <w:p>
      <w:pPr>
        <w:pStyle w:val="2"/>
        <w:ind w:left="0" w:leftChars="0" w:firstLine="0" w:firstLineChars="0"/>
        <w:rPr>
          <w:rFonts w:hint="eastAsia" w:ascii="新宋体" w:hAnsi="新宋体" w:eastAsia="新宋体" w:cs="新宋体"/>
          <w:b w:val="0"/>
          <w:bCs w:val="0"/>
          <w:color w:val="000000"/>
          <w:kern w:val="0"/>
          <w:sz w:val="24"/>
          <w:szCs w:val="24"/>
          <w:lang w:val="en-US" w:eastAsia="zh-CN"/>
        </w:rPr>
      </w:pPr>
      <w:r>
        <w:rPr>
          <w:rFonts w:hint="eastAsia" w:ascii="新宋体" w:hAnsi="新宋体" w:eastAsia="新宋体" w:cs="新宋体"/>
          <w:b w:val="0"/>
          <w:bCs w:val="0"/>
          <w:color w:val="000000"/>
          <w:kern w:val="0"/>
          <w:sz w:val="24"/>
          <w:szCs w:val="24"/>
          <w:lang w:val="en-US" w:eastAsia="zh-CN"/>
        </w:rPr>
        <w:t xml:space="preserve"> 实现基层政务信息发布，自办节目和转播各级人民广播节目的文化宣传、提高政策宣传能力，丰富城乡文化生活、灾害事故预警信息的发布等。</w:t>
      </w:r>
    </w:p>
    <w:p>
      <w:pPr>
        <w:pStyle w:val="2"/>
        <w:ind w:left="0" w:leftChars="0" w:firstLine="0" w:firstLineChars="0"/>
        <w:rPr>
          <w:rFonts w:hint="default" w:ascii="新宋体" w:hAnsi="新宋体" w:eastAsia="新宋体" w:cs="新宋体"/>
          <w:b/>
          <w:bCs/>
          <w:color w:val="000000"/>
          <w:kern w:val="0"/>
          <w:sz w:val="24"/>
          <w:szCs w:val="24"/>
          <w:lang w:val="en-US" w:eastAsia="zh-CN"/>
        </w:rPr>
      </w:pPr>
      <w:r>
        <w:rPr>
          <w:rFonts w:hint="eastAsia" w:ascii="新宋体" w:hAnsi="新宋体" w:eastAsia="新宋体" w:cs="新宋体"/>
          <w:b/>
          <w:bCs/>
          <w:color w:val="000000"/>
          <w:kern w:val="0"/>
          <w:sz w:val="24"/>
          <w:szCs w:val="24"/>
          <w:lang w:val="en-US" w:eastAsia="zh-CN"/>
        </w:rPr>
        <w:t>（二）采购清单：</w:t>
      </w:r>
    </w:p>
    <w:tbl>
      <w:tblPr>
        <w:tblStyle w:val="21"/>
        <w:tblW w:w="10260" w:type="dxa"/>
        <w:tblInd w:w="-900" w:type="dxa"/>
        <w:tblLayout w:type="fixed"/>
        <w:tblCellMar>
          <w:top w:w="0" w:type="dxa"/>
          <w:left w:w="108" w:type="dxa"/>
          <w:bottom w:w="0" w:type="dxa"/>
          <w:right w:w="108" w:type="dxa"/>
        </w:tblCellMar>
      </w:tblPr>
      <w:tblGrid>
        <w:gridCol w:w="489"/>
        <w:gridCol w:w="1135"/>
        <w:gridCol w:w="6889"/>
        <w:gridCol w:w="310"/>
        <w:gridCol w:w="730"/>
        <w:gridCol w:w="707"/>
      </w:tblGrid>
      <w:tr>
        <w:tblPrEx>
          <w:tblLayout w:type="fixed"/>
          <w:tblCellMar>
            <w:top w:w="0" w:type="dxa"/>
            <w:left w:w="108" w:type="dxa"/>
            <w:bottom w:w="0" w:type="dxa"/>
            <w:right w:w="108" w:type="dxa"/>
          </w:tblCellMar>
        </w:tblPrEx>
        <w:trPr>
          <w:trHeight w:val="301" w:hRule="atLeast"/>
        </w:trPr>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kern w:val="0"/>
                <w:sz w:val="24"/>
                <w:szCs w:val="24"/>
                <w:lang w:bidi="ar"/>
              </w:rPr>
              <w:t>序号</w:t>
            </w: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kern w:val="0"/>
                <w:sz w:val="24"/>
                <w:szCs w:val="24"/>
                <w:lang w:bidi="ar"/>
              </w:rPr>
              <w:t>设备名称</w:t>
            </w:r>
          </w:p>
        </w:tc>
        <w:tc>
          <w:tcPr>
            <w:tcW w:w="68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kern w:val="0"/>
                <w:sz w:val="24"/>
                <w:szCs w:val="24"/>
                <w:lang w:bidi="ar"/>
              </w:rPr>
              <w:t>设备参数</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kern w:val="0"/>
                <w:sz w:val="24"/>
                <w:szCs w:val="24"/>
                <w:lang w:bidi="ar"/>
              </w:rPr>
              <w:t>单位</w:t>
            </w:r>
          </w:p>
        </w:tc>
        <w:tc>
          <w:tcPr>
            <w:tcW w:w="7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kern w:val="0"/>
                <w:sz w:val="24"/>
                <w:szCs w:val="24"/>
                <w:lang w:bidi="ar"/>
              </w:rPr>
              <w:t>数量</w:t>
            </w: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是否</w:t>
            </w:r>
          </w:p>
          <w:p>
            <w:pPr>
              <w:widowControl/>
              <w:jc w:val="left"/>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核心</w:t>
            </w:r>
          </w:p>
          <w:p>
            <w:pPr>
              <w:widowControl/>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kern w:val="0"/>
                <w:sz w:val="24"/>
                <w:szCs w:val="24"/>
                <w:lang w:bidi="ar"/>
              </w:rPr>
              <w:t>产品</w:t>
            </w:r>
          </w:p>
        </w:tc>
      </w:tr>
      <w:tr>
        <w:tblPrEx>
          <w:tblLayout w:type="fixed"/>
          <w:tblCellMar>
            <w:top w:w="0" w:type="dxa"/>
            <w:left w:w="108" w:type="dxa"/>
            <w:bottom w:w="0" w:type="dxa"/>
            <w:right w:w="108" w:type="dxa"/>
          </w:tblCellMar>
        </w:tblPrEx>
        <w:trPr>
          <w:trHeight w:val="301" w:hRule="atLeast"/>
        </w:trPr>
        <w:tc>
          <w:tcPr>
            <w:tcW w:w="1026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新宋体" w:hAnsi="新宋体" w:eastAsia="新宋体" w:cs="新宋体"/>
                <w:b/>
                <w:bCs/>
                <w:color w:val="000000"/>
                <w:sz w:val="24"/>
                <w:szCs w:val="24"/>
              </w:rPr>
            </w:pPr>
            <w:r>
              <w:rPr>
                <w:rFonts w:hint="eastAsia" w:ascii="新宋体" w:hAnsi="新宋体" w:eastAsia="新宋体" w:cs="新宋体"/>
                <w:b/>
                <w:color w:val="000000"/>
                <w:kern w:val="0"/>
                <w:sz w:val="24"/>
                <w:szCs w:val="24"/>
              </w:rPr>
              <w:t>一、市级平台</w:t>
            </w:r>
          </w:p>
        </w:tc>
      </w:tr>
      <w:tr>
        <w:tblPrEx>
          <w:tblLayout w:type="fixed"/>
          <w:tblCellMar>
            <w:top w:w="0" w:type="dxa"/>
            <w:left w:w="108" w:type="dxa"/>
            <w:bottom w:w="0" w:type="dxa"/>
            <w:right w:w="108" w:type="dxa"/>
          </w:tblCellMar>
        </w:tblPrEx>
        <w:trPr>
          <w:trHeight w:val="259" w:hRule="atLeast"/>
        </w:trPr>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kern w:val="0"/>
                <w:sz w:val="24"/>
                <w:szCs w:val="24"/>
                <w:lang w:bidi="ar"/>
              </w:rPr>
              <w:t>1</w:t>
            </w: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color w:val="000000"/>
                <w:kern w:val="0"/>
                <w:sz w:val="24"/>
                <w:szCs w:val="24"/>
              </w:rPr>
              <w:t>广播系统服务器</w:t>
            </w:r>
          </w:p>
        </w:tc>
        <w:tc>
          <w:tcPr>
            <w:tcW w:w="68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rPr>
                <w:rFonts w:hint="eastAsia" w:ascii="新宋体" w:hAnsi="新宋体" w:eastAsia="新宋体" w:cs="新宋体"/>
                <w:sz w:val="24"/>
                <w:szCs w:val="24"/>
              </w:rPr>
            </w:pPr>
            <w:r>
              <w:rPr>
                <w:rFonts w:hint="eastAsia" w:ascii="新宋体" w:hAnsi="新宋体" w:eastAsia="新宋体" w:cs="新宋体"/>
                <w:sz w:val="24"/>
                <w:szCs w:val="24"/>
              </w:rPr>
              <w:t>1.应用范围：应用服务器；</w:t>
            </w:r>
          </w:p>
          <w:p>
            <w:pPr>
              <w:jc w:val="left"/>
              <w:rPr>
                <w:rFonts w:hint="eastAsia" w:ascii="新宋体" w:hAnsi="新宋体" w:eastAsia="新宋体" w:cs="新宋体"/>
                <w:sz w:val="24"/>
                <w:szCs w:val="24"/>
              </w:rPr>
            </w:pPr>
            <w:r>
              <w:rPr>
                <w:rFonts w:hint="eastAsia" w:ascii="新宋体" w:hAnsi="新宋体" w:eastAsia="新宋体" w:cs="新宋体"/>
                <w:sz w:val="24"/>
                <w:szCs w:val="24"/>
              </w:rPr>
              <w:t>2.服务器外观2U机架式，并提供机架安装套件；</w:t>
            </w:r>
          </w:p>
          <w:p>
            <w:pPr>
              <w:widowControl/>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3.处理器：Intel Xeon E5-2603 v4 6C 1.70GHz 15MB 6.40GT 85W； </w:t>
            </w:r>
          </w:p>
          <w:p>
            <w:pPr>
              <w:widowControl/>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4.内存配置：实配16GB </w:t>
            </w:r>
            <w:r>
              <w:rPr>
                <w:rFonts w:hint="eastAsia" w:ascii="新宋体" w:hAnsi="新宋体" w:eastAsia="新宋体" w:cs="新宋体"/>
                <w:color w:val="000000"/>
                <w:sz w:val="24"/>
                <w:szCs w:val="24"/>
              </w:rPr>
              <w:t>DDR4 ECC REG RDIMM，</w:t>
            </w:r>
            <w:r>
              <w:rPr>
                <w:rFonts w:hint="eastAsia" w:ascii="新宋体" w:hAnsi="新宋体" w:eastAsia="新宋体" w:cs="新宋体"/>
                <w:sz w:val="24"/>
                <w:szCs w:val="24"/>
              </w:rPr>
              <w:t>配置≥16个内存插槽，支持内存热备用、四路交叉存取、内存镜像；</w:t>
            </w:r>
          </w:p>
          <w:p>
            <w:pPr>
              <w:widowControl/>
              <w:jc w:val="left"/>
              <w:rPr>
                <w:rFonts w:hint="eastAsia" w:ascii="新宋体" w:hAnsi="新宋体" w:eastAsia="新宋体" w:cs="新宋体"/>
                <w:sz w:val="24"/>
                <w:szCs w:val="24"/>
              </w:rPr>
            </w:pPr>
            <w:r>
              <w:rPr>
                <w:rFonts w:hint="eastAsia" w:ascii="新宋体" w:hAnsi="新宋体" w:eastAsia="新宋体" w:cs="新宋体"/>
                <w:sz w:val="24"/>
                <w:szCs w:val="24"/>
              </w:rPr>
              <w:t>5.硬盘配置：2块2.5" 240G 3D-NAND SSD 6Gb SATA硬盘；标配8盘位（满配盘盒），可选两个后置硬盘位；</w:t>
            </w:r>
          </w:p>
          <w:p>
            <w:pPr>
              <w:jc w:val="left"/>
              <w:rPr>
                <w:rFonts w:hint="eastAsia" w:ascii="新宋体" w:hAnsi="新宋体" w:eastAsia="新宋体" w:cs="新宋体"/>
                <w:sz w:val="24"/>
                <w:szCs w:val="24"/>
              </w:rPr>
            </w:pPr>
            <w:r>
              <w:rPr>
                <w:rFonts w:hint="eastAsia" w:ascii="新宋体" w:hAnsi="新宋体" w:eastAsia="新宋体" w:cs="新宋体"/>
                <w:sz w:val="24"/>
                <w:szCs w:val="24"/>
              </w:rPr>
              <w:t>6. RAID卡：八通道12G 3008芯片，做RAID1;</w:t>
            </w:r>
          </w:p>
          <w:p>
            <w:pPr>
              <w:jc w:val="left"/>
              <w:rPr>
                <w:rFonts w:hint="eastAsia" w:ascii="新宋体" w:hAnsi="新宋体" w:eastAsia="新宋体" w:cs="新宋体"/>
                <w:sz w:val="24"/>
                <w:szCs w:val="24"/>
              </w:rPr>
            </w:pPr>
            <w:r>
              <w:rPr>
                <w:rFonts w:hint="eastAsia" w:ascii="新宋体" w:hAnsi="新宋体" w:eastAsia="新宋体" w:cs="新宋体"/>
                <w:sz w:val="24"/>
                <w:szCs w:val="24"/>
              </w:rPr>
              <w:t>7.以太网卡端口：4个千兆电口以太网卡，独立IPMI管理接口</w:t>
            </w:r>
          </w:p>
          <w:p>
            <w:pPr>
              <w:jc w:val="left"/>
              <w:rPr>
                <w:rFonts w:hint="eastAsia" w:ascii="新宋体" w:hAnsi="新宋体" w:eastAsia="新宋体" w:cs="新宋体"/>
                <w:sz w:val="24"/>
                <w:szCs w:val="24"/>
              </w:rPr>
            </w:pPr>
            <w:r>
              <w:rPr>
                <w:rFonts w:hint="eastAsia" w:ascii="新宋体" w:hAnsi="新宋体" w:eastAsia="新宋体" w:cs="新宋体"/>
                <w:sz w:val="24"/>
                <w:szCs w:val="24"/>
              </w:rPr>
              <w:t>8.PCI-e插槽配置：≥7个 PCI-E 全速插槽；</w:t>
            </w:r>
          </w:p>
          <w:p>
            <w:pPr>
              <w:jc w:val="left"/>
              <w:rPr>
                <w:rFonts w:hint="eastAsia" w:ascii="新宋体" w:hAnsi="新宋体" w:eastAsia="新宋体" w:cs="新宋体"/>
                <w:sz w:val="24"/>
                <w:szCs w:val="24"/>
              </w:rPr>
            </w:pPr>
            <w:r>
              <w:rPr>
                <w:rFonts w:hint="eastAsia" w:ascii="新宋体" w:hAnsi="新宋体" w:eastAsia="新宋体" w:cs="新宋体"/>
                <w:sz w:val="24"/>
                <w:szCs w:val="24"/>
              </w:rPr>
              <w:t>9. 电源配置：</w:t>
            </w:r>
            <w:r>
              <w:rPr>
                <w:rFonts w:hint="eastAsia" w:ascii="新宋体" w:hAnsi="新宋体" w:eastAsia="新宋体" w:cs="新宋体"/>
                <w:color w:val="000000"/>
                <w:sz w:val="24"/>
                <w:szCs w:val="24"/>
              </w:rPr>
              <w:t>高效能节能≥550W 白金电源， PMBUS1.2支持、IPMI电源状态报警、FRU信息监控、电源功耗封顶技术、电源主备和双活切换功能、高压直流和交流切换功能；</w:t>
            </w:r>
          </w:p>
          <w:p>
            <w:pPr>
              <w:rPr>
                <w:rFonts w:hint="eastAsia" w:ascii="新宋体" w:hAnsi="新宋体" w:eastAsia="新宋体" w:cs="新宋体"/>
                <w:sz w:val="24"/>
                <w:szCs w:val="24"/>
              </w:rPr>
            </w:pPr>
            <w:r>
              <w:rPr>
                <w:rFonts w:hint="eastAsia" w:ascii="新宋体" w:hAnsi="新宋体" w:eastAsia="新宋体" w:cs="新宋体"/>
                <w:sz w:val="24"/>
                <w:szCs w:val="24"/>
              </w:rPr>
              <w:t>10.管理配置：提供本地管理功能，具有本地机器状态显示功能，可实现独立于操作系统的远程操作，包括远程的开机、关机、重启、监控CPU，电源状态，温度等；</w:t>
            </w:r>
          </w:p>
          <w:p>
            <w:pPr>
              <w:rPr>
                <w:rFonts w:hint="eastAsia" w:ascii="新宋体" w:hAnsi="新宋体" w:eastAsia="新宋体" w:cs="新宋体"/>
                <w:sz w:val="24"/>
                <w:szCs w:val="24"/>
              </w:rPr>
            </w:pPr>
            <w:r>
              <w:rPr>
                <w:rFonts w:hint="eastAsia" w:ascii="新宋体" w:hAnsi="新宋体" w:eastAsia="新宋体" w:cs="新宋体"/>
                <w:sz w:val="24"/>
                <w:szCs w:val="24"/>
              </w:rPr>
              <w:t>11.基础设施管理软件管理控制台将数据中心中所有元素纳入同一管理台中，提供一个界面进行管理。物理机远程自动部署服务；包括对温度，风扇，内存，CPU等的重要参数实时精细化监控；提供全面的报警日志处理服务并可以自定义报警策略；</w:t>
            </w:r>
          </w:p>
          <w:p>
            <w:pPr>
              <w:rPr>
                <w:rFonts w:hint="eastAsia" w:ascii="新宋体" w:hAnsi="新宋体" w:eastAsia="新宋体" w:cs="新宋体"/>
                <w:sz w:val="24"/>
                <w:szCs w:val="24"/>
              </w:rPr>
            </w:pPr>
            <w:r>
              <w:rPr>
                <w:rFonts w:hint="eastAsia" w:ascii="新宋体" w:hAnsi="新宋体" w:eastAsia="新宋体" w:cs="新宋体"/>
                <w:sz w:val="24"/>
                <w:szCs w:val="24"/>
              </w:rPr>
              <w:t>12.数据保护：支持异构存储镜像的读写（Read/Write sequence &amp; parallel）；支持快照在生产中心发起，自动传递到后期容灾中心的DSP中，使两端快照点数据一致；数据库模块服务：支持跨平台数据库；含跨平台数据库比对模块授权，提供数据库诊断服务，需定期出具跨平台数据库运维状态分析报告；通过可视化剖析关键的数据库度量指标、关联资源的使用到特定的查询语句，以及帮助可视化调优复杂的SQL语句；</w:t>
            </w:r>
          </w:p>
          <w:p>
            <w:pPr>
              <w:rPr>
                <w:rFonts w:hint="eastAsia" w:ascii="新宋体" w:hAnsi="新宋体" w:eastAsia="新宋体" w:cs="新宋体"/>
                <w:sz w:val="24"/>
                <w:szCs w:val="24"/>
              </w:rPr>
            </w:pPr>
            <w:r>
              <w:rPr>
                <w:rFonts w:hint="eastAsia" w:ascii="新宋体" w:hAnsi="新宋体" w:eastAsia="新宋体" w:cs="新宋体"/>
                <w:sz w:val="24"/>
                <w:szCs w:val="24"/>
              </w:rPr>
              <w:t>13.云管理软件：支持虚拟化系统管理（如vShpere、XenServer、KVM等）、虚拟机全生命周期管理、虚拟机使用的虚拟硬盘资源管理，精简部署，模板和镜像管理，弹性块存储，高可用，虚拟机动态迁移，数据备份和恢复，周期性快照， 主机配置文件，高级网络管理，多租户隔离，VLAN隔离，安全组隔离，专用客户网段，虚拟路由器，集成防火墙，集成负载平衡.</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台</w:t>
            </w:r>
          </w:p>
        </w:tc>
        <w:tc>
          <w:tcPr>
            <w:tcW w:w="7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w:t>
            </w: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否</w:t>
            </w:r>
          </w:p>
        </w:tc>
      </w:tr>
      <w:tr>
        <w:tblPrEx>
          <w:tblLayout w:type="fixed"/>
          <w:tblCellMar>
            <w:top w:w="0" w:type="dxa"/>
            <w:left w:w="108" w:type="dxa"/>
            <w:bottom w:w="0" w:type="dxa"/>
            <w:right w:w="108" w:type="dxa"/>
          </w:tblCellMar>
        </w:tblPrEx>
        <w:trPr>
          <w:trHeight w:val="4801" w:hRule="atLeast"/>
        </w:trPr>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kern w:val="0"/>
                <w:sz w:val="24"/>
                <w:szCs w:val="24"/>
                <w:lang w:bidi="ar"/>
              </w:rPr>
              <w:t>2</w:t>
            </w: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color w:val="000000"/>
                <w:kern w:val="0"/>
                <w:sz w:val="24"/>
                <w:szCs w:val="24"/>
              </w:rPr>
              <w:t>分布式IP广播通信服务系统</w:t>
            </w:r>
          </w:p>
        </w:tc>
        <w:tc>
          <w:tcPr>
            <w:tcW w:w="68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8" w:lineRule="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一、产品特点：</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1、系统采用分布式设计，可以根据不同广播工程项目情况部署一台或多台服务器。</w:t>
            </w:r>
            <w:r>
              <w:rPr>
                <w:rFonts w:hint="eastAsia" w:ascii="新宋体" w:hAnsi="新宋体" w:eastAsia="新宋体" w:cs="新宋体"/>
                <w:color w:val="000000"/>
                <w:kern w:val="0"/>
                <w:sz w:val="24"/>
                <w:szCs w:val="24"/>
              </w:rPr>
              <w:br w:type="textWrapping"/>
            </w:r>
            <w:r>
              <w:rPr>
                <w:rFonts w:hint="eastAsia" w:ascii="新宋体" w:hAnsi="新宋体" w:eastAsia="新宋体" w:cs="新宋体"/>
                <w:sz w:val="24"/>
                <w:szCs w:val="24"/>
              </w:rPr>
              <w:t>★</w:t>
            </w:r>
            <w:r>
              <w:rPr>
                <w:rFonts w:hint="eastAsia" w:ascii="新宋体" w:hAnsi="新宋体" w:eastAsia="新宋体" w:cs="新宋体"/>
                <w:color w:val="000000"/>
                <w:kern w:val="0"/>
                <w:sz w:val="24"/>
                <w:szCs w:val="24"/>
              </w:rPr>
              <w:t>2、系统采用B/S构架，适用于局域网和广域网，采用WEB浏览器。</w:t>
            </w:r>
            <w:r>
              <w:rPr>
                <w:rFonts w:hint="eastAsia" w:ascii="新宋体" w:hAnsi="新宋体" w:eastAsia="新宋体" w:cs="新宋体"/>
                <w:color w:val="000000"/>
                <w:kern w:val="0"/>
                <w:sz w:val="24"/>
                <w:szCs w:val="24"/>
              </w:rPr>
              <w:br w:type="textWrapping"/>
            </w:r>
            <w:r>
              <w:rPr>
                <w:rFonts w:hint="eastAsia" w:ascii="新宋体" w:hAnsi="新宋体" w:eastAsia="新宋体" w:cs="新宋体"/>
                <w:sz w:val="24"/>
                <w:szCs w:val="24"/>
              </w:rPr>
              <w:t>★</w:t>
            </w:r>
            <w:r>
              <w:rPr>
                <w:rFonts w:hint="eastAsia" w:ascii="新宋体" w:hAnsi="新宋体" w:eastAsia="新宋体" w:cs="新宋体"/>
                <w:color w:val="000000"/>
                <w:kern w:val="0"/>
                <w:sz w:val="24"/>
                <w:szCs w:val="24"/>
              </w:rPr>
              <w:t>3、系统服务器采用Linux多用户网络操作系统，更加安全、稳定、高效。</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4、支持Windows的MP3/AAC音频等格式。</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二、功能要求</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1、控制及管理功能</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 xml:space="preserve">（1）综合管理：通过有线IP或3G/4G等网络实现系统内设备的监测和管理，支持资源统计及性能分析，支持系统随操作系统启动，支持设备的逻辑地址和安装地址，支持多种浏览器访问；可实现对任意播放点跨逻辑网段的播放。 </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及时应急广播：可根据应急实际需求预先设置应急广播音源和区域，需要时，按下应急广播按钮并确认后，相对应的音源及广播区域自动唤醒，同时广播终端设备音量状态自动切换为最大。同时，支持文字信息应急广播。</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3）单点和分区控制：支持对任意单点、分组广播终端的广播，可将不同的广播终端划分到多个不同的分区，并且可以按照所辖区域的不同需求作为音频分区的标准，让各个分区可以单独灵活控制，使每个分区可分别播放不同的音乐和广播。</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4）流程定时广播：根据实际需求，可按不同时段自动启动本地广播，实现无人值守；并可以设置不同的播放任务，保证每个播放任务能独立选择音源、广播区域、广播音量等，且各广播任务间的设置互不干扰。</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（5）区域管理：不同用户权限登陆系统平台后可以管理所辖区域的广播设备，并支持临时区域广播设备的绑定。</w:t>
            </w:r>
            <w:r>
              <w:rPr>
                <w:rFonts w:hint="eastAsia" w:ascii="新宋体" w:hAnsi="新宋体" w:eastAsia="新宋体" w:cs="新宋体"/>
                <w:color w:val="000000"/>
                <w:kern w:val="0"/>
                <w:sz w:val="24"/>
                <w:szCs w:val="24"/>
              </w:rPr>
              <w:br w:type="textWrapping"/>
            </w:r>
            <w:r>
              <w:rPr>
                <w:rFonts w:hint="eastAsia" w:ascii="新宋体" w:hAnsi="新宋体" w:eastAsia="新宋体" w:cs="新宋体"/>
                <w:sz w:val="24"/>
                <w:szCs w:val="24"/>
              </w:rPr>
              <w:t>★</w:t>
            </w:r>
            <w:r>
              <w:rPr>
                <w:rFonts w:hint="eastAsia" w:ascii="新宋体" w:hAnsi="新宋体" w:eastAsia="新宋体" w:cs="新宋体"/>
                <w:color w:val="000000"/>
                <w:kern w:val="0"/>
                <w:sz w:val="24"/>
                <w:szCs w:val="24"/>
              </w:rPr>
              <w:t>（6）GIS地图监管：系统能够直观地显示各广播终端所在的地理位置和设备工作状态的在线信息，能够快速精准查询定位广播终端位置及工作状态。</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7）播发控制指令生成发送：能够按照确定的封装协议和数据格式，按需形成日常广播消息指令，并根据需要发送至数字电视前端，随同播出节目一起发送至各个广播终端，以用于远程激活和控制广播终端进行节目播出。</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（8）广播通道管理：可对输入的电台节目源以及自办节目源进行播出管理。</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（9）TS流资源管理：可根据带宽使用情况对PID（包识别码）、频率等资源进行动态调度分配。</w:t>
            </w:r>
            <w:r>
              <w:rPr>
                <w:rFonts w:hint="eastAsia" w:ascii="新宋体" w:hAnsi="新宋体" w:eastAsia="新宋体" w:cs="新宋体"/>
                <w:color w:val="000000"/>
                <w:kern w:val="0"/>
                <w:sz w:val="24"/>
                <w:szCs w:val="24"/>
              </w:rPr>
              <w:br w:type="textWrapping"/>
            </w:r>
            <w:r>
              <w:rPr>
                <w:rFonts w:hint="eastAsia" w:ascii="新宋体" w:hAnsi="新宋体" w:eastAsia="新宋体" w:cs="新宋体"/>
                <w:sz w:val="24"/>
                <w:szCs w:val="24"/>
              </w:rPr>
              <w:t>★</w:t>
            </w:r>
            <w:r>
              <w:rPr>
                <w:rFonts w:hint="eastAsia" w:ascii="新宋体" w:hAnsi="新宋体" w:eastAsia="新宋体" w:cs="新宋体"/>
                <w:color w:val="000000"/>
                <w:kern w:val="0"/>
                <w:sz w:val="24"/>
                <w:szCs w:val="24"/>
              </w:rPr>
              <w:t>（10）远程监测与查询：能对整个系统实现远程监测与查询，通过返回信道可以实时监测到任意一个广播终端的连通（开关机状态）、音量大小及应急信息发布状态等情况,可以按照行政区域划分、在线状态分类来查询广播终端的工作状态。</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2、播出功能：</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（1）节目直播：可通过IP话筒、模拟话筒、电话、短信转语音实现现场直播。</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（2）实时广播：包括实时文件播放与实时采播。实时文件播放直接使用客户机上音频文件进行广播，适用于紧急广播、临时广播等；实时采播可以用于节目转播、办公室讲话等。</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（3）TTS短信转语音广播：系统支持电脑和手机TTS短信转语音的功能，并播放出去，以满足紧急电子文件语音应急播报需要。</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（4）应急电话插播：支持固定电话和移动电话的接入（需要对来电号码进行授权认证，以防非法电话广播），实现电话远程应急插播，同时，具备电话应急广播查询、记录电话插播号码和应急广播录音等功能。</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3、其它功能</w:t>
            </w:r>
            <w:r>
              <w:rPr>
                <w:rFonts w:hint="eastAsia" w:ascii="新宋体" w:hAnsi="新宋体" w:eastAsia="新宋体" w:cs="新宋体"/>
                <w:color w:val="000000"/>
                <w:kern w:val="0"/>
                <w:sz w:val="24"/>
                <w:szCs w:val="24"/>
              </w:rPr>
              <w:br w:type="textWrapping"/>
            </w:r>
            <w:r>
              <w:rPr>
                <w:rFonts w:hint="eastAsia" w:ascii="新宋体" w:hAnsi="新宋体" w:eastAsia="新宋体" w:cs="新宋体"/>
                <w:sz w:val="24"/>
                <w:szCs w:val="24"/>
              </w:rPr>
              <w:t>★</w:t>
            </w:r>
            <w:r>
              <w:rPr>
                <w:rFonts w:hint="eastAsia" w:ascii="新宋体" w:hAnsi="新宋体" w:eastAsia="新宋体" w:cs="新宋体"/>
                <w:color w:val="000000"/>
                <w:kern w:val="0"/>
                <w:sz w:val="24"/>
                <w:szCs w:val="24"/>
              </w:rPr>
              <w:t>（1）安全播出：系统通过采取控制操作权限、设置黑白名单、应用认证加密、数字签名和增加U盾等信息安全技术措施，提高系统了抗干扰、防盗播、防错播能力，可有效屏蔽非法信号的插播和侵入，确保系统安全播发。</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（2）多种信源接入方式：播出信源支持本地话筒、音频实时TS流、电话语音接入、FM/AM广播、DVD播放、本地预存文件、文字文本、短信文本和视频等接入方式。</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（3）系统多路并发:系统平台具备电话插播、短信插播多路并发功能，支持多路应急插播，满足实际应用当中应急广播调度功能。</w:t>
            </w:r>
            <w:r>
              <w:rPr>
                <w:rFonts w:hint="eastAsia" w:ascii="新宋体" w:hAnsi="新宋体" w:eastAsia="新宋体" w:cs="新宋体"/>
                <w:color w:val="000000"/>
                <w:kern w:val="0"/>
                <w:sz w:val="24"/>
                <w:szCs w:val="24"/>
              </w:rPr>
              <w:br w:type="textWrapping"/>
            </w:r>
            <w:r>
              <w:rPr>
                <w:rFonts w:hint="eastAsia" w:ascii="新宋体" w:hAnsi="新宋体" w:eastAsia="新宋体" w:cs="新宋体"/>
                <w:bCs/>
                <w:sz w:val="24"/>
                <w:szCs w:val="24"/>
              </w:rPr>
              <w:t xml:space="preserve">三、运行环境   </w:t>
            </w:r>
          </w:p>
          <w:p>
            <w:pPr>
              <w:spacing w:line="288" w:lineRule="auto"/>
              <w:rPr>
                <w:rFonts w:hint="eastAsia" w:ascii="新宋体" w:hAnsi="新宋体" w:eastAsia="新宋体" w:cs="新宋体"/>
                <w:bCs/>
                <w:sz w:val="24"/>
                <w:szCs w:val="24"/>
              </w:rPr>
            </w:pPr>
            <w:r>
              <w:rPr>
                <w:rFonts w:hint="eastAsia" w:ascii="新宋体" w:hAnsi="新宋体" w:eastAsia="新宋体" w:cs="新宋体"/>
                <w:bCs/>
                <w:sz w:val="24"/>
                <w:szCs w:val="24"/>
              </w:rPr>
              <w:t>1、硬件环境：内存4 GB以上，硬盘80 GB以上，CPU主频 2.0 GHz以上；</w:t>
            </w:r>
          </w:p>
          <w:p>
            <w:pPr>
              <w:pStyle w:val="20"/>
              <w:ind w:firstLine="0" w:firstLineChars="0"/>
              <w:rPr>
                <w:rFonts w:hint="eastAsia" w:ascii="新宋体" w:hAnsi="新宋体" w:eastAsia="新宋体" w:cs="新宋体"/>
                <w:kern w:val="2"/>
                <w:sz w:val="24"/>
                <w:szCs w:val="24"/>
                <w:lang w:val="en-US" w:eastAsia="zh-CN"/>
              </w:rPr>
            </w:pPr>
            <w:r>
              <w:rPr>
                <w:rFonts w:hint="eastAsia" w:ascii="新宋体" w:hAnsi="新宋体" w:eastAsia="新宋体" w:cs="新宋体"/>
                <w:sz w:val="24"/>
                <w:szCs w:val="24"/>
                <w:lang w:val="en-US" w:eastAsia="zh-CN"/>
              </w:rPr>
              <w:t>★</w:t>
            </w:r>
            <w:r>
              <w:rPr>
                <w:rFonts w:hint="eastAsia" w:ascii="新宋体" w:hAnsi="新宋体" w:eastAsia="新宋体" w:cs="新宋体"/>
                <w:bCs/>
                <w:sz w:val="24"/>
                <w:szCs w:val="24"/>
                <w:lang w:val="en-US" w:eastAsia="zh-CN"/>
              </w:rPr>
              <w:t>2、操作系统：CentOS6.5。</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套</w:t>
            </w:r>
          </w:p>
        </w:tc>
        <w:tc>
          <w:tcPr>
            <w:tcW w:w="7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w:t>
            </w: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是</w:t>
            </w:r>
          </w:p>
        </w:tc>
      </w:tr>
      <w:tr>
        <w:tblPrEx>
          <w:tblLayout w:type="fixed"/>
          <w:tblCellMar>
            <w:top w:w="0" w:type="dxa"/>
            <w:left w:w="108" w:type="dxa"/>
            <w:bottom w:w="0" w:type="dxa"/>
            <w:right w:w="108" w:type="dxa"/>
          </w:tblCellMar>
        </w:tblPrEx>
        <w:trPr>
          <w:trHeight w:val="90" w:hRule="atLeast"/>
        </w:trPr>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kern w:val="0"/>
                <w:sz w:val="24"/>
                <w:szCs w:val="24"/>
                <w:lang w:bidi="ar"/>
              </w:rPr>
              <w:t>3</w:t>
            </w: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加密狗</w:t>
            </w:r>
          </w:p>
        </w:tc>
        <w:tc>
          <w:tcPr>
            <w:tcW w:w="68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sz w:val="24"/>
                <w:szCs w:val="24"/>
                <w:lang w:bidi="ar"/>
              </w:rPr>
              <w:t>与分布式IP广播系统配套使用，保证系统安全。</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套</w:t>
            </w:r>
          </w:p>
        </w:tc>
        <w:tc>
          <w:tcPr>
            <w:tcW w:w="7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w:t>
            </w: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否</w:t>
            </w:r>
          </w:p>
        </w:tc>
      </w:tr>
      <w:tr>
        <w:tblPrEx>
          <w:tblLayout w:type="fixed"/>
          <w:tblCellMar>
            <w:top w:w="0" w:type="dxa"/>
            <w:left w:w="108" w:type="dxa"/>
            <w:bottom w:w="0" w:type="dxa"/>
            <w:right w:w="108" w:type="dxa"/>
          </w:tblCellMar>
        </w:tblPrEx>
        <w:trPr>
          <w:trHeight w:val="491" w:hRule="atLeast"/>
        </w:trPr>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kern w:val="0"/>
                <w:sz w:val="24"/>
                <w:szCs w:val="24"/>
                <w:lang w:bidi="ar"/>
              </w:rPr>
              <w:t>4</w:t>
            </w: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color w:val="000000"/>
                <w:kern w:val="0"/>
                <w:sz w:val="24"/>
                <w:szCs w:val="24"/>
              </w:rPr>
              <w:t>路由器</w:t>
            </w:r>
          </w:p>
        </w:tc>
        <w:tc>
          <w:tcPr>
            <w:tcW w:w="68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88" w:lineRule="auto"/>
              <w:rPr>
                <w:rFonts w:hint="eastAsia" w:ascii="新宋体" w:hAnsi="新宋体" w:eastAsia="新宋体" w:cs="新宋体"/>
                <w:sz w:val="24"/>
                <w:szCs w:val="24"/>
              </w:rPr>
            </w:pPr>
            <w:r>
              <w:rPr>
                <w:rFonts w:hint="eastAsia" w:ascii="新宋体" w:hAnsi="新宋体" w:eastAsia="新宋体" w:cs="新宋体"/>
                <w:sz w:val="24"/>
                <w:szCs w:val="24"/>
              </w:rPr>
              <w:t>1、传输速率：10/100/1000Mbps</w:t>
            </w:r>
          </w:p>
          <w:p>
            <w:pPr>
              <w:spacing w:line="288" w:lineRule="auto"/>
              <w:rPr>
                <w:rFonts w:hint="eastAsia" w:ascii="新宋体" w:hAnsi="新宋体" w:eastAsia="新宋体" w:cs="新宋体"/>
                <w:sz w:val="24"/>
                <w:szCs w:val="24"/>
              </w:rPr>
            </w:pPr>
            <w:r>
              <w:rPr>
                <w:rFonts w:hint="eastAsia" w:ascii="新宋体" w:hAnsi="新宋体" w:eastAsia="新宋体" w:cs="新宋体"/>
                <w:sz w:val="24"/>
                <w:szCs w:val="24"/>
              </w:rPr>
              <w:t>2、Qos支持：支持</w:t>
            </w:r>
          </w:p>
          <w:p>
            <w:pPr>
              <w:spacing w:line="288" w:lineRule="auto"/>
              <w:rPr>
                <w:rFonts w:hint="eastAsia" w:ascii="新宋体" w:hAnsi="新宋体" w:eastAsia="新宋体" w:cs="新宋体"/>
                <w:sz w:val="24"/>
                <w:szCs w:val="24"/>
              </w:rPr>
            </w:pPr>
            <w:r>
              <w:rPr>
                <w:rFonts w:hint="eastAsia" w:ascii="新宋体" w:hAnsi="新宋体" w:eastAsia="新宋体" w:cs="新宋体"/>
                <w:sz w:val="24"/>
                <w:szCs w:val="24"/>
              </w:rPr>
              <w:t>3、VPN支持：支持</w:t>
            </w:r>
          </w:p>
          <w:p>
            <w:pPr>
              <w:spacing w:line="288" w:lineRule="auto"/>
              <w:rPr>
                <w:rFonts w:hint="eastAsia" w:ascii="新宋体" w:hAnsi="新宋体" w:eastAsia="新宋体" w:cs="新宋体"/>
                <w:sz w:val="24"/>
                <w:szCs w:val="24"/>
              </w:rPr>
            </w:pPr>
            <w:r>
              <w:rPr>
                <w:rFonts w:hint="eastAsia" w:ascii="新宋体" w:hAnsi="新宋体" w:eastAsia="新宋体" w:cs="新宋体"/>
                <w:sz w:val="24"/>
                <w:szCs w:val="24"/>
              </w:rPr>
              <w:t>4、广域网接口：1个</w:t>
            </w:r>
          </w:p>
          <w:p>
            <w:pPr>
              <w:spacing w:line="288" w:lineRule="auto"/>
              <w:rPr>
                <w:rFonts w:hint="eastAsia" w:ascii="新宋体" w:hAnsi="新宋体" w:eastAsia="新宋体" w:cs="新宋体"/>
                <w:sz w:val="24"/>
                <w:szCs w:val="24"/>
              </w:rPr>
            </w:pPr>
            <w:r>
              <w:rPr>
                <w:rFonts w:hint="eastAsia" w:ascii="新宋体" w:hAnsi="新宋体" w:eastAsia="新宋体" w:cs="新宋体"/>
                <w:sz w:val="24"/>
                <w:szCs w:val="24"/>
              </w:rPr>
              <w:t>5、局域网接口：4个</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台</w:t>
            </w:r>
          </w:p>
        </w:tc>
        <w:tc>
          <w:tcPr>
            <w:tcW w:w="7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w:t>
            </w: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否</w:t>
            </w:r>
          </w:p>
        </w:tc>
      </w:tr>
      <w:tr>
        <w:tblPrEx>
          <w:tblLayout w:type="fixed"/>
          <w:tblCellMar>
            <w:top w:w="0" w:type="dxa"/>
            <w:left w:w="108" w:type="dxa"/>
            <w:bottom w:w="0" w:type="dxa"/>
            <w:right w:w="108" w:type="dxa"/>
          </w:tblCellMar>
        </w:tblPrEx>
        <w:trPr>
          <w:trHeight w:val="330" w:hRule="atLeast"/>
        </w:trPr>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kern w:val="0"/>
                <w:sz w:val="24"/>
                <w:szCs w:val="24"/>
                <w:lang w:bidi="ar"/>
              </w:rPr>
              <w:t>5</w:t>
            </w: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color w:val="000000"/>
                <w:kern w:val="0"/>
                <w:sz w:val="24"/>
                <w:szCs w:val="24"/>
              </w:rPr>
              <w:t>网络交换机</w:t>
            </w:r>
          </w:p>
        </w:tc>
        <w:tc>
          <w:tcPr>
            <w:tcW w:w="68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jc w:val="left"/>
              <w:textAlignment w:val="center"/>
              <w:rPr>
                <w:rFonts w:hint="eastAsia" w:ascii="新宋体" w:hAnsi="新宋体" w:eastAsia="新宋体" w:cs="新宋体"/>
                <w:sz w:val="24"/>
                <w:szCs w:val="24"/>
                <w:lang w:bidi="ar"/>
              </w:rPr>
            </w:pPr>
            <w:r>
              <w:rPr>
                <w:rFonts w:hint="eastAsia" w:ascii="新宋体" w:hAnsi="新宋体" w:eastAsia="新宋体" w:cs="新宋体"/>
                <w:sz w:val="24"/>
                <w:szCs w:val="24"/>
                <w:lang w:bidi="ar"/>
              </w:rPr>
              <w:t>1. 交换容量≥336Gbps，转发性能≥126Mpps，</w:t>
            </w:r>
            <w:r>
              <w:rPr>
                <w:rFonts w:hint="eastAsia" w:ascii="新宋体" w:hAnsi="新宋体" w:eastAsia="新宋体" w:cs="新宋体"/>
                <w:color w:val="FF0000"/>
                <w:sz w:val="24"/>
                <w:szCs w:val="24"/>
                <w:lang w:bidi="ar"/>
              </w:rPr>
              <w:t xml:space="preserve"> </w:t>
            </w:r>
          </w:p>
          <w:p>
            <w:pPr>
              <w:widowControl/>
              <w:spacing w:line="360" w:lineRule="auto"/>
              <w:jc w:val="left"/>
              <w:textAlignment w:val="center"/>
              <w:rPr>
                <w:rFonts w:hint="eastAsia" w:ascii="新宋体" w:hAnsi="新宋体" w:eastAsia="新宋体" w:cs="新宋体"/>
                <w:sz w:val="24"/>
                <w:szCs w:val="24"/>
                <w:lang w:bidi="ar"/>
              </w:rPr>
            </w:pPr>
            <w:r>
              <w:rPr>
                <w:rFonts w:hint="eastAsia" w:ascii="新宋体" w:hAnsi="新宋体" w:eastAsia="新宋体" w:cs="新宋体"/>
                <w:sz w:val="24"/>
                <w:szCs w:val="24"/>
                <w:lang w:bidi="ar"/>
              </w:rPr>
              <w:t>2. 固化10/100/1000M以太网端口≥24，固化SFP光接口≥4个；整机最大可用千兆口≥28</w:t>
            </w:r>
          </w:p>
          <w:p>
            <w:pPr>
              <w:widowControl/>
              <w:spacing w:line="360" w:lineRule="auto"/>
              <w:jc w:val="left"/>
              <w:textAlignment w:val="center"/>
              <w:rPr>
                <w:rFonts w:hint="eastAsia" w:ascii="新宋体" w:hAnsi="新宋体" w:eastAsia="新宋体" w:cs="新宋体"/>
                <w:sz w:val="24"/>
                <w:szCs w:val="24"/>
                <w:lang w:bidi="ar"/>
              </w:rPr>
            </w:pPr>
            <w:r>
              <w:rPr>
                <w:rFonts w:hint="eastAsia" w:ascii="新宋体" w:hAnsi="新宋体" w:eastAsia="新宋体" w:cs="新宋体"/>
                <w:sz w:val="24"/>
                <w:szCs w:val="24"/>
                <w:lang w:bidi="ar"/>
              </w:rPr>
              <w:t>3. 要求所投设备MAC地址≥16K，ARP表项≥1000条,FIB表项≥500,</w:t>
            </w:r>
          </w:p>
          <w:p>
            <w:pPr>
              <w:widowControl/>
              <w:spacing w:line="360" w:lineRule="auto"/>
              <w:jc w:val="left"/>
              <w:textAlignment w:val="center"/>
              <w:rPr>
                <w:rFonts w:hint="eastAsia" w:ascii="新宋体" w:hAnsi="新宋体" w:eastAsia="新宋体" w:cs="新宋体"/>
                <w:sz w:val="24"/>
                <w:szCs w:val="24"/>
                <w:lang w:bidi="ar"/>
              </w:rPr>
            </w:pPr>
            <w:r>
              <w:rPr>
                <w:rFonts w:hint="eastAsia" w:ascii="新宋体" w:hAnsi="新宋体" w:eastAsia="新宋体" w:cs="新宋体"/>
                <w:sz w:val="24"/>
                <w:szCs w:val="24"/>
                <w:lang w:bidi="ar"/>
              </w:rPr>
              <w:t>4. 为提升设备适应恶劣环境能力，要求设备采用静音无风扇节能设计，</w:t>
            </w:r>
          </w:p>
          <w:p>
            <w:pPr>
              <w:widowControl/>
              <w:spacing w:line="360" w:lineRule="auto"/>
              <w:jc w:val="left"/>
              <w:textAlignment w:val="center"/>
              <w:rPr>
                <w:rFonts w:hint="eastAsia" w:ascii="新宋体" w:hAnsi="新宋体" w:eastAsia="新宋体" w:cs="新宋体"/>
                <w:sz w:val="24"/>
                <w:szCs w:val="24"/>
                <w:lang w:bidi="ar"/>
              </w:rPr>
            </w:pPr>
            <w:r>
              <w:rPr>
                <w:rFonts w:hint="eastAsia" w:ascii="新宋体" w:hAnsi="新宋体" w:eastAsia="新宋体" w:cs="新宋体"/>
                <w:sz w:val="24"/>
                <w:szCs w:val="24"/>
                <w:lang w:bidi="ar"/>
              </w:rPr>
              <w:t>5. 支持静态路由、RIP/RIPng、OSPFv2/OSPFv3等三层路由协议</w:t>
            </w:r>
          </w:p>
          <w:p>
            <w:pPr>
              <w:widowControl/>
              <w:spacing w:line="360" w:lineRule="auto"/>
              <w:jc w:val="left"/>
              <w:textAlignment w:val="center"/>
              <w:rPr>
                <w:rFonts w:hint="eastAsia" w:ascii="新宋体" w:hAnsi="新宋体" w:eastAsia="新宋体" w:cs="新宋体"/>
                <w:sz w:val="24"/>
                <w:szCs w:val="24"/>
                <w:lang w:bidi="ar"/>
              </w:rPr>
            </w:pPr>
            <w:r>
              <w:rPr>
                <w:rFonts w:hint="eastAsia" w:ascii="新宋体" w:hAnsi="新宋体" w:eastAsia="新宋体" w:cs="新宋体"/>
                <w:sz w:val="24"/>
                <w:szCs w:val="24"/>
                <w:lang w:bidi="ar"/>
              </w:rPr>
              <w:t>6. 要求所投产品支持软件定义网络SDN，符合OpenFlow 1.3协议标准</w:t>
            </w:r>
          </w:p>
          <w:p>
            <w:pPr>
              <w:widowControl/>
              <w:spacing w:line="360" w:lineRule="auto"/>
              <w:jc w:val="left"/>
              <w:textAlignment w:val="center"/>
              <w:rPr>
                <w:rFonts w:hint="eastAsia" w:ascii="新宋体" w:hAnsi="新宋体" w:eastAsia="新宋体" w:cs="新宋体"/>
                <w:sz w:val="24"/>
                <w:szCs w:val="24"/>
                <w:lang w:bidi="ar"/>
              </w:rPr>
            </w:pPr>
            <w:r>
              <w:rPr>
                <w:rFonts w:hint="eastAsia" w:ascii="新宋体" w:hAnsi="新宋体" w:eastAsia="新宋体" w:cs="新宋体"/>
                <w:sz w:val="24"/>
                <w:szCs w:val="24"/>
                <w:lang w:bidi="ar"/>
              </w:rPr>
              <w:t>7. 支持专门基础网络保护机制，增强设备防攻击能力，即使在受到攻击的情况下，也能保护系统各种服务的正常运行，保持较低的CPU负载，从而保障整个网络的稳定运行。</w:t>
            </w:r>
          </w:p>
          <w:p>
            <w:pPr>
              <w:widowControl/>
              <w:spacing w:line="360" w:lineRule="auto"/>
              <w:jc w:val="left"/>
              <w:textAlignment w:val="center"/>
              <w:rPr>
                <w:rFonts w:hint="eastAsia" w:ascii="新宋体" w:hAnsi="新宋体" w:eastAsia="新宋体" w:cs="新宋体"/>
                <w:sz w:val="24"/>
                <w:szCs w:val="24"/>
                <w:lang w:bidi="ar"/>
              </w:rPr>
            </w:pPr>
            <w:r>
              <w:rPr>
                <w:rFonts w:hint="eastAsia" w:ascii="新宋体" w:hAnsi="新宋体" w:eastAsia="新宋体" w:cs="新宋体"/>
                <w:sz w:val="24"/>
                <w:szCs w:val="24"/>
                <w:lang w:bidi="ar"/>
              </w:rPr>
              <w:t>8. 端口支持10KV防雷击浪涌功能，</w:t>
            </w:r>
          </w:p>
          <w:p>
            <w:pPr>
              <w:widowControl/>
              <w:spacing w:line="360" w:lineRule="auto"/>
              <w:jc w:val="left"/>
              <w:textAlignment w:val="center"/>
              <w:rPr>
                <w:rFonts w:hint="eastAsia" w:ascii="新宋体" w:hAnsi="新宋体" w:eastAsia="新宋体" w:cs="新宋体"/>
                <w:sz w:val="24"/>
                <w:szCs w:val="24"/>
                <w:lang w:bidi="ar"/>
              </w:rPr>
            </w:pPr>
            <w:r>
              <w:rPr>
                <w:rFonts w:hint="eastAsia" w:ascii="新宋体" w:hAnsi="新宋体" w:eastAsia="新宋体" w:cs="新宋体"/>
                <w:sz w:val="24"/>
                <w:szCs w:val="24"/>
                <w:lang w:bidi="ar"/>
              </w:rPr>
              <w:t>9. 支持虚拟化功能，最多可将9台物理设备虚拟化为一台逻辑设备统一管理</w:t>
            </w:r>
          </w:p>
          <w:p>
            <w:pPr>
              <w:widowControl/>
              <w:spacing w:line="360" w:lineRule="auto"/>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sz w:val="24"/>
                <w:szCs w:val="24"/>
                <w:lang w:bidi="ar"/>
              </w:rPr>
              <w:t>10. 符合国家低碳环保等政策要求，支持IEEE 802.3az标准的EEE节能技术.</w:t>
            </w:r>
            <w:r>
              <w:rPr>
                <w:rFonts w:hint="eastAsia" w:ascii="新宋体" w:hAnsi="新宋体" w:eastAsia="新宋体" w:cs="新宋体"/>
                <w:bCs/>
                <w:color w:val="000000"/>
                <w:sz w:val="24"/>
                <w:szCs w:val="24"/>
              </w:rPr>
              <w:t xml:space="preserve"> </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台</w:t>
            </w:r>
          </w:p>
        </w:tc>
        <w:tc>
          <w:tcPr>
            <w:tcW w:w="7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w:t>
            </w: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否</w:t>
            </w:r>
          </w:p>
        </w:tc>
      </w:tr>
      <w:tr>
        <w:tblPrEx>
          <w:tblLayout w:type="fixed"/>
          <w:tblCellMar>
            <w:top w:w="0" w:type="dxa"/>
            <w:left w:w="108" w:type="dxa"/>
            <w:bottom w:w="0" w:type="dxa"/>
            <w:right w:w="108" w:type="dxa"/>
          </w:tblCellMar>
        </w:tblPrEx>
        <w:trPr>
          <w:trHeight w:val="826" w:hRule="atLeast"/>
        </w:trPr>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kern w:val="0"/>
                <w:sz w:val="24"/>
                <w:szCs w:val="24"/>
                <w:lang w:bidi="ar"/>
              </w:rPr>
              <w:t>6</w:t>
            </w: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color w:val="000000"/>
                <w:kern w:val="0"/>
                <w:sz w:val="24"/>
                <w:szCs w:val="24"/>
              </w:rPr>
              <w:t>工作站</w:t>
            </w:r>
          </w:p>
        </w:tc>
        <w:tc>
          <w:tcPr>
            <w:tcW w:w="68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textAlignment w:val="center"/>
              <w:rPr>
                <w:rFonts w:hint="eastAsia" w:ascii="新宋体" w:hAnsi="新宋体" w:eastAsia="新宋体" w:cs="新宋体"/>
                <w:color w:val="000000"/>
                <w:kern w:val="0"/>
                <w:sz w:val="24"/>
                <w:szCs w:val="24"/>
                <w:lang w:val="zh-CN"/>
              </w:rPr>
            </w:pPr>
            <w:r>
              <w:rPr>
                <w:rFonts w:hint="eastAsia" w:ascii="新宋体" w:hAnsi="新宋体" w:eastAsia="新宋体" w:cs="新宋体"/>
                <w:kern w:val="0"/>
                <w:sz w:val="24"/>
                <w:szCs w:val="24"/>
              </w:rPr>
              <w:t>★1.</w:t>
            </w:r>
            <w:r>
              <w:rPr>
                <w:rFonts w:hint="eastAsia" w:ascii="新宋体" w:hAnsi="新宋体" w:eastAsia="新宋体" w:cs="新宋体"/>
                <w:color w:val="000000"/>
                <w:kern w:val="0"/>
                <w:sz w:val="24"/>
                <w:szCs w:val="24"/>
                <w:lang w:val="zh-CN"/>
              </w:rPr>
              <w:t>处理器：双核处理器，主频≥3.5GHz，</w:t>
            </w:r>
          </w:p>
          <w:p>
            <w:pPr>
              <w:jc w:val="left"/>
              <w:textAlignment w:val="center"/>
              <w:rPr>
                <w:rFonts w:hint="eastAsia" w:ascii="新宋体" w:hAnsi="新宋体" w:eastAsia="新宋体" w:cs="新宋体"/>
                <w:color w:val="000000"/>
                <w:kern w:val="0"/>
                <w:sz w:val="24"/>
                <w:szCs w:val="24"/>
                <w:lang w:val="zh-CN"/>
              </w:rPr>
            </w:pPr>
            <w:r>
              <w:rPr>
                <w:rFonts w:hint="eastAsia" w:ascii="新宋体" w:hAnsi="新宋体" w:eastAsia="新宋体" w:cs="新宋体"/>
                <w:kern w:val="0"/>
                <w:sz w:val="24"/>
                <w:szCs w:val="24"/>
              </w:rPr>
              <w:t>★2.</w:t>
            </w:r>
            <w:r>
              <w:rPr>
                <w:rFonts w:hint="eastAsia" w:ascii="新宋体" w:hAnsi="新宋体" w:eastAsia="新宋体" w:cs="新宋体"/>
                <w:color w:val="000000"/>
                <w:kern w:val="0"/>
                <w:sz w:val="24"/>
                <w:szCs w:val="24"/>
                <w:lang w:val="zh-CN"/>
              </w:rPr>
              <w:t>芯片组：B350及以上芯片组</w:t>
            </w:r>
          </w:p>
          <w:p>
            <w:pPr>
              <w:jc w:val="left"/>
              <w:textAlignment w:val="center"/>
              <w:rPr>
                <w:rFonts w:hint="eastAsia" w:ascii="新宋体" w:hAnsi="新宋体" w:eastAsia="新宋体" w:cs="新宋体"/>
                <w:color w:val="000000"/>
                <w:kern w:val="0"/>
                <w:sz w:val="24"/>
                <w:szCs w:val="24"/>
                <w:lang w:val="zh-CN"/>
              </w:rPr>
            </w:pPr>
            <w:r>
              <w:rPr>
                <w:rFonts w:hint="eastAsia" w:ascii="新宋体" w:hAnsi="新宋体" w:eastAsia="新宋体" w:cs="新宋体"/>
                <w:kern w:val="0"/>
                <w:sz w:val="24"/>
                <w:szCs w:val="24"/>
              </w:rPr>
              <w:t>★3.</w:t>
            </w:r>
            <w:r>
              <w:rPr>
                <w:rFonts w:hint="eastAsia" w:ascii="新宋体" w:hAnsi="新宋体" w:eastAsia="新宋体" w:cs="新宋体"/>
                <w:color w:val="000000"/>
                <w:kern w:val="0"/>
                <w:sz w:val="24"/>
                <w:szCs w:val="24"/>
                <w:lang w:val="zh-CN"/>
              </w:rPr>
              <w:t>内存：≥8G DDR4 2666MHz 双内存插槽，最大支持32G内存</w:t>
            </w:r>
          </w:p>
          <w:p>
            <w:pPr>
              <w:jc w:val="left"/>
              <w:textAlignment w:val="center"/>
              <w:rPr>
                <w:rFonts w:hint="eastAsia" w:ascii="新宋体" w:hAnsi="新宋体" w:eastAsia="新宋体" w:cs="新宋体"/>
                <w:color w:val="000000"/>
                <w:kern w:val="0"/>
                <w:sz w:val="24"/>
                <w:szCs w:val="24"/>
                <w:lang w:val="zh-CN"/>
              </w:rPr>
            </w:pPr>
            <w:r>
              <w:rPr>
                <w:rFonts w:hint="eastAsia" w:ascii="新宋体" w:hAnsi="新宋体" w:eastAsia="新宋体" w:cs="新宋体"/>
                <w:kern w:val="0"/>
                <w:sz w:val="24"/>
                <w:szCs w:val="24"/>
              </w:rPr>
              <w:t>★4.</w:t>
            </w:r>
            <w:r>
              <w:rPr>
                <w:rFonts w:hint="eastAsia" w:ascii="新宋体" w:hAnsi="新宋体" w:eastAsia="新宋体" w:cs="新宋体"/>
                <w:color w:val="000000"/>
                <w:kern w:val="0"/>
                <w:sz w:val="24"/>
                <w:szCs w:val="24"/>
                <w:lang w:val="zh-CN"/>
              </w:rPr>
              <w:t>硬盘:≥256G固态硬盘</w:t>
            </w:r>
          </w:p>
          <w:p>
            <w:pPr>
              <w:jc w:val="left"/>
              <w:textAlignment w:val="center"/>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zh-CN"/>
              </w:rPr>
              <w:t>5.显卡:集成显卡</w:t>
            </w:r>
          </w:p>
          <w:p>
            <w:pPr>
              <w:jc w:val="left"/>
              <w:textAlignment w:val="center"/>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zh-CN"/>
              </w:rPr>
              <w:t>6.网卡:集成千兆网卡</w:t>
            </w:r>
          </w:p>
          <w:p>
            <w:pPr>
              <w:jc w:val="left"/>
              <w:textAlignment w:val="center"/>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zh-CN"/>
              </w:rPr>
              <w:t>7.接口:USB接口≥8个，其中出厂标配后置USB≥6个； HDMI*1；RJ-45*1; VGA*1；1个串口；支持双屏显示，前置多合一读卡器，前置麦克风/耳机组合插孔；</w:t>
            </w:r>
          </w:p>
          <w:p>
            <w:pPr>
              <w:jc w:val="left"/>
              <w:textAlignment w:val="center"/>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zh-CN"/>
              </w:rPr>
              <w:t>8.插槽:M.2接口≥2个; PCIe(x1) ≥1个; PCIe(x16) ≥1个; PCI≥1个；</w:t>
            </w:r>
          </w:p>
          <w:p>
            <w:pPr>
              <w:jc w:val="left"/>
              <w:textAlignment w:val="center"/>
              <w:rPr>
                <w:rFonts w:hint="eastAsia" w:ascii="新宋体" w:hAnsi="新宋体" w:eastAsia="新宋体" w:cs="新宋体"/>
                <w:color w:val="000000"/>
                <w:kern w:val="0"/>
                <w:sz w:val="24"/>
                <w:szCs w:val="24"/>
                <w:lang w:val="zh-CN"/>
              </w:rPr>
            </w:pPr>
            <w:r>
              <w:rPr>
                <w:rFonts w:hint="eastAsia" w:ascii="新宋体" w:hAnsi="新宋体" w:eastAsia="新宋体" w:cs="新宋体"/>
                <w:kern w:val="0"/>
                <w:sz w:val="24"/>
                <w:szCs w:val="24"/>
              </w:rPr>
              <w:t>★</w:t>
            </w:r>
            <w:r>
              <w:rPr>
                <w:rFonts w:hint="eastAsia" w:ascii="新宋体" w:hAnsi="新宋体" w:eastAsia="新宋体" w:cs="新宋体"/>
                <w:color w:val="000000"/>
                <w:kern w:val="0"/>
                <w:sz w:val="24"/>
                <w:szCs w:val="24"/>
                <w:lang w:val="zh-CN"/>
              </w:rPr>
              <w:t>9.机箱:容积≥15L，内置扩音器或外置同品牌音响</w:t>
            </w:r>
          </w:p>
          <w:p>
            <w:pPr>
              <w:jc w:val="left"/>
              <w:textAlignment w:val="center"/>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zh-CN"/>
              </w:rPr>
              <w:t>10.输入设备:抗菌防水键盘、抗菌鼠标</w:t>
            </w:r>
          </w:p>
          <w:p>
            <w:pPr>
              <w:jc w:val="left"/>
              <w:textAlignment w:val="center"/>
              <w:rPr>
                <w:rFonts w:hint="eastAsia" w:ascii="新宋体" w:hAnsi="新宋体" w:eastAsia="新宋体" w:cs="新宋体"/>
                <w:color w:val="000000"/>
                <w:kern w:val="0"/>
                <w:sz w:val="24"/>
                <w:szCs w:val="24"/>
                <w:lang w:val="zh-CN"/>
              </w:rPr>
            </w:pPr>
            <w:r>
              <w:rPr>
                <w:rFonts w:hint="eastAsia" w:ascii="新宋体" w:hAnsi="新宋体" w:eastAsia="新宋体" w:cs="新宋体"/>
                <w:kern w:val="0"/>
                <w:sz w:val="24"/>
                <w:szCs w:val="24"/>
              </w:rPr>
              <w:t>★11.</w:t>
            </w:r>
            <w:r>
              <w:rPr>
                <w:rFonts w:hint="eastAsia" w:ascii="新宋体" w:hAnsi="新宋体" w:eastAsia="新宋体" w:cs="新宋体"/>
                <w:color w:val="000000"/>
                <w:kern w:val="0"/>
                <w:sz w:val="24"/>
                <w:szCs w:val="24"/>
                <w:lang w:val="zh-CN"/>
              </w:rPr>
              <w:t>电源:≥305W高效节能电源，能效比≥90%</w:t>
            </w:r>
          </w:p>
          <w:p>
            <w:pPr>
              <w:jc w:val="left"/>
              <w:textAlignment w:val="center"/>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zh-CN"/>
              </w:rPr>
              <w:t>12.操作系统:出厂预装正版Windows 10 64位操作系统</w:t>
            </w:r>
          </w:p>
          <w:p>
            <w:pPr>
              <w:jc w:val="left"/>
              <w:textAlignment w:val="center"/>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zh-CN"/>
              </w:rPr>
              <w:t>13.显示器:≥19.5英寸液晶显示器，通过低蓝光认证</w:t>
            </w:r>
          </w:p>
          <w:p>
            <w:pPr>
              <w:widowControl/>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kern w:val="0"/>
                <w:sz w:val="24"/>
                <w:szCs w:val="24"/>
              </w:rPr>
              <w:t>★</w:t>
            </w:r>
            <w:r>
              <w:rPr>
                <w:rFonts w:hint="eastAsia" w:ascii="新宋体" w:hAnsi="新宋体" w:eastAsia="新宋体" w:cs="新宋体"/>
                <w:sz w:val="24"/>
                <w:szCs w:val="24"/>
              </w:rPr>
              <w:t>14.</w:t>
            </w:r>
            <w:r>
              <w:rPr>
                <w:rFonts w:hint="eastAsia" w:ascii="新宋体" w:hAnsi="新宋体" w:eastAsia="新宋体" w:cs="新宋体"/>
                <w:color w:val="000000"/>
                <w:sz w:val="24"/>
                <w:szCs w:val="24"/>
                <w:lang w:val="zh-CN"/>
              </w:rPr>
              <w:t>保修:三年免费保修及三年免费上门</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套</w:t>
            </w:r>
          </w:p>
        </w:tc>
        <w:tc>
          <w:tcPr>
            <w:tcW w:w="7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w:t>
            </w: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是</w:t>
            </w:r>
          </w:p>
        </w:tc>
      </w:tr>
      <w:tr>
        <w:tblPrEx>
          <w:tblLayout w:type="fixed"/>
          <w:tblCellMar>
            <w:top w:w="0" w:type="dxa"/>
            <w:left w:w="108" w:type="dxa"/>
            <w:bottom w:w="0" w:type="dxa"/>
            <w:right w:w="108" w:type="dxa"/>
          </w:tblCellMar>
        </w:tblPrEx>
        <w:trPr>
          <w:trHeight w:val="1321" w:hRule="atLeast"/>
        </w:trPr>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kern w:val="0"/>
                <w:sz w:val="24"/>
                <w:szCs w:val="24"/>
                <w:lang w:bidi="ar"/>
              </w:rPr>
              <w:t>7</w:t>
            </w: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color w:val="000000"/>
                <w:kern w:val="0"/>
                <w:sz w:val="24"/>
                <w:szCs w:val="24"/>
              </w:rPr>
              <w:t>拼接屏</w:t>
            </w:r>
          </w:p>
        </w:tc>
        <w:tc>
          <w:tcPr>
            <w:tcW w:w="68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面板类型： 55”DID LCD Panel;</w:t>
            </w:r>
          </w:p>
          <w:p>
            <w:pPr>
              <w:widowControl/>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双边拼缝：</w:t>
            </w:r>
            <w:r>
              <w:rPr>
                <w:rFonts w:hint="eastAsia" w:ascii="新宋体" w:hAnsi="新宋体" w:eastAsia="新宋体" w:cs="新宋体"/>
                <w:kern w:val="0"/>
                <w:sz w:val="24"/>
                <w:szCs w:val="24"/>
              </w:rPr>
              <w:t>≤</w:t>
            </w:r>
            <w:r>
              <w:rPr>
                <w:rFonts w:hint="eastAsia" w:ascii="新宋体" w:hAnsi="新宋体" w:eastAsia="新宋体" w:cs="新宋体"/>
                <w:bCs/>
                <w:color w:val="000000"/>
                <w:sz w:val="24"/>
                <w:szCs w:val="24"/>
              </w:rPr>
              <w:t>3.5MM;</w:t>
            </w:r>
          </w:p>
          <w:p>
            <w:pPr>
              <w:widowControl/>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显示色彩：16.7M(8bit);</w:t>
            </w:r>
          </w:p>
          <w:p>
            <w:pPr>
              <w:widowControl/>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亮度：</w:t>
            </w:r>
            <w:r>
              <w:rPr>
                <w:rFonts w:hint="eastAsia" w:ascii="新宋体" w:hAnsi="新宋体" w:eastAsia="新宋体" w:cs="新宋体"/>
                <w:color w:val="000000"/>
                <w:kern w:val="0"/>
                <w:sz w:val="24"/>
                <w:szCs w:val="24"/>
              </w:rPr>
              <w:t>≥</w:t>
            </w:r>
            <w:r>
              <w:rPr>
                <w:rFonts w:hint="eastAsia" w:ascii="新宋体" w:hAnsi="新宋体" w:eastAsia="新宋体" w:cs="新宋体"/>
                <w:bCs/>
                <w:color w:val="000000"/>
                <w:sz w:val="24"/>
                <w:szCs w:val="24"/>
              </w:rPr>
              <w:t>500 /700cd/m2;</w:t>
            </w:r>
          </w:p>
          <w:p>
            <w:pPr>
              <w:widowControl/>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对比度：</w:t>
            </w:r>
            <w:r>
              <w:rPr>
                <w:rFonts w:hint="eastAsia" w:ascii="新宋体" w:hAnsi="新宋体" w:eastAsia="新宋体" w:cs="新宋体"/>
                <w:color w:val="000000"/>
                <w:kern w:val="0"/>
                <w:sz w:val="24"/>
                <w:szCs w:val="24"/>
                <w:lang w:val="zh-CN"/>
              </w:rPr>
              <w:t>≥</w:t>
            </w:r>
            <w:r>
              <w:rPr>
                <w:rFonts w:hint="eastAsia" w:ascii="新宋体" w:hAnsi="新宋体" w:eastAsia="新宋体" w:cs="新宋体"/>
                <w:bCs/>
                <w:color w:val="000000"/>
                <w:sz w:val="24"/>
                <w:szCs w:val="24"/>
              </w:rPr>
              <w:t>14000:1;</w:t>
            </w:r>
          </w:p>
          <w:p>
            <w:pPr>
              <w:widowControl/>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可视角度：</w:t>
            </w:r>
            <w:r>
              <w:rPr>
                <w:rFonts w:hint="eastAsia" w:ascii="新宋体" w:hAnsi="新宋体" w:eastAsia="新宋体" w:cs="新宋体"/>
                <w:color w:val="000000"/>
                <w:kern w:val="0"/>
                <w:sz w:val="24"/>
                <w:szCs w:val="24"/>
                <w:lang w:val="zh-CN"/>
              </w:rPr>
              <w:t>≥</w:t>
            </w:r>
            <w:r>
              <w:rPr>
                <w:rFonts w:hint="eastAsia" w:ascii="新宋体" w:hAnsi="新宋体" w:eastAsia="新宋体" w:cs="新宋体"/>
                <w:bCs/>
                <w:color w:val="000000"/>
                <w:sz w:val="24"/>
                <w:szCs w:val="24"/>
              </w:rPr>
              <w:t>178°;</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台</w:t>
            </w:r>
          </w:p>
        </w:tc>
        <w:tc>
          <w:tcPr>
            <w:tcW w:w="7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9</w:t>
            </w: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否</w:t>
            </w:r>
          </w:p>
        </w:tc>
      </w:tr>
      <w:tr>
        <w:tblPrEx>
          <w:tblLayout w:type="fixed"/>
          <w:tblCellMar>
            <w:top w:w="0" w:type="dxa"/>
            <w:left w:w="108" w:type="dxa"/>
            <w:bottom w:w="0" w:type="dxa"/>
            <w:right w:w="108" w:type="dxa"/>
          </w:tblCellMar>
        </w:tblPrEx>
        <w:trPr>
          <w:trHeight w:val="660" w:hRule="atLeast"/>
        </w:trPr>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kern w:val="0"/>
                <w:sz w:val="24"/>
                <w:szCs w:val="24"/>
                <w:lang w:bidi="ar"/>
              </w:rPr>
              <w:t>8</w:t>
            </w: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color w:val="000000"/>
                <w:kern w:val="0"/>
                <w:sz w:val="24"/>
                <w:szCs w:val="24"/>
              </w:rPr>
              <w:t>IP音视频终端软件</w:t>
            </w:r>
          </w:p>
        </w:tc>
        <w:tc>
          <w:tcPr>
            <w:tcW w:w="68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sz w:val="24"/>
                <w:szCs w:val="24"/>
              </w:rPr>
              <w:t>1.适用于局域网和广域网。</w:t>
            </w:r>
            <w:r>
              <w:rPr>
                <w:rFonts w:hint="eastAsia" w:ascii="新宋体" w:hAnsi="新宋体" w:eastAsia="新宋体" w:cs="新宋体"/>
                <w:sz w:val="24"/>
                <w:szCs w:val="24"/>
              </w:rPr>
              <w:br w:type="textWrapping"/>
            </w:r>
            <w:r>
              <w:rPr>
                <w:rFonts w:hint="eastAsia" w:ascii="新宋体" w:hAnsi="新宋体" w:eastAsia="新宋体" w:cs="新宋体"/>
                <w:sz w:val="24"/>
                <w:szCs w:val="24"/>
              </w:rPr>
              <w:t>2.支持实时广播。</w:t>
            </w:r>
            <w:r>
              <w:rPr>
                <w:rFonts w:hint="eastAsia" w:ascii="新宋体" w:hAnsi="新宋体" w:eastAsia="新宋体" w:cs="新宋体"/>
                <w:sz w:val="24"/>
                <w:szCs w:val="24"/>
              </w:rPr>
              <w:br w:type="textWrapping"/>
            </w:r>
            <w:r>
              <w:rPr>
                <w:rFonts w:hint="eastAsia" w:ascii="新宋体" w:hAnsi="新宋体" w:eastAsia="新宋体" w:cs="新宋体"/>
                <w:sz w:val="24"/>
                <w:szCs w:val="24"/>
              </w:rPr>
              <w:t>3.实时广播包括实时文件播放与实时采播，实时文件播放直接使用客户机上音频文件进行广播，适用与紧急广播，临时广播等；实时采播可以用于节目转播，办公室讲话等。</w:t>
            </w:r>
            <w:r>
              <w:rPr>
                <w:rFonts w:hint="eastAsia" w:ascii="新宋体" w:hAnsi="新宋体" w:eastAsia="新宋体" w:cs="新宋体"/>
                <w:sz w:val="24"/>
                <w:szCs w:val="24"/>
              </w:rPr>
              <w:br w:type="textWrapping"/>
            </w:r>
            <w:r>
              <w:rPr>
                <w:rFonts w:hint="eastAsia" w:ascii="新宋体" w:hAnsi="新宋体" w:eastAsia="新宋体" w:cs="新宋体"/>
                <w:sz w:val="24"/>
                <w:szCs w:val="24"/>
              </w:rPr>
              <w:t>4.带有状态显示界面，可以实时监测任意一个终端节点的使用状态。</w:t>
            </w:r>
            <w:r>
              <w:rPr>
                <w:rFonts w:hint="eastAsia" w:ascii="新宋体" w:hAnsi="新宋体" w:eastAsia="新宋体" w:cs="新宋体"/>
                <w:sz w:val="24"/>
                <w:szCs w:val="24"/>
              </w:rPr>
              <w:br w:type="textWrapping"/>
            </w:r>
            <w:r>
              <w:rPr>
                <w:rFonts w:hint="eastAsia" w:ascii="新宋体" w:hAnsi="新宋体" w:eastAsia="新宋体" w:cs="新宋体"/>
                <w:sz w:val="24"/>
                <w:szCs w:val="24"/>
              </w:rPr>
              <w:t>5.自动播放及定时功能：可以实现定时定点定区域定曲目播放，实现无人值守</w:t>
            </w:r>
            <w:r>
              <w:rPr>
                <w:rFonts w:hint="eastAsia" w:ascii="新宋体" w:hAnsi="新宋体" w:eastAsia="新宋体" w:cs="新宋体"/>
                <w:sz w:val="24"/>
                <w:szCs w:val="24"/>
              </w:rPr>
              <w:br w:type="textWrapping"/>
            </w:r>
            <w:r>
              <w:rPr>
                <w:rFonts w:hint="eastAsia" w:ascii="新宋体" w:hAnsi="新宋体" w:eastAsia="新宋体" w:cs="新宋体"/>
                <w:sz w:val="24"/>
                <w:szCs w:val="24"/>
              </w:rPr>
              <w:t>6.软件具备远程升级的功能，方便各功能的及时更新</w:t>
            </w:r>
            <w:r>
              <w:rPr>
                <w:rFonts w:hint="eastAsia" w:ascii="新宋体" w:hAnsi="新宋体" w:eastAsia="新宋体" w:cs="新宋体"/>
                <w:bCs/>
                <w:color w:val="000000"/>
                <w:sz w:val="24"/>
                <w:szCs w:val="24"/>
              </w:rPr>
              <w:t xml:space="preserve"> </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套</w:t>
            </w:r>
          </w:p>
        </w:tc>
        <w:tc>
          <w:tcPr>
            <w:tcW w:w="7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w:t>
            </w: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是</w:t>
            </w:r>
          </w:p>
        </w:tc>
      </w:tr>
      <w:tr>
        <w:tblPrEx>
          <w:tblLayout w:type="fixed"/>
          <w:tblCellMar>
            <w:top w:w="0" w:type="dxa"/>
            <w:left w:w="108" w:type="dxa"/>
            <w:bottom w:w="0" w:type="dxa"/>
            <w:right w:w="108" w:type="dxa"/>
          </w:tblCellMar>
        </w:tblPrEx>
        <w:trPr>
          <w:trHeight w:val="1321" w:hRule="atLeast"/>
        </w:trPr>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kern w:val="0"/>
                <w:sz w:val="24"/>
                <w:szCs w:val="24"/>
                <w:lang w:bidi="ar"/>
              </w:rPr>
              <w:t>9</w:t>
            </w: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color w:val="000000"/>
                <w:sz w:val="24"/>
                <w:szCs w:val="24"/>
              </w:rPr>
              <w:t>IP网络音箱</w:t>
            </w:r>
          </w:p>
        </w:tc>
        <w:tc>
          <w:tcPr>
            <w:tcW w:w="68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功能特性:</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1、木质外壳结构，高低音防磁喇叭单元，数字解码终端与音箱一体功能；</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2、采用固定静态的IP地址，当网络发生改变时地址不会丢失，工作稳定；</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3、硬件音频解码，音质达到CD级；</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4、可网络接收音频节目内容；</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5、支持本地线路输入，音量音调调节；</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6、自带功率输出，可接10W定阻4Ω无源副音箱；</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7、通过软件操作可对所有终端监听播出的内容；</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8、消防广播信号、网络广播信号和本地音源信号可触发网络音箱播音；</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技术参数:</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1、功率输出：2×15W</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 xml:space="preserve">2、输入灵敏度：音频输入:550mV/600Ω </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3、电源：AC 220V±10%/50Hz</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4、待机功率：＜1W</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5、音频位率：8Kbps～320Kbps自适应</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 xml:space="preserve">6、频率响应：40Hz～20KHz(±3dB) </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7、信噪比：≥90dB（A计权）</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8、采样率：8K～48KHz</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9、音频格式：MP3</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10、传输速率：100Mbps</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11、工作温度：-20℃～+85℃</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12、工作湿度：10%～90%</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13、尺寸：180×200×300mm</w:t>
            </w:r>
          </w:p>
          <w:p>
            <w:pPr>
              <w:widowControl/>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kern w:val="0"/>
                <w:sz w:val="24"/>
                <w:szCs w:val="24"/>
              </w:rPr>
              <w:t>14、重量：3.6Kg(主箱) 6.9Kg(主副箱)</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对</w:t>
            </w:r>
          </w:p>
        </w:tc>
        <w:tc>
          <w:tcPr>
            <w:tcW w:w="7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w:t>
            </w: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否</w:t>
            </w:r>
          </w:p>
        </w:tc>
      </w:tr>
      <w:tr>
        <w:tblPrEx>
          <w:tblLayout w:type="fixed"/>
          <w:tblCellMar>
            <w:top w:w="0" w:type="dxa"/>
            <w:left w:w="108" w:type="dxa"/>
            <w:bottom w:w="0" w:type="dxa"/>
            <w:right w:w="108" w:type="dxa"/>
          </w:tblCellMar>
        </w:tblPrEx>
        <w:trPr>
          <w:trHeight w:val="330" w:hRule="atLeast"/>
        </w:trPr>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kern w:val="0"/>
                <w:sz w:val="24"/>
                <w:szCs w:val="24"/>
                <w:lang w:bidi="ar"/>
              </w:rPr>
              <w:t>10</w:t>
            </w: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color w:val="000000"/>
                <w:sz w:val="24"/>
                <w:szCs w:val="24"/>
              </w:rPr>
              <w:t>CD/DVD/VCD/MP3播放器</w:t>
            </w:r>
          </w:p>
        </w:tc>
        <w:tc>
          <w:tcPr>
            <w:tcW w:w="68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功能特性</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1、兼容DVD、CD、VCD、HDCD、MP3等多种格式光碟</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2、可播放U盘里各种音乐格式文件</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3、多种播放模式，超强纠错功能</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4、托盘式机芯，超强抗震</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5、多种播放模式</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6、LED曲目显示</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7、带红外遥控，操作方便</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8、音质清晰优美</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技术参数：</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1、音频输出：0dBV</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2、输出频率范围：20～20KHz</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3、信号噪声比：&gt;80dB</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4、接口方式：USB1.1</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5、控制方式：手动</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6、电源：AC220V～240V/50～60Hz</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7、电源功耗：10～15W</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8、保护：ACFUSE（0.5A）*2</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9、机器尺寸：485*390*90mm</w:t>
            </w:r>
          </w:p>
          <w:p>
            <w:pPr>
              <w:widowControl/>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kern w:val="0"/>
                <w:sz w:val="24"/>
                <w:szCs w:val="24"/>
              </w:rPr>
              <w:t>10、净重：5.0Kg</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台</w:t>
            </w:r>
          </w:p>
        </w:tc>
        <w:tc>
          <w:tcPr>
            <w:tcW w:w="7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w:t>
            </w: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否</w:t>
            </w:r>
          </w:p>
        </w:tc>
      </w:tr>
      <w:tr>
        <w:tblPrEx>
          <w:tblLayout w:type="fixed"/>
          <w:tblCellMar>
            <w:top w:w="0" w:type="dxa"/>
            <w:left w:w="108" w:type="dxa"/>
            <w:bottom w:w="0" w:type="dxa"/>
            <w:right w:w="108" w:type="dxa"/>
          </w:tblCellMar>
        </w:tblPrEx>
        <w:trPr>
          <w:trHeight w:val="330" w:hRule="atLeast"/>
        </w:trPr>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kern w:val="0"/>
                <w:sz w:val="24"/>
                <w:szCs w:val="24"/>
                <w:lang w:bidi="ar"/>
              </w:rPr>
              <w:t>11</w:t>
            </w: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color w:val="000000"/>
                <w:kern w:val="0"/>
                <w:sz w:val="24"/>
                <w:szCs w:val="24"/>
              </w:rPr>
              <w:t>数字调谐器</w:t>
            </w:r>
          </w:p>
        </w:tc>
        <w:tc>
          <w:tcPr>
            <w:tcW w:w="68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color w:val="000000"/>
                <w:kern w:val="0"/>
                <w:sz w:val="24"/>
                <w:szCs w:val="24"/>
              </w:rPr>
              <w:t>一、主要功能参数</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1.采用石英锁相环路频率合成器式调节回路，接收频率精确稳定；</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2.设有高亮度动态VFD荧光显示，清晰醒眼；</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3.支持调频、调幅（FM/AM）立体声二波段接收选择，电台频率记忆存储可达40个。</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二、主要技术指标</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1.音频输出：0.775V</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2.输出频响范围：20Hz~20KHz</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3.信号信噪比：&gt;80dB</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4.频率范围：AM：522KHz~1620KHz，FM：87.5MHz~108MHz</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5.电源输入：~220V/50Hz</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6.功耗：20W</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台</w:t>
            </w:r>
          </w:p>
        </w:tc>
        <w:tc>
          <w:tcPr>
            <w:tcW w:w="7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w:t>
            </w: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否</w:t>
            </w:r>
          </w:p>
          <w:p>
            <w:pPr>
              <w:widowControl/>
              <w:jc w:val="center"/>
              <w:textAlignment w:val="center"/>
              <w:rPr>
                <w:rFonts w:hint="eastAsia" w:ascii="新宋体" w:hAnsi="新宋体" w:eastAsia="新宋体" w:cs="新宋体"/>
                <w:bCs/>
                <w:color w:val="000000"/>
                <w:sz w:val="24"/>
                <w:szCs w:val="24"/>
              </w:rPr>
            </w:pPr>
          </w:p>
        </w:tc>
      </w:tr>
      <w:tr>
        <w:tblPrEx>
          <w:tblLayout w:type="fixed"/>
          <w:tblCellMar>
            <w:top w:w="0" w:type="dxa"/>
            <w:left w:w="108" w:type="dxa"/>
            <w:bottom w:w="0" w:type="dxa"/>
            <w:right w:w="108" w:type="dxa"/>
          </w:tblCellMar>
        </w:tblPrEx>
        <w:trPr>
          <w:trHeight w:val="330" w:hRule="atLeast"/>
        </w:trPr>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12</w:t>
            </w: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color w:val="000000"/>
                <w:kern w:val="0"/>
                <w:sz w:val="24"/>
                <w:szCs w:val="24"/>
              </w:rPr>
              <w:t>调音台</w:t>
            </w:r>
          </w:p>
        </w:tc>
        <w:tc>
          <w:tcPr>
            <w:tcW w:w="68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1．采用内置24bit数码效果器，</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2.内置MP3播放功能，USB接口，支持蓝牙输入，OLED液晶显示屏显示歌曲状态，</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★3.内置蓝牙接收模块，在应用市场下载原厂授权APP注册后与手机蓝牙连接，可即将手机当无线麦克风使用，手机音频播放，实现无线手麦功能。</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4.观察信号电平的LED、监控信号电平状态</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5.精密的GB30话筒前置放大器</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6.为电容话筒提供真正专业的+48V幻象电源</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7.外置效果处理的插入点</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8.调音台输入通道规格8路 ，平衡XLR,非平衡TRS(1/4英寸)输入输出接口</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9.频率响应：20Hz－20KHz</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10.总谐波失真和噪声：&lt;0.007%</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11.话筒输入的等效输入噪声：22Hz-22KHz</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12.母线噪声：－85dBu</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13.通道之间串音：&gt;96dB</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14.输入和输出阻抗：话筒输入2.4KΩ、线路输入11KΩ、立体声输入100KΩ</w:t>
            </w:r>
          </w:p>
          <w:p>
            <w:pPr>
              <w:widowControl/>
              <w:jc w:val="left"/>
              <w:rPr>
                <w:rFonts w:hint="eastAsia" w:ascii="新宋体" w:hAnsi="新宋体" w:eastAsia="新宋体" w:cs="新宋体"/>
                <w:bCs/>
                <w:color w:val="000000"/>
                <w:sz w:val="24"/>
                <w:szCs w:val="24"/>
              </w:rPr>
            </w:pPr>
            <w:r>
              <w:rPr>
                <w:rFonts w:hint="eastAsia" w:ascii="新宋体" w:hAnsi="新宋体" w:eastAsia="新宋体" w:cs="新宋体"/>
                <w:kern w:val="0"/>
                <w:sz w:val="24"/>
                <w:szCs w:val="24"/>
              </w:rPr>
              <w:t>15.尺寸：长39CM*宽38CM*高8CM</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台</w:t>
            </w:r>
          </w:p>
        </w:tc>
        <w:tc>
          <w:tcPr>
            <w:tcW w:w="7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w:t>
            </w: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否</w:t>
            </w:r>
          </w:p>
        </w:tc>
      </w:tr>
      <w:tr>
        <w:tblPrEx>
          <w:tblLayout w:type="fixed"/>
          <w:tblCellMar>
            <w:top w:w="0" w:type="dxa"/>
            <w:left w:w="108" w:type="dxa"/>
            <w:bottom w:w="0" w:type="dxa"/>
            <w:right w:w="108" w:type="dxa"/>
          </w:tblCellMar>
        </w:tblPrEx>
        <w:trPr>
          <w:trHeight w:val="401" w:hRule="atLeast"/>
        </w:trPr>
        <w:tc>
          <w:tcPr>
            <w:tcW w:w="489"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13</w:t>
            </w:r>
          </w:p>
        </w:tc>
        <w:tc>
          <w:tcPr>
            <w:tcW w:w="1135"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color w:val="000000"/>
                <w:kern w:val="0"/>
                <w:sz w:val="24"/>
                <w:szCs w:val="24"/>
              </w:rPr>
              <w:t>真分级无线话筒</w:t>
            </w:r>
          </w:p>
        </w:tc>
        <w:tc>
          <w:tcPr>
            <w:tcW w:w="6889"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1.UHF PLL无线系统，采用UHF双通道真分集四接收多频点设计，运用高精度锁相环频率合成PLL技术，具有自动搜索选择频率及ACT（自动频道追锁）功能，宽大清晰的LCD液晶显示，外观设计前卫、时尚,自动人手感应技术，话筒离开人手静止3-5秒自动静音（任意方向，任意角度放置均可），5分钟后自动节能，15分钟后自动关机并且彻底切断电源，是一款全新概念的智能化、自动化无线麦克风；</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2.采用UHF 600M-900MHz频段，真分集接收信号更稳定，具有4个可选频段.1200个可选频道；</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3.自动扫频功能，将发射机红外对频窗口对准接收机的红外对频窗口，即可自动搜寻对应频点快速对频锁频；</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4.独立的音量调节旋扭；</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5.每只话筒配有独立的XLR卡侬头平衡输出接口；</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6.一个6.35mm的混合输出插口；</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7.接收机和发射机LCD显示，信号强度、音频动态、工作频率等一目了然；</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8.合金金属管手咪和接收机，耐用防摔设计；</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8.超远拾音距离可达有效距离200米；</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9.自动人手感应技术，话筒离开人手静止3-5秒自动静音（任意方向，任意角度放置均可），5分钟后自动节能，15分钟后自动关机并且彻底切断电源；</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10．带模拟导频功能，能有效解决假接收产生噪音；</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技术参数：</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频率范围：600M-900MHz</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单机可调信道数：300种</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振荡方式：锁相环频率合成（PLL）</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频率稳定度：±10ppm=±0.005%</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最大调制度：±12.5KHz 信道间隔步进：25Khz</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接收方式：超外差二次变频</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接收灵敏度：-95~-67dBm=12dBμV (80dB S/N )</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音频频响：40-18000Hz</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谐波失真：≤0.5%</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信噪比：≥110dB</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音频输出：混合输出: 0～200mV, 平衡输出: 0～400mV</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接收机消耗功率：3W</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工作温度：-10°C—+40°C</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 xml:space="preserve">发射机发射功率：3-30mW </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拾音头：动圈式心形</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 xml:space="preserve">调制方式：调频（FM） </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电池规格：5号电池2节</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电池连续使用时间：High: &gt;6小时，Low: &gt;10小时</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电源规格：100-240V 50-60Hz 12VDC ≥500mA（开关电源适配器）</w:t>
            </w:r>
          </w:p>
          <w:p>
            <w:pPr>
              <w:widowControl/>
              <w:jc w:val="left"/>
              <w:rPr>
                <w:rFonts w:hint="eastAsia" w:ascii="新宋体" w:hAnsi="新宋体" w:eastAsia="新宋体" w:cs="新宋体"/>
                <w:bCs/>
                <w:color w:val="000000"/>
                <w:sz w:val="24"/>
                <w:szCs w:val="24"/>
              </w:rPr>
            </w:pPr>
            <w:r>
              <w:rPr>
                <w:rFonts w:hint="eastAsia" w:ascii="新宋体" w:hAnsi="新宋体" w:eastAsia="新宋体" w:cs="新宋体"/>
                <w:kern w:val="0"/>
                <w:sz w:val="24"/>
                <w:szCs w:val="24"/>
              </w:rPr>
              <w:t>电源消耗：≤10MW</w:t>
            </w:r>
          </w:p>
        </w:tc>
        <w:tc>
          <w:tcPr>
            <w:tcW w:w="310"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套</w:t>
            </w:r>
          </w:p>
        </w:tc>
        <w:tc>
          <w:tcPr>
            <w:tcW w:w="730"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w:t>
            </w:r>
          </w:p>
        </w:tc>
        <w:tc>
          <w:tcPr>
            <w:tcW w:w="707"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否</w:t>
            </w:r>
          </w:p>
        </w:tc>
      </w:tr>
      <w:tr>
        <w:tblPrEx>
          <w:tblLayout w:type="fixed"/>
          <w:tblCellMar>
            <w:top w:w="0" w:type="dxa"/>
            <w:left w:w="108" w:type="dxa"/>
            <w:bottom w:w="0" w:type="dxa"/>
            <w:right w:w="108" w:type="dxa"/>
          </w:tblCellMar>
        </w:tblPrEx>
        <w:trPr>
          <w:trHeight w:val="1182" w:hRule="atLeast"/>
        </w:trPr>
        <w:tc>
          <w:tcPr>
            <w:tcW w:w="4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14</w:t>
            </w:r>
          </w:p>
        </w:tc>
        <w:tc>
          <w:tcPr>
            <w:tcW w:w="1135"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采播终端</w:t>
            </w:r>
          </w:p>
        </w:tc>
        <w:tc>
          <w:tcPr>
            <w:tcW w:w="68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sz w:val="24"/>
                <w:szCs w:val="24"/>
              </w:rPr>
              <w:t>★</w:t>
            </w:r>
            <w:r>
              <w:rPr>
                <w:rFonts w:hint="eastAsia" w:ascii="新宋体" w:hAnsi="新宋体" w:eastAsia="新宋体" w:cs="新宋体"/>
                <w:color w:val="000000"/>
                <w:kern w:val="0"/>
                <w:sz w:val="24"/>
                <w:szCs w:val="24"/>
              </w:rPr>
              <w:t>1、根据系统任务，可将模拟音频流实时编码上传至智慧广播播控系统，</w:t>
            </w:r>
          </w:p>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2、终端通过串口或网络接口连上后，可通过配置工具查询、配置参数；</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sz w:val="24"/>
                <w:szCs w:val="24"/>
              </w:rPr>
              <w:t>★</w:t>
            </w:r>
            <w:r>
              <w:rPr>
                <w:rFonts w:hint="eastAsia" w:ascii="新宋体" w:hAnsi="新宋体" w:eastAsia="新宋体" w:cs="新宋体"/>
                <w:color w:val="000000"/>
                <w:kern w:val="0"/>
                <w:sz w:val="24"/>
                <w:szCs w:val="24"/>
              </w:rPr>
              <w:t>3、可通过面板指示灯显示产品工作状态;</w:t>
            </w:r>
          </w:p>
          <w:p>
            <w:pPr>
              <w:widowControl/>
              <w:jc w:val="left"/>
              <w:rPr>
                <w:rFonts w:hint="eastAsia" w:ascii="新宋体" w:hAnsi="新宋体" w:eastAsia="新宋体" w:cs="新宋体"/>
                <w:kern w:val="0"/>
                <w:sz w:val="24"/>
                <w:szCs w:val="24"/>
              </w:rPr>
            </w:pPr>
            <w:r>
              <w:rPr>
                <w:rFonts w:hint="eastAsia" w:ascii="新宋体" w:hAnsi="新宋体" w:eastAsia="新宋体" w:cs="新宋体"/>
                <w:color w:val="000000"/>
                <w:sz w:val="24"/>
                <w:szCs w:val="24"/>
              </w:rPr>
              <w:t>★</w:t>
            </w:r>
            <w:r>
              <w:rPr>
                <w:rFonts w:hint="eastAsia" w:ascii="新宋体" w:hAnsi="新宋体" w:eastAsia="新宋体" w:cs="新宋体"/>
                <w:color w:val="000000"/>
                <w:kern w:val="0"/>
                <w:sz w:val="24"/>
                <w:szCs w:val="24"/>
              </w:rPr>
              <w:t>4、可通过串口和网络对产品程序升级；</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5、音频输入灵敏度：0.775V /2kΩ（不平衡）；</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6、频响：40Hz～20kHz；</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7、信噪比：大于80dB；</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8、失真度：小于0.1%；</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sz w:val="24"/>
                <w:szCs w:val="24"/>
              </w:rPr>
              <w:t>★</w:t>
            </w:r>
            <w:r>
              <w:rPr>
                <w:rFonts w:hint="eastAsia" w:ascii="新宋体" w:hAnsi="新宋体" w:eastAsia="新宋体" w:cs="新宋体"/>
                <w:color w:val="000000"/>
                <w:kern w:val="0"/>
                <w:sz w:val="24"/>
                <w:szCs w:val="24"/>
              </w:rPr>
              <w:t>9、防雷等级：电源达到2级；按GB17626.5-2008的要求进行；</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sz w:val="24"/>
                <w:szCs w:val="24"/>
              </w:rPr>
              <w:t>★</w:t>
            </w:r>
            <w:r>
              <w:rPr>
                <w:rFonts w:hint="eastAsia" w:ascii="新宋体" w:hAnsi="新宋体" w:eastAsia="新宋体" w:cs="新宋体"/>
                <w:color w:val="000000"/>
                <w:kern w:val="0"/>
                <w:sz w:val="24"/>
                <w:szCs w:val="24"/>
              </w:rPr>
              <w:t>10、电压范围：AC 100～264V/50Hz；</w:t>
            </w:r>
          </w:p>
        </w:tc>
        <w:tc>
          <w:tcPr>
            <w:tcW w:w="31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台</w:t>
            </w:r>
          </w:p>
        </w:tc>
        <w:tc>
          <w:tcPr>
            <w:tcW w:w="7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w:t>
            </w:r>
          </w:p>
        </w:tc>
        <w:tc>
          <w:tcPr>
            <w:tcW w:w="707"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是</w:t>
            </w:r>
          </w:p>
        </w:tc>
      </w:tr>
      <w:tr>
        <w:tblPrEx>
          <w:tblLayout w:type="fixed"/>
          <w:tblCellMar>
            <w:top w:w="0" w:type="dxa"/>
            <w:left w:w="108" w:type="dxa"/>
            <w:bottom w:w="0" w:type="dxa"/>
            <w:right w:w="108" w:type="dxa"/>
          </w:tblCellMar>
        </w:tblPrEx>
        <w:trPr>
          <w:trHeight w:val="1182" w:hRule="atLeast"/>
        </w:trPr>
        <w:tc>
          <w:tcPr>
            <w:tcW w:w="4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15</w:t>
            </w:r>
          </w:p>
        </w:tc>
        <w:tc>
          <w:tcPr>
            <w:tcW w:w="1135"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彩屏桌面话筒</w:t>
            </w:r>
          </w:p>
        </w:tc>
        <w:tc>
          <w:tcPr>
            <w:tcW w:w="68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left"/>
              <w:rPr>
                <w:rFonts w:hint="eastAsia" w:ascii="新宋体" w:hAnsi="新宋体" w:eastAsia="新宋体" w:cs="新宋体"/>
                <w:sz w:val="24"/>
                <w:szCs w:val="24"/>
              </w:rPr>
            </w:pPr>
            <w:r>
              <w:rPr>
                <w:rFonts w:hint="eastAsia" w:ascii="新宋体" w:hAnsi="新宋体" w:eastAsia="新宋体" w:cs="新宋体"/>
                <w:kern w:val="0"/>
                <w:sz w:val="24"/>
                <w:szCs w:val="24"/>
              </w:rPr>
              <w:t>1、</w:t>
            </w:r>
            <w:r>
              <w:rPr>
                <w:rFonts w:hint="eastAsia" w:ascii="新宋体" w:hAnsi="新宋体" w:eastAsia="新宋体" w:cs="新宋体"/>
                <w:sz w:val="24"/>
                <w:szCs w:val="24"/>
              </w:rPr>
              <w:t>面板自带≥7英寸真彩LCD液晶显示屏，支持触控操作，可直接配置IP地址和查看终端状态，人机操作界面的时代感更强；</w:t>
            </w:r>
          </w:p>
          <w:p>
            <w:pPr>
              <w:widowControl/>
              <w:jc w:val="left"/>
              <w:rPr>
                <w:rFonts w:hint="eastAsia" w:ascii="新宋体" w:hAnsi="新宋体" w:eastAsia="新宋体" w:cs="新宋体"/>
                <w:kern w:val="0"/>
                <w:sz w:val="24"/>
                <w:szCs w:val="24"/>
              </w:rPr>
            </w:pPr>
            <w:r>
              <w:rPr>
                <w:rFonts w:hint="eastAsia" w:ascii="新宋体" w:hAnsi="新宋体" w:eastAsia="新宋体" w:cs="新宋体"/>
                <w:sz w:val="24"/>
                <w:szCs w:val="24"/>
              </w:rPr>
              <w:t>★</w:t>
            </w:r>
            <w:r>
              <w:rPr>
                <w:rFonts w:hint="eastAsia" w:ascii="新宋体" w:hAnsi="新宋体" w:eastAsia="新宋体" w:cs="新宋体"/>
                <w:kern w:val="0"/>
                <w:sz w:val="24"/>
                <w:szCs w:val="24"/>
              </w:rPr>
              <w:t>2、</w:t>
            </w:r>
            <w:r>
              <w:rPr>
                <w:rFonts w:hint="eastAsia" w:ascii="新宋体" w:hAnsi="新宋体" w:eastAsia="新宋体" w:cs="新宋体"/>
                <w:color w:val="000000"/>
                <w:kern w:val="0"/>
                <w:sz w:val="24"/>
                <w:szCs w:val="24"/>
              </w:rPr>
              <w:t>具有多个一键呼叫按键，便于呼叫不同的分区；</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sz w:val="24"/>
                <w:szCs w:val="24"/>
              </w:rPr>
              <w:t>★</w:t>
            </w:r>
            <w:r>
              <w:rPr>
                <w:rFonts w:hint="eastAsia" w:ascii="新宋体" w:hAnsi="新宋体" w:eastAsia="新宋体" w:cs="新宋体"/>
                <w:bCs/>
                <w:color w:val="000000"/>
                <w:kern w:val="0"/>
                <w:sz w:val="24"/>
                <w:szCs w:val="24"/>
              </w:rPr>
              <w:t>3、支持双向对讲功能，双向终端之间实现两两双向对讲；</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sz w:val="24"/>
                <w:szCs w:val="24"/>
              </w:rPr>
              <w:t>★</w:t>
            </w:r>
            <w:r>
              <w:rPr>
                <w:rFonts w:hint="eastAsia" w:ascii="新宋体" w:hAnsi="新宋体" w:eastAsia="新宋体" w:cs="新宋体"/>
                <w:color w:val="000000"/>
                <w:kern w:val="0"/>
                <w:sz w:val="24"/>
                <w:szCs w:val="24"/>
              </w:rPr>
              <w:t>4、支持U盘点播，可点播U盘上的文件到其他终端播放；</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5、支持静态IP和DHCP两种方式，跨网段，跨路由，配置使用方便。</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6、内置3W全频监听扬声器，声音清晰、洪亮；具有监听功能，用于监听其他广播终端采集到的环境声音；</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7、支持一路本地线路输入，并具有IP编码功能；</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8、支持一路本地线路输出，可外扩功放；</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sz w:val="24"/>
                <w:szCs w:val="24"/>
              </w:rPr>
              <w:t>★</w:t>
            </w:r>
            <w:r>
              <w:rPr>
                <w:rFonts w:hint="eastAsia" w:ascii="新宋体" w:hAnsi="新宋体" w:eastAsia="新宋体" w:cs="新宋体"/>
                <w:color w:val="000000"/>
                <w:kern w:val="0"/>
                <w:sz w:val="24"/>
                <w:szCs w:val="24"/>
              </w:rPr>
              <w:t>9、支持网络在线升级；</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10、输入灵敏度：线路输入：100mVrms/20KΩ</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11、输出灵敏度：线缆输出0.775Vrms/300Ω</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12、</w:t>
            </w:r>
            <w:r>
              <w:rPr>
                <w:rFonts w:hint="eastAsia" w:ascii="新宋体" w:hAnsi="新宋体" w:eastAsia="新宋体" w:cs="新宋体"/>
                <w:b/>
                <w:bCs/>
                <w:color w:val="000000"/>
                <w:kern w:val="0"/>
                <w:sz w:val="24"/>
                <w:szCs w:val="24"/>
              </w:rPr>
              <w:t>信噪比：＞80dB</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13、</w:t>
            </w:r>
            <w:r>
              <w:rPr>
                <w:rFonts w:hint="eastAsia" w:ascii="新宋体" w:hAnsi="新宋体" w:eastAsia="新宋体" w:cs="新宋体"/>
                <w:b/>
                <w:bCs/>
                <w:color w:val="000000"/>
                <w:kern w:val="0"/>
                <w:sz w:val="24"/>
                <w:szCs w:val="24"/>
              </w:rPr>
              <w:t>频率响应：40Hz～20kHz（±3dB）</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14、网络通讯协议：ARP、UDP、TCP/IP、ICMP、IGMP</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sz w:val="24"/>
                <w:szCs w:val="24"/>
              </w:rPr>
              <w:t>★</w:t>
            </w:r>
            <w:r>
              <w:rPr>
                <w:rFonts w:hint="eastAsia" w:ascii="新宋体" w:hAnsi="新宋体" w:eastAsia="新宋体" w:cs="新宋体"/>
                <w:color w:val="000000"/>
                <w:kern w:val="0"/>
                <w:sz w:val="24"/>
                <w:szCs w:val="24"/>
              </w:rPr>
              <w:t>15、音频位率：8Kbps~320Kbps；</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16、音频格式：MP3</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17、传输速率：10/100Mbps</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18、网络延时：≤50ms</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19、网络接口：标准RJ-45。</w:t>
            </w:r>
          </w:p>
        </w:tc>
        <w:tc>
          <w:tcPr>
            <w:tcW w:w="31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只</w:t>
            </w:r>
          </w:p>
        </w:tc>
        <w:tc>
          <w:tcPr>
            <w:tcW w:w="7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w:t>
            </w:r>
          </w:p>
        </w:tc>
        <w:tc>
          <w:tcPr>
            <w:tcW w:w="707"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是</w:t>
            </w:r>
          </w:p>
        </w:tc>
      </w:tr>
      <w:tr>
        <w:tblPrEx>
          <w:tblLayout w:type="fixed"/>
          <w:tblCellMar>
            <w:top w:w="0" w:type="dxa"/>
            <w:left w:w="108" w:type="dxa"/>
            <w:bottom w:w="0" w:type="dxa"/>
            <w:right w:w="108" w:type="dxa"/>
          </w:tblCellMar>
        </w:tblPrEx>
        <w:trPr>
          <w:trHeight w:val="401" w:hRule="atLeast"/>
        </w:trPr>
        <w:tc>
          <w:tcPr>
            <w:tcW w:w="4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16</w:t>
            </w:r>
          </w:p>
        </w:tc>
        <w:tc>
          <w:tcPr>
            <w:tcW w:w="1135"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辅材及安装</w:t>
            </w:r>
          </w:p>
        </w:tc>
        <w:tc>
          <w:tcPr>
            <w:tcW w:w="68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工程辅材，含网线、电源线、音频线、电源插座等辅助材料。采用国内一线品牌。</w:t>
            </w:r>
          </w:p>
        </w:tc>
        <w:tc>
          <w:tcPr>
            <w:tcW w:w="31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批</w:t>
            </w:r>
          </w:p>
        </w:tc>
        <w:tc>
          <w:tcPr>
            <w:tcW w:w="7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w:t>
            </w:r>
          </w:p>
        </w:tc>
        <w:tc>
          <w:tcPr>
            <w:tcW w:w="707"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否</w:t>
            </w:r>
          </w:p>
        </w:tc>
      </w:tr>
      <w:tr>
        <w:tblPrEx>
          <w:tblLayout w:type="fixed"/>
          <w:tblCellMar>
            <w:top w:w="0" w:type="dxa"/>
            <w:left w:w="108" w:type="dxa"/>
            <w:bottom w:w="0" w:type="dxa"/>
            <w:right w:w="108" w:type="dxa"/>
          </w:tblCellMar>
        </w:tblPrEx>
        <w:trPr>
          <w:trHeight w:val="397" w:hRule="atLeast"/>
        </w:trPr>
        <w:tc>
          <w:tcPr>
            <w:tcW w:w="4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17</w:t>
            </w:r>
          </w:p>
        </w:tc>
        <w:tc>
          <w:tcPr>
            <w:tcW w:w="1135"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播控桌</w:t>
            </w:r>
          </w:p>
        </w:tc>
        <w:tc>
          <w:tcPr>
            <w:tcW w:w="68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sz w:val="24"/>
                <w:szCs w:val="24"/>
              </w:rPr>
              <w:t>尺寸：1800*800*750；能嵌入8路调音台；材质：优质冷轧钢板+喷塑；</w:t>
            </w:r>
          </w:p>
        </w:tc>
        <w:tc>
          <w:tcPr>
            <w:tcW w:w="31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台</w:t>
            </w:r>
          </w:p>
        </w:tc>
        <w:tc>
          <w:tcPr>
            <w:tcW w:w="7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w:t>
            </w:r>
          </w:p>
        </w:tc>
        <w:tc>
          <w:tcPr>
            <w:tcW w:w="707"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否</w:t>
            </w:r>
          </w:p>
        </w:tc>
      </w:tr>
      <w:tr>
        <w:tblPrEx>
          <w:tblLayout w:type="fixed"/>
          <w:tblCellMar>
            <w:top w:w="0" w:type="dxa"/>
            <w:left w:w="108" w:type="dxa"/>
            <w:bottom w:w="0" w:type="dxa"/>
            <w:right w:w="108" w:type="dxa"/>
          </w:tblCellMar>
        </w:tblPrEx>
        <w:trPr>
          <w:trHeight w:val="88" w:hRule="atLeast"/>
        </w:trPr>
        <w:tc>
          <w:tcPr>
            <w:tcW w:w="4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18</w:t>
            </w:r>
          </w:p>
        </w:tc>
        <w:tc>
          <w:tcPr>
            <w:tcW w:w="1135"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服务器机柜</w:t>
            </w:r>
          </w:p>
        </w:tc>
        <w:tc>
          <w:tcPr>
            <w:tcW w:w="68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高度1.6米，标准机柜 </w:t>
            </w:r>
          </w:p>
        </w:tc>
        <w:tc>
          <w:tcPr>
            <w:tcW w:w="31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台</w:t>
            </w:r>
          </w:p>
        </w:tc>
        <w:tc>
          <w:tcPr>
            <w:tcW w:w="7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w:t>
            </w:r>
          </w:p>
        </w:tc>
        <w:tc>
          <w:tcPr>
            <w:tcW w:w="707"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否</w:t>
            </w:r>
          </w:p>
        </w:tc>
      </w:tr>
      <w:tr>
        <w:tblPrEx>
          <w:tblLayout w:type="fixed"/>
          <w:tblCellMar>
            <w:top w:w="0" w:type="dxa"/>
            <w:left w:w="108" w:type="dxa"/>
            <w:bottom w:w="0" w:type="dxa"/>
            <w:right w:w="108" w:type="dxa"/>
          </w:tblCellMar>
        </w:tblPrEx>
        <w:trPr>
          <w:trHeight w:val="301" w:hRule="atLeast"/>
        </w:trPr>
        <w:tc>
          <w:tcPr>
            <w:tcW w:w="1026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新宋体" w:hAnsi="新宋体" w:eastAsia="新宋体" w:cs="新宋体"/>
                <w:b/>
                <w:bCs/>
                <w:color w:val="000000"/>
                <w:sz w:val="24"/>
                <w:szCs w:val="24"/>
              </w:rPr>
            </w:pPr>
            <w:r>
              <w:rPr>
                <w:rFonts w:hint="eastAsia" w:ascii="新宋体" w:hAnsi="新宋体" w:eastAsia="新宋体" w:cs="新宋体"/>
                <w:b/>
                <w:color w:val="000000"/>
                <w:kern w:val="0"/>
                <w:sz w:val="24"/>
                <w:szCs w:val="24"/>
              </w:rPr>
              <w:t>二、乡级平台</w:t>
            </w:r>
          </w:p>
        </w:tc>
      </w:tr>
      <w:tr>
        <w:tblPrEx>
          <w:tblLayout w:type="fixed"/>
          <w:tblCellMar>
            <w:top w:w="0" w:type="dxa"/>
            <w:left w:w="108" w:type="dxa"/>
            <w:bottom w:w="0" w:type="dxa"/>
            <w:right w:w="108" w:type="dxa"/>
          </w:tblCellMar>
        </w:tblPrEx>
        <w:trPr>
          <w:trHeight w:val="4560" w:hRule="atLeast"/>
        </w:trPr>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w:t>
            </w: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color w:val="000000"/>
                <w:kern w:val="0"/>
                <w:sz w:val="24"/>
                <w:szCs w:val="24"/>
              </w:rPr>
              <w:t>工作站</w:t>
            </w:r>
          </w:p>
        </w:tc>
        <w:tc>
          <w:tcPr>
            <w:tcW w:w="68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textAlignment w:val="center"/>
              <w:rPr>
                <w:rFonts w:hint="eastAsia" w:ascii="新宋体" w:hAnsi="新宋体" w:eastAsia="新宋体" w:cs="新宋体"/>
                <w:color w:val="000000"/>
                <w:kern w:val="0"/>
                <w:sz w:val="24"/>
                <w:szCs w:val="24"/>
                <w:lang w:val="zh-CN"/>
              </w:rPr>
            </w:pPr>
            <w:r>
              <w:rPr>
                <w:rFonts w:hint="eastAsia" w:ascii="新宋体" w:hAnsi="新宋体" w:eastAsia="新宋体" w:cs="新宋体"/>
                <w:kern w:val="0"/>
                <w:sz w:val="24"/>
                <w:szCs w:val="24"/>
              </w:rPr>
              <w:t>★1.</w:t>
            </w:r>
            <w:r>
              <w:rPr>
                <w:rFonts w:hint="eastAsia" w:ascii="新宋体" w:hAnsi="新宋体" w:eastAsia="新宋体" w:cs="新宋体"/>
                <w:color w:val="000000"/>
                <w:kern w:val="0"/>
                <w:sz w:val="24"/>
                <w:szCs w:val="24"/>
                <w:lang w:val="zh-CN"/>
              </w:rPr>
              <w:t>处理器：双核处理器，主频≥ 3.5GHz，</w:t>
            </w:r>
          </w:p>
          <w:p>
            <w:pPr>
              <w:jc w:val="left"/>
              <w:textAlignment w:val="center"/>
              <w:rPr>
                <w:rFonts w:hint="eastAsia" w:ascii="新宋体" w:hAnsi="新宋体" w:eastAsia="新宋体" w:cs="新宋体"/>
                <w:color w:val="000000"/>
                <w:kern w:val="0"/>
                <w:sz w:val="24"/>
                <w:szCs w:val="24"/>
                <w:lang w:val="zh-CN"/>
              </w:rPr>
            </w:pPr>
            <w:r>
              <w:rPr>
                <w:rFonts w:hint="eastAsia" w:ascii="新宋体" w:hAnsi="新宋体" w:eastAsia="新宋体" w:cs="新宋体"/>
                <w:kern w:val="0"/>
                <w:sz w:val="24"/>
                <w:szCs w:val="24"/>
              </w:rPr>
              <w:t>★2.</w:t>
            </w:r>
            <w:r>
              <w:rPr>
                <w:rFonts w:hint="eastAsia" w:ascii="新宋体" w:hAnsi="新宋体" w:eastAsia="新宋体" w:cs="新宋体"/>
                <w:color w:val="000000"/>
                <w:kern w:val="0"/>
                <w:sz w:val="24"/>
                <w:szCs w:val="24"/>
                <w:lang w:val="zh-CN"/>
              </w:rPr>
              <w:t>芯片组：B350及以上芯片组</w:t>
            </w:r>
          </w:p>
          <w:p>
            <w:pPr>
              <w:jc w:val="left"/>
              <w:textAlignment w:val="center"/>
              <w:rPr>
                <w:rFonts w:hint="eastAsia" w:ascii="新宋体" w:hAnsi="新宋体" w:eastAsia="新宋体" w:cs="新宋体"/>
                <w:color w:val="000000"/>
                <w:kern w:val="0"/>
                <w:sz w:val="24"/>
                <w:szCs w:val="24"/>
                <w:lang w:val="zh-CN"/>
              </w:rPr>
            </w:pPr>
            <w:r>
              <w:rPr>
                <w:rFonts w:hint="eastAsia" w:ascii="新宋体" w:hAnsi="新宋体" w:eastAsia="新宋体" w:cs="新宋体"/>
                <w:kern w:val="0"/>
                <w:sz w:val="24"/>
                <w:szCs w:val="24"/>
              </w:rPr>
              <w:t>★3.</w:t>
            </w:r>
            <w:r>
              <w:rPr>
                <w:rFonts w:hint="eastAsia" w:ascii="新宋体" w:hAnsi="新宋体" w:eastAsia="新宋体" w:cs="新宋体"/>
                <w:color w:val="000000"/>
                <w:kern w:val="0"/>
                <w:sz w:val="24"/>
                <w:szCs w:val="24"/>
                <w:lang w:val="zh-CN"/>
              </w:rPr>
              <w:t>内存：≥8G DDR4 2666MHz 双内存插槽，最大支持32G内存</w:t>
            </w:r>
          </w:p>
          <w:p>
            <w:pPr>
              <w:jc w:val="left"/>
              <w:textAlignment w:val="center"/>
              <w:rPr>
                <w:rFonts w:hint="eastAsia" w:ascii="新宋体" w:hAnsi="新宋体" w:eastAsia="新宋体" w:cs="新宋体"/>
                <w:color w:val="000000"/>
                <w:kern w:val="0"/>
                <w:sz w:val="24"/>
                <w:szCs w:val="24"/>
                <w:lang w:val="zh-CN"/>
              </w:rPr>
            </w:pPr>
            <w:r>
              <w:rPr>
                <w:rFonts w:hint="eastAsia" w:ascii="新宋体" w:hAnsi="新宋体" w:eastAsia="新宋体" w:cs="新宋体"/>
                <w:kern w:val="0"/>
                <w:sz w:val="24"/>
                <w:szCs w:val="24"/>
              </w:rPr>
              <w:t>★4.</w:t>
            </w:r>
            <w:r>
              <w:rPr>
                <w:rFonts w:hint="eastAsia" w:ascii="新宋体" w:hAnsi="新宋体" w:eastAsia="新宋体" w:cs="新宋体"/>
                <w:color w:val="000000"/>
                <w:kern w:val="0"/>
                <w:sz w:val="24"/>
                <w:szCs w:val="24"/>
                <w:lang w:val="zh-CN"/>
              </w:rPr>
              <w:t>硬盘:≥256G固态硬盘</w:t>
            </w:r>
          </w:p>
          <w:p>
            <w:pPr>
              <w:jc w:val="left"/>
              <w:textAlignment w:val="center"/>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zh-CN"/>
              </w:rPr>
              <w:t>5.显卡:集成显卡</w:t>
            </w:r>
          </w:p>
          <w:p>
            <w:pPr>
              <w:jc w:val="left"/>
              <w:textAlignment w:val="center"/>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zh-CN"/>
              </w:rPr>
              <w:t>6.网卡:集成千兆网卡</w:t>
            </w:r>
          </w:p>
          <w:p>
            <w:pPr>
              <w:jc w:val="left"/>
              <w:textAlignment w:val="center"/>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zh-CN"/>
              </w:rPr>
              <w:t>7.接口:USB接口≥8个，其中出厂标配后置USB≥6个； HDMI*1；RJ-45*1; VGA*1；1个串口；支持双屏显示，前置多合一读卡器，前置麦克风/耳机组合插孔；</w:t>
            </w:r>
          </w:p>
          <w:p>
            <w:pPr>
              <w:jc w:val="left"/>
              <w:textAlignment w:val="center"/>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zh-CN"/>
              </w:rPr>
              <w:t>8.插槽:M.2接口≥2个; PCIe(x1) ≥1个; PCIe(x16) ≥1个; PCI≥1个；</w:t>
            </w:r>
          </w:p>
          <w:p>
            <w:pPr>
              <w:jc w:val="left"/>
              <w:textAlignment w:val="center"/>
              <w:rPr>
                <w:rFonts w:hint="eastAsia" w:ascii="新宋体" w:hAnsi="新宋体" w:eastAsia="新宋体" w:cs="新宋体"/>
                <w:color w:val="000000"/>
                <w:kern w:val="0"/>
                <w:sz w:val="24"/>
                <w:szCs w:val="24"/>
                <w:lang w:val="zh-CN"/>
              </w:rPr>
            </w:pPr>
            <w:r>
              <w:rPr>
                <w:rFonts w:hint="eastAsia" w:ascii="新宋体" w:hAnsi="新宋体" w:eastAsia="新宋体" w:cs="新宋体"/>
                <w:kern w:val="0"/>
                <w:sz w:val="24"/>
                <w:szCs w:val="24"/>
              </w:rPr>
              <w:t>★</w:t>
            </w:r>
            <w:r>
              <w:rPr>
                <w:rFonts w:hint="eastAsia" w:ascii="新宋体" w:hAnsi="新宋体" w:eastAsia="新宋体" w:cs="新宋体"/>
                <w:color w:val="000000"/>
                <w:kern w:val="0"/>
                <w:sz w:val="24"/>
                <w:szCs w:val="24"/>
                <w:lang w:val="zh-CN"/>
              </w:rPr>
              <w:t>9.机箱</w:t>
            </w:r>
            <w:r>
              <w:rPr>
                <w:rFonts w:hint="eastAsia" w:ascii="新宋体" w:hAnsi="新宋体" w:eastAsia="新宋体" w:cs="新宋体"/>
                <w:color w:val="000000"/>
                <w:kern w:val="0"/>
                <w:sz w:val="24"/>
                <w:szCs w:val="24"/>
                <w:lang w:val="zh-CN"/>
              </w:rPr>
              <w:tab/>
            </w:r>
            <w:r>
              <w:rPr>
                <w:rFonts w:hint="eastAsia" w:ascii="新宋体" w:hAnsi="新宋体" w:eastAsia="新宋体" w:cs="新宋体"/>
                <w:color w:val="000000"/>
                <w:kern w:val="0"/>
                <w:sz w:val="24"/>
                <w:szCs w:val="24"/>
                <w:lang w:val="zh-CN"/>
              </w:rPr>
              <w:t>容积≥15L，内置扩音器或外置同品牌音响</w:t>
            </w:r>
          </w:p>
          <w:p>
            <w:pPr>
              <w:jc w:val="left"/>
              <w:textAlignment w:val="center"/>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zh-CN"/>
              </w:rPr>
              <w:t>10.输入设备:</w:t>
            </w:r>
            <w:r>
              <w:rPr>
                <w:rFonts w:hint="eastAsia" w:ascii="新宋体" w:hAnsi="新宋体" w:eastAsia="新宋体" w:cs="新宋体"/>
                <w:color w:val="000000"/>
                <w:kern w:val="0"/>
                <w:sz w:val="24"/>
                <w:szCs w:val="24"/>
                <w:lang w:val="zh-CN"/>
              </w:rPr>
              <w:tab/>
            </w:r>
            <w:r>
              <w:rPr>
                <w:rFonts w:hint="eastAsia" w:ascii="新宋体" w:hAnsi="新宋体" w:eastAsia="新宋体" w:cs="新宋体"/>
                <w:color w:val="000000"/>
                <w:kern w:val="0"/>
                <w:sz w:val="24"/>
                <w:szCs w:val="24"/>
                <w:lang w:val="zh-CN"/>
              </w:rPr>
              <w:t>抗菌防水键盘、抗菌鼠标</w:t>
            </w:r>
          </w:p>
          <w:p>
            <w:pPr>
              <w:jc w:val="left"/>
              <w:textAlignment w:val="center"/>
              <w:rPr>
                <w:rFonts w:hint="eastAsia" w:ascii="新宋体" w:hAnsi="新宋体" w:eastAsia="新宋体" w:cs="新宋体"/>
                <w:color w:val="000000"/>
                <w:kern w:val="0"/>
                <w:sz w:val="24"/>
                <w:szCs w:val="24"/>
                <w:lang w:val="zh-CN"/>
              </w:rPr>
            </w:pPr>
            <w:r>
              <w:rPr>
                <w:rFonts w:hint="eastAsia" w:ascii="新宋体" w:hAnsi="新宋体" w:eastAsia="新宋体" w:cs="新宋体"/>
                <w:kern w:val="0"/>
                <w:sz w:val="24"/>
                <w:szCs w:val="24"/>
              </w:rPr>
              <w:t>★11.</w:t>
            </w:r>
            <w:r>
              <w:rPr>
                <w:rFonts w:hint="eastAsia" w:ascii="新宋体" w:hAnsi="新宋体" w:eastAsia="新宋体" w:cs="新宋体"/>
                <w:color w:val="000000"/>
                <w:kern w:val="0"/>
                <w:sz w:val="24"/>
                <w:szCs w:val="24"/>
                <w:lang w:val="zh-CN"/>
              </w:rPr>
              <w:t>电源:≥305W高效节能电源，能效比≥90%</w:t>
            </w:r>
          </w:p>
          <w:p>
            <w:pPr>
              <w:jc w:val="left"/>
              <w:textAlignment w:val="center"/>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zh-CN"/>
              </w:rPr>
              <w:t>12.操作系统:</w:t>
            </w:r>
            <w:r>
              <w:rPr>
                <w:rFonts w:hint="eastAsia" w:ascii="新宋体" w:hAnsi="新宋体" w:eastAsia="新宋体" w:cs="新宋体"/>
                <w:color w:val="000000"/>
                <w:kern w:val="0"/>
                <w:sz w:val="24"/>
                <w:szCs w:val="24"/>
                <w:lang w:val="zh-CN"/>
              </w:rPr>
              <w:tab/>
            </w:r>
            <w:r>
              <w:rPr>
                <w:rFonts w:hint="eastAsia" w:ascii="新宋体" w:hAnsi="新宋体" w:eastAsia="新宋体" w:cs="新宋体"/>
                <w:color w:val="000000"/>
                <w:kern w:val="0"/>
                <w:sz w:val="24"/>
                <w:szCs w:val="24"/>
                <w:lang w:val="zh-CN"/>
              </w:rPr>
              <w:t>出厂预装正版Windows 64位操作系统</w:t>
            </w:r>
          </w:p>
          <w:p>
            <w:pPr>
              <w:jc w:val="left"/>
              <w:textAlignment w:val="center"/>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zh-CN"/>
              </w:rPr>
              <w:t>13.显示器:≥19.5英寸液晶显示器，通过低蓝光认证</w:t>
            </w:r>
          </w:p>
          <w:p>
            <w:pPr>
              <w:pStyle w:val="20"/>
              <w:ind w:firstLine="0" w:firstLineChars="0"/>
              <w:rPr>
                <w:rFonts w:hint="eastAsia" w:ascii="新宋体" w:hAnsi="新宋体" w:eastAsia="新宋体" w:cs="新宋体"/>
                <w:color w:val="000000"/>
                <w:sz w:val="24"/>
                <w:szCs w:val="24"/>
                <w:lang w:val="zh-CN" w:eastAsia="zh-CN"/>
              </w:rPr>
            </w:pPr>
            <w:r>
              <w:rPr>
                <w:rFonts w:hint="eastAsia" w:ascii="新宋体" w:hAnsi="新宋体" w:eastAsia="新宋体" w:cs="新宋体"/>
                <w:sz w:val="24"/>
                <w:szCs w:val="24"/>
                <w:lang w:val="en-US" w:eastAsia="zh-CN"/>
              </w:rPr>
              <w:t>★14.</w:t>
            </w:r>
            <w:r>
              <w:rPr>
                <w:rFonts w:hint="eastAsia" w:ascii="新宋体" w:hAnsi="新宋体" w:eastAsia="新宋体" w:cs="新宋体"/>
                <w:color w:val="000000"/>
                <w:sz w:val="24"/>
                <w:szCs w:val="24"/>
                <w:lang w:val="zh-CN" w:eastAsia="zh-CN"/>
              </w:rPr>
              <w:t>保修:三年免费保修及三年免费上门</w:t>
            </w:r>
          </w:p>
        </w:tc>
        <w:tc>
          <w:tcPr>
            <w:tcW w:w="31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套</w:t>
            </w:r>
          </w:p>
        </w:tc>
        <w:tc>
          <w:tcPr>
            <w:tcW w:w="7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26</w:t>
            </w:r>
          </w:p>
        </w:tc>
        <w:tc>
          <w:tcPr>
            <w:tcW w:w="7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是</w:t>
            </w:r>
          </w:p>
        </w:tc>
      </w:tr>
      <w:tr>
        <w:tblPrEx>
          <w:tblLayout w:type="fixed"/>
          <w:tblCellMar>
            <w:top w:w="0" w:type="dxa"/>
            <w:left w:w="108" w:type="dxa"/>
            <w:bottom w:w="0" w:type="dxa"/>
            <w:right w:w="108" w:type="dxa"/>
          </w:tblCellMar>
        </w:tblPrEx>
        <w:trPr>
          <w:trHeight w:val="368" w:hRule="atLeast"/>
        </w:trPr>
        <w:tc>
          <w:tcPr>
            <w:tcW w:w="489"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kern w:val="0"/>
                <w:sz w:val="24"/>
                <w:szCs w:val="24"/>
                <w:lang w:bidi="ar"/>
              </w:rPr>
              <w:t>2</w:t>
            </w:r>
          </w:p>
        </w:tc>
        <w:tc>
          <w:tcPr>
            <w:tcW w:w="1135"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color w:val="000000"/>
                <w:kern w:val="0"/>
                <w:sz w:val="24"/>
                <w:szCs w:val="24"/>
              </w:rPr>
              <w:t>IP音视频终端软件</w:t>
            </w:r>
          </w:p>
        </w:tc>
        <w:tc>
          <w:tcPr>
            <w:tcW w:w="6889"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新宋体" w:hAnsi="新宋体" w:eastAsia="新宋体" w:cs="新宋体"/>
                <w:bCs/>
                <w:color w:val="000000"/>
                <w:sz w:val="24"/>
                <w:szCs w:val="24"/>
              </w:rPr>
            </w:pPr>
            <w:r>
              <w:rPr>
                <w:rFonts w:hint="eastAsia" w:ascii="新宋体" w:hAnsi="新宋体" w:eastAsia="新宋体" w:cs="新宋体"/>
                <w:sz w:val="24"/>
                <w:szCs w:val="24"/>
              </w:rPr>
              <w:t>1.适用于局域网和广域网。</w:t>
            </w:r>
            <w:r>
              <w:rPr>
                <w:rFonts w:hint="eastAsia" w:ascii="新宋体" w:hAnsi="新宋体" w:eastAsia="新宋体" w:cs="新宋体"/>
                <w:sz w:val="24"/>
                <w:szCs w:val="24"/>
              </w:rPr>
              <w:br w:type="textWrapping"/>
            </w:r>
            <w:r>
              <w:rPr>
                <w:rFonts w:hint="eastAsia" w:ascii="新宋体" w:hAnsi="新宋体" w:eastAsia="新宋体" w:cs="新宋体"/>
                <w:sz w:val="24"/>
                <w:szCs w:val="24"/>
              </w:rPr>
              <w:t>2.支持实时广播。</w:t>
            </w:r>
            <w:r>
              <w:rPr>
                <w:rFonts w:hint="eastAsia" w:ascii="新宋体" w:hAnsi="新宋体" w:eastAsia="新宋体" w:cs="新宋体"/>
                <w:sz w:val="24"/>
                <w:szCs w:val="24"/>
              </w:rPr>
              <w:br w:type="textWrapping"/>
            </w:r>
            <w:r>
              <w:rPr>
                <w:rFonts w:hint="eastAsia" w:ascii="新宋体" w:hAnsi="新宋体" w:eastAsia="新宋体" w:cs="新宋体"/>
                <w:sz w:val="24"/>
                <w:szCs w:val="24"/>
              </w:rPr>
              <w:t>3.实时广播包括实时文件播放与实时采播，实时文件播放直接使用客户机上音频文件进行广播，适用与紧急广播，临时广播等；实时采播可以用于节目转播，办公室讲话等。</w:t>
            </w:r>
            <w:r>
              <w:rPr>
                <w:rFonts w:hint="eastAsia" w:ascii="新宋体" w:hAnsi="新宋体" w:eastAsia="新宋体" w:cs="新宋体"/>
                <w:sz w:val="24"/>
                <w:szCs w:val="24"/>
              </w:rPr>
              <w:br w:type="textWrapping"/>
            </w:r>
            <w:r>
              <w:rPr>
                <w:rFonts w:hint="eastAsia" w:ascii="新宋体" w:hAnsi="新宋体" w:eastAsia="新宋体" w:cs="新宋体"/>
                <w:sz w:val="24"/>
                <w:szCs w:val="24"/>
              </w:rPr>
              <w:t>4.带有状态显示界面，可以实时监测任意一个终端节点的使用状态。</w:t>
            </w:r>
            <w:r>
              <w:rPr>
                <w:rFonts w:hint="eastAsia" w:ascii="新宋体" w:hAnsi="新宋体" w:eastAsia="新宋体" w:cs="新宋体"/>
                <w:sz w:val="24"/>
                <w:szCs w:val="24"/>
              </w:rPr>
              <w:br w:type="textWrapping"/>
            </w:r>
            <w:r>
              <w:rPr>
                <w:rFonts w:hint="eastAsia" w:ascii="新宋体" w:hAnsi="新宋体" w:eastAsia="新宋体" w:cs="新宋体"/>
                <w:sz w:val="24"/>
                <w:szCs w:val="24"/>
              </w:rPr>
              <w:t>5.自动播放及定时功能：可以实现定时定点定区域定曲目播放，实现无人值守</w:t>
            </w:r>
            <w:r>
              <w:rPr>
                <w:rFonts w:hint="eastAsia" w:ascii="新宋体" w:hAnsi="新宋体" w:eastAsia="新宋体" w:cs="新宋体"/>
                <w:sz w:val="24"/>
                <w:szCs w:val="24"/>
              </w:rPr>
              <w:br w:type="textWrapping"/>
            </w:r>
            <w:r>
              <w:rPr>
                <w:rFonts w:hint="eastAsia" w:ascii="新宋体" w:hAnsi="新宋体" w:eastAsia="新宋体" w:cs="新宋体"/>
                <w:sz w:val="24"/>
                <w:szCs w:val="24"/>
              </w:rPr>
              <w:t>6.软件具备远程升级的功能，方便各功能的及时更新</w:t>
            </w:r>
            <w:r>
              <w:rPr>
                <w:rFonts w:hint="eastAsia" w:ascii="新宋体" w:hAnsi="新宋体" w:eastAsia="新宋体" w:cs="新宋体"/>
                <w:bCs/>
                <w:color w:val="000000"/>
                <w:sz w:val="24"/>
                <w:szCs w:val="24"/>
              </w:rPr>
              <w:t xml:space="preserve"> </w:t>
            </w:r>
          </w:p>
        </w:tc>
        <w:tc>
          <w:tcPr>
            <w:tcW w:w="310"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套</w:t>
            </w:r>
          </w:p>
        </w:tc>
        <w:tc>
          <w:tcPr>
            <w:tcW w:w="730"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26</w:t>
            </w:r>
          </w:p>
        </w:tc>
        <w:tc>
          <w:tcPr>
            <w:tcW w:w="707"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是</w:t>
            </w:r>
          </w:p>
        </w:tc>
      </w:tr>
      <w:tr>
        <w:tblPrEx>
          <w:tblLayout w:type="fixed"/>
          <w:tblCellMar>
            <w:top w:w="0" w:type="dxa"/>
            <w:left w:w="108" w:type="dxa"/>
            <w:bottom w:w="0" w:type="dxa"/>
            <w:right w:w="108" w:type="dxa"/>
          </w:tblCellMar>
        </w:tblPrEx>
        <w:trPr>
          <w:trHeight w:val="7984" w:hRule="atLeast"/>
        </w:trPr>
        <w:tc>
          <w:tcPr>
            <w:tcW w:w="4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3</w:t>
            </w:r>
          </w:p>
        </w:tc>
        <w:tc>
          <w:tcPr>
            <w:tcW w:w="1135"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color w:val="000000"/>
                <w:sz w:val="24"/>
                <w:szCs w:val="24"/>
              </w:rPr>
              <w:t>IP网络音箱</w:t>
            </w:r>
          </w:p>
        </w:tc>
        <w:tc>
          <w:tcPr>
            <w:tcW w:w="68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功能特性:</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1、木质外壳结构，高低音防磁喇叭单元，数字解码终端与音箱一体功能；</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2、采用固定静态的IP地址，当网络发生改变时地址不会丢失，工作稳定；</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3、硬件音频解码，音质达到CD级；</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4、可网络接收音频节目内容；</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5、支持本地线路输入，音量音调调节；</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6、自带功率输出，可接10W定阻4Ω无源副音箱；</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7、通过软件操作可对所有终端监听播出的内容；</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8、消防广播信号、网络广播信号和本地音源信号可触发网络音箱播音；</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技术参数:</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1、功率输出：2×15W</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 xml:space="preserve">2、输入灵敏度：音频输入:550mV/600Ω </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3、电源：AC 220V±10%/50Hz</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4、待机功率：＜1W</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5、音频位率：8Kbps～320Kbps自适应</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 xml:space="preserve">6、频率响应：40Hz～20KHz(±3dB) </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7、信噪比：≥90dB（A计权）</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8、采样率：8K～48KHz</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9、音频格式：MP3</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10、传输速率：100Mbps</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11、工作温度：-20℃～+85℃</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12、工作湿度：10%～90%</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13、尺寸：180×200×300mm</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14、重量：3.6Kg(主箱) 6.9Kg(主副箱)</w:t>
            </w:r>
          </w:p>
        </w:tc>
        <w:tc>
          <w:tcPr>
            <w:tcW w:w="31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对</w:t>
            </w:r>
          </w:p>
        </w:tc>
        <w:tc>
          <w:tcPr>
            <w:tcW w:w="7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26</w:t>
            </w:r>
          </w:p>
        </w:tc>
        <w:tc>
          <w:tcPr>
            <w:tcW w:w="707"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否</w:t>
            </w:r>
          </w:p>
        </w:tc>
      </w:tr>
      <w:tr>
        <w:tblPrEx>
          <w:tblLayout w:type="fixed"/>
          <w:tblCellMar>
            <w:top w:w="0" w:type="dxa"/>
            <w:left w:w="108" w:type="dxa"/>
            <w:bottom w:w="0" w:type="dxa"/>
            <w:right w:w="108" w:type="dxa"/>
          </w:tblCellMar>
        </w:tblPrEx>
        <w:trPr>
          <w:trHeight w:val="408" w:hRule="atLeast"/>
        </w:trPr>
        <w:tc>
          <w:tcPr>
            <w:tcW w:w="4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4</w:t>
            </w:r>
          </w:p>
        </w:tc>
        <w:tc>
          <w:tcPr>
            <w:tcW w:w="1135"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彩屏桌面话筒</w:t>
            </w:r>
          </w:p>
        </w:tc>
        <w:tc>
          <w:tcPr>
            <w:tcW w:w="68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lef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1、</w:t>
            </w:r>
            <w:r>
              <w:rPr>
                <w:rFonts w:hint="eastAsia" w:ascii="新宋体" w:hAnsi="新宋体" w:eastAsia="新宋体" w:cs="新宋体"/>
                <w:color w:val="000000"/>
                <w:sz w:val="24"/>
                <w:szCs w:val="24"/>
              </w:rPr>
              <w:t>面板自带≥7英寸真彩LCD液晶显示屏，支持触控操作，可直接配置IP地址和查看终端状态，人机操作界面的时代感更强；</w:t>
            </w:r>
          </w:p>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sz w:val="24"/>
                <w:szCs w:val="24"/>
              </w:rPr>
              <w:t>★</w:t>
            </w:r>
            <w:r>
              <w:rPr>
                <w:rFonts w:hint="eastAsia" w:ascii="新宋体" w:hAnsi="新宋体" w:eastAsia="新宋体" w:cs="新宋体"/>
                <w:color w:val="000000"/>
                <w:kern w:val="0"/>
                <w:sz w:val="24"/>
                <w:szCs w:val="24"/>
              </w:rPr>
              <w:t>2、具有多个一键呼叫按键，便于呼叫不同的分区；</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sz w:val="24"/>
                <w:szCs w:val="24"/>
              </w:rPr>
              <w:t>★</w:t>
            </w:r>
            <w:r>
              <w:rPr>
                <w:rFonts w:hint="eastAsia" w:ascii="新宋体" w:hAnsi="新宋体" w:eastAsia="新宋体" w:cs="新宋体"/>
                <w:bCs/>
                <w:color w:val="000000"/>
                <w:kern w:val="0"/>
                <w:sz w:val="24"/>
                <w:szCs w:val="24"/>
              </w:rPr>
              <w:t>3、支持双向对讲功能，双向终端之间实现两两双向对讲；</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sz w:val="24"/>
                <w:szCs w:val="24"/>
              </w:rPr>
              <w:t>★</w:t>
            </w:r>
            <w:r>
              <w:rPr>
                <w:rFonts w:hint="eastAsia" w:ascii="新宋体" w:hAnsi="新宋体" w:eastAsia="新宋体" w:cs="新宋体"/>
                <w:color w:val="000000"/>
                <w:kern w:val="0"/>
                <w:sz w:val="24"/>
                <w:szCs w:val="24"/>
              </w:rPr>
              <w:t>4、支持U盘点播，可点播U盘上的文件到其他终端播放；</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5、支持静态IP和DHCP两种方式，跨网段，跨路由，配置使用方便。</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6、内置3W全频监听扬声器，声音清晰、洪亮；具有监听功能，用于监听其他广播终端采集到的环境声音；</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7、支持一路本地线路输入，并具有IP编码功能；</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8、支持一路本地线路输出，可外扩功放；</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sz w:val="24"/>
                <w:szCs w:val="24"/>
              </w:rPr>
              <w:t>★</w:t>
            </w:r>
            <w:r>
              <w:rPr>
                <w:rFonts w:hint="eastAsia" w:ascii="新宋体" w:hAnsi="新宋体" w:eastAsia="新宋体" w:cs="新宋体"/>
                <w:color w:val="000000"/>
                <w:kern w:val="0"/>
                <w:sz w:val="24"/>
                <w:szCs w:val="24"/>
              </w:rPr>
              <w:t>9、支持网络在线升级；</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10、输入灵敏度：线路输入：100mVrms/20KΩ</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11、输出灵敏度：线缆输出0.775Vrms/300Ω</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12、</w:t>
            </w:r>
            <w:r>
              <w:rPr>
                <w:rFonts w:hint="eastAsia" w:ascii="新宋体" w:hAnsi="新宋体" w:eastAsia="新宋体" w:cs="新宋体"/>
                <w:bCs/>
                <w:color w:val="000000"/>
                <w:kern w:val="0"/>
                <w:sz w:val="24"/>
                <w:szCs w:val="24"/>
              </w:rPr>
              <w:t>信噪比：＞80dB</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13、</w:t>
            </w:r>
            <w:r>
              <w:rPr>
                <w:rFonts w:hint="eastAsia" w:ascii="新宋体" w:hAnsi="新宋体" w:eastAsia="新宋体" w:cs="新宋体"/>
                <w:bCs/>
                <w:color w:val="000000"/>
                <w:kern w:val="0"/>
                <w:sz w:val="24"/>
                <w:szCs w:val="24"/>
              </w:rPr>
              <w:t>频率响应：40Hz～20kHz（±3dB）</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14、网络通讯协议：ARP、UDP、TCP/IP、ICMP、IGMP</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sz w:val="24"/>
                <w:szCs w:val="24"/>
              </w:rPr>
              <w:t>★</w:t>
            </w:r>
            <w:r>
              <w:rPr>
                <w:rFonts w:hint="eastAsia" w:ascii="新宋体" w:hAnsi="新宋体" w:eastAsia="新宋体" w:cs="新宋体"/>
                <w:color w:val="000000"/>
                <w:kern w:val="0"/>
                <w:sz w:val="24"/>
                <w:szCs w:val="24"/>
              </w:rPr>
              <w:t>15、音频位率：8Kbps~320Kbps；</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16、音频格式：MP3</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17、传输速率：10/100Mbps</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18、网络延时：≤50ms</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19、网络接口：标准RJ-45。</w:t>
            </w:r>
          </w:p>
        </w:tc>
        <w:tc>
          <w:tcPr>
            <w:tcW w:w="31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只</w:t>
            </w:r>
          </w:p>
        </w:tc>
        <w:tc>
          <w:tcPr>
            <w:tcW w:w="7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26</w:t>
            </w:r>
          </w:p>
        </w:tc>
        <w:tc>
          <w:tcPr>
            <w:tcW w:w="707"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是</w:t>
            </w:r>
          </w:p>
        </w:tc>
      </w:tr>
      <w:tr>
        <w:tblPrEx>
          <w:tblLayout w:type="fixed"/>
          <w:tblCellMar>
            <w:top w:w="0" w:type="dxa"/>
            <w:left w:w="108" w:type="dxa"/>
            <w:bottom w:w="0" w:type="dxa"/>
            <w:right w:w="108" w:type="dxa"/>
          </w:tblCellMar>
        </w:tblPrEx>
        <w:trPr>
          <w:trHeight w:val="226" w:hRule="atLeast"/>
        </w:trPr>
        <w:tc>
          <w:tcPr>
            <w:tcW w:w="4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5</w:t>
            </w:r>
          </w:p>
        </w:tc>
        <w:tc>
          <w:tcPr>
            <w:tcW w:w="1135"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辅材及安装</w:t>
            </w:r>
          </w:p>
        </w:tc>
        <w:tc>
          <w:tcPr>
            <w:tcW w:w="68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left"/>
              <w:textAlignment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sz w:val="24"/>
                <w:szCs w:val="24"/>
              </w:rPr>
              <w:t>工程辅材，含网线、电源线、音频线、电源插座等辅助材料。</w:t>
            </w:r>
          </w:p>
        </w:tc>
        <w:tc>
          <w:tcPr>
            <w:tcW w:w="31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批</w:t>
            </w:r>
          </w:p>
        </w:tc>
        <w:tc>
          <w:tcPr>
            <w:tcW w:w="7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26</w:t>
            </w:r>
          </w:p>
        </w:tc>
        <w:tc>
          <w:tcPr>
            <w:tcW w:w="707"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否</w:t>
            </w:r>
          </w:p>
        </w:tc>
      </w:tr>
      <w:tr>
        <w:tblPrEx>
          <w:tblLayout w:type="fixed"/>
          <w:tblCellMar>
            <w:top w:w="0" w:type="dxa"/>
            <w:left w:w="108" w:type="dxa"/>
            <w:bottom w:w="0" w:type="dxa"/>
            <w:right w:w="108" w:type="dxa"/>
          </w:tblCellMar>
        </w:tblPrEx>
        <w:trPr>
          <w:trHeight w:val="365" w:hRule="atLeast"/>
        </w:trPr>
        <w:tc>
          <w:tcPr>
            <w:tcW w:w="10260" w:type="dxa"/>
            <w:gridSpan w:val="6"/>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color w:val="000000"/>
                <w:kern w:val="0"/>
                <w:sz w:val="24"/>
                <w:szCs w:val="24"/>
              </w:rPr>
              <w:t>三、村平台</w:t>
            </w:r>
          </w:p>
        </w:tc>
      </w:tr>
      <w:tr>
        <w:tblPrEx>
          <w:tblLayout w:type="fixed"/>
          <w:tblCellMar>
            <w:top w:w="0" w:type="dxa"/>
            <w:left w:w="108" w:type="dxa"/>
            <w:bottom w:w="0" w:type="dxa"/>
            <w:right w:w="108" w:type="dxa"/>
          </w:tblCellMar>
        </w:tblPrEx>
        <w:trPr>
          <w:trHeight w:val="290" w:hRule="atLeast"/>
        </w:trPr>
        <w:tc>
          <w:tcPr>
            <w:tcW w:w="4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1</w:t>
            </w:r>
          </w:p>
        </w:tc>
        <w:tc>
          <w:tcPr>
            <w:tcW w:w="1135"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彩屏桌面话筒</w:t>
            </w:r>
          </w:p>
        </w:tc>
        <w:tc>
          <w:tcPr>
            <w:tcW w:w="68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left"/>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1、</w:t>
            </w:r>
            <w:r>
              <w:rPr>
                <w:rFonts w:hint="eastAsia" w:ascii="新宋体" w:hAnsi="新宋体" w:eastAsia="新宋体" w:cs="新宋体"/>
                <w:color w:val="000000"/>
                <w:sz w:val="24"/>
                <w:szCs w:val="24"/>
              </w:rPr>
              <w:t>面板自带≥7英寸真彩LCD液晶显示屏，支持触控操作，可直接配置IP地址和查看终端状态，人机操作界面的时代感更强；</w:t>
            </w:r>
          </w:p>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sz w:val="24"/>
                <w:szCs w:val="24"/>
              </w:rPr>
              <w:t>★</w:t>
            </w:r>
            <w:r>
              <w:rPr>
                <w:rFonts w:hint="eastAsia" w:ascii="新宋体" w:hAnsi="新宋体" w:eastAsia="新宋体" w:cs="新宋体"/>
                <w:color w:val="000000"/>
                <w:kern w:val="0"/>
                <w:sz w:val="24"/>
                <w:szCs w:val="24"/>
              </w:rPr>
              <w:t>2、具有多个一键呼叫按键，便于呼叫不同的分区；</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sz w:val="24"/>
                <w:szCs w:val="24"/>
              </w:rPr>
              <w:t>★</w:t>
            </w:r>
            <w:r>
              <w:rPr>
                <w:rFonts w:hint="eastAsia" w:ascii="新宋体" w:hAnsi="新宋体" w:eastAsia="新宋体" w:cs="新宋体"/>
                <w:bCs/>
                <w:color w:val="000000"/>
                <w:kern w:val="0"/>
                <w:sz w:val="24"/>
                <w:szCs w:val="24"/>
              </w:rPr>
              <w:t>3、支持双向对讲功能，双向终端之间实现两两双向对讲；</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sz w:val="24"/>
                <w:szCs w:val="24"/>
              </w:rPr>
              <w:t>★</w:t>
            </w:r>
            <w:r>
              <w:rPr>
                <w:rFonts w:hint="eastAsia" w:ascii="新宋体" w:hAnsi="新宋体" w:eastAsia="新宋体" w:cs="新宋体"/>
                <w:color w:val="000000"/>
                <w:kern w:val="0"/>
                <w:sz w:val="24"/>
                <w:szCs w:val="24"/>
              </w:rPr>
              <w:t>4、支持U盘点播，可点播U盘上的文件到其他终端播放；</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5、支持静态IP和DHCP两种方式，跨网段，跨路由，配置使用方便。</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6、内置3W全频监听扬声器，声音清晰、洪亮；具有监听功能，用于监听其他广播终端采集到的环境声音；</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7、支持一路本地线路输入，并具有IP编码功能；</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8、支持一路本地线路输出，可外扩功放；</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sz w:val="24"/>
                <w:szCs w:val="24"/>
              </w:rPr>
              <w:t>★</w:t>
            </w:r>
            <w:r>
              <w:rPr>
                <w:rFonts w:hint="eastAsia" w:ascii="新宋体" w:hAnsi="新宋体" w:eastAsia="新宋体" w:cs="新宋体"/>
                <w:color w:val="000000"/>
                <w:kern w:val="0"/>
                <w:sz w:val="24"/>
                <w:szCs w:val="24"/>
              </w:rPr>
              <w:t>9、支持网络在线升级；</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10、输入灵敏度：线路输入：100mVrms/20KΩ</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11、输出灵敏度：线缆输出0.775Vrms/300Ω</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12、</w:t>
            </w:r>
            <w:r>
              <w:rPr>
                <w:rFonts w:hint="eastAsia" w:ascii="新宋体" w:hAnsi="新宋体" w:eastAsia="新宋体" w:cs="新宋体"/>
                <w:bCs/>
                <w:color w:val="000000"/>
                <w:kern w:val="0"/>
                <w:sz w:val="24"/>
                <w:szCs w:val="24"/>
              </w:rPr>
              <w:t>信噪比：＞80dB</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13、</w:t>
            </w:r>
            <w:r>
              <w:rPr>
                <w:rFonts w:hint="eastAsia" w:ascii="新宋体" w:hAnsi="新宋体" w:eastAsia="新宋体" w:cs="新宋体"/>
                <w:bCs/>
                <w:color w:val="000000"/>
                <w:kern w:val="0"/>
                <w:sz w:val="24"/>
                <w:szCs w:val="24"/>
              </w:rPr>
              <w:t>频率响应：40Hz～20kHz（±3dB）</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14、网络通讯协议：ARP、UDP、TCP/IP、ICMP、IGMP</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sz w:val="24"/>
                <w:szCs w:val="24"/>
              </w:rPr>
              <w:t>★</w:t>
            </w:r>
            <w:r>
              <w:rPr>
                <w:rFonts w:hint="eastAsia" w:ascii="新宋体" w:hAnsi="新宋体" w:eastAsia="新宋体" w:cs="新宋体"/>
                <w:color w:val="000000"/>
                <w:kern w:val="0"/>
                <w:sz w:val="24"/>
                <w:szCs w:val="24"/>
              </w:rPr>
              <w:t>15、音频位率：8Kbps~320Kbps；</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16、音频格式：MP3</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17、传输速率：10/100Mbps</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18、网络延时：≤50ms</w:t>
            </w:r>
            <w:r>
              <w:rPr>
                <w:rFonts w:hint="eastAsia" w:ascii="新宋体" w:hAnsi="新宋体" w:eastAsia="新宋体" w:cs="新宋体"/>
                <w:color w:val="000000"/>
                <w:kern w:val="0"/>
                <w:sz w:val="24"/>
                <w:szCs w:val="24"/>
              </w:rPr>
              <w:br w:type="textWrapping"/>
            </w:r>
            <w:r>
              <w:rPr>
                <w:rFonts w:hint="eastAsia" w:ascii="新宋体" w:hAnsi="新宋体" w:eastAsia="新宋体" w:cs="新宋体"/>
                <w:color w:val="000000"/>
                <w:kern w:val="0"/>
                <w:sz w:val="24"/>
                <w:szCs w:val="24"/>
              </w:rPr>
              <w:t>19、网络接口：标准RJ-45。</w:t>
            </w:r>
          </w:p>
        </w:tc>
        <w:tc>
          <w:tcPr>
            <w:tcW w:w="31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台</w:t>
            </w:r>
          </w:p>
        </w:tc>
        <w:tc>
          <w:tcPr>
            <w:tcW w:w="7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392</w:t>
            </w:r>
          </w:p>
        </w:tc>
        <w:tc>
          <w:tcPr>
            <w:tcW w:w="707"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是</w:t>
            </w:r>
          </w:p>
        </w:tc>
      </w:tr>
      <w:tr>
        <w:tblPrEx>
          <w:tblLayout w:type="fixed"/>
          <w:tblCellMar>
            <w:top w:w="0" w:type="dxa"/>
            <w:left w:w="108" w:type="dxa"/>
            <w:bottom w:w="0" w:type="dxa"/>
            <w:right w:w="108" w:type="dxa"/>
          </w:tblCellMar>
        </w:tblPrEx>
        <w:trPr>
          <w:trHeight w:val="6638" w:hRule="atLeast"/>
        </w:trPr>
        <w:tc>
          <w:tcPr>
            <w:tcW w:w="4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2</w:t>
            </w:r>
          </w:p>
        </w:tc>
        <w:tc>
          <w:tcPr>
            <w:tcW w:w="1135"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40" w:lineRule="exact"/>
              <w:jc w:val="center"/>
              <w:rPr>
                <w:rFonts w:hint="eastAsia" w:ascii="新宋体" w:hAnsi="新宋体" w:eastAsia="新宋体" w:cs="新宋体"/>
                <w:bCs/>
                <w:sz w:val="24"/>
                <w:szCs w:val="24"/>
              </w:rPr>
            </w:pPr>
            <w:r>
              <w:rPr>
                <w:rFonts w:hint="eastAsia" w:ascii="新宋体" w:hAnsi="新宋体" w:eastAsia="新宋体" w:cs="新宋体"/>
                <w:bCs/>
                <w:sz w:val="24"/>
                <w:szCs w:val="24"/>
              </w:rPr>
              <w:t>拉杆有源音箱</w:t>
            </w:r>
          </w:p>
          <w:p>
            <w:pPr>
              <w:jc w:val="center"/>
              <w:textAlignment w:val="center"/>
              <w:rPr>
                <w:rFonts w:hint="eastAsia" w:ascii="新宋体" w:hAnsi="新宋体" w:eastAsia="新宋体" w:cs="新宋体"/>
                <w:color w:val="000000"/>
                <w:sz w:val="24"/>
                <w:szCs w:val="24"/>
              </w:rPr>
            </w:pPr>
          </w:p>
        </w:tc>
        <w:tc>
          <w:tcPr>
            <w:tcW w:w="68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tabs>
                <w:tab w:val="left" w:pos="720"/>
              </w:tabs>
              <w:autoSpaceDE w:val="0"/>
              <w:autoSpaceDN w:val="0"/>
              <w:adjustRightInd w:val="0"/>
              <w:spacing w:line="252" w:lineRule="auto"/>
              <w:rPr>
                <w:rFonts w:hint="eastAsia" w:ascii="新宋体" w:hAnsi="新宋体" w:eastAsia="新宋体" w:cs="新宋体"/>
                <w:color w:val="000000"/>
                <w:kern w:val="0"/>
                <w:sz w:val="24"/>
                <w:szCs w:val="24"/>
                <w:highlight w:val="white"/>
                <w:lang w:val="zh-CN"/>
              </w:rPr>
            </w:pPr>
            <w:r>
              <w:rPr>
                <w:rFonts w:hint="eastAsia" w:ascii="新宋体" w:hAnsi="新宋体" w:eastAsia="新宋体" w:cs="新宋体"/>
                <w:color w:val="000000"/>
                <w:kern w:val="0"/>
                <w:sz w:val="24"/>
                <w:szCs w:val="24"/>
                <w:highlight w:val="white"/>
                <w:lang w:val="zh-CN"/>
              </w:rPr>
              <w:t>1、低音喇叭配置防水钢网保护</w:t>
            </w:r>
          </w:p>
          <w:p>
            <w:pPr>
              <w:tabs>
                <w:tab w:val="left" w:pos="720"/>
              </w:tabs>
              <w:autoSpaceDE w:val="0"/>
              <w:autoSpaceDN w:val="0"/>
              <w:adjustRightInd w:val="0"/>
              <w:spacing w:line="252" w:lineRule="auto"/>
              <w:rPr>
                <w:rFonts w:hint="eastAsia" w:ascii="新宋体" w:hAnsi="新宋体" w:eastAsia="新宋体" w:cs="新宋体"/>
                <w:color w:val="000000"/>
                <w:kern w:val="0"/>
                <w:sz w:val="24"/>
                <w:szCs w:val="24"/>
                <w:highlight w:val="white"/>
                <w:lang w:val="zh-CN"/>
              </w:rPr>
            </w:pPr>
            <w:r>
              <w:rPr>
                <w:rFonts w:hint="eastAsia" w:ascii="新宋体" w:hAnsi="新宋体" w:eastAsia="新宋体" w:cs="新宋体"/>
                <w:color w:val="000000"/>
                <w:kern w:val="0"/>
                <w:sz w:val="24"/>
                <w:szCs w:val="24"/>
                <w:highlight w:val="white"/>
                <w:lang w:val="zh-CN"/>
              </w:rPr>
              <w:t>2、ABS工程塑料箱体</w:t>
            </w:r>
          </w:p>
          <w:p>
            <w:pPr>
              <w:tabs>
                <w:tab w:val="left" w:pos="720"/>
              </w:tabs>
              <w:autoSpaceDE w:val="0"/>
              <w:autoSpaceDN w:val="0"/>
              <w:adjustRightInd w:val="0"/>
              <w:spacing w:line="252" w:lineRule="auto"/>
              <w:rPr>
                <w:rFonts w:hint="eastAsia" w:ascii="新宋体" w:hAnsi="新宋体" w:eastAsia="新宋体" w:cs="新宋体"/>
                <w:color w:val="000000"/>
                <w:kern w:val="0"/>
                <w:sz w:val="24"/>
                <w:szCs w:val="24"/>
                <w:highlight w:val="white"/>
                <w:lang w:val="zh-CN"/>
              </w:rPr>
            </w:pPr>
            <w:r>
              <w:rPr>
                <w:rFonts w:hint="eastAsia" w:ascii="新宋体" w:hAnsi="新宋体" w:eastAsia="新宋体" w:cs="新宋体"/>
                <w:color w:val="000000"/>
                <w:kern w:val="0"/>
                <w:sz w:val="24"/>
                <w:szCs w:val="24"/>
                <w:highlight w:val="white"/>
                <w:lang w:val="zh-CN"/>
              </w:rPr>
              <w:t>★3、内置USB/SD卡接口，智能数字显示屏，话筒优先功能，蓝牙功能，FM收音功能及录音功能</w:t>
            </w:r>
          </w:p>
          <w:p>
            <w:pPr>
              <w:tabs>
                <w:tab w:val="left" w:pos="720"/>
              </w:tabs>
              <w:autoSpaceDE w:val="0"/>
              <w:autoSpaceDN w:val="0"/>
              <w:adjustRightInd w:val="0"/>
              <w:spacing w:line="252" w:lineRule="auto"/>
              <w:rPr>
                <w:rFonts w:hint="eastAsia" w:ascii="新宋体" w:hAnsi="新宋体" w:eastAsia="新宋体" w:cs="新宋体"/>
                <w:color w:val="000000"/>
                <w:kern w:val="0"/>
                <w:sz w:val="24"/>
                <w:szCs w:val="24"/>
                <w:highlight w:val="white"/>
                <w:lang w:val="zh-CN"/>
              </w:rPr>
            </w:pPr>
            <w:r>
              <w:rPr>
                <w:rFonts w:hint="eastAsia" w:ascii="新宋体" w:hAnsi="新宋体" w:eastAsia="新宋体" w:cs="新宋体"/>
                <w:color w:val="000000"/>
                <w:kern w:val="0"/>
                <w:sz w:val="24"/>
                <w:szCs w:val="24"/>
                <w:highlight w:val="white"/>
                <w:lang w:val="zh-CN"/>
              </w:rPr>
              <w:t xml:space="preserve">★4、音箱内置无线接收，在应用市场下载原厂授权APP注册后与手机连接，可即将手机当无线麦克风使用，手机音频播放，实现无线手麦功能； </w:t>
            </w:r>
          </w:p>
          <w:p>
            <w:pPr>
              <w:tabs>
                <w:tab w:val="left" w:pos="720"/>
              </w:tabs>
              <w:autoSpaceDE w:val="0"/>
              <w:autoSpaceDN w:val="0"/>
              <w:adjustRightInd w:val="0"/>
              <w:spacing w:line="252" w:lineRule="auto"/>
              <w:rPr>
                <w:rFonts w:hint="eastAsia" w:ascii="新宋体" w:hAnsi="新宋体" w:eastAsia="新宋体" w:cs="新宋体"/>
                <w:color w:val="000000"/>
                <w:kern w:val="0"/>
                <w:sz w:val="24"/>
                <w:szCs w:val="24"/>
                <w:highlight w:val="white"/>
                <w:lang w:val="zh-CN"/>
              </w:rPr>
            </w:pPr>
            <w:r>
              <w:rPr>
                <w:rFonts w:hint="eastAsia" w:ascii="新宋体" w:hAnsi="新宋体" w:eastAsia="新宋体" w:cs="新宋体"/>
                <w:color w:val="000000"/>
                <w:kern w:val="0"/>
                <w:sz w:val="24"/>
                <w:szCs w:val="24"/>
                <w:highlight w:val="white"/>
                <w:lang w:val="zh-CN"/>
              </w:rPr>
              <w:t>5、外接两路立体声莲花音频输入，一路吉他输入，一路话筒输入</w:t>
            </w:r>
          </w:p>
          <w:p>
            <w:pPr>
              <w:tabs>
                <w:tab w:val="left" w:pos="720"/>
              </w:tabs>
              <w:autoSpaceDE w:val="0"/>
              <w:autoSpaceDN w:val="0"/>
              <w:adjustRightInd w:val="0"/>
              <w:spacing w:line="252" w:lineRule="auto"/>
              <w:rPr>
                <w:rFonts w:hint="eastAsia" w:ascii="新宋体" w:hAnsi="新宋体" w:eastAsia="新宋体" w:cs="新宋体"/>
                <w:color w:val="000000"/>
                <w:kern w:val="0"/>
                <w:sz w:val="24"/>
                <w:szCs w:val="24"/>
                <w:highlight w:val="white"/>
                <w:lang w:val="zh-CN"/>
              </w:rPr>
            </w:pPr>
            <w:r>
              <w:rPr>
                <w:rFonts w:hint="eastAsia" w:ascii="新宋体" w:hAnsi="新宋体" w:eastAsia="新宋体" w:cs="新宋体"/>
                <w:color w:val="000000"/>
                <w:kern w:val="0"/>
                <w:sz w:val="24"/>
                <w:szCs w:val="24"/>
                <w:highlight w:val="white"/>
                <w:lang w:val="zh-CN"/>
              </w:rPr>
              <w:t>6、主音量、高音、低音、话筒音量、话筒混响、吉他音量均独立可调</w:t>
            </w:r>
          </w:p>
          <w:p>
            <w:pPr>
              <w:tabs>
                <w:tab w:val="left" w:pos="720"/>
              </w:tabs>
              <w:autoSpaceDE w:val="0"/>
              <w:autoSpaceDN w:val="0"/>
              <w:adjustRightInd w:val="0"/>
              <w:spacing w:line="252" w:lineRule="auto"/>
              <w:rPr>
                <w:rFonts w:hint="eastAsia" w:ascii="新宋体" w:hAnsi="新宋体" w:eastAsia="新宋体" w:cs="新宋体"/>
                <w:color w:val="000000"/>
                <w:kern w:val="0"/>
                <w:sz w:val="24"/>
                <w:szCs w:val="24"/>
                <w:highlight w:val="white"/>
                <w:lang w:val="zh-CN"/>
              </w:rPr>
            </w:pPr>
            <w:r>
              <w:rPr>
                <w:rFonts w:hint="eastAsia" w:ascii="新宋体" w:hAnsi="新宋体" w:eastAsia="新宋体" w:cs="新宋体"/>
                <w:color w:val="000000"/>
                <w:kern w:val="0"/>
                <w:sz w:val="24"/>
                <w:szCs w:val="24"/>
                <w:highlight w:val="white"/>
                <w:lang w:val="zh-CN"/>
              </w:rPr>
              <w:t>★7、喇叭单元：低音12英寸×1只，25芯远程号角高音×1只</w:t>
            </w:r>
          </w:p>
          <w:p>
            <w:pPr>
              <w:tabs>
                <w:tab w:val="left" w:pos="720"/>
              </w:tabs>
              <w:autoSpaceDE w:val="0"/>
              <w:autoSpaceDN w:val="0"/>
              <w:adjustRightInd w:val="0"/>
              <w:spacing w:line="252" w:lineRule="auto"/>
              <w:rPr>
                <w:rFonts w:hint="eastAsia" w:ascii="新宋体" w:hAnsi="新宋体" w:eastAsia="新宋体" w:cs="新宋体"/>
                <w:color w:val="000000"/>
                <w:kern w:val="0"/>
                <w:sz w:val="24"/>
                <w:szCs w:val="24"/>
                <w:highlight w:val="white"/>
                <w:lang w:val="zh-CN"/>
              </w:rPr>
            </w:pPr>
            <w:r>
              <w:rPr>
                <w:rFonts w:hint="eastAsia" w:ascii="新宋体" w:hAnsi="新宋体" w:eastAsia="新宋体" w:cs="新宋体"/>
                <w:color w:val="000000"/>
                <w:kern w:val="0"/>
                <w:sz w:val="24"/>
                <w:szCs w:val="24"/>
                <w:highlight w:val="white"/>
                <w:lang w:val="zh-CN"/>
              </w:rPr>
              <w:t>8、全能遥控，数字多功能按键</w:t>
            </w:r>
          </w:p>
          <w:p>
            <w:pPr>
              <w:tabs>
                <w:tab w:val="left" w:pos="720"/>
              </w:tabs>
              <w:autoSpaceDE w:val="0"/>
              <w:autoSpaceDN w:val="0"/>
              <w:adjustRightInd w:val="0"/>
              <w:spacing w:line="252" w:lineRule="auto"/>
              <w:rPr>
                <w:rFonts w:hint="eastAsia" w:ascii="新宋体" w:hAnsi="新宋体" w:eastAsia="新宋体" w:cs="新宋体"/>
                <w:color w:val="000000"/>
                <w:kern w:val="0"/>
                <w:sz w:val="24"/>
                <w:szCs w:val="24"/>
                <w:highlight w:val="white"/>
                <w:lang w:val="zh-CN"/>
              </w:rPr>
            </w:pPr>
            <w:r>
              <w:rPr>
                <w:rFonts w:hint="eastAsia" w:ascii="新宋体" w:hAnsi="新宋体" w:eastAsia="新宋体" w:cs="新宋体"/>
                <w:color w:val="000000"/>
                <w:kern w:val="0"/>
                <w:sz w:val="24"/>
                <w:szCs w:val="24"/>
                <w:highlight w:val="white"/>
                <w:lang w:val="zh-CN"/>
              </w:rPr>
              <w:t>9、标配1只无线手持话筒，传输距离≥30米</w:t>
            </w:r>
          </w:p>
          <w:p>
            <w:pPr>
              <w:tabs>
                <w:tab w:val="left" w:pos="720"/>
              </w:tabs>
              <w:autoSpaceDE w:val="0"/>
              <w:autoSpaceDN w:val="0"/>
              <w:adjustRightInd w:val="0"/>
              <w:spacing w:line="252" w:lineRule="auto"/>
              <w:rPr>
                <w:rFonts w:hint="eastAsia" w:ascii="新宋体" w:hAnsi="新宋体" w:eastAsia="新宋体" w:cs="新宋体"/>
                <w:color w:val="000000"/>
                <w:kern w:val="0"/>
                <w:sz w:val="24"/>
                <w:szCs w:val="24"/>
                <w:highlight w:val="white"/>
                <w:lang w:val="zh-CN"/>
              </w:rPr>
            </w:pPr>
            <w:r>
              <w:rPr>
                <w:rFonts w:hint="eastAsia" w:ascii="新宋体" w:hAnsi="新宋体" w:eastAsia="新宋体" w:cs="新宋体"/>
                <w:color w:val="000000"/>
                <w:kern w:val="0"/>
                <w:sz w:val="24"/>
                <w:szCs w:val="24"/>
                <w:highlight w:val="white"/>
                <w:lang w:val="zh-CN"/>
              </w:rPr>
              <w:t>10、内置铝合金属拉杆和橡胶脚轮</w:t>
            </w:r>
          </w:p>
          <w:p>
            <w:pPr>
              <w:tabs>
                <w:tab w:val="left" w:pos="720"/>
              </w:tabs>
              <w:autoSpaceDE w:val="0"/>
              <w:autoSpaceDN w:val="0"/>
              <w:adjustRightInd w:val="0"/>
              <w:spacing w:line="252" w:lineRule="auto"/>
              <w:rPr>
                <w:rFonts w:hint="eastAsia" w:ascii="新宋体" w:hAnsi="新宋体" w:eastAsia="新宋体" w:cs="新宋体"/>
                <w:color w:val="000000"/>
                <w:kern w:val="0"/>
                <w:sz w:val="24"/>
                <w:szCs w:val="24"/>
                <w:highlight w:val="white"/>
                <w:lang w:val="zh-CN"/>
              </w:rPr>
            </w:pPr>
            <w:r>
              <w:rPr>
                <w:rFonts w:hint="eastAsia" w:ascii="新宋体" w:hAnsi="新宋体" w:eastAsia="新宋体" w:cs="新宋体"/>
                <w:color w:val="000000"/>
                <w:kern w:val="0"/>
                <w:sz w:val="24"/>
                <w:szCs w:val="24"/>
                <w:highlight w:val="white"/>
                <w:lang w:val="zh-CN"/>
              </w:rPr>
              <w:t>11、内置式充电器，具有充电保护功能</w:t>
            </w:r>
          </w:p>
          <w:p>
            <w:pPr>
              <w:tabs>
                <w:tab w:val="left" w:pos="720"/>
              </w:tabs>
              <w:autoSpaceDE w:val="0"/>
              <w:autoSpaceDN w:val="0"/>
              <w:adjustRightInd w:val="0"/>
              <w:spacing w:line="252" w:lineRule="auto"/>
              <w:rPr>
                <w:rFonts w:hint="eastAsia" w:ascii="新宋体" w:hAnsi="新宋体" w:eastAsia="新宋体" w:cs="新宋体"/>
                <w:color w:val="000000"/>
                <w:kern w:val="0"/>
                <w:sz w:val="24"/>
                <w:szCs w:val="24"/>
                <w:highlight w:val="white"/>
                <w:lang w:val="zh-CN"/>
              </w:rPr>
            </w:pPr>
            <w:r>
              <w:rPr>
                <w:rFonts w:hint="eastAsia" w:ascii="新宋体" w:hAnsi="新宋体" w:eastAsia="新宋体" w:cs="新宋体"/>
                <w:color w:val="000000"/>
                <w:kern w:val="0"/>
                <w:sz w:val="24"/>
                <w:szCs w:val="24"/>
                <w:highlight w:val="white"/>
                <w:lang w:val="zh-CN"/>
              </w:rPr>
              <w:t>12、内置数码卡拉OK混响芯片</w:t>
            </w:r>
          </w:p>
          <w:p>
            <w:pPr>
              <w:tabs>
                <w:tab w:val="left" w:pos="720"/>
              </w:tabs>
              <w:autoSpaceDE w:val="0"/>
              <w:autoSpaceDN w:val="0"/>
              <w:adjustRightInd w:val="0"/>
              <w:spacing w:line="252" w:lineRule="auto"/>
              <w:rPr>
                <w:rFonts w:hint="eastAsia" w:ascii="新宋体" w:hAnsi="新宋体" w:eastAsia="新宋体" w:cs="新宋体"/>
                <w:color w:val="000000"/>
                <w:kern w:val="0"/>
                <w:sz w:val="24"/>
                <w:szCs w:val="24"/>
                <w:highlight w:val="white"/>
                <w:lang w:val="zh-CN"/>
              </w:rPr>
            </w:pPr>
            <w:r>
              <w:rPr>
                <w:rFonts w:hint="eastAsia" w:ascii="新宋体" w:hAnsi="新宋体" w:eastAsia="新宋体" w:cs="新宋体"/>
                <w:color w:val="000000"/>
                <w:kern w:val="0"/>
                <w:sz w:val="24"/>
                <w:szCs w:val="24"/>
                <w:highlight w:val="white"/>
                <w:lang w:val="zh-CN"/>
              </w:rPr>
              <w:t>13、额定输出功率：≥80W</w:t>
            </w:r>
          </w:p>
          <w:p>
            <w:pPr>
              <w:tabs>
                <w:tab w:val="left" w:pos="720"/>
              </w:tabs>
              <w:autoSpaceDE w:val="0"/>
              <w:autoSpaceDN w:val="0"/>
              <w:adjustRightInd w:val="0"/>
              <w:spacing w:line="252" w:lineRule="auto"/>
              <w:rPr>
                <w:rFonts w:hint="eastAsia" w:ascii="新宋体" w:hAnsi="新宋体" w:eastAsia="新宋体" w:cs="新宋体"/>
                <w:color w:val="000000"/>
                <w:kern w:val="0"/>
                <w:sz w:val="24"/>
                <w:szCs w:val="24"/>
                <w:highlight w:val="white"/>
                <w:lang w:val="zh-CN"/>
              </w:rPr>
            </w:pPr>
            <w:r>
              <w:rPr>
                <w:rFonts w:hint="eastAsia" w:ascii="新宋体" w:hAnsi="新宋体" w:eastAsia="新宋体" w:cs="新宋体"/>
                <w:color w:val="000000"/>
                <w:kern w:val="0"/>
                <w:sz w:val="24"/>
                <w:szCs w:val="24"/>
                <w:highlight w:val="white"/>
                <w:lang w:val="zh-CN"/>
              </w:rPr>
              <w:t>14、频率范围：50Hz-20KHz</w:t>
            </w:r>
          </w:p>
          <w:p>
            <w:pPr>
              <w:tabs>
                <w:tab w:val="left" w:pos="720"/>
              </w:tabs>
              <w:autoSpaceDE w:val="0"/>
              <w:autoSpaceDN w:val="0"/>
              <w:adjustRightInd w:val="0"/>
              <w:spacing w:line="252" w:lineRule="auto"/>
              <w:rPr>
                <w:rFonts w:hint="eastAsia" w:ascii="新宋体" w:hAnsi="新宋体" w:eastAsia="新宋体" w:cs="新宋体"/>
                <w:color w:val="000000"/>
                <w:kern w:val="0"/>
                <w:sz w:val="24"/>
                <w:szCs w:val="24"/>
                <w:highlight w:val="white"/>
                <w:lang w:val="zh-CN"/>
              </w:rPr>
            </w:pPr>
            <w:r>
              <w:rPr>
                <w:rFonts w:hint="eastAsia" w:ascii="新宋体" w:hAnsi="新宋体" w:eastAsia="新宋体" w:cs="新宋体"/>
                <w:color w:val="000000"/>
                <w:kern w:val="0"/>
                <w:sz w:val="24"/>
                <w:szCs w:val="24"/>
                <w:highlight w:val="white"/>
                <w:lang w:val="zh-CN"/>
              </w:rPr>
              <w:t>15、灵敏度：95dB</w:t>
            </w:r>
          </w:p>
          <w:p>
            <w:pPr>
              <w:tabs>
                <w:tab w:val="left" w:pos="720"/>
              </w:tabs>
              <w:autoSpaceDE w:val="0"/>
              <w:autoSpaceDN w:val="0"/>
              <w:adjustRightInd w:val="0"/>
              <w:spacing w:line="252" w:lineRule="auto"/>
              <w:rPr>
                <w:rFonts w:hint="eastAsia" w:ascii="新宋体" w:hAnsi="新宋体" w:eastAsia="新宋体" w:cs="新宋体"/>
                <w:color w:val="000000"/>
                <w:kern w:val="0"/>
                <w:sz w:val="24"/>
                <w:szCs w:val="24"/>
                <w:highlight w:val="white"/>
                <w:lang w:val="zh-CN"/>
              </w:rPr>
            </w:pPr>
            <w:r>
              <w:rPr>
                <w:rFonts w:hint="eastAsia" w:ascii="新宋体" w:hAnsi="新宋体" w:eastAsia="新宋体" w:cs="新宋体"/>
                <w:color w:val="000000"/>
                <w:kern w:val="0"/>
                <w:sz w:val="24"/>
                <w:szCs w:val="24"/>
                <w:highlight w:val="white"/>
                <w:lang w:val="zh-CN"/>
              </w:rPr>
              <w:t>16、信噪比：75dB</w:t>
            </w:r>
          </w:p>
          <w:p>
            <w:pPr>
              <w:tabs>
                <w:tab w:val="left" w:pos="720"/>
              </w:tabs>
              <w:autoSpaceDE w:val="0"/>
              <w:autoSpaceDN w:val="0"/>
              <w:adjustRightInd w:val="0"/>
              <w:spacing w:line="252" w:lineRule="auto"/>
              <w:rPr>
                <w:rFonts w:hint="eastAsia" w:ascii="新宋体" w:hAnsi="新宋体" w:eastAsia="新宋体" w:cs="新宋体"/>
                <w:kern w:val="0"/>
                <w:sz w:val="24"/>
                <w:szCs w:val="24"/>
              </w:rPr>
            </w:pPr>
            <w:r>
              <w:rPr>
                <w:rFonts w:hint="eastAsia" w:ascii="新宋体" w:hAnsi="新宋体" w:eastAsia="新宋体" w:cs="新宋体"/>
                <w:color w:val="000000"/>
                <w:kern w:val="0"/>
                <w:sz w:val="24"/>
                <w:szCs w:val="24"/>
                <w:highlight w:val="white"/>
                <w:lang w:val="zh-CN"/>
              </w:rPr>
              <w:t xml:space="preserve">17、输入电源：AC:220V/50Hz，DC:12V(交直流两种供电方式）；内置蓄电池连续播放时间≥8小时    </w:t>
            </w:r>
          </w:p>
        </w:tc>
        <w:tc>
          <w:tcPr>
            <w:tcW w:w="31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套</w:t>
            </w:r>
          </w:p>
        </w:tc>
        <w:tc>
          <w:tcPr>
            <w:tcW w:w="7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392</w:t>
            </w:r>
          </w:p>
        </w:tc>
        <w:tc>
          <w:tcPr>
            <w:tcW w:w="707"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是</w:t>
            </w:r>
          </w:p>
        </w:tc>
      </w:tr>
      <w:tr>
        <w:tblPrEx>
          <w:tblLayout w:type="fixed"/>
          <w:tblCellMar>
            <w:top w:w="0" w:type="dxa"/>
            <w:left w:w="108" w:type="dxa"/>
            <w:bottom w:w="0" w:type="dxa"/>
            <w:right w:w="108" w:type="dxa"/>
          </w:tblCellMar>
        </w:tblPrEx>
        <w:trPr>
          <w:trHeight w:val="4132" w:hRule="atLeast"/>
        </w:trPr>
        <w:tc>
          <w:tcPr>
            <w:tcW w:w="4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3</w:t>
            </w:r>
          </w:p>
        </w:tc>
        <w:tc>
          <w:tcPr>
            <w:tcW w:w="1135"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sz w:val="24"/>
                <w:szCs w:val="24"/>
              </w:rPr>
            </w:pPr>
            <w:r>
              <w:rPr>
                <w:rFonts w:hint="eastAsia" w:ascii="新宋体" w:hAnsi="新宋体" w:eastAsia="新宋体" w:cs="新宋体"/>
                <w:bCs/>
                <w:sz w:val="24"/>
                <w:szCs w:val="24"/>
              </w:rPr>
              <w:t>工作站</w:t>
            </w:r>
          </w:p>
        </w:tc>
        <w:tc>
          <w:tcPr>
            <w:tcW w:w="68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left"/>
              <w:textAlignment w:val="center"/>
              <w:rPr>
                <w:rFonts w:hint="eastAsia" w:ascii="新宋体" w:hAnsi="新宋体" w:eastAsia="新宋体" w:cs="新宋体"/>
                <w:color w:val="000000"/>
                <w:kern w:val="0"/>
                <w:sz w:val="24"/>
                <w:szCs w:val="24"/>
                <w:lang w:val="zh-CN"/>
              </w:rPr>
            </w:pPr>
            <w:r>
              <w:rPr>
                <w:rFonts w:hint="eastAsia" w:ascii="新宋体" w:hAnsi="新宋体" w:eastAsia="新宋体" w:cs="新宋体"/>
                <w:kern w:val="0"/>
                <w:sz w:val="24"/>
                <w:szCs w:val="24"/>
              </w:rPr>
              <w:t>★1.</w:t>
            </w:r>
            <w:r>
              <w:rPr>
                <w:rFonts w:hint="eastAsia" w:ascii="新宋体" w:hAnsi="新宋体" w:eastAsia="新宋体" w:cs="新宋体"/>
                <w:color w:val="000000"/>
                <w:kern w:val="0"/>
                <w:sz w:val="24"/>
                <w:szCs w:val="24"/>
                <w:lang w:val="zh-CN"/>
              </w:rPr>
              <w:t>处理器：双核处理器，主频≥ 3.5GHz，</w:t>
            </w:r>
          </w:p>
          <w:p>
            <w:pPr>
              <w:jc w:val="left"/>
              <w:textAlignment w:val="center"/>
              <w:rPr>
                <w:rFonts w:hint="eastAsia" w:ascii="新宋体" w:hAnsi="新宋体" w:eastAsia="新宋体" w:cs="新宋体"/>
                <w:color w:val="000000"/>
                <w:kern w:val="0"/>
                <w:sz w:val="24"/>
                <w:szCs w:val="24"/>
                <w:lang w:val="zh-CN"/>
              </w:rPr>
            </w:pPr>
            <w:r>
              <w:rPr>
                <w:rFonts w:hint="eastAsia" w:ascii="新宋体" w:hAnsi="新宋体" w:eastAsia="新宋体" w:cs="新宋体"/>
                <w:kern w:val="0"/>
                <w:sz w:val="24"/>
                <w:szCs w:val="24"/>
              </w:rPr>
              <w:t>★2.</w:t>
            </w:r>
            <w:r>
              <w:rPr>
                <w:rFonts w:hint="eastAsia" w:ascii="新宋体" w:hAnsi="新宋体" w:eastAsia="新宋体" w:cs="新宋体"/>
                <w:color w:val="000000"/>
                <w:kern w:val="0"/>
                <w:sz w:val="24"/>
                <w:szCs w:val="24"/>
                <w:lang w:val="zh-CN"/>
              </w:rPr>
              <w:t>芯片组：B350及以上芯片组</w:t>
            </w:r>
          </w:p>
          <w:p>
            <w:pPr>
              <w:jc w:val="left"/>
              <w:textAlignment w:val="center"/>
              <w:rPr>
                <w:rFonts w:hint="eastAsia" w:ascii="新宋体" w:hAnsi="新宋体" w:eastAsia="新宋体" w:cs="新宋体"/>
                <w:color w:val="000000"/>
                <w:kern w:val="0"/>
                <w:sz w:val="24"/>
                <w:szCs w:val="24"/>
                <w:lang w:val="zh-CN"/>
              </w:rPr>
            </w:pPr>
            <w:r>
              <w:rPr>
                <w:rFonts w:hint="eastAsia" w:ascii="新宋体" w:hAnsi="新宋体" w:eastAsia="新宋体" w:cs="新宋体"/>
                <w:kern w:val="0"/>
                <w:sz w:val="24"/>
                <w:szCs w:val="24"/>
              </w:rPr>
              <w:t>★3.</w:t>
            </w:r>
            <w:r>
              <w:rPr>
                <w:rFonts w:hint="eastAsia" w:ascii="新宋体" w:hAnsi="新宋体" w:eastAsia="新宋体" w:cs="新宋体"/>
                <w:color w:val="000000"/>
                <w:kern w:val="0"/>
                <w:sz w:val="24"/>
                <w:szCs w:val="24"/>
                <w:lang w:val="zh-CN"/>
              </w:rPr>
              <w:t>内存：≥8G DDR4 2666MHz 双内存插槽，最大支持32G内存</w:t>
            </w:r>
          </w:p>
          <w:p>
            <w:pPr>
              <w:jc w:val="left"/>
              <w:textAlignment w:val="center"/>
              <w:rPr>
                <w:rFonts w:hint="eastAsia" w:ascii="新宋体" w:hAnsi="新宋体" w:eastAsia="新宋体" w:cs="新宋体"/>
                <w:color w:val="000000"/>
                <w:kern w:val="0"/>
                <w:sz w:val="24"/>
                <w:szCs w:val="24"/>
                <w:lang w:val="zh-CN"/>
              </w:rPr>
            </w:pPr>
            <w:r>
              <w:rPr>
                <w:rFonts w:hint="eastAsia" w:ascii="新宋体" w:hAnsi="新宋体" w:eastAsia="新宋体" w:cs="新宋体"/>
                <w:kern w:val="0"/>
                <w:sz w:val="24"/>
                <w:szCs w:val="24"/>
              </w:rPr>
              <w:t>★4.</w:t>
            </w:r>
            <w:r>
              <w:rPr>
                <w:rFonts w:hint="eastAsia" w:ascii="新宋体" w:hAnsi="新宋体" w:eastAsia="新宋体" w:cs="新宋体"/>
                <w:color w:val="000000"/>
                <w:kern w:val="0"/>
                <w:sz w:val="24"/>
                <w:szCs w:val="24"/>
                <w:lang w:val="zh-CN"/>
              </w:rPr>
              <w:t>硬盘:≥256G固态硬盘</w:t>
            </w:r>
          </w:p>
          <w:p>
            <w:pPr>
              <w:jc w:val="left"/>
              <w:textAlignment w:val="center"/>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zh-CN"/>
              </w:rPr>
              <w:t>5.显卡:集成显卡</w:t>
            </w:r>
          </w:p>
          <w:p>
            <w:pPr>
              <w:jc w:val="left"/>
              <w:textAlignment w:val="center"/>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zh-CN"/>
              </w:rPr>
              <w:t>6.网卡:集成千兆网卡</w:t>
            </w:r>
          </w:p>
          <w:p>
            <w:pPr>
              <w:jc w:val="left"/>
              <w:textAlignment w:val="center"/>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zh-CN"/>
              </w:rPr>
              <w:t>7.接口:USB接口≥8个，其中出厂标配后置USB≥6个； HDMI*1；RJ-45*1; VGA*1；1个串口；支持双屏显示，前置多合一读卡器，前置麦克风/耳机组合插孔；</w:t>
            </w:r>
          </w:p>
          <w:p>
            <w:pPr>
              <w:jc w:val="left"/>
              <w:textAlignment w:val="center"/>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zh-CN"/>
              </w:rPr>
              <w:t>8.插槽:M.2接口≥2个; PCIe(x1) ≥1个; PCIe(x16) ≥1个; PCI≥1个；</w:t>
            </w:r>
          </w:p>
          <w:p>
            <w:pPr>
              <w:jc w:val="left"/>
              <w:textAlignment w:val="center"/>
              <w:rPr>
                <w:rFonts w:hint="eastAsia" w:ascii="新宋体" w:hAnsi="新宋体" w:eastAsia="新宋体" w:cs="新宋体"/>
                <w:color w:val="000000"/>
                <w:kern w:val="0"/>
                <w:sz w:val="24"/>
                <w:szCs w:val="24"/>
                <w:lang w:val="zh-CN"/>
              </w:rPr>
            </w:pPr>
            <w:r>
              <w:rPr>
                <w:rFonts w:hint="eastAsia" w:ascii="新宋体" w:hAnsi="新宋体" w:eastAsia="新宋体" w:cs="新宋体"/>
                <w:kern w:val="0"/>
                <w:sz w:val="24"/>
                <w:szCs w:val="24"/>
              </w:rPr>
              <w:t>★</w:t>
            </w:r>
            <w:r>
              <w:rPr>
                <w:rFonts w:hint="eastAsia" w:ascii="新宋体" w:hAnsi="新宋体" w:eastAsia="新宋体" w:cs="新宋体"/>
                <w:color w:val="000000"/>
                <w:kern w:val="0"/>
                <w:sz w:val="24"/>
                <w:szCs w:val="24"/>
                <w:lang w:val="zh-CN"/>
              </w:rPr>
              <w:t>9.机箱</w:t>
            </w:r>
            <w:r>
              <w:rPr>
                <w:rFonts w:hint="eastAsia" w:ascii="新宋体" w:hAnsi="新宋体" w:eastAsia="新宋体" w:cs="新宋体"/>
                <w:color w:val="000000"/>
                <w:kern w:val="0"/>
                <w:sz w:val="24"/>
                <w:szCs w:val="24"/>
                <w:lang w:val="zh-CN"/>
              </w:rPr>
              <w:tab/>
            </w:r>
            <w:r>
              <w:rPr>
                <w:rFonts w:hint="eastAsia" w:ascii="新宋体" w:hAnsi="新宋体" w:eastAsia="新宋体" w:cs="新宋体"/>
                <w:color w:val="000000"/>
                <w:kern w:val="0"/>
                <w:sz w:val="24"/>
                <w:szCs w:val="24"/>
                <w:lang w:val="zh-CN"/>
              </w:rPr>
              <w:t>容积≥15L，内置扩音器或外置同品牌音响</w:t>
            </w:r>
          </w:p>
          <w:p>
            <w:pPr>
              <w:jc w:val="left"/>
              <w:textAlignment w:val="center"/>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zh-CN"/>
              </w:rPr>
              <w:t>10.输入设备:</w:t>
            </w:r>
            <w:r>
              <w:rPr>
                <w:rFonts w:hint="eastAsia" w:ascii="新宋体" w:hAnsi="新宋体" w:eastAsia="新宋体" w:cs="新宋体"/>
                <w:color w:val="000000"/>
                <w:kern w:val="0"/>
                <w:sz w:val="24"/>
                <w:szCs w:val="24"/>
                <w:lang w:val="zh-CN"/>
              </w:rPr>
              <w:tab/>
            </w:r>
            <w:r>
              <w:rPr>
                <w:rFonts w:hint="eastAsia" w:ascii="新宋体" w:hAnsi="新宋体" w:eastAsia="新宋体" w:cs="新宋体"/>
                <w:color w:val="000000"/>
                <w:kern w:val="0"/>
                <w:sz w:val="24"/>
                <w:szCs w:val="24"/>
                <w:lang w:val="zh-CN"/>
              </w:rPr>
              <w:t>抗菌防水键盘、抗菌鼠标</w:t>
            </w:r>
          </w:p>
          <w:p>
            <w:pPr>
              <w:jc w:val="left"/>
              <w:textAlignment w:val="center"/>
              <w:rPr>
                <w:rFonts w:hint="eastAsia" w:ascii="新宋体" w:hAnsi="新宋体" w:eastAsia="新宋体" w:cs="新宋体"/>
                <w:color w:val="000000"/>
                <w:kern w:val="0"/>
                <w:sz w:val="24"/>
                <w:szCs w:val="24"/>
                <w:lang w:val="zh-CN"/>
              </w:rPr>
            </w:pPr>
            <w:r>
              <w:rPr>
                <w:rFonts w:hint="eastAsia" w:ascii="新宋体" w:hAnsi="新宋体" w:eastAsia="新宋体" w:cs="新宋体"/>
                <w:kern w:val="0"/>
                <w:sz w:val="24"/>
                <w:szCs w:val="24"/>
              </w:rPr>
              <w:t>★11.</w:t>
            </w:r>
            <w:r>
              <w:rPr>
                <w:rFonts w:hint="eastAsia" w:ascii="新宋体" w:hAnsi="新宋体" w:eastAsia="新宋体" w:cs="新宋体"/>
                <w:color w:val="000000"/>
                <w:kern w:val="0"/>
                <w:sz w:val="24"/>
                <w:szCs w:val="24"/>
                <w:lang w:val="zh-CN"/>
              </w:rPr>
              <w:t>电源:≥305W高效节能电源，能效比≥90%</w:t>
            </w:r>
          </w:p>
          <w:p>
            <w:pPr>
              <w:jc w:val="left"/>
              <w:textAlignment w:val="center"/>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zh-CN"/>
              </w:rPr>
              <w:t>12.操作系统:</w:t>
            </w:r>
            <w:r>
              <w:rPr>
                <w:rFonts w:hint="eastAsia" w:ascii="新宋体" w:hAnsi="新宋体" w:eastAsia="新宋体" w:cs="新宋体"/>
                <w:color w:val="000000"/>
                <w:kern w:val="0"/>
                <w:sz w:val="24"/>
                <w:szCs w:val="24"/>
                <w:lang w:val="zh-CN"/>
              </w:rPr>
              <w:tab/>
            </w:r>
            <w:r>
              <w:rPr>
                <w:rFonts w:hint="eastAsia" w:ascii="新宋体" w:hAnsi="新宋体" w:eastAsia="新宋体" w:cs="新宋体"/>
                <w:color w:val="000000"/>
                <w:kern w:val="0"/>
                <w:sz w:val="24"/>
                <w:szCs w:val="24"/>
                <w:lang w:val="zh-CN"/>
              </w:rPr>
              <w:t>出厂预装正版Windows 64位操作系统</w:t>
            </w:r>
          </w:p>
          <w:p>
            <w:pPr>
              <w:jc w:val="left"/>
              <w:textAlignment w:val="center"/>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zh-CN"/>
              </w:rPr>
              <w:t>13.显示器:≥19.5英寸液晶显示器，通过低蓝光认证</w:t>
            </w:r>
          </w:p>
          <w:p>
            <w:pPr>
              <w:jc w:val="left"/>
              <w:textAlignment w:val="center"/>
              <w:rPr>
                <w:rFonts w:hint="eastAsia" w:ascii="新宋体" w:hAnsi="新宋体" w:eastAsia="新宋体" w:cs="新宋体"/>
                <w:color w:val="000000"/>
                <w:kern w:val="0"/>
                <w:sz w:val="24"/>
                <w:szCs w:val="24"/>
                <w:highlight w:val="white"/>
                <w:lang w:val="zh-CN"/>
              </w:rPr>
            </w:pPr>
            <w:r>
              <w:rPr>
                <w:rFonts w:hint="eastAsia" w:ascii="新宋体" w:hAnsi="新宋体" w:eastAsia="新宋体" w:cs="新宋体"/>
                <w:kern w:val="0"/>
                <w:sz w:val="24"/>
                <w:szCs w:val="24"/>
              </w:rPr>
              <w:t>★</w:t>
            </w:r>
            <w:r>
              <w:rPr>
                <w:rFonts w:hint="eastAsia" w:ascii="新宋体" w:hAnsi="新宋体" w:eastAsia="新宋体" w:cs="新宋体"/>
                <w:sz w:val="24"/>
                <w:szCs w:val="24"/>
              </w:rPr>
              <w:t>14.</w:t>
            </w:r>
            <w:r>
              <w:rPr>
                <w:rFonts w:hint="eastAsia" w:ascii="新宋体" w:hAnsi="新宋体" w:eastAsia="新宋体" w:cs="新宋体"/>
                <w:color w:val="000000"/>
                <w:sz w:val="24"/>
                <w:szCs w:val="24"/>
                <w:lang w:val="zh-CN"/>
              </w:rPr>
              <w:t>保修:三年免费保修及三年免费上门</w:t>
            </w:r>
          </w:p>
        </w:tc>
        <w:tc>
          <w:tcPr>
            <w:tcW w:w="31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台</w:t>
            </w:r>
          </w:p>
        </w:tc>
        <w:tc>
          <w:tcPr>
            <w:tcW w:w="7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455</w:t>
            </w:r>
          </w:p>
        </w:tc>
        <w:tc>
          <w:tcPr>
            <w:tcW w:w="707"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是</w:t>
            </w:r>
          </w:p>
        </w:tc>
      </w:tr>
      <w:tr>
        <w:tblPrEx>
          <w:tblLayout w:type="fixed"/>
          <w:tblCellMar>
            <w:top w:w="0" w:type="dxa"/>
            <w:left w:w="108" w:type="dxa"/>
            <w:bottom w:w="0" w:type="dxa"/>
            <w:right w:w="108" w:type="dxa"/>
          </w:tblCellMar>
        </w:tblPrEx>
        <w:trPr>
          <w:trHeight w:val="548" w:hRule="atLeast"/>
        </w:trPr>
        <w:tc>
          <w:tcPr>
            <w:tcW w:w="4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4</w:t>
            </w:r>
          </w:p>
        </w:tc>
        <w:tc>
          <w:tcPr>
            <w:tcW w:w="1135"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sz w:val="24"/>
                <w:szCs w:val="24"/>
              </w:rPr>
            </w:pPr>
            <w:r>
              <w:rPr>
                <w:rFonts w:hint="eastAsia" w:ascii="新宋体" w:hAnsi="新宋体" w:eastAsia="新宋体" w:cs="新宋体"/>
                <w:bCs/>
                <w:sz w:val="24"/>
                <w:szCs w:val="24"/>
              </w:rPr>
              <w:t>无线</w:t>
            </w:r>
          </w:p>
          <w:p>
            <w:pPr>
              <w:jc w:val="center"/>
              <w:textAlignment w:val="center"/>
              <w:rPr>
                <w:rFonts w:hint="eastAsia" w:ascii="新宋体" w:hAnsi="新宋体" w:eastAsia="新宋体" w:cs="新宋体"/>
                <w:bCs/>
                <w:sz w:val="24"/>
                <w:szCs w:val="24"/>
              </w:rPr>
            </w:pPr>
            <w:r>
              <w:rPr>
                <w:rFonts w:hint="eastAsia" w:ascii="新宋体" w:hAnsi="新宋体" w:eastAsia="新宋体" w:cs="新宋体"/>
                <w:bCs/>
                <w:sz w:val="24"/>
                <w:szCs w:val="24"/>
              </w:rPr>
              <w:t>路由器</w:t>
            </w:r>
          </w:p>
        </w:tc>
        <w:tc>
          <w:tcPr>
            <w:tcW w:w="68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有线标准：IEEE802.3, IEEE802.3u</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接口：1个百兆WAN口， 3个百兆LAN口</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天线：4*5dBi外置全向天线</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电源输入：AC 200-240V—50/60Hz</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输出：DC 9V 0.6A</w:t>
            </w:r>
          </w:p>
        </w:tc>
        <w:tc>
          <w:tcPr>
            <w:tcW w:w="31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台</w:t>
            </w:r>
          </w:p>
        </w:tc>
        <w:tc>
          <w:tcPr>
            <w:tcW w:w="7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392</w:t>
            </w:r>
          </w:p>
        </w:tc>
        <w:tc>
          <w:tcPr>
            <w:tcW w:w="707"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否</w:t>
            </w:r>
          </w:p>
        </w:tc>
      </w:tr>
      <w:tr>
        <w:tblPrEx>
          <w:tblLayout w:type="fixed"/>
          <w:tblCellMar>
            <w:top w:w="0" w:type="dxa"/>
            <w:left w:w="108" w:type="dxa"/>
            <w:bottom w:w="0" w:type="dxa"/>
            <w:right w:w="108" w:type="dxa"/>
          </w:tblCellMar>
        </w:tblPrEx>
        <w:trPr>
          <w:trHeight w:val="2399" w:hRule="atLeast"/>
        </w:trPr>
        <w:tc>
          <w:tcPr>
            <w:tcW w:w="4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5</w:t>
            </w:r>
          </w:p>
        </w:tc>
        <w:tc>
          <w:tcPr>
            <w:tcW w:w="1135"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sz w:val="24"/>
                <w:szCs w:val="24"/>
              </w:rPr>
            </w:pPr>
            <w:r>
              <w:rPr>
                <w:rFonts w:hint="eastAsia" w:ascii="新宋体" w:hAnsi="新宋体" w:eastAsia="新宋体" w:cs="新宋体"/>
                <w:bCs/>
                <w:sz w:val="24"/>
                <w:szCs w:val="24"/>
              </w:rPr>
              <w:t>大盘鼓</w:t>
            </w:r>
          </w:p>
        </w:tc>
        <w:tc>
          <w:tcPr>
            <w:tcW w:w="68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20" w:lineRule="atLeast"/>
              <w:rPr>
                <w:rFonts w:hint="eastAsia" w:ascii="新宋体" w:hAnsi="新宋体" w:eastAsia="新宋体" w:cs="新宋体"/>
                <w:sz w:val="24"/>
                <w:szCs w:val="24"/>
              </w:rPr>
            </w:pPr>
            <w:r>
              <w:rPr>
                <w:rFonts w:hint="eastAsia" w:ascii="新宋体" w:hAnsi="新宋体" w:eastAsia="新宋体" w:cs="新宋体"/>
                <w:sz w:val="24"/>
                <w:szCs w:val="24"/>
              </w:rPr>
              <w:t>1.材质：选用北方地区、年轮均匀、生长健康的杨木木材做鼓框，确保高品质的声学效果。鼓腔两面蒙上经特殊加工的一等一年一上的水牛皮。鼓皮用不锈钢镀金双排钉压制，鼓框上有不锈钢圆环；鼓腔外表上环保红色油漆；</w:t>
            </w:r>
          </w:p>
          <w:p>
            <w:pPr>
              <w:spacing w:line="220" w:lineRule="atLeast"/>
              <w:rPr>
                <w:rFonts w:hint="eastAsia" w:ascii="新宋体" w:hAnsi="新宋体" w:eastAsia="新宋体" w:cs="新宋体"/>
                <w:sz w:val="24"/>
                <w:szCs w:val="24"/>
              </w:rPr>
            </w:pPr>
            <w:r>
              <w:rPr>
                <w:rFonts w:hint="eastAsia" w:ascii="新宋体" w:hAnsi="新宋体" w:eastAsia="新宋体" w:cs="新宋体"/>
                <w:sz w:val="24"/>
                <w:szCs w:val="24"/>
              </w:rPr>
              <w:t>2、鼓面直径约：</w:t>
            </w:r>
            <w:r>
              <w:rPr>
                <w:rFonts w:hint="eastAsia" w:ascii="新宋体" w:hAnsi="新宋体" w:eastAsia="新宋体" w:cs="新宋体"/>
                <w:kern w:val="0"/>
                <w:sz w:val="24"/>
                <w:szCs w:val="24"/>
              </w:rPr>
              <w:t>≥</w:t>
            </w:r>
            <w:r>
              <w:rPr>
                <w:rFonts w:hint="eastAsia" w:ascii="新宋体" w:hAnsi="新宋体" w:eastAsia="新宋体" w:cs="新宋体"/>
                <w:sz w:val="24"/>
                <w:szCs w:val="24"/>
              </w:rPr>
              <w:t>60cm（20寸），鼓高</w:t>
            </w:r>
            <w:r>
              <w:rPr>
                <w:rFonts w:hint="eastAsia" w:ascii="新宋体" w:hAnsi="新宋体" w:eastAsia="新宋体" w:cs="新宋体"/>
                <w:kern w:val="0"/>
                <w:sz w:val="24"/>
                <w:szCs w:val="24"/>
              </w:rPr>
              <w:t>≥28</w:t>
            </w:r>
            <w:r>
              <w:rPr>
                <w:rFonts w:hint="eastAsia" w:ascii="新宋体" w:hAnsi="新宋体" w:eastAsia="新宋体" w:cs="新宋体"/>
                <w:sz w:val="24"/>
                <w:szCs w:val="24"/>
              </w:rPr>
              <w:t>cm,鼓放到架子上总高约80cm；带硬木鼓槌，鼓槌约长度33厘米，鼓槌表面打磨光滑。</w:t>
            </w:r>
          </w:p>
          <w:p>
            <w:pPr>
              <w:spacing w:line="220" w:lineRule="atLeast"/>
              <w:rPr>
                <w:rFonts w:hint="eastAsia" w:ascii="新宋体" w:hAnsi="新宋体" w:eastAsia="新宋体" w:cs="新宋体"/>
                <w:sz w:val="24"/>
                <w:szCs w:val="24"/>
              </w:rPr>
            </w:pPr>
            <w:r>
              <w:rPr>
                <w:rFonts w:hint="eastAsia" w:ascii="新宋体" w:hAnsi="新宋体" w:eastAsia="新宋体" w:cs="新宋体"/>
                <w:sz w:val="24"/>
                <w:szCs w:val="24"/>
              </w:rPr>
              <w:t>3、音质要求：鼓中心，发音较低沉、厚实，鼓外圈发音稍短稍薄，愈靠鼓边愈是单薄。</w:t>
            </w:r>
          </w:p>
          <w:p>
            <w:pPr>
              <w:spacing w:line="220" w:lineRule="atLeast"/>
              <w:rPr>
                <w:rFonts w:hint="eastAsia" w:ascii="新宋体" w:hAnsi="新宋体" w:eastAsia="新宋体" w:cs="新宋体"/>
                <w:color w:val="000000"/>
                <w:kern w:val="0"/>
                <w:sz w:val="24"/>
                <w:szCs w:val="24"/>
                <w:highlight w:val="white"/>
                <w:lang w:val="zh-CN"/>
              </w:rPr>
            </w:pPr>
            <w:r>
              <w:rPr>
                <w:rFonts w:hint="eastAsia" w:ascii="新宋体" w:hAnsi="新宋体" w:eastAsia="新宋体" w:cs="新宋体"/>
                <w:sz w:val="24"/>
                <w:szCs w:val="24"/>
              </w:rPr>
              <w:t>4.优质鼓架，可推拉鼓架，带刹车及方向轮，结实耐用。</w:t>
            </w:r>
          </w:p>
        </w:tc>
        <w:tc>
          <w:tcPr>
            <w:tcW w:w="31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套</w:t>
            </w:r>
          </w:p>
        </w:tc>
        <w:tc>
          <w:tcPr>
            <w:tcW w:w="7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784</w:t>
            </w:r>
          </w:p>
        </w:tc>
        <w:tc>
          <w:tcPr>
            <w:tcW w:w="707"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否</w:t>
            </w:r>
          </w:p>
        </w:tc>
      </w:tr>
      <w:tr>
        <w:tblPrEx>
          <w:tblLayout w:type="fixed"/>
          <w:tblCellMar>
            <w:top w:w="0" w:type="dxa"/>
            <w:left w:w="108" w:type="dxa"/>
            <w:bottom w:w="0" w:type="dxa"/>
            <w:right w:w="108" w:type="dxa"/>
          </w:tblCellMar>
        </w:tblPrEx>
        <w:trPr>
          <w:trHeight w:val="150" w:hRule="atLeast"/>
        </w:trPr>
        <w:tc>
          <w:tcPr>
            <w:tcW w:w="4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6</w:t>
            </w:r>
          </w:p>
        </w:tc>
        <w:tc>
          <w:tcPr>
            <w:tcW w:w="1135"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sz w:val="24"/>
                <w:szCs w:val="24"/>
              </w:rPr>
            </w:pPr>
            <w:r>
              <w:rPr>
                <w:rFonts w:hint="eastAsia" w:ascii="新宋体" w:hAnsi="新宋体" w:eastAsia="新宋体" w:cs="新宋体"/>
                <w:bCs/>
                <w:sz w:val="24"/>
                <w:szCs w:val="24"/>
              </w:rPr>
              <w:t>腰鼓</w:t>
            </w:r>
          </w:p>
        </w:tc>
        <w:tc>
          <w:tcPr>
            <w:tcW w:w="68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20" w:lineRule="atLeast"/>
              <w:rPr>
                <w:rFonts w:hint="eastAsia" w:ascii="新宋体" w:hAnsi="新宋体" w:eastAsia="新宋体" w:cs="新宋体"/>
                <w:color w:val="000000"/>
                <w:kern w:val="0"/>
                <w:sz w:val="24"/>
                <w:szCs w:val="24"/>
                <w:highlight w:val="white"/>
                <w:lang w:val="zh-CN"/>
              </w:rPr>
            </w:pPr>
            <w:r>
              <w:rPr>
                <w:rFonts w:hint="eastAsia" w:ascii="新宋体" w:hAnsi="新宋体" w:eastAsia="新宋体" w:cs="新宋体"/>
                <w:sz w:val="24"/>
                <w:szCs w:val="24"/>
              </w:rPr>
              <w:t>形似圆筒，两端略细，中间稍粗，鼓长</w:t>
            </w:r>
            <w:r>
              <w:rPr>
                <w:rFonts w:hint="eastAsia" w:ascii="新宋体" w:hAnsi="新宋体" w:eastAsia="新宋体" w:cs="新宋体"/>
                <w:kern w:val="0"/>
                <w:sz w:val="24"/>
                <w:szCs w:val="24"/>
              </w:rPr>
              <w:t>≥</w:t>
            </w:r>
            <w:r>
              <w:rPr>
                <w:rFonts w:hint="eastAsia" w:ascii="新宋体" w:hAnsi="新宋体" w:eastAsia="新宋体" w:cs="新宋体"/>
                <w:sz w:val="24"/>
                <w:szCs w:val="24"/>
              </w:rPr>
              <w:t>300mm，鼓两面使用优质头层水牛皮蒙制。鼓皮用约58颗不锈钢铜钉压制、双排，鼓框上有不锈钢圆环；优质实木鼓桶，外表刷环保油漆；鼓面直径150mm；配红色背带长度约1米， 250mm实木材质鼓棒，鼓棒打磨光滑，末端系红绸。结实耐用，油漆光滑。</w:t>
            </w:r>
          </w:p>
        </w:tc>
        <w:tc>
          <w:tcPr>
            <w:tcW w:w="31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套</w:t>
            </w:r>
          </w:p>
        </w:tc>
        <w:tc>
          <w:tcPr>
            <w:tcW w:w="7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7056</w:t>
            </w:r>
          </w:p>
        </w:tc>
        <w:tc>
          <w:tcPr>
            <w:tcW w:w="707"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否</w:t>
            </w:r>
          </w:p>
        </w:tc>
      </w:tr>
      <w:tr>
        <w:tblPrEx>
          <w:tblLayout w:type="fixed"/>
          <w:tblCellMar>
            <w:top w:w="0" w:type="dxa"/>
            <w:left w:w="108" w:type="dxa"/>
            <w:bottom w:w="0" w:type="dxa"/>
            <w:right w:w="108" w:type="dxa"/>
          </w:tblCellMar>
        </w:tblPrEx>
        <w:trPr>
          <w:trHeight w:val="140" w:hRule="atLeast"/>
        </w:trPr>
        <w:tc>
          <w:tcPr>
            <w:tcW w:w="4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7</w:t>
            </w:r>
          </w:p>
        </w:tc>
        <w:tc>
          <w:tcPr>
            <w:tcW w:w="1135"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sz w:val="24"/>
                <w:szCs w:val="24"/>
              </w:rPr>
            </w:pPr>
            <w:r>
              <w:rPr>
                <w:rFonts w:hint="eastAsia" w:ascii="新宋体" w:hAnsi="新宋体" w:eastAsia="新宋体" w:cs="新宋体"/>
                <w:bCs/>
                <w:sz w:val="24"/>
                <w:szCs w:val="24"/>
              </w:rPr>
              <w:t>大镲</w:t>
            </w:r>
          </w:p>
        </w:tc>
        <w:tc>
          <w:tcPr>
            <w:tcW w:w="68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20" w:lineRule="atLeast"/>
              <w:rPr>
                <w:rFonts w:hint="eastAsia" w:ascii="新宋体" w:hAnsi="新宋体" w:eastAsia="新宋体" w:cs="新宋体"/>
                <w:color w:val="000000"/>
                <w:kern w:val="0"/>
                <w:sz w:val="24"/>
                <w:szCs w:val="24"/>
                <w:highlight w:val="white"/>
                <w:lang w:val="zh-CN"/>
              </w:rPr>
            </w:pPr>
            <w:r>
              <w:rPr>
                <w:rFonts w:hint="eastAsia" w:ascii="新宋体" w:hAnsi="新宋体" w:eastAsia="新宋体" w:cs="新宋体"/>
                <w:sz w:val="24"/>
                <w:szCs w:val="24"/>
              </w:rPr>
              <w:t>互击体鸣乐器专用响铜材质，直径：</w:t>
            </w:r>
            <w:r>
              <w:rPr>
                <w:rFonts w:hint="eastAsia" w:ascii="新宋体" w:hAnsi="新宋体" w:eastAsia="新宋体" w:cs="新宋体"/>
                <w:kern w:val="0"/>
                <w:sz w:val="24"/>
                <w:szCs w:val="24"/>
              </w:rPr>
              <w:t>≥</w:t>
            </w:r>
            <w:r>
              <w:rPr>
                <w:rFonts w:hint="eastAsia" w:ascii="新宋体" w:hAnsi="新宋体" w:eastAsia="新宋体" w:cs="新宋体"/>
                <w:sz w:val="24"/>
                <w:szCs w:val="24"/>
              </w:rPr>
              <w:t>250㎜，重量</w:t>
            </w:r>
            <w:r>
              <w:rPr>
                <w:rFonts w:hint="eastAsia" w:ascii="新宋体" w:hAnsi="新宋体" w:eastAsia="新宋体" w:cs="新宋体"/>
                <w:kern w:val="0"/>
                <w:sz w:val="24"/>
                <w:szCs w:val="24"/>
              </w:rPr>
              <w:t>≥</w:t>
            </w:r>
            <w:r>
              <w:rPr>
                <w:rFonts w:hint="eastAsia" w:ascii="新宋体" w:hAnsi="新宋体" w:eastAsia="新宋体" w:cs="新宋体"/>
                <w:sz w:val="24"/>
                <w:szCs w:val="24"/>
              </w:rPr>
              <w:t>950克；二个为一副。质量判断：音质高亢、脆亮，互击时声音洪亮强烈，穿透力强。外观表面抛光氧化处理，并涂防锈油。钹体圆帽行，中间突起，小而厚，光滑、平整，无毛刺，无裂缝，周边无棱角。塑料包装无氧化.</w:t>
            </w:r>
            <w:r>
              <w:rPr>
                <w:rFonts w:hint="eastAsia" w:ascii="新宋体" w:hAnsi="新宋体" w:eastAsia="新宋体" w:cs="新宋体"/>
                <w:color w:val="000000"/>
                <w:kern w:val="0"/>
                <w:sz w:val="24"/>
                <w:szCs w:val="24"/>
                <w:highlight w:val="white"/>
                <w:lang w:val="zh-CN"/>
              </w:rPr>
              <w:t xml:space="preserve"> </w:t>
            </w:r>
          </w:p>
        </w:tc>
        <w:tc>
          <w:tcPr>
            <w:tcW w:w="31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套</w:t>
            </w:r>
          </w:p>
        </w:tc>
        <w:tc>
          <w:tcPr>
            <w:tcW w:w="7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392</w:t>
            </w:r>
          </w:p>
        </w:tc>
        <w:tc>
          <w:tcPr>
            <w:tcW w:w="707"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否</w:t>
            </w:r>
          </w:p>
        </w:tc>
      </w:tr>
      <w:tr>
        <w:tblPrEx>
          <w:tblLayout w:type="fixed"/>
          <w:tblCellMar>
            <w:top w:w="0" w:type="dxa"/>
            <w:left w:w="108" w:type="dxa"/>
            <w:bottom w:w="0" w:type="dxa"/>
            <w:right w:w="108" w:type="dxa"/>
          </w:tblCellMar>
        </w:tblPrEx>
        <w:trPr>
          <w:trHeight w:val="118" w:hRule="atLeast"/>
        </w:trPr>
        <w:tc>
          <w:tcPr>
            <w:tcW w:w="4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8</w:t>
            </w:r>
          </w:p>
        </w:tc>
        <w:tc>
          <w:tcPr>
            <w:tcW w:w="1135"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sz w:val="24"/>
                <w:szCs w:val="24"/>
              </w:rPr>
            </w:pPr>
            <w:r>
              <w:rPr>
                <w:rFonts w:hint="eastAsia" w:ascii="新宋体" w:hAnsi="新宋体" w:eastAsia="新宋体" w:cs="新宋体"/>
                <w:bCs/>
                <w:sz w:val="24"/>
                <w:szCs w:val="24"/>
              </w:rPr>
              <w:t>小镲</w:t>
            </w:r>
          </w:p>
        </w:tc>
        <w:tc>
          <w:tcPr>
            <w:tcW w:w="68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20" w:lineRule="atLeast"/>
              <w:rPr>
                <w:rFonts w:hint="eastAsia" w:ascii="新宋体" w:hAnsi="新宋体" w:eastAsia="新宋体" w:cs="新宋体"/>
                <w:color w:val="000000"/>
                <w:kern w:val="0"/>
                <w:sz w:val="24"/>
                <w:szCs w:val="24"/>
                <w:highlight w:val="white"/>
                <w:lang w:val="zh-CN"/>
              </w:rPr>
            </w:pPr>
            <w:r>
              <w:rPr>
                <w:rFonts w:hint="eastAsia" w:ascii="新宋体" w:hAnsi="新宋体" w:eastAsia="新宋体" w:cs="新宋体"/>
                <w:sz w:val="24"/>
                <w:szCs w:val="24"/>
              </w:rPr>
              <w:t>互击体鸣乐器专用响铜材质，直径：</w:t>
            </w:r>
            <w:r>
              <w:rPr>
                <w:rFonts w:hint="eastAsia" w:ascii="新宋体" w:hAnsi="新宋体" w:eastAsia="新宋体" w:cs="新宋体"/>
                <w:kern w:val="0"/>
                <w:sz w:val="24"/>
                <w:szCs w:val="24"/>
              </w:rPr>
              <w:t>≥</w:t>
            </w:r>
            <w:r>
              <w:rPr>
                <w:rFonts w:hint="eastAsia" w:ascii="新宋体" w:hAnsi="新宋体" w:eastAsia="新宋体" w:cs="新宋体"/>
                <w:sz w:val="24"/>
                <w:szCs w:val="24"/>
              </w:rPr>
              <w:t>150㎜，重量</w:t>
            </w:r>
            <w:r>
              <w:rPr>
                <w:rFonts w:hint="eastAsia" w:ascii="新宋体" w:hAnsi="新宋体" w:eastAsia="新宋体" w:cs="新宋体"/>
                <w:kern w:val="0"/>
                <w:sz w:val="24"/>
                <w:szCs w:val="24"/>
              </w:rPr>
              <w:t>≥</w:t>
            </w:r>
            <w:r>
              <w:rPr>
                <w:rFonts w:hint="eastAsia" w:ascii="新宋体" w:hAnsi="新宋体" w:eastAsia="新宋体" w:cs="新宋体"/>
                <w:sz w:val="24"/>
                <w:szCs w:val="24"/>
              </w:rPr>
              <w:t>450克；二个为一副。质量判断：音质高亢、脆亮，互击时声音洪亮强烈，穿透力强。外观表面抛光氧化处理，并涂防锈油。钹体圆帽行，中间突起，小而厚，光滑、平整，无毛刺，无裂缝，周边无棱角。塑料包装无氧化.</w:t>
            </w:r>
          </w:p>
        </w:tc>
        <w:tc>
          <w:tcPr>
            <w:tcW w:w="31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套</w:t>
            </w:r>
          </w:p>
        </w:tc>
        <w:tc>
          <w:tcPr>
            <w:tcW w:w="7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392</w:t>
            </w:r>
          </w:p>
        </w:tc>
        <w:tc>
          <w:tcPr>
            <w:tcW w:w="707"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否</w:t>
            </w:r>
          </w:p>
        </w:tc>
      </w:tr>
      <w:tr>
        <w:tblPrEx>
          <w:tblLayout w:type="fixed"/>
          <w:tblCellMar>
            <w:top w:w="0" w:type="dxa"/>
            <w:left w:w="108" w:type="dxa"/>
            <w:bottom w:w="0" w:type="dxa"/>
            <w:right w:w="108" w:type="dxa"/>
          </w:tblCellMar>
        </w:tblPrEx>
        <w:trPr>
          <w:trHeight w:val="344" w:hRule="atLeast"/>
        </w:trPr>
        <w:tc>
          <w:tcPr>
            <w:tcW w:w="4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9</w:t>
            </w:r>
          </w:p>
        </w:tc>
        <w:tc>
          <w:tcPr>
            <w:tcW w:w="1135"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kern w:val="0"/>
                <w:sz w:val="24"/>
                <w:szCs w:val="24"/>
              </w:rPr>
              <w:t>IP收扩机</w:t>
            </w:r>
          </w:p>
        </w:tc>
        <w:tc>
          <w:tcPr>
            <w:tcW w:w="68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一、主要功能</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1、通过互联网接入平台服务器，可接收上级远程控制，可根据不同使用环境实现多级分区，支持全区播放、分区播放、单点播放。</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2、支持多任务接收，终端可根据任务优先级选择高优先级的优先播放。</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3、产品工作状态指示，产品带LED指示灯，可指示不同状态。</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4、产品带音量旋钮，可手动调节音量。</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5、IP接收带宽要求低（最低8kbps码率），播放稳定性好。</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6、产品支持远程升级功能，可通过平台对终端做远程升级。</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7、具有广播断电自动恢复功能（断电时保存所有设置，供电正常后自动恢复之前广播）。</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8、具有过热、过压及过载保护功能。</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9、广播音量开始播放时逐渐增强。</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10、终端可自动回传状态。</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11、抗感应雷击（外壳需可靠接地）、防水、防潮。</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二、主要特点</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1、IP收扩机支持实时网络广播、云广播、被寻呼、监听、被监听等功能，主要部署在有线IP网络通达的区域。</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2、接口包括电源（220V）、数据配置、音频输出（50W/8Ω）、网络口。</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3、具备蓝牙通讯扩展功能，可通过手机APP对收扩机参数进行配置查询。</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三、主要技术指标</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1、输出功率：50W/8Ω定阻输出。</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2、频率响应：40Hz～20kHz。</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3、信噪比：≥80dB。</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4、失真度：≤0.1%(@1W)。</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5、音频采样率：8kHz～96kHz。</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6、音频位率：8kbps～128kbps自适应。</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7、接收解码音频格式： MP3、AAC。</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8、支持协议：UDP、TCP/IP。</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9、电源电压：AC 100～300V/50Hz。</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10、工作温度：-30～70℃。</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11、工作湿度：10%～90%。</w:t>
            </w:r>
          </w:p>
        </w:tc>
        <w:tc>
          <w:tcPr>
            <w:tcW w:w="31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台</w:t>
            </w:r>
          </w:p>
        </w:tc>
        <w:tc>
          <w:tcPr>
            <w:tcW w:w="7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392</w:t>
            </w:r>
          </w:p>
        </w:tc>
        <w:tc>
          <w:tcPr>
            <w:tcW w:w="707"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否</w:t>
            </w:r>
          </w:p>
        </w:tc>
      </w:tr>
      <w:tr>
        <w:tblPrEx>
          <w:tblLayout w:type="fixed"/>
          <w:tblCellMar>
            <w:top w:w="0" w:type="dxa"/>
            <w:left w:w="108" w:type="dxa"/>
            <w:bottom w:w="0" w:type="dxa"/>
            <w:right w:w="108" w:type="dxa"/>
          </w:tblCellMar>
        </w:tblPrEx>
        <w:trPr>
          <w:trHeight w:val="333" w:hRule="atLeast"/>
        </w:trPr>
        <w:tc>
          <w:tcPr>
            <w:tcW w:w="4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10</w:t>
            </w:r>
          </w:p>
        </w:tc>
        <w:tc>
          <w:tcPr>
            <w:tcW w:w="1135"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sz w:val="24"/>
                <w:szCs w:val="24"/>
              </w:rPr>
            </w:pPr>
            <w:r>
              <w:rPr>
                <w:rFonts w:hint="eastAsia" w:ascii="新宋体" w:hAnsi="新宋体" w:eastAsia="新宋体" w:cs="新宋体"/>
                <w:sz w:val="24"/>
                <w:szCs w:val="24"/>
              </w:rPr>
              <w:t>高音喇叭</w:t>
            </w:r>
          </w:p>
        </w:tc>
        <w:tc>
          <w:tcPr>
            <w:tcW w:w="68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≥20W，全天候防水，金属外观。并同时具有防水、防尘.</w:t>
            </w:r>
          </w:p>
        </w:tc>
        <w:tc>
          <w:tcPr>
            <w:tcW w:w="31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只</w:t>
            </w:r>
          </w:p>
        </w:tc>
        <w:tc>
          <w:tcPr>
            <w:tcW w:w="7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784</w:t>
            </w:r>
          </w:p>
        </w:tc>
        <w:tc>
          <w:tcPr>
            <w:tcW w:w="707"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否</w:t>
            </w:r>
          </w:p>
        </w:tc>
      </w:tr>
      <w:tr>
        <w:tblPrEx>
          <w:tblLayout w:type="fixed"/>
          <w:tblCellMar>
            <w:top w:w="0" w:type="dxa"/>
            <w:left w:w="108" w:type="dxa"/>
            <w:bottom w:w="0" w:type="dxa"/>
            <w:right w:w="108" w:type="dxa"/>
          </w:tblCellMar>
        </w:tblPrEx>
        <w:trPr>
          <w:trHeight w:val="365" w:hRule="atLeast"/>
        </w:trPr>
        <w:tc>
          <w:tcPr>
            <w:tcW w:w="4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11</w:t>
            </w:r>
          </w:p>
        </w:tc>
        <w:tc>
          <w:tcPr>
            <w:tcW w:w="1135"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sz w:val="24"/>
                <w:szCs w:val="24"/>
              </w:rPr>
              <w:t>辅材及安装</w:t>
            </w:r>
          </w:p>
        </w:tc>
        <w:tc>
          <w:tcPr>
            <w:tcW w:w="68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left"/>
              <w:textAlignment w:val="center"/>
              <w:rPr>
                <w:rFonts w:hint="eastAsia" w:ascii="新宋体" w:hAnsi="新宋体" w:eastAsia="新宋体" w:cs="新宋体"/>
                <w:sz w:val="24"/>
                <w:szCs w:val="24"/>
              </w:rPr>
            </w:pPr>
            <w:r>
              <w:rPr>
                <w:rFonts w:hint="eastAsia" w:ascii="新宋体" w:hAnsi="新宋体" w:eastAsia="新宋体" w:cs="新宋体"/>
                <w:sz w:val="24"/>
                <w:szCs w:val="24"/>
              </w:rPr>
              <w:t>工程辅材，含网线、电源线、音频线、电源插座等辅助材料。</w:t>
            </w:r>
          </w:p>
        </w:tc>
        <w:tc>
          <w:tcPr>
            <w:tcW w:w="31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批</w:t>
            </w:r>
          </w:p>
        </w:tc>
        <w:tc>
          <w:tcPr>
            <w:tcW w:w="7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392</w:t>
            </w:r>
          </w:p>
        </w:tc>
        <w:tc>
          <w:tcPr>
            <w:tcW w:w="707"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否</w:t>
            </w:r>
          </w:p>
        </w:tc>
      </w:tr>
      <w:tr>
        <w:tblPrEx>
          <w:tblLayout w:type="fixed"/>
          <w:tblCellMar>
            <w:top w:w="0" w:type="dxa"/>
            <w:left w:w="108" w:type="dxa"/>
            <w:bottom w:w="0" w:type="dxa"/>
            <w:right w:w="108" w:type="dxa"/>
          </w:tblCellMar>
        </w:tblPrEx>
        <w:trPr>
          <w:trHeight w:val="290" w:hRule="atLeast"/>
        </w:trPr>
        <w:tc>
          <w:tcPr>
            <w:tcW w:w="10260" w:type="dxa"/>
            <w:gridSpan w:val="6"/>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kern w:val="0"/>
                <w:sz w:val="24"/>
                <w:szCs w:val="24"/>
              </w:rPr>
              <w:t>四、村组广播终端</w:t>
            </w:r>
          </w:p>
        </w:tc>
      </w:tr>
      <w:tr>
        <w:tblPrEx>
          <w:tblLayout w:type="fixed"/>
          <w:tblCellMar>
            <w:top w:w="0" w:type="dxa"/>
            <w:left w:w="108" w:type="dxa"/>
            <w:bottom w:w="0" w:type="dxa"/>
            <w:right w:w="108" w:type="dxa"/>
          </w:tblCellMar>
        </w:tblPrEx>
        <w:trPr>
          <w:trHeight w:val="333" w:hRule="atLeast"/>
        </w:trPr>
        <w:tc>
          <w:tcPr>
            <w:tcW w:w="4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1</w:t>
            </w:r>
          </w:p>
        </w:tc>
        <w:tc>
          <w:tcPr>
            <w:tcW w:w="1135"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4G收扩机</w:t>
            </w:r>
          </w:p>
        </w:tc>
        <w:tc>
          <w:tcPr>
            <w:tcW w:w="68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一、主要特点</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1、4G分体式终端支持实时网络广播、云广播、被寻呼、监听、被监听等功能，主要部署在有线IP网络不能到达的区域。</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★2、通过4G无线网络组网灵活，可同时兼容移动、联通、电信4G网络。当4G网络无信号时可自动切换到3G、2G网络。</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3、接口丰富，包括电源（220V）、数据配置、音频输出（50W/8Ω）、网络天线（SMA接口）、SIM卡等接口。</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二、主要功能</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1、支持分级分区控制：采用可寻址全数字解码，接收上级远程控制，根据不同使用环境实现多级分区，支持全区播放、分区播放、单点播放。</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2、支持网络被寻呼：与带有寻呼功能的设备配合使用，通过此设备进行呼叫，能清晰的播放寻呼内容。</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3、支持监听和被监听：可在IP 网络广播系统中创建一个监听会话系统，把4G分体式终端既可以作为监听终端，监听其它广播终端的播放内容；同时，也可以作为被监听广播终端，即使用其它广播终端来监听本广播终端的实时播放内容。</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4、支持多任务广播：在系统软件的管理下，支持网络实时任务、定时任务广播，并可实时修改任务优先级。</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★5、支持终端参数配置及查询：通过串口和手机短信配置终端参数（服务器IP、终端名称、终端ID），查询终端参数（设备ID、终端ID、服务器IP和端口号、当前网络信号值）。</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二、性能参数</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1、输出功率：50W/8Ω定阻输出；</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2、输出阻抗：8Ω；</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2、频率响应：40Hz～20kHz；</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3、信噪比：≥80dB；</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4、失真度：≤0.1%(@1W)；</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5、音频采样率：8kHz～48kHz；</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6、音频位率：8kbps～128kbps自适应；</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7、音频格式：MP3，ADPCM；</w:t>
            </w:r>
          </w:p>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8、支持协议：UDP；</w:t>
            </w:r>
          </w:p>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★9、电源电压：AC 185～265V/50Hz /50Hz。</w:t>
            </w:r>
          </w:p>
        </w:tc>
        <w:tc>
          <w:tcPr>
            <w:tcW w:w="31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台</w:t>
            </w:r>
          </w:p>
        </w:tc>
        <w:tc>
          <w:tcPr>
            <w:tcW w:w="7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432</w:t>
            </w:r>
          </w:p>
        </w:tc>
        <w:tc>
          <w:tcPr>
            <w:tcW w:w="707"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是</w:t>
            </w:r>
          </w:p>
        </w:tc>
      </w:tr>
      <w:tr>
        <w:tblPrEx>
          <w:tblLayout w:type="fixed"/>
          <w:tblCellMar>
            <w:top w:w="0" w:type="dxa"/>
            <w:left w:w="108" w:type="dxa"/>
            <w:bottom w:w="0" w:type="dxa"/>
            <w:right w:w="108" w:type="dxa"/>
          </w:tblCellMar>
        </w:tblPrEx>
        <w:trPr>
          <w:trHeight w:val="387" w:hRule="atLeast"/>
        </w:trPr>
        <w:tc>
          <w:tcPr>
            <w:tcW w:w="4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2</w:t>
            </w:r>
          </w:p>
        </w:tc>
        <w:tc>
          <w:tcPr>
            <w:tcW w:w="1135"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sz w:val="24"/>
                <w:szCs w:val="24"/>
              </w:rPr>
              <w:t>号筒高音喇叭</w:t>
            </w:r>
          </w:p>
        </w:tc>
        <w:tc>
          <w:tcPr>
            <w:tcW w:w="68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≥20W，全天候防水，金属外观。并同时具有防水、防尘。</w:t>
            </w:r>
          </w:p>
        </w:tc>
        <w:tc>
          <w:tcPr>
            <w:tcW w:w="31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只</w:t>
            </w:r>
          </w:p>
        </w:tc>
        <w:tc>
          <w:tcPr>
            <w:tcW w:w="7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864</w:t>
            </w:r>
          </w:p>
        </w:tc>
        <w:tc>
          <w:tcPr>
            <w:tcW w:w="707"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否</w:t>
            </w:r>
          </w:p>
        </w:tc>
      </w:tr>
      <w:tr>
        <w:tblPrEx>
          <w:tblLayout w:type="fixed"/>
          <w:tblCellMar>
            <w:top w:w="0" w:type="dxa"/>
            <w:left w:w="108" w:type="dxa"/>
            <w:bottom w:w="0" w:type="dxa"/>
            <w:right w:w="108" w:type="dxa"/>
          </w:tblCellMar>
        </w:tblPrEx>
        <w:trPr>
          <w:trHeight w:val="290" w:hRule="atLeast"/>
        </w:trPr>
        <w:tc>
          <w:tcPr>
            <w:tcW w:w="4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3</w:t>
            </w:r>
          </w:p>
        </w:tc>
        <w:tc>
          <w:tcPr>
            <w:tcW w:w="1135"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抱箍横担</w:t>
            </w:r>
          </w:p>
        </w:tc>
        <w:tc>
          <w:tcPr>
            <w:tcW w:w="68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sz w:val="24"/>
                <w:szCs w:val="24"/>
              </w:rPr>
              <w:t>一体式定制</w:t>
            </w:r>
          </w:p>
        </w:tc>
        <w:tc>
          <w:tcPr>
            <w:tcW w:w="31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套</w:t>
            </w:r>
          </w:p>
        </w:tc>
        <w:tc>
          <w:tcPr>
            <w:tcW w:w="7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432</w:t>
            </w:r>
          </w:p>
        </w:tc>
        <w:tc>
          <w:tcPr>
            <w:tcW w:w="707"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否</w:t>
            </w:r>
          </w:p>
        </w:tc>
      </w:tr>
      <w:tr>
        <w:tblPrEx>
          <w:tblLayout w:type="fixed"/>
          <w:tblCellMar>
            <w:top w:w="0" w:type="dxa"/>
            <w:left w:w="108" w:type="dxa"/>
            <w:bottom w:w="0" w:type="dxa"/>
            <w:right w:w="108" w:type="dxa"/>
          </w:tblCellMar>
        </w:tblPrEx>
        <w:trPr>
          <w:trHeight w:val="538" w:hRule="atLeast"/>
        </w:trPr>
        <w:tc>
          <w:tcPr>
            <w:tcW w:w="4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4</w:t>
            </w:r>
          </w:p>
        </w:tc>
        <w:tc>
          <w:tcPr>
            <w:tcW w:w="1135"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辅材及施工</w:t>
            </w:r>
          </w:p>
        </w:tc>
        <w:tc>
          <w:tcPr>
            <w:tcW w:w="68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工程辅材，含网线、电源线、音频线、电源插座等辅助材料。</w:t>
            </w:r>
          </w:p>
        </w:tc>
        <w:tc>
          <w:tcPr>
            <w:tcW w:w="31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批</w:t>
            </w:r>
          </w:p>
        </w:tc>
        <w:tc>
          <w:tcPr>
            <w:tcW w:w="7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432</w:t>
            </w:r>
          </w:p>
        </w:tc>
        <w:tc>
          <w:tcPr>
            <w:tcW w:w="707"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否</w:t>
            </w:r>
          </w:p>
        </w:tc>
      </w:tr>
      <w:tr>
        <w:tblPrEx>
          <w:tblLayout w:type="fixed"/>
          <w:tblCellMar>
            <w:top w:w="0" w:type="dxa"/>
            <w:left w:w="108" w:type="dxa"/>
            <w:bottom w:w="0" w:type="dxa"/>
            <w:right w:w="108" w:type="dxa"/>
          </w:tblCellMar>
        </w:tblPrEx>
        <w:trPr>
          <w:trHeight w:val="118" w:hRule="atLeast"/>
        </w:trPr>
        <w:tc>
          <w:tcPr>
            <w:tcW w:w="489"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5</w:t>
            </w:r>
          </w:p>
        </w:tc>
        <w:tc>
          <w:tcPr>
            <w:tcW w:w="1135"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4G物联网卡</w:t>
            </w:r>
          </w:p>
        </w:tc>
        <w:tc>
          <w:tcPr>
            <w:tcW w:w="6889" w:type="dxa"/>
            <w:tcBorders>
              <w:top w:val="single" w:color="auto"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textAlignment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包含3年每月5G流量</w:t>
            </w:r>
          </w:p>
        </w:tc>
        <w:tc>
          <w:tcPr>
            <w:tcW w:w="310" w:type="dxa"/>
            <w:tcBorders>
              <w:top w:val="single" w:color="auto"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张</w:t>
            </w:r>
          </w:p>
        </w:tc>
        <w:tc>
          <w:tcPr>
            <w:tcW w:w="730" w:type="dxa"/>
            <w:tcBorders>
              <w:top w:val="single" w:color="auto"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432</w:t>
            </w:r>
          </w:p>
        </w:tc>
        <w:tc>
          <w:tcPr>
            <w:tcW w:w="707" w:type="dxa"/>
            <w:tcBorders>
              <w:top w:val="single" w:color="auto"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新宋体" w:hAnsi="新宋体" w:eastAsia="新宋体" w:cs="新宋体"/>
                <w:bCs/>
                <w:color w:val="000000"/>
                <w:kern w:val="0"/>
                <w:sz w:val="24"/>
                <w:szCs w:val="24"/>
                <w:lang w:bidi="ar"/>
              </w:rPr>
            </w:pPr>
            <w:r>
              <w:rPr>
                <w:rFonts w:hint="eastAsia" w:ascii="新宋体" w:hAnsi="新宋体" w:eastAsia="新宋体" w:cs="新宋体"/>
                <w:bCs/>
                <w:color w:val="000000"/>
                <w:kern w:val="0"/>
                <w:sz w:val="24"/>
                <w:szCs w:val="24"/>
                <w:lang w:bidi="ar"/>
              </w:rPr>
              <w:t>否</w:t>
            </w:r>
          </w:p>
        </w:tc>
      </w:tr>
    </w:tbl>
    <w:p>
      <w:pPr>
        <w:widowControl/>
        <w:numPr>
          <w:ilvl w:val="0"/>
          <w:numId w:val="0"/>
        </w:numPr>
        <w:shd w:val="clear" w:color="auto" w:fill="FFFFFF"/>
        <w:spacing w:line="360" w:lineRule="auto"/>
        <w:jc w:val="left"/>
        <w:rPr>
          <w:rFonts w:hint="default" w:ascii="新宋体" w:hAnsi="新宋体" w:eastAsia="新宋体" w:cs="新宋体"/>
          <w:b/>
          <w:bCs/>
          <w:color w:val="000000"/>
          <w:kern w:val="0"/>
          <w:sz w:val="24"/>
          <w:szCs w:val="24"/>
          <w:lang w:val="en-US" w:eastAsia="zh-CN"/>
        </w:rPr>
      </w:pPr>
    </w:p>
    <w:p>
      <w:pPr>
        <w:widowControl/>
        <w:numPr>
          <w:ilvl w:val="0"/>
          <w:numId w:val="0"/>
        </w:numPr>
        <w:shd w:val="clear" w:color="auto" w:fill="FFFFFF"/>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b/>
          <w:bCs/>
          <w:color w:val="000000"/>
          <w:kern w:val="0"/>
          <w:sz w:val="24"/>
          <w:szCs w:val="24"/>
          <w:lang w:eastAsia="zh-CN"/>
        </w:rPr>
        <w:t>（三）</w:t>
      </w:r>
      <w:r>
        <w:rPr>
          <w:rFonts w:hint="eastAsia" w:ascii="新宋体" w:hAnsi="新宋体" w:eastAsia="新宋体" w:cs="新宋体"/>
          <w:b/>
          <w:bCs/>
          <w:color w:val="000000"/>
          <w:kern w:val="0"/>
          <w:sz w:val="24"/>
          <w:szCs w:val="24"/>
        </w:rPr>
        <w:t>采购标的执行标准</w:t>
      </w:r>
      <w:r>
        <w:rPr>
          <w:rFonts w:hint="eastAsia" w:ascii="新宋体" w:hAnsi="新宋体" w:eastAsia="新宋体" w:cs="新宋体"/>
          <w:b/>
          <w:bCs/>
          <w:color w:val="000000"/>
          <w:kern w:val="0"/>
          <w:sz w:val="24"/>
          <w:szCs w:val="24"/>
          <w:lang w:eastAsia="zh-CN"/>
        </w:rPr>
        <w:t>：</w:t>
      </w:r>
    </w:p>
    <w:p>
      <w:pPr>
        <w:pStyle w:val="2"/>
        <w:ind w:left="0" w:leftChars="0" w:firstLine="0" w:firstLineChars="0"/>
        <w:rPr>
          <w:rFonts w:hint="eastAsia" w:eastAsiaTheme="minorEastAsia"/>
          <w:lang w:eastAsia="zh-CN"/>
        </w:rPr>
      </w:pPr>
      <w:r>
        <w:rPr>
          <w:rFonts w:hint="eastAsia"/>
          <w:lang w:eastAsia="zh-CN"/>
        </w:rPr>
        <w:t>执行国家相关标准。</w:t>
      </w:r>
    </w:p>
    <w:p>
      <w:pPr>
        <w:widowControl/>
        <w:jc w:val="left"/>
        <w:rPr>
          <w:rFonts w:hint="eastAsia"/>
        </w:rPr>
      </w:pPr>
      <w:r>
        <w:rPr>
          <w:rFonts w:hint="eastAsia" w:ascii="宋体" w:hAnsi="宋体" w:cs="宋体"/>
          <w:b/>
          <w:bCs/>
          <w:kern w:val="0"/>
          <w:sz w:val="24"/>
          <w:szCs w:val="24"/>
        </w:rPr>
        <w:t>（</w:t>
      </w:r>
      <w:r>
        <w:rPr>
          <w:rFonts w:hint="eastAsia" w:ascii="宋体" w:hAnsi="宋体" w:cs="宋体"/>
          <w:b/>
          <w:bCs/>
          <w:kern w:val="0"/>
          <w:sz w:val="24"/>
          <w:szCs w:val="24"/>
          <w:lang w:eastAsia="zh-CN"/>
        </w:rPr>
        <w:t>四</w:t>
      </w:r>
      <w:r>
        <w:rPr>
          <w:rFonts w:hint="eastAsia" w:ascii="宋体" w:hAnsi="宋体" w:cs="宋体"/>
          <w:b/>
          <w:bCs/>
          <w:kern w:val="0"/>
          <w:sz w:val="24"/>
          <w:szCs w:val="24"/>
        </w:rPr>
        <w:t>）验收标准</w:t>
      </w:r>
    </w:p>
    <w:p>
      <w:pPr>
        <w:widowControl/>
        <w:shd w:val="clear" w:color="auto" w:fill="FFFFFF"/>
        <w:spacing w:line="360" w:lineRule="auto"/>
        <w:ind w:firstLine="600"/>
        <w:jc w:val="left"/>
        <w:rPr>
          <w:rFonts w:hint="eastAsia" w:ascii="宋体" w:hAnsi="宋体" w:cs="宋体"/>
          <w:kern w:val="0"/>
          <w:sz w:val="24"/>
          <w:szCs w:val="24"/>
          <w:lang w:bidi="ar"/>
        </w:rPr>
      </w:pPr>
      <w:r>
        <w:rPr>
          <w:rFonts w:hint="eastAsia" w:ascii="宋体" w:hAnsi="宋体" w:cs="宋体"/>
          <w:kern w:val="0"/>
          <w:sz w:val="24"/>
          <w:szCs w:val="24"/>
          <w:lang w:val="en-US" w:eastAsia="zh-CN" w:bidi="ar"/>
        </w:rPr>
        <w:t>1、</w:t>
      </w:r>
      <w:r>
        <w:rPr>
          <w:rFonts w:hint="eastAsia" w:ascii="宋体" w:hAnsi="宋体" w:cs="宋体"/>
          <w:kern w:val="0"/>
          <w:sz w:val="24"/>
          <w:szCs w:val="24"/>
          <w:lang w:bidi="ar"/>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pStyle w:val="2"/>
        <w:rPr>
          <w:rFonts w:hint="eastAsia" w:ascii="新宋体" w:hAnsi="新宋体" w:eastAsia="新宋体" w:cs="新宋体"/>
          <w:sz w:val="24"/>
          <w:szCs w:val="24"/>
          <w:lang w:val="en-US" w:eastAsia="zh-CN"/>
        </w:rPr>
      </w:pPr>
      <w:r>
        <w:rPr>
          <w:rFonts w:hint="eastAsia" w:ascii="宋体" w:hAnsi="宋体" w:cs="宋体"/>
          <w:kern w:val="0"/>
          <w:sz w:val="24"/>
          <w:szCs w:val="24"/>
          <w:lang w:val="en-US" w:eastAsia="zh-CN" w:bidi="ar"/>
        </w:rPr>
        <w:t>2、按照招标文件的要求，投标文件的响应和承诺验收。</w:t>
      </w:r>
    </w:p>
    <w:p>
      <w:pPr>
        <w:widowControl/>
        <w:shd w:val="clear" w:color="auto" w:fill="FFFFFF"/>
        <w:spacing w:line="360" w:lineRule="auto"/>
        <w:jc w:val="left"/>
        <w:rPr>
          <w:rFonts w:hint="eastAsia" w:ascii="宋体" w:hAnsi="宋体" w:cs="宋体"/>
          <w:b/>
          <w:bCs/>
          <w:kern w:val="0"/>
          <w:sz w:val="24"/>
          <w:szCs w:val="24"/>
          <w:lang w:val="zh-CN"/>
        </w:rPr>
      </w:pPr>
      <w:r>
        <w:rPr>
          <w:rFonts w:hint="eastAsia" w:ascii="宋体" w:hAnsi="宋体" w:cs="宋体"/>
          <w:b/>
          <w:bCs/>
          <w:kern w:val="0"/>
          <w:sz w:val="24"/>
          <w:szCs w:val="24"/>
          <w:lang w:val="zh-CN"/>
        </w:rPr>
        <w:t>（五）其他要求</w:t>
      </w:r>
    </w:p>
    <w:p>
      <w:pPr>
        <w:pStyle w:val="2"/>
        <w:ind w:left="0" w:leftChars="0" w:firstLine="0" w:firstLineChars="0"/>
        <w:rPr>
          <w:rFonts w:hint="eastAsia" w:eastAsiaTheme="minorEastAsia"/>
          <w:lang w:val="en-US" w:eastAsia="zh-CN"/>
        </w:rPr>
      </w:pPr>
      <w:r>
        <w:rPr>
          <w:rFonts w:hint="eastAsia" w:cs="宋体"/>
          <w:b/>
          <w:bCs/>
          <w:kern w:val="0"/>
          <w:sz w:val="24"/>
          <w:szCs w:val="24"/>
          <w:lang w:val="en-US" w:eastAsia="zh-CN"/>
        </w:rPr>
        <w:t>1、以上技术要求为最低要求，投标商应等于或优于以上要求，否则为无效投标。</w:t>
      </w:r>
    </w:p>
    <w:p>
      <w:pPr>
        <w:tabs>
          <w:tab w:val="left" w:pos="5963"/>
        </w:tabs>
        <w:spacing w:line="420" w:lineRule="exact"/>
        <w:rPr>
          <w:rFonts w:hint="eastAsia"/>
          <w:lang w:val="zh-CN"/>
        </w:rPr>
      </w:pPr>
      <w:r>
        <w:rPr>
          <w:rFonts w:hint="eastAsia" w:ascii="宋体" w:hAnsi="宋体" w:eastAsia="宋体" w:cs="宋体"/>
          <w:kern w:val="0"/>
          <w:sz w:val="24"/>
          <w:szCs w:val="24"/>
          <w:lang w:val="en-US" w:eastAsia="zh-CN" w:bidi="ar"/>
        </w:rPr>
        <w:t>2、投标人须明确投标产品的品牌、型号、厂家及产地等详细参数，否则为无效投标。</w:t>
      </w:r>
    </w:p>
    <w:p>
      <w:pPr>
        <w:widowControl/>
        <w:shd w:val="clear" w:color="auto" w:fill="FFFFFF"/>
        <w:spacing w:line="360" w:lineRule="auto"/>
        <w:jc w:val="left"/>
        <w:rPr>
          <w:rFonts w:hint="eastAsia" w:ascii="宋体" w:hAnsi="宋体" w:cs="宋体"/>
          <w:kern w:val="0"/>
          <w:sz w:val="24"/>
          <w:szCs w:val="24"/>
          <w:lang w:val="zh-CN"/>
        </w:rPr>
      </w:pP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cs="宋体"/>
          <w:kern w:val="0"/>
          <w:sz w:val="24"/>
          <w:szCs w:val="24"/>
          <w:lang w:val="zh-CN"/>
        </w:rPr>
        <w:t>投标人应就该项目完整投标（报价含安装，运输、培训、税费等综合费用），否则为无效投标。</w:t>
      </w:r>
    </w:p>
    <w:p>
      <w:pPr>
        <w:tabs>
          <w:tab w:val="left" w:pos="5963"/>
        </w:tabs>
        <w:spacing w:line="420" w:lineRule="exact"/>
        <w:rPr>
          <w:rFonts w:hint="eastAsia"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rPr>
          <w:rFonts w:hint="eastAsia" w:ascii="宋体" w:hAnsi="宋体" w:cs="宋体"/>
          <w:sz w:val="24"/>
          <w:szCs w:val="24"/>
        </w:rPr>
      </w:pPr>
      <w:r>
        <w:rPr>
          <w:rFonts w:hint="eastAsia" w:ascii="宋体" w:hAnsi="宋体" w:cs="宋体"/>
          <w:sz w:val="24"/>
          <w:szCs w:val="24"/>
          <w:lang w:val="en-US" w:eastAsia="zh-CN"/>
        </w:rPr>
        <w:t>5</w:t>
      </w:r>
      <w:r>
        <w:rPr>
          <w:rFonts w:hint="eastAsia" w:ascii="宋体" w:hAnsi="宋体" w:cs="宋体"/>
          <w:sz w:val="24"/>
          <w:szCs w:val="24"/>
        </w:rPr>
        <w:t>、所投产品已列入国家强制性产品认证的产品，投标文件中必须提供国家对实施强制性产品认证的有效证明材料且加盖投标人公章，否则为无效投标。（如3C等）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rPr>
          <w:rFonts w:hint="eastAsia" w:ascii="宋体" w:hAnsi="宋体" w:cs="宋体"/>
          <w:kern w:val="0"/>
          <w:sz w:val="24"/>
          <w:szCs w:val="24"/>
          <w:lang w:val="zh-CN"/>
        </w:rPr>
      </w:pPr>
      <w:r>
        <w:rPr>
          <w:rFonts w:hint="eastAsia" w:ascii="宋体" w:hAnsi="宋体" w:cs="宋体"/>
          <w:sz w:val="24"/>
          <w:szCs w:val="24"/>
          <w:lang w:val="en-US" w:eastAsia="zh-CN"/>
        </w:rPr>
        <w:t>6</w:t>
      </w:r>
      <w:r>
        <w:rPr>
          <w:rFonts w:hint="eastAsia" w:ascii="宋体" w:hAnsi="宋体" w:cs="宋体"/>
          <w:sz w:val="24"/>
          <w:szCs w:val="24"/>
        </w:rPr>
        <w:t>、根据《财政部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widowControl/>
        <w:shd w:val="clear" w:color="auto" w:fill="FFFFFF"/>
        <w:spacing w:line="360" w:lineRule="auto"/>
        <w:jc w:val="left"/>
        <w:rPr>
          <w:rFonts w:hint="eastAsia" w:ascii="宋体" w:hAnsi="宋体" w:cs="宋体"/>
          <w:kern w:val="0"/>
          <w:sz w:val="24"/>
          <w:szCs w:val="24"/>
          <w:lang w:val="zh-CN"/>
        </w:rPr>
      </w:pPr>
      <w:r>
        <w:rPr>
          <w:rFonts w:hint="eastAsia" w:ascii="宋体" w:hAnsi="宋体" w:cs="宋体"/>
          <w:kern w:val="0"/>
          <w:sz w:val="24"/>
          <w:szCs w:val="24"/>
          <w:lang w:val="en-US" w:eastAsia="zh-CN"/>
        </w:rPr>
        <w:t>7</w:t>
      </w:r>
      <w:r>
        <w:rPr>
          <w:rFonts w:hint="eastAsia" w:ascii="宋体" w:hAnsi="宋体" w:cs="宋体"/>
          <w:kern w:val="0"/>
          <w:sz w:val="24"/>
          <w:szCs w:val="24"/>
          <w:lang w:val="zh-CN"/>
        </w:rPr>
        <w:t>、产品必须符合国家质量检测标准和本招标文件规定标准的全新正品现货，供货时提供随货物《产品合格证》及其它相关质量证明文件。</w:t>
      </w:r>
    </w:p>
    <w:p>
      <w:pPr>
        <w:pStyle w:val="27"/>
        <w:numPr>
          <w:ilvl w:val="0"/>
          <w:numId w:val="0"/>
        </w:numPr>
        <w:rPr>
          <w:rFonts w:hint="eastAsia"/>
        </w:rPr>
      </w:pPr>
      <w:r>
        <w:rPr>
          <w:rFonts w:hint="eastAsia" w:ascii="宋体" w:hAnsi="宋体" w:cs="宋体"/>
          <w:kern w:val="0"/>
          <w:sz w:val="24"/>
          <w:szCs w:val="24"/>
          <w:lang w:val="en-US" w:eastAsia="zh-CN"/>
        </w:rPr>
        <w:t>8</w:t>
      </w:r>
      <w:r>
        <w:rPr>
          <w:rFonts w:hint="eastAsia" w:ascii="宋体" w:hAnsi="宋体" w:cs="宋体"/>
          <w:kern w:val="0"/>
          <w:sz w:val="24"/>
          <w:szCs w:val="24"/>
        </w:rPr>
        <w:t>、中标方需提供产品使用说明书及光盘</w:t>
      </w:r>
      <w:r>
        <w:rPr>
          <w:rFonts w:hint="eastAsia" w:ascii="宋体" w:hAnsi="宋体" w:cs="宋体"/>
          <w:kern w:val="0"/>
          <w:sz w:val="24"/>
          <w:szCs w:val="24"/>
          <w:lang w:eastAsia="zh-CN"/>
        </w:rPr>
        <w:t>，</w:t>
      </w:r>
      <w:r>
        <w:rPr>
          <w:rFonts w:hint="eastAsia" w:ascii="宋体" w:hAnsi="宋体" w:cs="宋体"/>
          <w:kern w:val="0"/>
          <w:sz w:val="24"/>
          <w:szCs w:val="24"/>
        </w:rPr>
        <w:t>并有义务进行有关使用培训。</w:t>
      </w:r>
    </w:p>
    <w:p>
      <w:pPr>
        <w:widowControl/>
        <w:shd w:val="clear" w:color="auto" w:fill="FFFFFF"/>
        <w:spacing w:line="360" w:lineRule="auto"/>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lang w:val="en-US" w:eastAsia="zh-CN"/>
        </w:rPr>
        <w:t>9</w:t>
      </w:r>
      <w:r>
        <w:rPr>
          <w:rFonts w:hint="eastAsia" w:ascii="新宋体" w:hAnsi="新宋体" w:eastAsia="新宋体" w:cs="新宋体"/>
          <w:kern w:val="0"/>
          <w:sz w:val="24"/>
          <w:szCs w:val="24"/>
        </w:rPr>
        <w:t>、付款方式：设备</w:t>
      </w:r>
      <w:r>
        <w:rPr>
          <w:rFonts w:hint="eastAsia" w:ascii="新宋体" w:hAnsi="新宋体" w:eastAsia="新宋体" w:cs="新宋体"/>
          <w:kern w:val="0"/>
          <w:sz w:val="24"/>
          <w:szCs w:val="24"/>
          <w:lang w:eastAsia="zh-CN"/>
        </w:rPr>
        <w:t>到货经安装调试，</w:t>
      </w:r>
      <w:r>
        <w:rPr>
          <w:rFonts w:hint="eastAsia" w:ascii="新宋体" w:hAnsi="新宋体" w:eastAsia="新宋体" w:cs="新宋体"/>
          <w:kern w:val="0"/>
          <w:sz w:val="24"/>
          <w:szCs w:val="24"/>
        </w:rPr>
        <w:t>验收合格后付合同总额的95%，</w:t>
      </w:r>
      <w:r>
        <w:rPr>
          <w:rFonts w:hint="eastAsia" w:ascii="新宋体" w:hAnsi="新宋体" w:eastAsia="新宋体" w:cs="新宋体"/>
          <w:kern w:val="0"/>
          <w:sz w:val="24"/>
          <w:szCs w:val="24"/>
          <w:lang w:eastAsia="zh-CN"/>
        </w:rPr>
        <w:t>剩余</w:t>
      </w:r>
      <w:r>
        <w:rPr>
          <w:rFonts w:hint="eastAsia" w:ascii="新宋体" w:hAnsi="新宋体" w:eastAsia="新宋体" w:cs="新宋体"/>
          <w:kern w:val="0"/>
          <w:sz w:val="24"/>
          <w:szCs w:val="24"/>
          <w:lang w:val="en-US" w:eastAsia="zh-CN"/>
        </w:rPr>
        <w:t>5%满一年无质量问题</w:t>
      </w:r>
      <w:r>
        <w:rPr>
          <w:rFonts w:hint="eastAsia" w:ascii="新宋体" w:hAnsi="新宋体" w:eastAsia="新宋体" w:cs="新宋体"/>
          <w:kern w:val="0"/>
          <w:sz w:val="24"/>
          <w:szCs w:val="24"/>
        </w:rPr>
        <w:t>一次性付清。</w:t>
      </w:r>
    </w:p>
    <w:p>
      <w:pPr>
        <w:widowControl/>
        <w:shd w:val="clear" w:color="auto" w:fill="FFFFFF"/>
        <w:spacing w:line="360" w:lineRule="auto"/>
        <w:ind w:firstLine="480" w:firstLineChars="200"/>
        <w:contextualSpacing/>
        <w:jc w:val="left"/>
        <w:rPr>
          <w:rFonts w:hint="eastAsia" w:ascii="新宋体" w:hAnsi="新宋体" w:eastAsia="新宋体" w:cs="新宋体"/>
          <w:color w:val="000000"/>
          <w:kern w:val="0"/>
          <w:sz w:val="24"/>
          <w:szCs w:val="24"/>
          <w:lang w:val="zh-CN"/>
        </w:rPr>
      </w:pPr>
    </w:p>
    <w:p>
      <w:pPr>
        <w:autoSpaceDE w:val="0"/>
        <w:autoSpaceDN w:val="0"/>
        <w:adjustRightInd w:val="0"/>
        <w:spacing w:line="360" w:lineRule="auto"/>
        <w:jc w:val="center"/>
        <w:rPr>
          <w:rFonts w:hint="eastAsia" w:ascii="新宋体" w:hAnsi="新宋体" w:eastAsia="新宋体" w:cs="新宋体"/>
          <w:b/>
          <w:kern w:val="0"/>
          <w:sz w:val="24"/>
          <w:szCs w:val="24"/>
        </w:rPr>
      </w:pPr>
    </w:p>
    <w:p>
      <w:pPr>
        <w:autoSpaceDE w:val="0"/>
        <w:autoSpaceDN w:val="0"/>
        <w:adjustRightInd w:val="0"/>
        <w:jc w:val="center"/>
        <w:rPr>
          <w:rFonts w:hint="eastAsia" w:cs="宋体" w:asciiTheme="majorEastAsia" w:hAnsiTheme="majorEastAsia" w:eastAsiaTheme="majorEastAsia"/>
          <w:b/>
          <w:kern w:val="0"/>
          <w:sz w:val="36"/>
          <w:szCs w:val="36"/>
        </w:rPr>
      </w:pPr>
      <w:r>
        <w:rPr>
          <w:rFonts w:hint="eastAsia" w:ascii="仿宋" w:hAnsi="仿宋" w:eastAsia="仿宋" w:cs="仿宋"/>
          <w:b/>
          <w:kern w:val="0"/>
          <w:sz w:val="24"/>
          <w:szCs w:val="24"/>
        </w:rPr>
        <w:t xml:space="preserve">    </w:t>
      </w: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1"/>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autoSpaceDE w:val="0"/>
              <w:autoSpaceDN w:val="0"/>
              <w:adjustRightInd w:val="0"/>
              <w:spacing w:line="360" w:lineRule="auto"/>
              <w:jc w:val="left"/>
              <w:rPr>
                <w:rFonts w:hint="eastAsia" w:cs="仿宋_GB2312" w:asciiTheme="minorEastAsia" w:hAnsiTheme="minorEastAsia"/>
                <w:sz w:val="24"/>
                <w:szCs w:val="24"/>
                <w:lang w:eastAsia="zh-CN"/>
              </w:rPr>
            </w:pPr>
            <w:r>
              <w:rPr>
                <w:rFonts w:hint="eastAsia" w:cs="仿宋_GB2312" w:asciiTheme="minorEastAsia" w:hAnsiTheme="minorEastAsia"/>
                <w:sz w:val="24"/>
                <w:szCs w:val="24"/>
              </w:rPr>
              <w:t>项目名称：</w:t>
            </w:r>
            <w:r>
              <w:rPr>
                <w:rFonts w:hint="eastAsia" w:cs="仿宋_GB2312" w:asciiTheme="minorEastAsia" w:hAnsiTheme="minorEastAsia"/>
                <w:sz w:val="24"/>
                <w:szCs w:val="24"/>
                <w:lang w:eastAsia="zh-CN"/>
              </w:rPr>
              <w:t>禹州市创建国家公共文化服务体系示范区村级文化服务中心设备提升项目</w:t>
            </w:r>
          </w:p>
          <w:p>
            <w:pPr>
              <w:autoSpaceDE w:val="0"/>
              <w:autoSpaceDN w:val="0"/>
              <w:adjustRightInd w:val="0"/>
              <w:spacing w:line="360" w:lineRule="auto"/>
              <w:jc w:val="left"/>
              <w:rPr>
                <w:rFonts w:hint="default" w:cs="仿宋_GB2312" w:asciiTheme="minorEastAsia" w:hAnsiTheme="minorEastAsia"/>
                <w:sz w:val="24"/>
                <w:szCs w:val="24"/>
                <w:lang w:val="en-US" w:eastAsia="zh-CN"/>
              </w:rPr>
            </w:pPr>
            <w:r>
              <w:rPr>
                <w:rFonts w:hint="eastAsia" w:cs="仿宋_GB2312" w:asciiTheme="minorEastAsia" w:hAnsiTheme="minorEastAsia"/>
                <w:sz w:val="24"/>
                <w:szCs w:val="24"/>
              </w:rPr>
              <w:t>项目编号：YZCG-G2019</w:t>
            </w:r>
            <w:r>
              <w:rPr>
                <w:rFonts w:hint="eastAsia" w:cs="仿宋_GB2312" w:asciiTheme="minorEastAsia" w:hAnsiTheme="minorEastAsia"/>
                <w:sz w:val="24"/>
                <w:szCs w:val="24"/>
                <w:lang w:val="en-US" w:eastAsia="zh-CN"/>
              </w:rPr>
              <w:t>135</w:t>
            </w:r>
          </w:p>
          <w:p>
            <w:pPr>
              <w:autoSpaceDE w:val="0"/>
              <w:autoSpaceDN w:val="0"/>
              <w:adjustRightInd w:val="0"/>
              <w:spacing w:line="360" w:lineRule="auto"/>
              <w:jc w:val="left"/>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rPr>
              <w:t>项目内容：</w:t>
            </w:r>
            <w:r>
              <w:rPr>
                <w:rFonts w:hint="eastAsia" w:cs="仿宋_GB2312" w:asciiTheme="minorEastAsia" w:hAnsiTheme="minorEastAsia"/>
                <w:sz w:val="24"/>
                <w:szCs w:val="24"/>
                <w:lang w:val="en-US" w:eastAsia="zh-CN"/>
              </w:rPr>
              <w:t>广播系统服务器、分布式IP广播通信服务系统、4G收扩机等</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项目地址：禹州市</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rPr>
              <w:t xml:space="preserve">交货日期： </w:t>
            </w:r>
            <w:r>
              <w:rPr>
                <w:rFonts w:hint="eastAsia" w:cs="仿宋_GB2312" w:asciiTheme="minorEastAsia" w:hAnsiTheme="minorEastAsia"/>
                <w:sz w:val="24"/>
                <w:szCs w:val="24"/>
                <w:lang w:val="en-US" w:eastAsia="zh-CN"/>
              </w:rPr>
              <w:t>2019年9月30日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名称：禹州市文化广电和旅游局</w:t>
            </w:r>
          </w:p>
          <w:p>
            <w:pPr>
              <w:widowControl/>
              <w:shd w:val="clear" w:color="auto" w:fill="FFFFFF"/>
              <w:spacing w:line="400" w:lineRule="exact"/>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rPr>
              <w:t>地址：禹州市</w:t>
            </w:r>
            <w:r>
              <w:rPr>
                <w:rFonts w:hint="eastAsia" w:cs="仿宋_GB2312" w:asciiTheme="minorEastAsia" w:hAnsiTheme="minorEastAsia"/>
                <w:sz w:val="24"/>
                <w:szCs w:val="24"/>
                <w:lang w:eastAsia="zh-CN"/>
              </w:rPr>
              <w:t>禹王大道东段</w:t>
            </w:r>
            <w:r>
              <w:rPr>
                <w:rFonts w:hint="eastAsia" w:cs="仿宋_GB2312" w:asciiTheme="minorEastAsia" w:hAnsiTheme="minorEastAsia"/>
                <w:sz w:val="24"/>
                <w:szCs w:val="24"/>
                <w:lang w:val="en-US" w:eastAsia="zh-CN"/>
              </w:rPr>
              <w:t>170号</w:t>
            </w:r>
          </w:p>
          <w:p>
            <w:pPr>
              <w:widowControl/>
              <w:shd w:val="clear" w:color="auto" w:fill="FFFFFF"/>
              <w:spacing w:line="400" w:lineRule="exact"/>
              <w:jc w:val="left"/>
              <w:rPr>
                <w:rFonts w:cs="仿宋_GB2312" w:asciiTheme="minorEastAsia" w:hAnsiTheme="minorEastAsia"/>
                <w:sz w:val="24"/>
                <w:szCs w:val="24"/>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张</w:t>
            </w:r>
            <w:r>
              <w:rPr>
                <w:rFonts w:hint="eastAsia" w:cs="仿宋_GB2312" w:asciiTheme="minorEastAsia" w:hAnsiTheme="minorEastAsia"/>
                <w:sz w:val="24"/>
                <w:szCs w:val="24"/>
              </w:rPr>
              <w:t>先生                    电话：</w:t>
            </w:r>
            <w:r>
              <w:rPr>
                <w:rFonts w:hint="eastAsia" w:cs="仿宋_GB2312" w:asciiTheme="minorEastAsia" w:hAnsiTheme="minorEastAsia"/>
                <w:sz w:val="24"/>
                <w:szCs w:val="24"/>
                <w:lang w:val="en-US" w:eastAsia="zh-CN"/>
              </w:rPr>
              <w:t>13837496222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联系人：艾先生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一、</w:t>
            </w:r>
            <w:r>
              <w:rPr>
                <w:rFonts w:cs="宋体" w:asciiTheme="minorEastAsia" w:hAnsiTheme="minorEastAsia"/>
                <w:b/>
                <w:bCs/>
                <w:sz w:val="24"/>
                <w:szCs w:val="24"/>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2、事业单位法人证书。（事业单位投标提供）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3、执业许可证。（非专业服务机构投标提供）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4、个体工商户营业执照。（个体工商户投标提供）</w:t>
            </w:r>
          </w:p>
          <w:p>
            <w:pPr>
              <w:autoSpaceDE w:val="0"/>
              <w:autoSpaceDN w:val="0"/>
              <w:adjustRightInd w:val="0"/>
              <w:spacing w:line="360" w:lineRule="auto"/>
              <w:jc w:val="left"/>
              <w:rPr>
                <w:rFonts w:cs="仿宋_GB2312" w:asciiTheme="minorEastAsia" w:hAnsiTheme="minorEastAsia"/>
                <w:sz w:val="24"/>
                <w:szCs w:val="24"/>
              </w:rPr>
            </w:pPr>
            <w:r>
              <w:rPr>
                <w:rFonts w:hint="eastAsia" w:cs="宋体" w:asciiTheme="minorEastAsia" w:hAnsiTheme="minorEastAsia"/>
                <w:bCs/>
                <w:sz w:val="24"/>
                <w:szCs w:val="24"/>
                <w:lang w:val="zh-CN"/>
              </w:rPr>
              <w:t>5、自然人身份证明。（自然人投标提供）</w:t>
            </w:r>
          </w:p>
          <w:p>
            <w:pPr>
              <w:autoSpaceDE w:val="0"/>
              <w:autoSpaceDN w:val="0"/>
              <w:adjustRightInd w:val="0"/>
              <w:spacing w:line="360" w:lineRule="auto"/>
              <w:jc w:val="left"/>
              <w:rPr>
                <w:rFonts w:cs="仿宋_GB2312" w:asciiTheme="minorEastAsia" w:hAnsiTheme="minorEastAsia"/>
                <w:b/>
                <w:sz w:val="24"/>
                <w:szCs w:val="24"/>
              </w:rPr>
            </w:pPr>
            <w:r>
              <w:rPr>
                <w:rFonts w:hint="eastAsia" w:cs="仿宋_GB2312" w:asciiTheme="minorEastAsia" w:hAnsiTheme="minorEastAsia"/>
                <w:b/>
                <w:sz w:val="24"/>
                <w:szCs w:val="24"/>
              </w:rPr>
              <w:t>二、财务状况报告相关材料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1、</w:t>
            </w:r>
            <w:r>
              <w:rPr>
                <w:rFonts w:hint="eastAsia" w:cs="仿宋_GB2312" w:asciiTheme="minorEastAsia" w:hAnsiTheme="minorEastAsia"/>
                <w:sz w:val="24"/>
                <w:szCs w:val="24"/>
                <w:lang w:val="en-US" w:eastAsia="zh-CN"/>
              </w:rPr>
              <w:t>2018</w:t>
            </w:r>
            <w:r>
              <w:rPr>
                <w:rFonts w:hint="eastAsia" w:cs="宋体" w:asciiTheme="minorEastAsia" w:hAnsiTheme="minorEastAsia"/>
                <w:bCs/>
                <w:sz w:val="24"/>
                <w:szCs w:val="24"/>
                <w:lang w:val="zh-CN"/>
              </w:rPr>
              <w:t>年度的财务报告；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2、</w:t>
            </w:r>
            <w:r>
              <w:rPr>
                <w:rFonts w:hint="eastAsia" w:cs="宋体" w:asciiTheme="minorEastAsia" w:hAnsiTheme="minorEastAsia"/>
                <w:bCs/>
                <w:sz w:val="24"/>
                <w:szCs w:val="24"/>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cs="仿宋_GB2312" w:asciiTheme="minorEastAsia" w:hAnsiTheme="minorEastAsia"/>
                <w:b/>
                <w:sz w:val="24"/>
                <w:szCs w:val="24"/>
              </w:rPr>
            </w:pPr>
            <w:r>
              <w:rPr>
                <w:rFonts w:hint="eastAsia" w:cs="仿宋_GB2312" w:asciiTheme="minorEastAsia" w:hAnsiTheme="minorEastAsia"/>
                <w:b/>
                <w:sz w:val="24"/>
                <w:szCs w:val="24"/>
              </w:rPr>
              <w:t>三、依法缴纳税收相关材料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四、依法缴纳社会保障资金的证明材料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bCs/>
                <w:sz w:val="24"/>
                <w:szCs w:val="24"/>
                <w:lang w:val="zh-CN"/>
              </w:rPr>
              <w:t>相关设备的购置发票、专业技术人员职称证书、用工合同等或者</w:t>
            </w:r>
            <w:r>
              <w:rPr>
                <w:rFonts w:hint="eastAsia" w:cs="宋体" w:asciiTheme="minorEastAsia" w:hAnsiTheme="minorEastAsia"/>
                <w:kern w:val="0"/>
                <w:sz w:val="24"/>
                <w:szCs w:val="24"/>
              </w:rPr>
              <w:t>附投标人相关承诺函或声明。（格式自拟）</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kern w:val="0"/>
                <w:sz w:val="24"/>
                <w:szCs w:val="24"/>
              </w:rPr>
              <w:t>六、</w:t>
            </w:r>
            <w:r>
              <w:rPr>
                <w:rFonts w:cs="宋体" w:asciiTheme="minorEastAsia" w:hAnsiTheme="minorEastAsia"/>
                <w:b/>
                <w:bCs/>
                <w:sz w:val="24"/>
                <w:szCs w:val="24"/>
                <w:lang w:val="zh-CN"/>
              </w:rPr>
              <w:t>参加政府采购活动前3年内在经营活动中没有重大违法记录的声明</w:t>
            </w:r>
          </w:p>
          <w:p>
            <w:pPr>
              <w:autoSpaceDE w:val="0"/>
              <w:autoSpaceDN w:val="0"/>
              <w:spacing w:line="360" w:lineRule="auto"/>
              <w:contextualSpacing/>
              <w:jc w:val="left"/>
              <w:rPr>
                <w:rFonts w:asciiTheme="majorEastAsia" w:hAnsiTheme="majorEastAsia" w:eastAsiaTheme="majorEastAsia" w:cstheme="majorEastAsia"/>
                <w:bCs/>
                <w:sz w:val="24"/>
                <w:szCs w:val="24"/>
                <w:lang w:val="zh-CN"/>
              </w:rPr>
            </w:pPr>
            <w:r>
              <w:rPr>
                <w:rFonts w:hint="eastAsia" w:cs="宋体" w:asciiTheme="minorEastAsia" w:hAnsiTheme="minorEastAsia"/>
                <w:bCs/>
                <w:sz w:val="24"/>
                <w:szCs w:val="24"/>
                <w:lang w:val="zh-CN"/>
              </w:rPr>
              <w:t>投标人“</w:t>
            </w:r>
            <w:r>
              <w:rPr>
                <w:rFonts w:cs="宋体" w:asciiTheme="minorEastAsia" w:hAnsiTheme="minorEastAsia"/>
                <w:bCs/>
                <w:sz w:val="24"/>
                <w:szCs w:val="24"/>
                <w:lang w:val="zh-CN"/>
              </w:rPr>
              <w:t>参加政府采购活动前3年内在经营活动中没有重大违法记录的书面声明</w:t>
            </w:r>
            <w:r>
              <w:rPr>
                <w:rFonts w:hint="eastAsia" w:cs="宋体" w:asciiTheme="minorEastAsia" w:hAnsiTheme="minorEastAsia"/>
                <w:bCs/>
                <w:sz w:val="24"/>
                <w:szCs w:val="24"/>
                <w:lang w:val="zh-CN"/>
              </w:rPr>
              <w:t>”。 重大违法记录，是指投标人因违法经营受到刑事处罚或者责令停产停业、吊销许可证或者执照、较大数额罚款等行政处罚。</w:t>
            </w:r>
          </w:p>
          <w:p>
            <w:pPr>
              <w:numPr>
                <w:ilvl w:val="0"/>
                <w:numId w:val="8"/>
              </w:numPr>
              <w:autoSpaceDE w:val="0"/>
              <w:autoSpaceDN w:val="0"/>
              <w:adjustRightInd w:val="0"/>
              <w:spacing w:line="360" w:lineRule="auto"/>
              <w:ind w:right="-11"/>
              <w:rPr>
                <w:rFonts w:cs="宋体" w:asciiTheme="minorEastAsia" w:hAnsiTheme="minorEastAsia"/>
                <w:b/>
                <w:kern w:val="0"/>
                <w:sz w:val="24"/>
                <w:szCs w:val="24"/>
                <w:lang w:val="zh-CN"/>
              </w:rPr>
            </w:pPr>
            <w:r>
              <w:rPr>
                <w:rFonts w:hint="eastAsia" w:cs="宋体" w:asciiTheme="minorEastAsia" w:hAnsiTheme="minorEastAsia"/>
                <w:b/>
                <w:kern w:val="0"/>
                <w:sz w:val="24"/>
                <w:szCs w:val="24"/>
                <w:lang w:val="zh-CN"/>
              </w:rPr>
              <w:t>投标人资格条件（详见招标邀请函）</w:t>
            </w:r>
          </w:p>
          <w:p>
            <w:pPr>
              <w:autoSpaceDE w:val="0"/>
              <w:autoSpaceDN w:val="0"/>
              <w:adjustRightInd w:val="0"/>
              <w:spacing w:line="360" w:lineRule="auto"/>
              <w:ind w:right="-11"/>
              <w:rPr>
                <w:rFonts w:cs="宋体" w:asciiTheme="minorEastAsia" w:hAnsiTheme="minorEastAsia"/>
                <w:b/>
                <w:kern w:val="0"/>
                <w:sz w:val="24"/>
                <w:szCs w:val="24"/>
                <w:lang w:val="zh-CN"/>
              </w:rPr>
            </w:pPr>
            <w:r>
              <w:rPr>
                <w:rFonts w:hint="eastAsia" w:cs="宋体" w:asciiTheme="minorEastAsia" w:hAnsiTheme="minorEastAsia"/>
                <w:b/>
                <w:kern w:val="0"/>
                <w:sz w:val="24"/>
                <w:szCs w:val="24"/>
                <w:lang w:val="zh-CN"/>
              </w:rPr>
              <w:t>八、未被列入“信用中国”网站</w:t>
            </w:r>
            <w:r>
              <w:rPr>
                <w:rFonts w:cs="宋体" w:asciiTheme="minorEastAsia" w:hAnsiTheme="minorEastAsia"/>
                <w:b/>
                <w:kern w:val="0"/>
                <w:sz w:val="24"/>
                <w:szCs w:val="24"/>
                <w:lang w:val="zh-CN"/>
              </w:rPr>
              <w:t>(www.creditchina.gov.cn)</w:t>
            </w:r>
            <w:r>
              <w:rPr>
                <w:rFonts w:hint="eastAsia" w:cs="宋体" w:asciiTheme="minorEastAsia" w:hAnsiTheme="minorEastAsia"/>
                <w:b/>
                <w:kern w:val="0"/>
                <w:sz w:val="24"/>
                <w:szCs w:val="24"/>
                <w:lang w:val="zh-CN"/>
              </w:rPr>
              <w:t>失信被执行人、重大税收违法案件当事人名单、政府采购严重违法失信名单的投标人；“中国政府采购网”</w:t>
            </w:r>
            <w:r>
              <w:rPr>
                <w:rFonts w:cs="宋体" w:asciiTheme="minorEastAsia" w:hAnsiTheme="minorEastAsia"/>
                <w:b/>
                <w:kern w:val="0"/>
                <w:sz w:val="24"/>
                <w:szCs w:val="24"/>
                <w:lang w:val="zh-CN"/>
              </w:rPr>
              <w:t xml:space="preserve"> (www.ccgp.gov.cn)</w:t>
            </w:r>
            <w:r>
              <w:rPr>
                <w:rFonts w:hint="eastAsia" w:cs="宋体" w:asciiTheme="minorEastAsia" w:hAnsiTheme="minorEastAsia"/>
                <w:b/>
                <w:kern w:val="0"/>
                <w:sz w:val="24"/>
                <w:szCs w:val="24"/>
                <w:lang w:val="zh-CN"/>
              </w:rPr>
              <w:t>政府采购严重违法失信行为记录名单的投标人；“国家企业信用公示系统”网站（</w:t>
            </w:r>
            <w:r>
              <w:rPr>
                <w:rFonts w:cs="宋体" w:asciiTheme="minorEastAsia" w:hAnsiTheme="minorEastAsia"/>
                <w:b/>
                <w:kern w:val="0"/>
                <w:sz w:val="24"/>
                <w:szCs w:val="24"/>
                <w:lang w:val="zh-CN"/>
              </w:rPr>
              <w:t>www.gsxt.gov.cn</w:t>
            </w:r>
            <w:r>
              <w:rPr>
                <w:rFonts w:hint="eastAsia" w:cs="宋体" w:asciiTheme="minorEastAsia" w:hAnsiTheme="minorEastAsia"/>
                <w:b/>
                <w:kern w:val="0"/>
                <w:sz w:val="24"/>
                <w:szCs w:val="24"/>
                <w:lang w:val="zh-CN"/>
              </w:rPr>
              <w:t>）严重违法失信企业名单（黑名单）的投标人（联合体形式投标的，联合体成员存在不良信用记录，视同联合体存在不良信用记录）(本项目投标截止时间前三年内供应商信用记录情况)。</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）；“国家企业信用公示系统”网站（</w:t>
            </w:r>
            <w:r>
              <w:rPr>
                <w:rFonts w:cs="宋体" w:asciiTheme="minorEastAsia" w:hAnsiTheme="minorEastAsia"/>
                <w:kern w:val="0"/>
                <w:sz w:val="24"/>
                <w:szCs w:val="24"/>
              </w:rPr>
              <w:t>www.gsxt.gov.cn</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4</w:t>
            </w:r>
            <w:r>
              <w:rPr>
                <w:rFonts w:hint="eastAsia" w:cs="宋体" w:asciiTheme="minorEastAsia" w:hAnsiTheme="minor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pPr>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en-US" w:eastAsia="zh-CN"/>
              </w:rPr>
              <w:t>723.044</w:t>
            </w:r>
            <w:r>
              <w:rPr>
                <w:rFonts w:cs="宋体" w:asciiTheme="minorEastAsia" w:hAnsiTheme="minorEastAsia"/>
                <w:bCs/>
                <w:sz w:val="24"/>
                <w:szCs w:val="24"/>
              </w:rPr>
              <w:t>万</w:t>
            </w:r>
            <w:r>
              <w:rPr>
                <w:rFonts w:hint="eastAsia" w:cs="宋体" w:asciiTheme="minorEastAsia" w:hAnsiTheme="minorEastAsia"/>
                <w:bCs/>
                <w:sz w:val="24"/>
                <w:szCs w:val="24"/>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rPr>
              <w:t>2019</w:t>
            </w:r>
            <w:r>
              <w:rPr>
                <w:rFonts w:hint="eastAsia" w:cs="宋体" w:asciiTheme="minorEastAsia" w:hAnsiTheme="minorEastAsia"/>
                <w:bCs/>
                <w:sz w:val="24"/>
                <w:szCs w:val="24"/>
                <w:lang w:val="zh-CN"/>
              </w:rPr>
              <w:t xml:space="preserve">年 </w:t>
            </w:r>
            <w:r>
              <w:rPr>
                <w:rFonts w:hint="eastAsia" w:cs="宋体" w:asciiTheme="minorEastAsia" w:hAnsiTheme="minorEastAsia"/>
                <w:bCs/>
                <w:sz w:val="24"/>
                <w:szCs w:val="24"/>
                <w:lang w:val="en-US" w:eastAsia="zh-CN"/>
              </w:rPr>
              <w:t xml:space="preserve"> </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 xml:space="preserve">  </w:t>
            </w:r>
            <w:r>
              <w:rPr>
                <w:rFonts w:hint="eastAsia" w:cs="宋体" w:asciiTheme="minorEastAsia" w:hAnsiTheme="minorEastAsia"/>
                <w:bCs/>
                <w:sz w:val="24"/>
                <w:szCs w:val="24"/>
              </w:rPr>
              <w:t xml:space="preserve"> </w:t>
            </w:r>
            <w:r>
              <w:rPr>
                <w:rFonts w:hint="eastAsia" w:cs="宋体" w:asciiTheme="minorEastAsia" w:hAnsiTheme="minorEastAsia"/>
                <w:bCs/>
                <w:sz w:val="24"/>
                <w:szCs w:val="24"/>
                <w:lang w:val="zh-CN"/>
              </w:rPr>
              <w:t>日</w:t>
            </w:r>
            <w:r>
              <w:rPr>
                <w:rFonts w:hint="eastAsia" w:cs="宋体" w:asciiTheme="minorEastAsia" w:hAnsiTheme="minorEastAsia"/>
                <w:bCs/>
                <w:sz w:val="24"/>
                <w:szCs w:val="24"/>
              </w:rPr>
              <w:t>9</w:t>
            </w:r>
            <w:r>
              <w:rPr>
                <w:rFonts w:hint="eastAsia" w:cs="宋体" w:asciiTheme="minorEastAsia" w:hAnsiTheme="minorEastAsia"/>
                <w:bCs/>
                <w:sz w:val="24"/>
                <w:szCs w:val="24"/>
                <w:lang w:val="zh-CN"/>
              </w:rPr>
              <w:t>：</w:t>
            </w:r>
            <w:r>
              <w:rPr>
                <w:rFonts w:hint="eastAsia" w:cs="宋体" w:asciiTheme="minorEastAsia" w:hAnsiTheme="minorEastAsia"/>
                <w:bCs/>
                <w:sz w:val="24"/>
                <w:szCs w:val="24"/>
              </w:rPr>
              <w:t>00</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缴纳截止时间：同投标截止时间。</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金额：壹拾万元整</w:t>
            </w:r>
            <w:r>
              <w:rPr>
                <w:rFonts w:hint="eastAsia" w:cs="仿宋_GB2312" w:asciiTheme="minorEastAsia" w:hAnsiTheme="minorEastAsia"/>
                <w:sz w:val="24"/>
                <w:szCs w:val="24"/>
                <w:lang w:val="en-US" w:eastAsia="zh-CN"/>
              </w:rPr>
              <w:t xml:space="preserve"> </w:t>
            </w:r>
            <w:r>
              <w:rPr>
                <w:rFonts w:hint="eastAsia" w:cs="仿宋_GB2312" w:asciiTheme="minorEastAsia" w:hAnsiTheme="minorEastAsia"/>
                <w:sz w:val="24"/>
                <w:szCs w:val="24"/>
                <w:lang w:val="zh-CN"/>
              </w:rPr>
              <w:t>（¥ ：</w:t>
            </w:r>
            <w:r>
              <w:rPr>
                <w:rFonts w:hint="eastAsia" w:cs="仿宋_GB2312" w:asciiTheme="minorEastAsia" w:hAnsiTheme="minorEastAsia"/>
                <w:sz w:val="24"/>
                <w:szCs w:val="24"/>
                <w:lang w:val="en-US" w:eastAsia="zh-CN"/>
              </w:rPr>
              <w:t>10</w:t>
            </w:r>
            <w:r>
              <w:rPr>
                <w:rFonts w:hint="eastAsia" w:cs="仿宋_GB2312" w:asciiTheme="minorEastAsia" w:hAnsiTheme="minorEastAsia"/>
                <w:sz w:val="24"/>
                <w:szCs w:val="24"/>
              </w:rPr>
              <w:t>0000.00</w:t>
            </w:r>
            <w:r>
              <w:rPr>
                <w:rFonts w:hint="eastAsia" w:cs="仿宋_GB2312" w:asciiTheme="minorEastAsia" w:hAnsiTheme="minorEastAsia"/>
                <w:sz w:val="24"/>
                <w:szCs w:val="24"/>
                <w:lang w:val="zh-CN"/>
              </w:rPr>
              <w:t xml:space="preserve"> 元）</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三、投标保证金缴纳方式：</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1、投标人网上下载招标文件后，登录</w:t>
            </w:r>
            <w:r>
              <w:fldChar w:fldCharType="begin"/>
            </w:r>
            <w:r>
              <w:instrText xml:space="preserve"> HYPERLINK "http://221.14.6.70:8088/ggzy" </w:instrText>
            </w:r>
            <w:r>
              <w:fldChar w:fldCharType="separate"/>
            </w:r>
            <w:r>
              <w:rPr>
                <w:rFonts w:hint="eastAsia" w:cs="仿宋_GB2312" w:asciiTheme="minorEastAsia" w:hAnsiTheme="minorEastAsia"/>
                <w:sz w:val="24"/>
                <w:szCs w:val="24"/>
                <w:lang w:val="zh-CN"/>
              </w:rPr>
              <w:t>http://221.14.6.70:8088/ggzy</w:t>
            </w:r>
            <w:r>
              <w:rPr>
                <w:rFonts w:hint="eastAsia" w:cs="仿宋_GB2312" w:asciiTheme="minorEastAsia" w:hAnsiTheme="minorEastAsia"/>
                <w:sz w:val="24"/>
                <w:szCs w:val="24"/>
                <w:lang w:val="zh-CN"/>
              </w:rPr>
              <w:fldChar w:fldCharType="end"/>
            </w:r>
            <w:r>
              <w:rPr>
                <w:rFonts w:hint="eastAsia" w:cs="仿宋_GB2312" w:asciiTheme="minorEastAsia" w:hAnsiTheme="minorEastAsia"/>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lang w:val="en-US" w:eastAsia="zh-CN"/>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要求提交。履约保证金的数额为合同金额的5%。中标人以支票、汇票、本票或者金融机构、担保机构出具的保函等非现金形式向采购人提交。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一、概念释义</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cs="宋体" w:asciiTheme="minorEastAsia" w:hAnsiTheme="minorEastAsia"/>
          <w:b/>
          <w:kern w:val="0"/>
          <w:sz w:val="24"/>
          <w:szCs w:val="24"/>
        </w:rPr>
        <w:t>.</w:t>
      </w:r>
      <w:r>
        <w:rPr>
          <w:rFonts w:hint="eastAsia" w:cs="宋体" w:asciiTheme="minorEastAsia" w:hAnsiTheme="minorEastAsia"/>
          <w:b/>
          <w:kern w:val="0"/>
          <w:sz w:val="24"/>
          <w:szCs w:val="24"/>
        </w:rPr>
        <w:t>适用范围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1.1本招标文件仅适用于本次“投标邀请”中所述采购项目。</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1.2本招标文件解释权属于“投标邀请”所述的采购人。</w:t>
      </w:r>
    </w:p>
    <w:p>
      <w:pPr>
        <w:autoSpaceDE w:val="0"/>
        <w:autoSpaceDN w:val="0"/>
        <w:spacing w:line="360" w:lineRule="auto"/>
        <w:contextualSpacing/>
        <w:rPr>
          <w:rFonts w:cs="宋体" w:asciiTheme="minorEastAsia" w:hAnsiTheme="minorEastAsia"/>
          <w:b/>
          <w:kern w:val="0"/>
          <w:sz w:val="24"/>
          <w:szCs w:val="24"/>
        </w:rPr>
      </w:pPr>
      <w:r>
        <w:rPr>
          <w:rFonts w:cs="宋体" w:asciiTheme="minorEastAsia" w:hAnsiTheme="minorEastAsia"/>
          <w:b/>
          <w:kern w:val="0"/>
          <w:sz w:val="24"/>
          <w:szCs w:val="24"/>
        </w:rPr>
        <w:t>2.</w:t>
      </w:r>
      <w:r>
        <w:rPr>
          <w:rFonts w:hint="eastAsia" w:cs="宋体" w:asciiTheme="minorEastAsia" w:hAnsiTheme="minorEastAsia"/>
          <w:b/>
          <w:kern w:val="0"/>
          <w:sz w:val="24"/>
          <w:szCs w:val="24"/>
        </w:rPr>
        <w:t>定义</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2.1“采购项目”：“投标人须知前附表”中所述的采购项目。</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2.2“招标人”：“投标人须知前附表”中所述的组织本次招标的代理机构和采购人。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2.3“采购人”：是指依法进行政府采购的国家机关、事业单位、团体组织。采购人名称、地址、电话、联系人见“投标人须知前附表”。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2.4“代理机构”：接受采购人委托，代理采购项目的采购代理机构。代理机构名称、地址、电话、联系人见“投标人须知前附表”。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sz w:val="24"/>
          <w:szCs w:val="24"/>
        </w:rPr>
        <w:t>采购代理机构及其分支机构不得在所代理的采购项目中投标或者代理投标</w:t>
      </w:r>
      <w:r>
        <w:rPr>
          <w:rFonts w:hint="eastAsia" w:cs="宋体" w:asciiTheme="minorEastAsia" w:hAnsiTheme="minorEastAsia"/>
          <w:kern w:val="0"/>
          <w:sz w:val="24"/>
          <w:szCs w:val="24"/>
        </w:rPr>
        <w:t>，不得为所代理的采购项目的投标人参加本项目提供投标咨询。</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2.7“节能产品”或者“环保产品”：财政部发布的《节能产品政府采购清单》或者《环境标志产品政府采购清单》的产品。</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2.8“进口产品”：是指通过中国海关报关验放进入中国境内且产自关境外的产品，包括已经进入中国境内的进口产品。详见《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2.8.1 </w:t>
      </w:r>
      <w:r>
        <w:rPr>
          <w:rFonts w:cs="宋体" w:asciiTheme="minorEastAsia" w:hAnsiTheme="minorEastAsia"/>
          <w:kern w:val="0"/>
          <w:sz w:val="24"/>
          <w:szCs w:val="24"/>
        </w:rPr>
        <w:t>招标文件列明不允许或未列明允许进口产品参加投标的，均视为拒绝进口产品参加投标。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2.8.2 </w:t>
      </w:r>
      <w:r>
        <w:rPr>
          <w:rFonts w:cs="宋体" w:asciiTheme="minorEastAsia" w:hAnsiTheme="minorEastAsia"/>
          <w:kern w:val="0"/>
          <w:sz w:val="24"/>
          <w:szCs w:val="24"/>
        </w:rPr>
        <w:t>如</w:t>
      </w:r>
      <w:r>
        <w:rPr>
          <w:rFonts w:hint="eastAsia" w:cs="宋体" w:asciiTheme="minorEastAsia" w:hAnsiTheme="minorEastAsia"/>
          <w:kern w:val="0"/>
          <w:sz w:val="24"/>
          <w:szCs w:val="24"/>
        </w:rPr>
        <w:t>招标</w:t>
      </w:r>
      <w:r>
        <w:rPr>
          <w:rFonts w:cs="宋体" w:asciiTheme="minorEastAsia" w:hAnsiTheme="minorEastAsia"/>
          <w:kern w:val="0"/>
          <w:sz w:val="24"/>
          <w:szCs w:val="24"/>
        </w:rPr>
        <w:t>文件中已说明，经财政部门审核同意，允许部分或全部产品采购进口产品，投标人既可提供本国产品，也可以提供进口产品。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4"/>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19"/>
        <w:widowControl/>
        <w:shd w:val="clear" w:color="auto" w:fill="FFFFFF"/>
        <w:spacing w:line="360" w:lineRule="auto"/>
        <w:contextualSpacing/>
        <w:jc w:val="left"/>
        <w:rPr>
          <w:rFonts w:cs="宋体" w:asciiTheme="minorEastAsia" w:hAnsiTheme="minorEastAsia"/>
          <w:b/>
          <w:color w:val="FF0000"/>
          <w:kern w:val="0"/>
        </w:rPr>
      </w:pPr>
      <w:r>
        <w:rPr>
          <w:rFonts w:cs="宋体" w:asciiTheme="minorEastAsia" w:hAnsiTheme="minorEastAsia"/>
          <w:color w:val="FF0000"/>
          <w:kern w:val="0"/>
        </w:rPr>
        <w:t>3.</w:t>
      </w:r>
      <w:r>
        <w:rPr>
          <w:rFonts w:hint="eastAsia" w:cs="宋体" w:asciiTheme="minorEastAsia" w:hAnsiTheme="minorEastAsia"/>
          <w:color w:val="FF0000"/>
          <w:kern w:val="0"/>
        </w:rPr>
        <w:t>3</w:t>
      </w:r>
      <w:r>
        <w:rPr>
          <w:rFonts w:cs="宋体" w:asciiTheme="minorEastAsia" w:hAnsiTheme="minorEastAsia"/>
          <w:color w:val="FF0000"/>
          <w:kern w:val="0"/>
        </w:rPr>
        <w:t xml:space="preserve"> </w:t>
      </w:r>
      <w:r>
        <w:rPr>
          <w:rFonts w:hint="eastAsia" w:cs="宋体" w:asciiTheme="minorEastAsia" w:hAnsiTheme="minorEastAsia"/>
          <w:color w:val="FF0000"/>
          <w:kern w:val="0"/>
        </w:rPr>
        <w:t>政府采购活动中查询及使用投标人信用记录的具体要求为：投标人未被列入失信被执行人、重大税收违法案件当事人名单、</w:t>
      </w:r>
      <w:r>
        <w:rPr>
          <w:rFonts w:cs="仿宋_GB2312" w:asciiTheme="minorEastAsia" w:hAnsiTheme="minorEastAsia"/>
          <w:color w:val="FF0000"/>
          <w:shd w:val="clear" w:color="auto" w:fill="FFFFFF"/>
        </w:rPr>
        <w:t>政府采购严重违法失信名单</w:t>
      </w:r>
      <w:r>
        <w:rPr>
          <w:rFonts w:hint="eastAsia" w:cs="仿宋_GB2312" w:asciiTheme="minorEastAsia" w:hAnsiTheme="minorEastAsia"/>
          <w:color w:val="FF0000"/>
          <w:shd w:val="clear" w:color="auto" w:fill="FFFFFF"/>
        </w:rPr>
        <w:t>、</w:t>
      </w:r>
      <w:r>
        <w:rPr>
          <w:rFonts w:hint="eastAsia" w:cs="宋体" w:asciiTheme="minorEastAsia" w:hAnsiTheme="minorEastAsia"/>
          <w:color w:val="FF0000"/>
          <w:kern w:val="0"/>
        </w:rPr>
        <w:t>政府采购严重违法失信行为记录名单、</w:t>
      </w:r>
      <w:r>
        <w:rPr>
          <w:rFonts w:hint="eastAsia" w:ascii="宋体" w:hAnsi="宋体" w:cs="仿宋_GB2312"/>
          <w:b/>
          <w:color w:val="FF0000"/>
          <w:shd w:val="clear" w:color="auto" w:fill="FFFFFF"/>
        </w:rPr>
        <w:t>严重违法失信企业名单（黑名单）</w:t>
      </w:r>
      <w:r>
        <w:rPr>
          <w:rFonts w:hint="eastAsia" w:cs="宋体" w:asciiTheme="minorEastAsia" w:hAnsiTheme="minorEastAsia"/>
          <w:color w:val="FF0000"/>
          <w:kern w:val="0"/>
        </w:rPr>
        <w:t>（联合体形式投标的，联合体成员存在不良信用记录，视同联合体存在不良信用记录）。</w:t>
      </w:r>
      <w:r>
        <w:rPr>
          <w:rFonts w:hint="eastAsia" w:cs="宋体" w:asciiTheme="minorEastAsia" w:hAnsiTheme="minorEastAsia"/>
          <w:b/>
          <w:color w:val="FF0000"/>
          <w:kern w:val="0"/>
        </w:rPr>
        <w:t>(本项目投标截止时间前三年内供应商信用记录情况)</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w:t>
      </w:r>
      <w:r>
        <w:rPr>
          <w:rFonts w:hint="eastAsia" w:cs="宋体" w:asciiTheme="minorEastAsia" w:hAnsiTheme="minorEastAsia"/>
          <w:color w:val="FF0000"/>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4．合格的货物和服务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4.4 投标人所投产品如被列入财政部与国家主管部门颁发的节能产品目录或环境标志产品目录，应提供相关证明，在评标时予以优先采购。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4.5 投标人所投产品如被列入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4.6 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三、投标文件的编制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27"/>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w:t>
      </w:r>
      <w:r>
        <w:rPr>
          <w:rFonts w:hint="eastAsia" w:cs="宋体" w:asciiTheme="minorEastAsia" w:hAnsiTheme="minorEastAsia"/>
          <w:kern w:val="0"/>
          <w:sz w:val="24"/>
          <w:szCs w:val="24"/>
        </w:rPr>
        <w:t xml:space="preserve"> </w:t>
      </w:r>
      <w:r>
        <w:rPr>
          <w:rFonts w:hint="eastAsia" w:cs="宋体" w:asciiTheme="minorEastAsia" w:hAnsiTheme="minorEastAsia"/>
          <w:b/>
          <w:kern w:val="0"/>
          <w:sz w:val="24"/>
          <w:szCs w:val="24"/>
        </w:rPr>
        <w:t>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17.1投标保证金的缴纳</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17.1.2 投标保证金用于避免和减少本次招标由于投标人的行为而给采购人带来的损失。</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 投标保证金缴纳方式：</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5.1 投标人网上下载招标文件后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登录</w:t>
      </w:r>
      <w:r>
        <w:fldChar w:fldCharType="begin"/>
      </w:r>
      <w:r>
        <w:instrText xml:space="preserve"> HYPERLINK "http://221.14.6.70:8088/ggzy" </w:instrText>
      </w:r>
      <w:r>
        <w:fldChar w:fldCharType="separate"/>
      </w:r>
      <w:r>
        <w:rPr>
          <w:rFonts w:hint="eastAsia" w:cs="仿宋_GB2312" w:asciiTheme="minorEastAsia" w:hAnsiTheme="minorEastAsia"/>
          <w:sz w:val="24"/>
          <w:szCs w:val="24"/>
        </w:rPr>
        <w:t>http://221.14.6.70:8088/ggzy</w:t>
      </w:r>
      <w:r>
        <w:rPr>
          <w:rFonts w:hint="eastAsia" w:cs="仿宋_GB2312" w:asciiTheme="minorEastAsia" w:hAnsiTheme="minorEastAsia"/>
          <w:sz w:val="24"/>
          <w:szCs w:val="24"/>
        </w:rPr>
        <w:fldChar w:fldCharType="end"/>
      </w:r>
      <w:r>
        <w:rPr>
          <w:rFonts w:hint="eastAsia" w:cs="仿宋_GB2312" w:asciiTheme="minorEastAsia" w:hAnsiTheme="minorEastAsia"/>
          <w:sz w:val="24"/>
          <w:szCs w:val="24"/>
          <w:lang w:val="zh-CN"/>
        </w:rPr>
        <w:t>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费用缴纳说明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保证金缴纳说明单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获取缴费说明单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根据每个标段的缴纳说明单在缴纳截止时间前缴纳</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5.2 成功缴纳后重新登录前述系统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进行投标保证金绑定。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 xml:space="preserve"> 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17.1.8 不同投标人的投标保证金不得从同一单位或者个人的账户转出。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 xml:space="preserve"> 未按上述规定操作引起的无效投标，由投标人自行负责。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 xml:space="preserve">17.1.10 </w:t>
      </w:r>
      <w:r>
        <w:rPr>
          <w:rFonts w:hint="eastAsia" w:cs="仿宋_GB2312" w:asciiTheme="minorEastAsia" w:hAnsiTheme="minorEastAsia"/>
          <w:sz w:val="24"/>
          <w:szCs w:val="24"/>
          <w:lang w:val="zh-CN"/>
        </w:rPr>
        <w:t>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b/>
          <w:kern w:val="0"/>
          <w:sz w:val="24"/>
          <w:szCs w:val="24"/>
        </w:rPr>
        <w:t>17.2 投标保证金的退还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2.1 </w:t>
      </w:r>
      <w:r>
        <w:rPr>
          <w:rFonts w:hint="eastAsia" w:cs="仿宋_GB2312" w:asciiTheme="minorEastAsia" w:hAnsiTheme="minorEastAsia"/>
          <w:sz w:val="24"/>
          <w:szCs w:val="24"/>
          <w:lang w:val="zh-CN"/>
        </w:rPr>
        <w:t>退还投标保证金时，区别中标与否，按不同时序由银行按来款途径退还原账户。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2.1.1</w:t>
      </w:r>
      <w:r>
        <w:rPr>
          <w:rFonts w:hint="eastAsia" w:cs="仿宋_GB2312" w:asciiTheme="minorEastAsia" w:hAnsiTheme="minorEastAsia"/>
          <w:sz w:val="24"/>
          <w:szCs w:val="24"/>
          <w:lang w:val="zh-CN"/>
        </w:rPr>
        <w:t xml:space="preserve"> 自中标通知书发出之日起</w:t>
      </w:r>
      <w:r>
        <w:rPr>
          <w:rFonts w:cs="仿宋_GB2312" w:asciiTheme="minorEastAsia" w:hAnsiTheme="minorEastAsia"/>
          <w:sz w:val="24"/>
          <w:szCs w:val="24"/>
          <w:lang w:val="zh-CN"/>
        </w:rPr>
        <w:t>5</w:t>
      </w:r>
      <w:r>
        <w:rPr>
          <w:rFonts w:hint="eastAsia" w:cs="仿宋_GB2312" w:asciiTheme="minorEastAsia" w:hAnsiTheme="minorEastAsia"/>
          <w:sz w:val="24"/>
          <w:szCs w:val="24"/>
          <w:lang w:val="zh-CN"/>
        </w:rPr>
        <w:t>个工作日内退还未中标人的投标保证金。（电话：0374-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2.1.2</w:t>
      </w:r>
      <w:r>
        <w:rPr>
          <w:rFonts w:hint="eastAsia" w:cs="仿宋_GB2312" w:asciiTheme="minorEastAsia" w:hAnsiTheme="minorEastAsia"/>
          <w:sz w:val="24"/>
          <w:szCs w:val="24"/>
          <w:lang w:val="zh-CN"/>
        </w:rPr>
        <w:t xml:space="preserve"> 自采购合同签订并备案后5个工作日内退还中标人的投标保证金（0374-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hint="eastAsia" w:cs="仿宋_GB2312" w:asciiTheme="minorEastAsia" w:hAnsiTheme="minorEastAsia"/>
          <w:sz w:val="24"/>
          <w:szCs w:val="24"/>
          <w:lang w:val="zh-CN"/>
        </w:rPr>
        <w:t>（电话：0374-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17.2.1.4 因投标人自身原因无法及时退还投标保证金，滞留三年以上的，投标保证金上缴财政。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w:t>
      </w:r>
      <w:r>
        <w:rPr>
          <w:rFonts w:hint="eastAsia" w:cs="仿宋_GB2312" w:asciiTheme="minorEastAsia" w:hAnsiTheme="minorEastAsia"/>
          <w:sz w:val="24"/>
          <w:szCs w:val="24"/>
          <w:lang w:val="zh-CN"/>
        </w:rPr>
        <w:t xml:space="preserve"> 有下列情形之一的，投标保证金不予退还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2.2.1 </w:t>
      </w:r>
      <w:r>
        <w:rPr>
          <w:rFonts w:hint="eastAsia" w:cs="仿宋_GB2312" w:asciiTheme="minorEastAsia" w:hAnsiTheme="minorEastAsia"/>
          <w:sz w:val="24"/>
          <w:szCs w:val="24"/>
          <w:lang w:val="zh-CN"/>
        </w:rPr>
        <w:t>投标有效期内投标人撤销投标文件的；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2.2.2 </w:t>
      </w:r>
      <w:r>
        <w:rPr>
          <w:rFonts w:hint="eastAsia" w:cs="仿宋_GB2312" w:asciiTheme="minorEastAsia" w:hAnsiTheme="minorEastAsia"/>
          <w:sz w:val="24"/>
          <w:szCs w:val="24"/>
          <w:lang w:val="zh-CN"/>
        </w:rPr>
        <w:t>投标人在投标文件中提供虚假材料的；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2.2.3 除因不可抗力或招标文件认可的情形以外，中标人不与采购人签订合同的；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17.2.2.4 投标人与采购人、其他投标人或者采购代理机构恶意串通的；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17.2.2.5 法律法规及招标文件规定的其他情形。</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17.3 </w:t>
      </w:r>
      <w:r>
        <w:rPr>
          <w:rFonts w:hint="eastAsia" w:cs="仿宋_GB2312" w:asciiTheme="minorEastAsia" w:hAnsiTheme="minor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8</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18.3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3"/>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3"/>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3"/>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3"/>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3"/>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3"/>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3"/>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3"/>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一、节能能源、保护环境</w:t>
      </w:r>
    </w:p>
    <w:p>
      <w:pPr>
        <w:pStyle w:val="13"/>
        <w:spacing w:line="360" w:lineRule="auto"/>
        <w:ind w:firstLine="480" w:firstLineChars="200"/>
        <w:contextualSpacing/>
        <w:rPr>
          <w:rFonts w:cs="仿宋_GB2312" w:asciiTheme="minorEastAsia" w:hAnsiTheme="minorEastAsia" w:eastAsiaTheme="minorEastAsia"/>
          <w:szCs w:val="24"/>
        </w:rPr>
      </w:pPr>
      <w:r>
        <w:rPr>
          <w:rFonts w:hint="eastAsia" w:cs="仿宋_GB2312" w:asciiTheme="minorEastAsia" w:hAnsiTheme="minorEastAsia" w:eastAsiaTheme="minor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cs="仿宋_GB2312" w:asciiTheme="minorEastAsia" w:hAnsiTheme="minorEastAsia" w:eastAsiaTheme="minor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3"/>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本次采购货物中属于强制采购的节能产品，投标人所投产品必须是《节能产品政府采购清单》内产品，投标文件中应提供最新一期《节能产品政府采购清单》中产品所在页</w:t>
      </w:r>
      <w:r>
        <w:rPr>
          <w:rFonts w:hint="eastAsia" w:cs="仿宋_GB2312" w:asciiTheme="minorEastAsia" w:hAnsiTheme="minorEastAsia" w:eastAsiaTheme="minorEastAsia"/>
          <w:color w:val="7030A0"/>
          <w:szCs w:val="24"/>
        </w:rPr>
        <w:t>并加盖投标人公章的原件扫描件（或图片）</w:t>
      </w:r>
      <w:r>
        <w:rPr>
          <w:rFonts w:hint="eastAsia" w:cs="仿宋_GB2312" w:asciiTheme="minorEastAsia" w:hAnsiTheme="minorEastAsia" w:eastAsiaTheme="minorEastAsia"/>
          <w:color w:val="7030A0"/>
          <w:szCs w:val="24"/>
          <w:lang w:val="zh-CN"/>
        </w:rPr>
        <w:t>。投标人所投其他产品若属于“节能产品政府采购清单”优先采购产品，在同等条件下，优先采购清单中的产品。</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3、对于同时列入环保清单和节能产品政府采购清单的产品，应当优先于只列入其中一个清单的产品。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4、上述“节能产品政府采购清单”、“环境标志产品政府采购清单”，在采购公告发布前已经过期的以及尚在公示期的均不得作为评标时的依据。</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二、促进中小企业发展</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四、促进残疾人就业</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1"/>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资格审查</w:t>
            </w:r>
            <w:r>
              <w:rPr>
                <w:rFonts w:asciiTheme="minorEastAsia" w:hAnsiTheme="minorEastAsia"/>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Theme="minorEastAsia" w:hAnsiTheme="minorEastAsia"/>
                <w:b/>
                <w:sz w:val="24"/>
                <w:szCs w:val="24"/>
              </w:rPr>
            </w:pPr>
            <w:r>
              <w:rPr>
                <w:rFonts w:hint="eastAsia" w:asciiTheme="minorEastAsia" w:hAnsiTheme="minorEastAsia"/>
                <w:b/>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2、法人或者其他组织的营业执照等证明文件，自然人的身份证明</w:t>
            </w:r>
          </w:p>
          <w:p>
            <w:pPr>
              <w:spacing w:line="360" w:lineRule="auto"/>
              <w:rPr>
                <w:rFonts w:asciiTheme="minorEastAsia" w:hAnsiTheme="minorEastAsia"/>
                <w:bCs/>
                <w:sz w:val="24"/>
                <w:szCs w:val="24"/>
              </w:rPr>
            </w:pPr>
            <w:r>
              <w:rPr>
                <w:rFonts w:hint="eastAsia" w:asciiTheme="minorEastAsia" w:hAnsiTheme="minorEastAsia"/>
                <w:bCs/>
                <w:sz w:val="24"/>
                <w:szCs w:val="24"/>
              </w:rPr>
              <w:t>（1）企业法人营业执照或营业执照。（企业投标提供）</w:t>
            </w:r>
          </w:p>
          <w:p>
            <w:pPr>
              <w:spacing w:line="360" w:lineRule="auto"/>
              <w:rPr>
                <w:rFonts w:asciiTheme="minorEastAsia" w:hAnsiTheme="minorEastAsia"/>
                <w:bCs/>
                <w:sz w:val="24"/>
                <w:szCs w:val="24"/>
              </w:rPr>
            </w:pPr>
            <w:r>
              <w:rPr>
                <w:rFonts w:hint="eastAsia" w:asciiTheme="minorEastAsia" w:hAnsiTheme="minorEastAsia"/>
                <w:bCs/>
                <w:sz w:val="24"/>
                <w:szCs w:val="24"/>
              </w:rPr>
              <w:t>（2）事业单位法人证书。（事业单位投标提供）</w:t>
            </w:r>
          </w:p>
          <w:p>
            <w:pPr>
              <w:spacing w:line="360" w:lineRule="auto"/>
              <w:rPr>
                <w:rFonts w:asciiTheme="minorEastAsia" w:hAnsiTheme="minorEastAsia"/>
                <w:bCs/>
                <w:sz w:val="24"/>
                <w:szCs w:val="24"/>
              </w:rPr>
            </w:pPr>
            <w:r>
              <w:rPr>
                <w:rFonts w:hint="eastAsia" w:asciiTheme="minorEastAsia" w:hAnsiTheme="minorEastAsia"/>
                <w:bCs/>
                <w:sz w:val="24"/>
                <w:szCs w:val="24"/>
              </w:rPr>
              <w:t>（3）执业许可证。（非专业服务机构投标提供）</w:t>
            </w:r>
          </w:p>
          <w:p>
            <w:pPr>
              <w:spacing w:line="360" w:lineRule="auto"/>
              <w:rPr>
                <w:rFonts w:asciiTheme="minorEastAsia" w:hAnsiTheme="minorEastAsia"/>
                <w:bCs/>
                <w:sz w:val="24"/>
                <w:szCs w:val="24"/>
              </w:rPr>
            </w:pPr>
            <w:r>
              <w:rPr>
                <w:rFonts w:hint="eastAsia" w:asciiTheme="minorEastAsia" w:hAnsiTheme="minorEastAsia"/>
                <w:bCs/>
                <w:sz w:val="24"/>
                <w:szCs w:val="24"/>
              </w:rPr>
              <w:t>（4）个体工商户营业执照。（个体工商户投标提供）</w:t>
            </w:r>
          </w:p>
          <w:p>
            <w:pPr>
              <w:spacing w:line="360" w:lineRule="auto"/>
              <w:rPr>
                <w:rFonts w:asciiTheme="minorEastAsia" w:hAnsiTheme="minorEastAsia"/>
                <w:b/>
                <w:sz w:val="24"/>
                <w:szCs w:val="24"/>
              </w:rPr>
            </w:pPr>
            <w:r>
              <w:rPr>
                <w:rFonts w:hint="eastAsia" w:asciiTheme="minorEastAsia" w:hAnsiTheme="minorEastAsia"/>
                <w:bCs/>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3、财务状况报告相关材料</w:t>
            </w:r>
          </w:p>
          <w:p>
            <w:pPr>
              <w:spacing w:line="360" w:lineRule="auto"/>
              <w:rPr>
                <w:rFonts w:asciiTheme="minorEastAsia" w:hAnsiTheme="minorEastAsia"/>
                <w:bCs/>
                <w:sz w:val="24"/>
                <w:szCs w:val="24"/>
              </w:rPr>
            </w:pPr>
            <w:r>
              <w:rPr>
                <w:rFonts w:hint="eastAsia" w:asciiTheme="minorEastAsia" w:hAnsiTheme="minorEastAsia"/>
                <w:bCs/>
                <w:sz w:val="24"/>
                <w:szCs w:val="24"/>
              </w:rPr>
              <w:t>（1）</w:t>
            </w:r>
            <w:r>
              <w:rPr>
                <w:rFonts w:hint="eastAsia" w:asciiTheme="minorEastAsia" w:hAnsiTheme="minorEastAsia"/>
                <w:bCs/>
                <w:sz w:val="24"/>
                <w:szCs w:val="24"/>
                <w:lang w:val="en-US" w:eastAsia="zh-CN"/>
              </w:rPr>
              <w:t>2018</w:t>
            </w:r>
            <w:r>
              <w:rPr>
                <w:rFonts w:hint="eastAsia" w:asciiTheme="minorEastAsia" w:hAnsiTheme="minorEastAsia"/>
                <w:bCs/>
                <w:sz w:val="24"/>
                <w:szCs w:val="24"/>
              </w:rPr>
              <w:t>年度的财务报告；</w:t>
            </w:r>
            <w:r>
              <w:rPr>
                <w:rFonts w:hint="eastAsia" w:asciiTheme="minorEastAsia" w:hAnsiTheme="minorEastAsia"/>
                <w:bCs/>
                <w:color w:val="FF0000"/>
                <w:sz w:val="24"/>
                <w:szCs w:val="24"/>
              </w:rPr>
              <w:t>或</w:t>
            </w:r>
            <w:r>
              <w:rPr>
                <w:rFonts w:hint="eastAsia" w:asciiTheme="minorEastAsia" w:hAnsiTheme="minorEastAsia"/>
                <w:bCs/>
                <w:sz w:val="24"/>
                <w:szCs w:val="24"/>
              </w:rPr>
              <w:t>基本开户银行出具的资信证明；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财政部门认可的政府采购专业担保机构的证明文件和担保机构出具的投标担保函。（法人投标提供。法人包括企业法人、机关法人、事业单位法人和社会团体法人。）</w:t>
            </w:r>
          </w:p>
          <w:p>
            <w:pPr>
              <w:spacing w:line="360" w:lineRule="auto"/>
              <w:rPr>
                <w:rFonts w:asciiTheme="minorEastAsia" w:hAnsiTheme="minorEastAsia"/>
                <w:b/>
                <w:sz w:val="24"/>
                <w:szCs w:val="24"/>
              </w:rPr>
            </w:pPr>
            <w:r>
              <w:rPr>
                <w:rFonts w:hint="eastAsia" w:asciiTheme="minorEastAsia" w:hAnsiTheme="minorEastAsia"/>
                <w:bCs/>
                <w:sz w:val="24"/>
                <w:szCs w:val="24"/>
              </w:rPr>
              <w:t>（2）银行出具的资信证明；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4、依法缴纳税收相关材料</w:t>
            </w:r>
          </w:p>
          <w:p>
            <w:pPr>
              <w:spacing w:line="360" w:lineRule="auto"/>
              <w:rPr>
                <w:rFonts w:asciiTheme="minorEastAsia" w:hAnsiTheme="minorEastAsia"/>
                <w:b/>
                <w:sz w:val="24"/>
                <w:szCs w:val="24"/>
              </w:rPr>
            </w:pPr>
            <w:r>
              <w:rPr>
                <w:rFonts w:hint="eastAsia" w:asciiTheme="minorEastAsia" w:hAnsiTheme="minorEastAsia"/>
                <w:bCs/>
                <w:sz w:val="24"/>
                <w:szCs w:val="24"/>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5、依法缴纳社会保障资金的证明材料</w:t>
            </w:r>
          </w:p>
          <w:p>
            <w:pPr>
              <w:spacing w:line="360" w:lineRule="auto"/>
              <w:rPr>
                <w:rFonts w:asciiTheme="minorEastAsia" w:hAnsiTheme="minorEastAsia"/>
                <w:bCs/>
                <w:sz w:val="24"/>
                <w:szCs w:val="24"/>
              </w:rPr>
            </w:pPr>
            <w:r>
              <w:rPr>
                <w:rFonts w:hint="eastAsia" w:asciiTheme="minorEastAsia" w:hAnsiTheme="minorEastAsia"/>
                <w:bCs/>
                <w:sz w:val="24"/>
                <w:szCs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6、履行合同所必须的设备和专业技术能力的证明材料</w:t>
            </w:r>
          </w:p>
          <w:p>
            <w:pPr>
              <w:spacing w:line="360" w:lineRule="auto"/>
              <w:rPr>
                <w:rFonts w:asciiTheme="minorEastAsia" w:hAnsiTheme="minorEastAsia"/>
                <w:b/>
                <w:sz w:val="24"/>
                <w:szCs w:val="24"/>
              </w:rPr>
            </w:pPr>
            <w:r>
              <w:rPr>
                <w:rFonts w:hint="eastAsia" w:asciiTheme="minorEastAsia" w:hAnsiTheme="minorEastAsia"/>
                <w:bCs/>
                <w:sz w:val="24"/>
                <w:szCs w:val="24"/>
              </w:rPr>
              <w:t>相关设备的购置发票、专业技术人员职称证书、用工合同等</w:t>
            </w:r>
            <w:r>
              <w:rPr>
                <w:rFonts w:hint="eastAsia" w:asciiTheme="minorEastAsia" w:hAnsiTheme="minorEastAsia"/>
                <w:bCs/>
                <w:color w:val="FF0000"/>
                <w:sz w:val="24"/>
                <w:szCs w:val="24"/>
              </w:rPr>
              <w:t>或者</w:t>
            </w:r>
            <w:r>
              <w:rPr>
                <w:rFonts w:hint="eastAsia" w:asciiTheme="minorEastAsia" w:hAnsiTheme="minorEastAsia"/>
                <w:bCs/>
                <w:sz w:val="24"/>
                <w:szCs w:val="24"/>
              </w:rPr>
              <w:t>投标人相关承诺函或声明。</w:t>
            </w:r>
            <w:r>
              <w:rPr>
                <w:rFonts w:hint="eastAsia" w:cs="宋体" w:asciiTheme="minorEastAsia" w:hAnsiTheme="minorEastAsia"/>
                <w:kern w:val="0"/>
                <w:sz w:val="24"/>
                <w:szCs w:val="24"/>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7、参加政府采购活动前3年内在经营活动中没有重大违法记录的声明</w:t>
            </w:r>
          </w:p>
          <w:p>
            <w:pPr>
              <w:spacing w:line="360" w:lineRule="auto"/>
              <w:rPr>
                <w:rFonts w:asciiTheme="minorEastAsia" w:hAnsiTheme="minorEastAsia"/>
                <w:bCs/>
                <w:sz w:val="24"/>
                <w:szCs w:val="24"/>
              </w:rPr>
            </w:pPr>
            <w:r>
              <w:rPr>
                <w:rFonts w:hint="eastAsia" w:asciiTheme="minorEastAsia" w:hAnsiTheme="minor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8、</w:t>
            </w:r>
            <w:r>
              <w:rPr>
                <w:rFonts w:hint="eastAsia" w:ascii="宋体" w:hAnsi="宋体" w:cs="仿宋_GB2312"/>
                <w:b/>
                <w:sz w:val="24"/>
                <w:szCs w:val="24"/>
                <w:shd w:val="clear" w:color="auto" w:fill="FFFFFF"/>
              </w:rPr>
              <w:t>未被列入</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信用中国</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网站</w:t>
            </w:r>
            <w:r>
              <w:rPr>
                <w:rFonts w:ascii="宋体" w:hAnsi="宋体" w:cs="仿宋_GB2312"/>
                <w:b/>
                <w:sz w:val="24"/>
                <w:szCs w:val="24"/>
                <w:shd w:val="clear" w:color="auto" w:fill="FFFFFF"/>
              </w:rPr>
              <w:t>(www.creditchina.gov.cn)</w:t>
            </w:r>
            <w:r>
              <w:rPr>
                <w:rFonts w:hint="eastAsia" w:ascii="宋体" w:hAnsi="宋体" w:cs="仿宋_GB2312"/>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hint="eastAsia" w:ascii="宋体" w:hAnsi="宋体" w:cs="仿宋_GB2312"/>
                <w:b/>
                <w:sz w:val="24"/>
                <w:szCs w:val="24"/>
                <w:shd w:val="clear" w:color="auto" w:fill="FFFFFF"/>
              </w:rPr>
              <w:t>政府采购严重违法失信行为记录名单的投标人；“</w:t>
            </w:r>
            <w:r>
              <w:rPr>
                <w:rFonts w:hint="eastAsia" w:ascii="宋体" w:hAnsi="宋体" w:cs="宋体"/>
                <w:b/>
                <w:bCs/>
                <w:sz w:val="24"/>
                <w:szCs w:val="24"/>
                <w:lang w:val="zh-CN"/>
              </w:rPr>
              <w:t>国家企业信用公示系统</w:t>
            </w:r>
            <w:r>
              <w:rPr>
                <w:rFonts w:hint="eastAsia" w:ascii="宋体" w:hAnsi="宋体" w:cs="宋体"/>
                <w:b/>
                <w:bCs/>
                <w:sz w:val="24"/>
                <w:szCs w:val="24"/>
              </w:rPr>
              <w:t>”</w:t>
            </w:r>
            <w:r>
              <w:rPr>
                <w:rFonts w:hint="eastAsia" w:ascii="宋体" w:hAnsi="宋体" w:cs="宋体"/>
                <w:b/>
                <w:bCs/>
                <w:sz w:val="24"/>
                <w:szCs w:val="24"/>
                <w:lang w:val="zh-CN"/>
              </w:rPr>
              <w:t>网站</w:t>
            </w:r>
            <w:r>
              <w:rPr>
                <w:rFonts w:hint="eastAsia" w:ascii="宋体" w:hAnsi="宋体" w:cs="宋体"/>
                <w:b/>
                <w:bCs/>
                <w:sz w:val="24"/>
                <w:szCs w:val="24"/>
              </w:rPr>
              <w:t>（</w:t>
            </w:r>
            <w:r>
              <w:rPr>
                <w:rFonts w:ascii="宋体" w:hAnsi="宋体" w:cs="宋体"/>
                <w:b/>
                <w:bCs/>
                <w:sz w:val="24"/>
                <w:szCs w:val="24"/>
              </w:rPr>
              <w:t>www.gsxt.gov.cn</w:t>
            </w:r>
            <w:r>
              <w:rPr>
                <w:rFonts w:hint="eastAsia" w:ascii="宋体" w:hAnsi="宋体" w:cs="宋体"/>
                <w:b/>
                <w:bCs/>
                <w:sz w:val="24"/>
                <w:szCs w:val="24"/>
              </w:rPr>
              <w:t>）</w:t>
            </w:r>
            <w:r>
              <w:rPr>
                <w:rFonts w:hint="eastAsia" w:ascii="宋体" w:hAnsi="宋体" w:cs="仿宋_GB2312"/>
                <w:b/>
                <w:color w:val="FF0000"/>
                <w:sz w:val="24"/>
                <w:szCs w:val="24"/>
                <w:shd w:val="clear" w:color="auto" w:fill="FFFFFF"/>
              </w:rPr>
              <w:t>严重违法失信企业名单（黑名单）的投标人。(本项目投标截止时间前三年内供应商信用记录情况)</w:t>
            </w:r>
          </w:p>
          <w:p>
            <w:pPr>
              <w:spacing w:line="360" w:lineRule="auto"/>
              <w:rPr>
                <w:rFonts w:asciiTheme="minorEastAsia" w:hAnsiTheme="minorEastAsia"/>
                <w:bCs/>
                <w:sz w:val="24"/>
                <w:szCs w:val="24"/>
              </w:rPr>
            </w:pPr>
            <w:r>
              <w:rPr>
                <w:rFonts w:hint="eastAsia" w:asciiTheme="minorEastAsia" w:hAnsiTheme="minor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hint="eastAsia" w:asciiTheme="minorEastAsia" w:hAnsiTheme="minorEastAsia"/>
                <w:bCs/>
                <w:sz w:val="24"/>
                <w:szCs w:val="24"/>
              </w:rPr>
              <w:t>、政府采购严重违法失信行为记录名单、</w:t>
            </w:r>
            <w:r>
              <w:rPr>
                <w:rFonts w:hint="eastAsia" w:ascii="宋体" w:hAnsi="宋体" w:cs="仿宋_GB2312"/>
                <w:b/>
                <w:color w:val="FF0000"/>
                <w:sz w:val="24"/>
                <w:szCs w:val="24"/>
                <w:shd w:val="clear" w:color="auto" w:fill="FFFFFF"/>
              </w:rPr>
              <w:t>严重违法失信企业名单（黑名单）</w:t>
            </w:r>
            <w:r>
              <w:rPr>
                <w:rFonts w:hint="eastAsia" w:asciiTheme="minorEastAsia" w:hAnsiTheme="minorEastAsia"/>
                <w:bCs/>
                <w:sz w:val="24"/>
                <w:szCs w:val="24"/>
              </w:rPr>
              <w:t>（联合体形式投标的，联合体成员存在不良信用记录，视同联合体存在不良信用记录）。</w:t>
            </w:r>
          </w:p>
          <w:p>
            <w:pPr>
              <w:spacing w:line="360" w:lineRule="auto"/>
              <w:rPr>
                <w:rFonts w:asciiTheme="minorEastAsia" w:hAnsiTheme="minorEastAsia"/>
                <w:bCs/>
                <w:sz w:val="24"/>
                <w:szCs w:val="24"/>
              </w:rPr>
            </w:pPr>
            <w:r>
              <w:rPr>
                <w:rFonts w:hint="eastAsia" w:asciiTheme="minorEastAsia" w:hAnsiTheme="minorEastAsia"/>
                <w:bCs/>
                <w:sz w:val="24"/>
                <w:szCs w:val="24"/>
              </w:rPr>
              <w:t>（1）查询渠道：“信用中国”网站（www.creditchina.gov.cn）和“中国政府采购网”（www.ccgp.gov.cn）；</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spacing w:line="360" w:lineRule="auto"/>
              <w:rPr>
                <w:rFonts w:asciiTheme="minorEastAsia" w:hAnsiTheme="minorEastAsia"/>
                <w:bCs/>
                <w:sz w:val="24"/>
                <w:szCs w:val="24"/>
              </w:rPr>
            </w:pPr>
            <w:r>
              <w:rPr>
                <w:rFonts w:hint="eastAsia" w:asciiTheme="minorEastAsia" w:hAnsiTheme="minorEastAsia"/>
                <w:bCs/>
                <w:sz w:val="24"/>
                <w:szCs w:val="24"/>
              </w:rPr>
              <w:t>（2）截止时间：同投标截止时间；</w:t>
            </w:r>
          </w:p>
          <w:p>
            <w:pPr>
              <w:spacing w:line="360" w:lineRule="auto"/>
              <w:rPr>
                <w:rFonts w:asciiTheme="minorEastAsia" w:hAnsiTheme="minorEastAsia"/>
                <w:bCs/>
                <w:sz w:val="24"/>
                <w:szCs w:val="24"/>
              </w:rPr>
            </w:pPr>
            <w:r>
              <w:rPr>
                <w:rFonts w:hint="eastAsia" w:asciiTheme="minorEastAsia" w:hAnsiTheme="minorEastAsia"/>
                <w:bCs/>
                <w:sz w:val="24"/>
                <w:szCs w:val="24"/>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 w:val="24"/>
                <w:szCs w:val="24"/>
              </w:rPr>
            </w:pPr>
            <w:r>
              <w:rPr>
                <w:rFonts w:hint="eastAsia" w:asciiTheme="minorEastAsia" w:hAnsiTheme="minorEastAsia"/>
                <w:bCs/>
                <w:sz w:val="24"/>
                <w:szCs w:val="24"/>
              </w:rPr>
              <w:t>（4）</w:t>
            </w:r>
            <w:r>
              <w:rPr>
                <w:rFonts w:hint="eastAsia" w:asciiTheme="minorEastAsia" w:hAnsiTheme="minorEastAsia"/>
                <w:bCs/>
                <w:color w:val="FF0000"/>
                <w:sz w:val="24"/>
                <w:szCs w:val="24"/>
              </w:rPr>
              <w:t>信用信息的使用原则：经采购人认定的被列入失信被执行人、重大税收违法案件当事人名单、政府采购严重违法失信行为记录名单的投标人</w:t>
            </w:r>
            <w:r>
              <w:rPr>
                <w:rFonts w:hint="eastAsia" w:cs="宋体" w:asciiTheme="minorEastAsia" w:hAnsiTheme="minorEastAsia"/>
                <w:color w:val="FF0000"/>
                <w:kern w:val="0"/>
                <w:sz w:val="24"/>
                <w:szCs w:val="24"/>
              </w:rPr>
              <w:t>、严重违法失信企业名单（黑名单）的投标人，</w:t>
            </w:r>
            <w:r>
              <w:rPr>
                <w:rFonts w:hint="eastAsia" w:asciiTheme="minorEastAsia" w:hAnsiTheme="minorEastAsia"/>
                <w:bCs/>
                <w:color w:val="FF0000"/>
                <w:sz w:val="24"/>
                <w:szCs w:val="24"/>
              </w:rPr>
              <w:t>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sz w:val="24"/>
                <w:szCs w:val="24"/>
              </w:rPr>
            </w:pPr>
            <w:r>
              <w:rPr>
                <w:rFonts w:hint="eastAsia" w:cs="仿宋_GB2312" w:asciiTheme="minorEastAsia" w:hAnsiTheme="minorEastAsia"/>
                <w:b/>
                <w:sz w:val="24"/>
                <w:szCs w:val="24"/>
                <w:lang w:val="zh-CN"/>
              </w:rPr>
              <w:t>9、被委托人社保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b/>
                <w:sz w:val="24"/>
                <w:szCs w:val="24"/>
                <w:lang w:val="zh-CN"/>
              </w:rPr>
            </w:pPr>
            <w:r>
              <w:rPr>
                <w:rFonts w:hint="eastAsia" w:asciiTheme="minorEastAsia" w:hAnsiTheme="minorEastAsia"/>
                <w:b/>
                <w:bCs/>
                <w:sz w:val="24"/>
                <w:szCs w:val="24"/>
              </w:rPr>
              <w:t>10、</w:t>
            </w:r>
            <w:r>
              <w:rPr>
                <w:rFonts w:hint="eastAsia" w:cs="仿宋_GB2312" w:asciiTheme="minorEastAsia" w:hAnsiTheme="minorEastAsia"/>
                <w:b/>
                <w:sz w:val="24"/>
                <w:szCs w:val="24"/>
                <w:lang w:val="zh-CN"/>
              </w:rPr>
              <w:t>报价</w:t>
            </w:r>
          </w:p>
          <w:p>
            <w:pPr>
              <w:spacing w:line="360" w:lineRule="auto"/>
              <w:rPr>
                <w:rFonts w:asciiTheme="minorEastAsia" w:hAnsiTheme="minorEastAsia"/>
                <w:b/>
                <w:bCs/>
                <w:sz w:val="24"/>
                <w:szCs w:val="24"/>
              </w:rPr>
            </w:pPr>
            <w:r>
              <w:rPr>
                <w:rFonts w:hint="eastAsia" w:cs="仿宋_GB2312" w:asciiTheme="minorEastAsia" w:hAnsiTheme="minorEastAsia"/>
                <w:sz w:val="24"/>
                <w:szCs w:val="24"/>
                <w:lang w:val="zh-CN"/>
              </w:rPr>
              <w:t>是否超出招标文件中规定的预算金额，超出预算金额的投标无效。如投标人须知前附表规定最高限价，则</w:t>
            </w:r>
            <w:r>
              <w:rPr>
                <w:rFonts w:hint="eastAsia" w:cs="宋体" w:asciiTheme="minorEastAsia" w:hAnsiTheme="minorEastAsia"/>
                <w:bCs/>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11、联合体协议</w:t>
            </w:r>
          </w:p>
          <w:p>
            <w:pPr>
              <w:spacing w:line="360" w:lineRule="auto"/>
              <w:rPr>
                <w:rFonts w:asciiTheme="minorEastAsia" w:hAnsiTheme="minorEastAsia"/>
                <w:b/>
                <w:bCs/>
                <w:sz w:val="24"/>
                <w:szCs w:val="24"/>
              </w:rPr>
            </w:pPr>
            <w:r>
              <w:rPr>
                <w:rFonts w:hint="eastAsia" w:asciiTheme="minorEastAsia" w:hAnsiTheme="minorEastAsia"/>
                <w:bCs/>
                <w:sz w:val="24"/>
                <w:szCs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sz w:val="24"/>
                <w:szCs w:val="24"/>
              </w:rPr>
            </w:pPr>
            <w:r>
              <w:rPr>
                <w:rFonts w:hint="eastAsia" w:asciiTheme="minorEastAsia" w:hAnsiTheme="minorEastAsia"/>
                <w:b/>
                <w:sz w:val="24"/>
                <w:szCs w:val="24"/>
              </w:rPr>
              <w:t>12、投标保证金</w:t>
            </w:r>
          </w:p>
          <w:p>
            <w:pPr>
              <w:spacing w:line="360" w:lineRule="auto"/>
              <w:rPr>
                <w:rFonts w:asciiTheme="minorEastAsia" w:hAnsiTheme="minorEastAsia"/>
                <w:sz w:val="24"/>
                <w:szCs w:val="24"/>
              </w:rPr>
            </w:pPr>
            <w:r>
              <w:rPr>
                <w:rFonts w:hint="eastAsia" w:asciiTheme="minorEastAsia" w:hAnsiTheme="minorEastAsia"/>
                <w:sz w:val="24"/>
                <w:szCs w:val="24"/>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sz w:val="24"/>
                <w:szCs w:val="24"/>
              </w:rPr>
            </w:pPr>
            <w:r>
              <w:rPr>
                <w:rFonts w:hint="eastAsia" w:asciiTheme="minorEastAsia" w:hAnsiTheme="minorEastAsia"/>
                <w:b/>
                <w:sz w:val="24"/>
                <w:szCs w:val="24"/>
              </w:rPr>
              <w:t>13、法定代表人身份证明或提供法定代表人授权委托书及被授权人身份证明。</w:t>
            </w: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（一）评标方法</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本项目采用综合评分法。</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（二）</w:t>
      </w:r>
      <w:r>
        <w:rPr>
          <w:rFonts w:cs="仿宋_GB2312" w:asciiTheme="minorEastAsia" w:hAnsiTheme="minorEastAsia" w:eastAsiaTheme="minorEastAsia"/>
          <w:b/>
          <w:szCs w:val="24"/>
          <w:lang w:val="zh-CN"/>
        </w:rPr>
        <w:t>评标委员会负责具体评标事务，并独立履行下列职责</w:t>
      </w:r>
    </w:p>
    <w:p>
      <w:pPr>
        <w:pStyle w:val="13"/>
        <w:spacing w:line="360" w:lineRule="auto"/>
        <w:ind w:firstLine="482" w:firstLineChars="200"/>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w:t>
      </w:r>
      <w:r>
        <w:rPr>
          <w:rFonts w:cs="仿宋_GB2312" w:asciiTheme="minorEastAsia" w:hAnsiTheme="minorEastAsia" w:eastAsiaTheme="minorEastAsia"/>
          <w:b/>
          <w:szCs w:val="24"/>
          <w:lang w:val="zh-CN"/>
        </w:rPr>
        <w:t>审查、评价投标文件是否符合招标文件的商务、技术等实质性要求；</w:t>
      </w:r>
    </w:p>
    <w:p>
      <w:pPr>
        <w:pStyle w:val="13"/>
        <w:spacing w:line="360" w:lineRule="auto"/>
        <w:ind w:firstLine="480" w:firstLineChars="200"/>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评标委员会对符合资格的投标人的投标文件进行符合性审查，以确定其是否满足招标文件的商务、技术等实质性要求。</w:t>
      </w:r>
    </w:p>
    <w:p>
      <w:pPr>
        <w:pStyle w:val="13"/>
        <w:spacing w:line="360" w:lineRule="auto"/>
        <w:ind w:firstLine="480" w:firstLineChars="200"/>
        <w:contextualSpacing/>
        <w:jc w:val="left"/>
        <w:rPr>
          <w:rFonts w:cs="仿宋_GB2312" w:asciiTheme="minorEastAsia" w:hAnsiTheme="minorEastAsia"/>
          <w:szCs w:val="24"/>
          <w:lang w:val="zh-CN"/>
        </w:rPr>
      </w:pPr>
      <w:r>
        <w:rPr>
          <w:rFonts w:hint="eastAsia" w:cs="仿宋_GB2312" w:asciiTheme="minorEastAsia" w:hAnsiTheme="minorEastAsia"/>
          <w:szCs w:val="24"/>
          <w:lang w:val="zh-CN"/>
        </w:rPr>
        <w:t>注：符合性审查中所涉及到的证书及材料，均须在电子投标文件中提供原件扫描件（或图片）。</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2、</w:t>
      </w:r>
      <w:r>
        <w:rPr>
          <w:rFonts w:cs="仿宋_GB2312" w:asciiTheme="minorEastAsia" w:hAnsiTheme="minorEastAsia" w:eastAsiaTheme="minorEastAsia"/>
          <w:b/>
          <w:szCs w:val="24"/>
          <w:lang w:val="zh-CN"/>
        </w:rPr>
        <w:t>要求投标人对投标文件有关事项作出澄清或者说明；</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对投标文件进行比较和评价；</w:t>
      </w:r>
    </w:p>
    <w:p>
      <w:pPr>
        <w:pStyle w:val="13"/>
        <w:spacing w:line="360" w:lineRule="auto"/>
        <w:ind w:firstLine="480" w:firstLineChars="200"/>
        <w:contextualSpacing/>
        <w:rPr>
          <w:rFonts w:cs="仿宋_GB2312" w:asciiTheme="minorEastAsia" w:hAnsiTheme="minorEastAsia"/>
          <w:szCs w:val="24"/>
          <w:lang w:val="zh-CN"/>
        </w:rPr>
      </w:pPr>
      <w:r>
        <w:rPr>
          <w:rFonts w:hint="eastAsia" w:cs="仿宋_GB2312" w:asciiTheme="minorEastAsia" w:hAnsiTheme="minorEastAsia" w:eastAsiaTheme="minor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Cs w:val="24"/>
          <w:lang w:val="zh-CN"/>
        </w:rPr>
        <w:t>评标过程中，不得去掉报价中的最高报价和最低报价。</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（1）价格分计算</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80" w:firstLineChars="200"/>
        <w:contextualSpacing/>
        <w:rPr>
          <w:rFonts w:asciiTheme="minorEastAsia" w:hAnsiTheme="minorEastAsia" w:eastAsiaTheme="minorEastAsia"/>
          <w:color w:val="000000"/>
          <w:szCs w:val="24"/>
        </w:rPr>
      </w:pPr>
      <w:r>
        <w:rPr>
          <w:rFonts w:hint="eastAsia" w:cs="仿宋_GB2312" w:asciiTheme="minorEastAsia" w:hAnsiTheme="minorEastAsia" w:eastAsiaTheme="minor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b/>
          <w:color w:val="7030A0"/>
          <w:szCs w:val="24"/>
          <w:lang w:val="zh-CN"/>
        </w:rPr>
      </w:pPr>
      <w:r>
        <w:rPr>
          <w:rFonts w:hint="eastAsia" w:asciiTheme="minorEastAsia" w:hAnsiTheme="minorEastAsia" w:eastAsiaTheme="minorEastAsia"/>
          <w:b/>
          <w:color w:val="7030A0"/>
          <w:szCs w:val="24"/>
        </w:rPr>
        <w:t>（2）强制采购节能产品和优先采购节能产品、优先采购环保产品</w:t>
      </w:r>
    </w:p>
    <w:p>
      <w:pPr>
        <w:pStyle w:val="13"/>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1）对《节能产品政府采购清单》所列的政府强制采购节能产品</w:t>
      </w:r>
      <w:r>
        <w:rPr>
          <w:rFonts w:hint="eastAsia" w:cs="仿宋_GB2312" w:asciiTheme="minorEastAsia" w:hAnsiTheme="minorEastAsia" w:eastAsiaTheme="minorEastAsia"/>
          <w:color w:val="7030A0"/>
          <w:szCs w:val="24"/>
        </w:rPr>
        <w:t>，</w:t>
      </w:r>
      <w:r>
        <w:rPr>
          <w:rFonts w:hint="eastAsia" w:cs="仿宋_GB2312" w:asciiTheme="minorEastAsia" w:hAnsiTheme="minorEastAsia" w:eastAsiaTheme="minorEastAsia"/>
          <w:color w:val="7030A0"/>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13"/>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投标人所投其他产品若属于“节能产品政府采购清单”优先采购产品，</w:t>
      </w:r>
      <w:r>
        <w:rPr>
          <w:rFonts w:hint="eastAsia" w:cs="仿宋_GB2312" w:asciiTheme="minorEastAsia" w:hAnsiTheme="minorEastAsia"/>
          <w:color w:val="7030A0"/>
          <w:szCs w:val="24"/>
          <w:lang w:val="zh-CN"/>
        </w:rPr>
        <w:t>投标文件中须提供最新一期《节能产品政府采购清单》中产品所在页并加盖投标人公章的原件扫描件（或图片），评标委员会根据本项目评标标准予以判定并赋分。</w:t>
      </w:r>
    </w:p>
    <w:p>
      <w:pPr>
        <w:pStyle w:val="13"/>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2）</w:t>
      </w:r>
      <w:r>
        <w:rPr>
          <w:rFonts w:hint="eastAsia" w:cs="仿宋_GB2312" w:asciiTheme="minorEastAsia" w:hAnsiTheme="minorEastAsia"/>
          <w:color w:val="7030A0"/>
          <w:szCs w:val="24"/>
          <w:lang w:val="zh-CN"/>
        </w:rPr>
        <w:t>投标人所投产品若属于“环境标志产品政府采购清单”内产品，投标文件中须提供最新一期《环境标志产品政府采购清单》中产品所在页并加盖投标人公章的原件扫描件（或图片），</w:t>
      </w:r>
      <w:r>
        <w:rPr>
          <w:rFonts w:hint="eastAsia" w:cs="仿宋_GB2312" w:asciiTheme="minorEastAsia" w:hAnsiTheme="minorEastAsia" w:eastAsiaTheme="minorEastAsia"/>
          <w:color w:val="7030A0"/>
          <w:szCs w:val="24"/>
          <w:lang w:val="zh-CN"/>
        </w:rPr>
        <w:t>评标委员会根据本项目评标标准予以判定并赋分。</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关于相同品牌产品</w:t>
      </w:r>
    </w:p>
    <w:p>
      <w:pPr>
        <w:pStyle w:val="13"/>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Cs w:val="24"/>
          <w:lang w:val="zh-CN"/>
        </w:rPr>
        <w:t>采取随机抽取</w:t>
      </w:r>
      <w:r>
        <w:rPr>
          <w:rFonts w:cs="仿宋_GB2312" w:asciiTheme="minorEastAsia" w:hAnsiTheme="minorEastAsia" w:eastAsiaTheme="minorEastAsia"/>
          <w:szCs w:val="24"/>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采用综合评分法的，提供相同品牌产品</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非单一产品采购项目，多家投标人提供的核心产品品牌相同</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Cs w:val="24"/>
          <w:lang w:val="zh-CN"/>
        </w:rPr>
        <w:t>由采购人或者采购人委托评标委员会</w:t>
      </w:r>
      <w:r>
        <w:rPr>
          <w:rFonts w:cs="仿宋_GB2312" w:asciiTheme="minorEastAsia" w:hAnsiTheme="minorEastAsia" w:eastAsiaTheme="minorEastAsia"/>
          <w:szCs w:val="24"/>
          <w:lang w:val="zh-CN"/>
        </w:rPr>
        <w:t>采取随机抽取方式确定</w:t>
      </w:r>
      <w:r>
        <w:rPr>
          <w:rFonts w:hint="eastAsia" w:cs="仿宋_GB2312" w:asciiTheme="minorEastAsia" w:hAnsiTheme="minorEastAsia" w:eastAsiaTheme="minorEastAsia"/>
          <w:szCs w:val="24"/>
          <w:lang w:val="zh-CN"/>
        </w:rPr>
        <w:t>一个投标人获得中标人推荐资格</w:t>
      </w:r>
      <w:r>
        <w:rPr>
          <w:rFonts w:cs="仿宋_GB2312" w:asciiTheme="minorEastAsia" w:hAnsiTheme="minorEastAsia" w:eastAsiaTheme="minorEastAsia"/>
          <w:szCs w:val="24"/>
          <w:lang w:val="zh-CN"/>
        </w:rPr>
        <w:t>，其他同品牌投标人不作为中标候选人。</w:t>
      </w:r>
    </w:p>
    <w:p>
      <w:pPr>
        <w:pStyle w:val="13"/>
        <w:spacing w:line="360" w:lineRule="auto"/>
        <w:ind w:firstLine="465"/>
        <w:contextualSpacing/>
        <w:jc w:val="left"/>
        <w:rPr>
          <w:rFonts w:cs="仿宋_GB2312" w:asciiTheme="minorEastAsia" w:hAnsiTheme="minorEastAsia" w:eastAsiaTheme="minorEastAsia"/>
          <w:b/>
          <w:color w:val="7030A0"/>
          <w:szCs w:val="24"/>
          <w:lang w:val="zh-CN"/>
        </w:rPr>
      </w:pPr>
      <w:r>
        <w:rPr>
          <w:rFonts w:hint="eastAsia" w:cs="仿宋_GB2312" w:asciiTheme="minorEastAsia" w:hAnsiTheme="minorEastAsia" w:eastAsiaTheme="minorEastAsia"/>
          <w:b/>
          <w:color w:val="7030A0"/>
          <w:szCs w:val="24"/>
          <w:lang w:val="zh-CN"/>
        </w:rPr>
        <w:t>（4）关于强制性产品认证</w:t>
      </w:r>
    </w:p>
    <w:p>
      <w:pPr>
        <w:spacing w:line="360" w:lineRule="auto"/>
        <w:ind w:firstLine="480" w:firstLineChars="200"/>
        <w:contextualSpacing/>
        <w:rPr>
          <w:rFonts w:cs="宋体" w:asciiTheme="minorEastAsia" w:hAnsiTheme="minorEastAsia"/>
          <w:color w:val="7030A0"/>
          <w:kern w:val="0"/>
          <w:sz w:val="24"/>
          <w:szCs w:val="24"/>
        </w:rPr>
      </w:pPr>
      <w:r>
        <w:rPr>
          <w:rFonts w:hint="eastAsia" w:cs="仿宋_GB2312" w:asciiTheme="minorEastAsia" w:hAnsiTheme="minorEastAsia"/>
          <w:color w:val="7030A0"/>
          <w:sz w:val="24"/>
          <w:szCs w:val="24"/>
          <w:lang w:val="zh-CN"/>
        </w:rPr>
        <w:t>1）如投标人所投产品属于“中国强制性产品认证”（3C认证）范围内,则必须承诺采用</w:t>
      </w:r>
      <w:r>
        <w:rPr>
          <w:rFonts w:cs="仿宋_GB2312" w:asciiTheme="minorEastAsia" w:hAnsiTheme="minorEastAsia"/>
          <w:color w:val="7030A0"/>
          <w:sz w:val="24"/>
          <w:szCs w:val="24"/>
          <w:lang w:val="zh-CN"/>
        </w:rPr>
        <w:t>《中华人民共和国实施强制性产品认证的产品目录》</w:t>
      </w:r>
      <w:r>
        <w:rPr>
          <w:rFonts w:hint="eastAsia" w:cs="仿宋_GB2312" w:asciiTheme="minorEastAsia" w:hAnsiTheme="minorEastAsia"/>
          <w:color w:val="7030A0"/>
          <w:sz w:val="24"/>
          <w:szCs w:val="24"/>
          <w:lang w:val="zh-CN"/>
        </w:rPr>
        <w:t>并在有效期内的产品，应在投标文件中提供</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所投产品符合国家强制性要求承诺函</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并加盖投标人公章，否则将承担其投标被视为非实质性响应投标的风险。</w:t>
      </w:r>
    </w:p>
    <w:p>
      <w:pPr>
        <w:wordWrap w:val="0"/>
        <w:autoSpaceDE w:val="0"/>
        <w:autoSpaceDN w:val="0"/>
        <w:spacing w:line="360" w:lineRule="auto"/>
        <w:ind w:firstLine="480" w:firstLineChars="200"/>
        <w:contextualSpacing/>
        <w:rPr>
          <w:rFonts w:cs="仿宋_GB2312" w:asciiTheme="minorEastAsia" w:hAnsiTheme="minorEastAsia"/>
          <w:color w:val="7030A0"/>
          <w:sz w:val="24"/>
          <w:szCs w:val="24"/>
          <w:lang w:val="zh-CN"/>
        </w:rPr>
      </w:pPr>
      <w:r>
        <w:rPr>
          <w:rFonts w:hint="eastAsia" w:cs="宋体" w:asciiTheme="minorEastAsia" w:hAnsiTheme="minorEastAsia"/>
          <w:color w:val="7030A0"/>
          <w:kern w:val="0"/>
          <w:sz w:val="24"/>
          <w:szCs w:val="24"/>
        </w:rPr>
        <w:t>2)投标人所投产品如被列入</w:t>
      </w:r>
      <w:r>
        <w:rPr>
          <w:rFonts w:cs="宋体" w:asciiTheme="minorEastAsia" w:hAnsiTheme="minorEastAsia"/>
          <w:color w:val="7030A0"/>
          <w:kern w:val="0"/>
          <w:sz w:val="24"/>
          <w:szCs w:val="24"/>
        </w:rPr>
        <w:t>《信息安全产品强制性认证目录》，</w:t>
      </w:r>
      <w:r>
        <w:rPr>
          <w:rFonts w:hint="eastAsia" w:cs="仿宋_GB2312" w:asciiTheme="minorEastAsia" w:hAnsiTheme="minorEastAsia"/>
          <w:color w:val="7030A0"/>
          <w:sz w:val="24"/>
          <w:szCs w:val="24"/>
          <w:lang w:val="zh-CN"/>
        </w:rPr>
        <w:t>则投标文件中应根据本项目招标文件“第二章 项目需求”</w:t>
      </w:r>
      <w:r>
        <w:rPr>
          <w:rFonts w:cs="仿宋_GB2312" w:asciiTheme="minorEastAsia" w:hAnsiTheme="minorEastAsia"/>
          <w:color w:val="7030A0"/>
          <w:sz w:val="24"/>
          <w:szCs w:val="24"/>
          <w:lang w:val="zh-CN"/>
        </w:rPr>
        <w:t>提供</w:t>
      </w:r>
      <w:r>
        <w:rPr>
          <w:rFonts w:hint="eastAsia" w:cs="仿宋_GB2312" w:asciiTheme="minorEastAsia" w:hAnsiTheme="minorEastAsia"/>
          <w:color w:val="7030A0"/>
          <w:sz w:val="24"/>
          <w:szCs w:val="24"/>
          <w:lang w:val="zh-CN"/>
        </w:rPr>
        <w:t>：</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宋体" w:asciiTheme="minorEastAsia" w:hAnsiTheme="minorEastAsia"/>
          <w:color w:val="7030A0"/>
          <w:kern w:val="0"/>
          <w:sz w:val="24"/>
          <w:szCs w:val="24"/>
        </w:rPr>
        <w:t>中国信息安全认证中心官网（</w:t>
      </w:r>
      <w:r>
        <w:rPr>
          <w:rFonts w:cs="宋体" w:asciiTheme="minorEastAsia" w:hAnsiTheme="minorEastAsia"/>
          <w:color w:val="7030A0"/>
          <w:kern w:val="0"/>
          <w:sz w:val="24"/>
          <w:szCs w:val="24"/>
        </w:rPr>
        <w:t>http://www.isccc.gov.cn/index.shtml</w:t>
      </w:r>
      <w:r>
        <w:rPr>
          <w:rFonts w:hint="eastAsia" w:cs="宋体" w:asciiTheme="minorEastAsia" w:hAnsiTheme="minorEastAsia"/>
          <w:color w:val="7030A0"/>
          <w:kern w:val="0"/>
          <w:sz w:val="24"/>
          <w:szCs w:val="24"/>
        </w:rPr>
        <w:t>）产品查询结果截图并加盖投标人公章或中国信息安全认证中心</w:t>
      </w:r>
      <w:r>
        <w:rPr>
          <w:rFonts w:hint="eastAsia" w:cs="仿宋_GB2312" w:asciiTheme="minorEastAsia" w:hAnsiTheme="minorEastAsia"/>
          <w:color w:val="7030A0"/>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（5）投标无效情形</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e.不同投标人的投标文件相互混装；</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left="480"/>
        <w:contextualSpacing/>
        <w:rPr>
          <w:rFonts w:cs="仿宋_GB2312" w:asciiTheme="minorEastAsia" w:hAnsiTheme="minorEastAsia"/>
          <w:color w:val="FF0000"/>
          <w:sz w:val="24"/>
          <w:szCs w:val="24"/>
          <w:lang w:val="zh-CN"/>
        </w:rPr>
      </w:pPr>
      <w:r>
        <w:rPr>
          <w:rFonts w:hint="eastAsia" w:cs="仿宋_GB2312" w:asciiTheme="minorEastAsia" w:hAnsiTheme="minorEastAsia"/>
          <w:color w:val="FF0000"/>
          <w:sz w:val="24"/>
          <w:szCs w:val="24"/>
          <w:lang w:val="zh-CN"/>
        </w:rPr>
        <w:t>5）提供虚假材料谋取中标、成交的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w:t>
      </w:r>
      <w:r>
        <w:rPr>
          <w:rFonts w:cs="仿宋_GB2312" w:asciiTheme="minorEastAsia" w:hAnsiTheme="minorEastAsia"/>
          <w:sz w:val="24"/>
          <w:szCs w:val="24"/>
          <w:lang w:val="zh-CN"/>
        </w:rPr>
        <w:t>法律、法规和招标文件规定的其他无效情形。</w:t>
      </w:r>
    </w:p>
    <w:p>
      <w:pPr>
        <w:pStyle w:val="13"/>
        <w:spacing w:line="360" w:lineRule="auto"/>
        <w:ind w:firstLine="482" w:firstLineChars="200"/>
        <w:contextualSpacing/>
        <w:rPr>
          <w:rFonts w:hint="eastAsia"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（6）评标标准</w:t>
      </w:r>
    </w:p>
    <w:tbl>
      <w:tblPr>
        <w:tblStyle w:val="21"/>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164"/>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分值构成</w:t>
            </w:r>
          </w:p>
          <w:p>
            <w:pPr>
              <w:widowControl/>
              <w:spacing w:line="330" w:lineRule="atLeast"/>
              <w:jc w:val="center"/>
              <w:rPr>
                <w:rFonts w:hint="eastAsia" w:cs="宋体" w:asciiTheme="minorEastAsia" w:hAnsiTheme="minorEastAsia"/>
                <w:kern w:val="0"/>
                <w:sz w:val="24"/>
                <w:szCs w:val="24"/>
              </w:rPr>
            </w:pPr>
            <w:r>
              <w:rPr>
                <w:rFonts w:hint="eastAsia" w:cs="宋体" w:asciiTheme="minorEastAsia" w:hAnsiTheme="minorEastAsia"/>
                <w:kern w:val="0"/>
                <w:sz w:val="24"/>
                <w:szCs w:val="24"/>
              </w:rPr>
              <w:t>(总分100分)</w:t>
            </w:r>
          </w:p>
        </w:tc>
        <w:tc>
          <w:tcPr>
            <w:tcW w:w="716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center"/>
              <w:rPr>
                <w:rFonts w:hint="eastAsia" w:cs="宋体" w:asciiTheme="minorEastAsia" w:hAnsiTheme="minorEastAsia"/>
                <w:kern w:val="0"/>
                <w:sz w:val="24"/>
                <w:szCs w:val="24"/>
              </w:rPr>
            </w:pPr>
            <w:r>
              <w:rPr>
                <w:rFonts w:hint="eastAsia" w:cs="宋体" w:asciiTheme="minorEastAsia" w:hAnsiTheme="minorEastAsia"/>
                <w:kern w:val="0"/>
                <w:sz w:val="24"/>
                <w:szCs w:val="24"/>
              </w:rPr>
              <w:t>价格分值：      50</w:t>
            </w:r>
            <w:r>
              <w:rPr>
                <w:rFonts w:hint="eastAsia" w:cs="仿宋" w:asciiTheme="minorEastAsia" w:hAnsiTheme="minorEastAsia"/>
                <w:kern w:val="0"/>
                <w:sz w:val="24"/>
                <w:szCs w:val="24"/>
              </w:rPr>
              <w:t xml:space="preserve"> </w:t>
            </w:r>
            <w:r>
              <w:rPr>
                <w:rFonts w:hint="eastAsia" w:cs="宋体" w:asciiTheme="minorEastAsia" w:hAnsiTheme="minorEastAsia"/>
                <w:kern w:val="0"/>
                <w:sz w:val="24"/>
                <w:szCs w:val="24"/>
              </w:rPr>
              <w:t>分</w:t>
            </w:r>
          </w:p>
          <w:p>
            <w:pPr>
              <w:widowControl/>
              <w:spacing w:line="360" w:lineRule="auto"/>
              <w:ind w:firstLine="480"/>
              <w:jc w:val="center"/>
              <w:rPr>
                <w:rFonts w:hint="eastAsia" w:cs="宋体" w:asciiTheme="minorEastAsia" w:hAnsiTheme="minorEastAsia"/>
                <w:kern w:val="0"/>
                <w:sz w:val="24"/>
                <w:szCs w:val="24"/>
              </w:rPr>
            </w:pPr>
            <w:r>
              <w:rPr>
                <w:rFonts w:hint="eastAsia" w:cs="宋体" w:asciiTheme="minorEastAsia" w:hAnsiTheme="minorEastAsia"/>
                <w:kern w:val="0"/>
                <w:sz w:val="24"/>
                <w:szCs w:val="24"/>
              </w:rPr>
              <w:t>商务部分：      1</w:t>
            </w:r>
            <w:r>
              <w:rPr>
                <w:rFonts w:cs="宋体" w:asciiTheme="minorEastAsia" w:hAnsiTheme="minorEastAsia"/>
                <w:kern w:val="0"/>
                <w:sz w:val="24"/>
                <w:szCs w:val="24"/>
              </w:rPr>
              <w:t>0</w:t>
            </w:r>
            <w:r>
              <w:rPr>
                <w:rFonts w:hint="eastAsia" w:cs="仿宋" w:asciiTheme="minorEastAsia" w:hAnsiTheme="minorEastAsia"/>
                <w:kern w:val="0"/>
                <w:sz w:val="24"/>
                <w:szCs w:val="24"/>
              </w:rPr>
              <w:t xml:space="preserve"> </w:t>
            </w:r>
            <w:r>
              <w:rPr>
                <w:rFonts w:hint="eastAsia" w:cs="宋体" w:asciiTheme="minorEastAsia" w:hAnsiTheme="minorEastAsia"/>
                <w:kern w:val="0"/>
                <w:sz w:val="24"/>
                <w:szCs w:val="24"/>
              </w:rPr>
              <w:t>分</w:t>
            </w:r>
          </w:p>
          <w:p>
            <w:pPr>
              <w:widowControl/>
              <w:spacing w:line="360" w:lineRule="auto"/>
              <w:ind w:firstLine="480"/>
              <w:jc w:val="center"/>
              <w:rPr>
                <w:rFonts w:hint="eastAsia" w:cs="宋体" w:asciiTheme="minorEastAsia" w:hAnsiTheme="minorEastAsia"/>
                <w:kern w:val="0"/>
                <w:sz w:val="24"/>
                <w:szCs w:val="24"/>
              </w:rPr>
            </w:pPr>
            <w:r>
              <w:rPr>
                <w:rFonts w:hint="eastAsia" w:cs="宋体" w:asciiTheme="minorEastAsia" w:hAnsiTheme="minorEastAsia"/>
                <w:kern w:val="0"/>
                <w:sz w:val="24"/>
                <w:szCs w:val="24"/>
              </w:rPr>
              <w:t>技术部分：      </w:t>
            </w:r>
            <w:r>
              <w:rPr>
                <w:rFonts w:cs="宋体" w:asciiTheme="minorEastAsia" w:hAnsiTheme="minorEastAsia"/>
                <w:kern w:val="0"/>
                <w:sz w:val="24"/>
                <w:szCs w:val="24"/>
              </w:rPr>
              <w:t>40</w:t>
            </w:r>
            <w:r>
              <w:rPr>
                <w:rFonts w:hint="eastAsia" w:cs="宋体" w:asciiTheme="minorEastAsia" w:hAnsiTheme="minorEastAsia"/>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5"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cs="宋体" w:asciiTheme="minorEastAsia" w:hAnsiTheme="minorEastAsia"/>
                <w:kern w:val="0"/>
                <w:sz w:val="24"/>
                <w:szCs w:val="24"/>
              </w:rPr>
            </w:pPr>
            <w:r>
              <w:rPr>
                <w:rFonts w:hint="eastAsia" w:cs="宋体" w:asciiTheme="minorEastAsia" w:hAnsiTheme="minorEastAsia"/>
                <w:bCs/>
                <w:kern w:val="0"/>
                <w:sz w:val="24"/>
                <w:szCs w:val="24"/>
              </w:rPr>
              <w:t>一、价格部分（满分50</w:t>
            </w:r>
            <w:r>
              <w:rPr>
                <w:rFonts w:hint="eastAsia" w:cs="仿宋" w:asciiTheme="minorEastAsia" w:hAnsiTheme="minorEastAsia"/>
                <w:bCs/>
                <w:kern w:val="0"/>
                <w:sz w:val="24"/>
                <w:szCs w:val="24"/>
              </w:rPr>
              <w:t xml:space="preserve"> </w:t>
            </w:r>
            <w:r>
              <w:rPr>
                <w:rFonts w:hint="eastAsia" w:cs="宋体" w:asciiTheme="minorEastAsia" w:hAnsiTheme="minorEastAsia"/>
                <w:bCs/>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cs="宋体" w:asciiTheme="minorEastAsia" w:hAnsiTheme="minorEastAsia"/>
                <w:kern w:val="0"/>
                <w:sz w:val="24"/>
                <w:szCs w:val="24"/>
              </w:rPr>
            </w:pPr>
            <w:r>
              <w:rPr>
                <w:rFonts w:hint="eastAsia" w:cs="宋体" w:asciiTheme="minorEastAsia" w:hAnsiTheme="minorEastAsia"/>
                <w:bCs/>
                <w:kern w:val="0"/>
                <w:sz w:val="24"/>
                <w:szCs w:val="24"/>
              </w:rPr>
              <w:t>评分因素</w:t>
            </w:r>
          </w:p>
        </w:tc>
        <w:tc>
          <w:tcPr>
            <w:tcW w:w="6164"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cs="宋体" w:asciiTheme="minorEastAsia" w:hAnsiTheme="minorEastAsia"/>
                <w:kern w:val="0"/>
                <w:sz w:val="24"/>
                <w:szCs w:val="24"/>
              </w:rPr>
            </w:pPr>
            <w:r>
              <w:rPr>
                <w:rFonts w:hint="eastAsia" w:cs="宋体" w:asciiTheme="minorEastAsia" w:hAnsiTheme="minorEastAsia"/>
                <w:bCs/>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cs="宋体" w:asciiTheme="minorEastAsia" w:hAnsiTheme="minorEastAsia"/>
                <w:kern w:val="0"/>
                <w:sz w:val="24"/>
                <w:szCs w:val="24"/>
              </w:rPr>
            </w:pPr>
            <w:r>
              <w:rPr>
                <w:rFonts w:hint="eastAsia" w:cs="宋体" w:asciiTheme="minorEastAsia" w:hAnsiTheme="minorEastAsia"/>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cs="宋体" w:asciiTheme="minorEastAsia" w:hAnsiTheme="minorEastAsia"/>
                <w:kern w:val="0"/>
                <w:sz w:val="24"/>
                <w:szCs w:val="24"/>
              </w:rPr>
            </w:pPr>
            <w:r>
              <w:rPr>
                <w:rFonts w:hint="eastAsia" w:cs="宋体" w:asciiTheme="minorEastAsia" w:hAnsiTheme="minorEastAsia"/>
                <w:kern w:val="0"/>
                <w:sz w:val="24"/>
                <w:szCs w:val="24"/>
              </w:rPr>
              <w:t>投标报价</w:t>
            </w:r>
          </w:p>
          <w:p>
            <w:pPr>
              <w:widowControl/>
              <w:spacing w:line="330" w:lineRule="atLeast"/>
              <w:jc w:val="center"/>
              <w:rPr>
                <w:rFonts w:hint="eastAsia" w:cs="宋体" w:asciiTheme="minorEastAsia" w:hAnsiTheme="minorEastAsia"/>
                <w:kern w:val="0"/>
                <w:sz w:val="24"/>
                <w:szCs w:val="24"/>
              </w:rPr>
            </w:pPr>
            <w:r>
              <w:rPr>
                <w:rFonts w:hint="eastAsia" w:cs="宋体" w:asciiTheme="minorEastAsia" w:hAnsiTheme="minorEastAsia"/>
                <w:kern w:val="0"/>
                <w:sz w:val="24"/>
                <w:szCs w:val="24"/>
              </w:rPr>
              <w:t>评分标准</w:t>
            </w:r>
          </w:p>
        </w:tc>
        <w:tc>
          <w:tcPr>
            <w:tcW w:w="616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12" w:lineRule="atLeast"/>
              <w:rPr>
                <w:rFonts w:hint="eastAsia" w:ascii="宋体" w:hAnsi="宋体" w:cs="宋体"/>
                <w:szCs w:val="21"/>
              </w:rPr>
            </w:pPr>
            <w:r>
              <w:rPr>
                <w:rFonts w:hint="eastAsia" w:ascii="宋体" w:hAnsi="宋体" w:cs="宋体"/>
                <w:szCs w:val="21"/>
              </w:rPr>
              <w:t>投标报价得分采用低价优先法计算，即满足招标文件要求且投标价格最低的投标报价为评标基准价，其价格分为满分。其他投标人的价格分统一按照下列公式计算：</w:t>
            </w:r>
          </w:p>
          <w:p>
            <w:pPr>
              <w:spacing w:before="100" w:beforeAutospacing="1" w:after="100" w:afterAutospacing="1" w:line="212" w:lineRule="atLeast"/>
              <w:rPr>
                <w:rFonts w:hint="eastAsia" w:ascii="宋体" w:hAnsi="宋体" w:cs="宋体"/>
                <w:szCs w:val="21"/>
              </w:rPr>
            </w:pPr>
            <w:r>
              <w:rPr>
                <w:rFonts w:hint="eastAsia" w:ascii="宋体" w:hAnsi="宋体" w:cs="宋体"/>
                <w:szCs w:val="21"/>
              </w:rPr>
              <w:t>投标报价得分=（评标基准价/投标报价）×50</w:t>
            </w:r>
          </w:p>
          <w:p>
            <w:pPr>
              <w:widowControl/>
              <w:spacing w:line="330" w:lineRule="atLeast"/>
              <w:jc w:val="left"/>
              <w:rPr>
                <w:rFonts w:hint="eastAsia" w:cs="宋体" w:asciiTheme="minorEastAsia" w:hAnsiTheme="minorEastAsia"/>
                <w:kern w:val="0"/>
                <w:sz w:val="24"/>
                <w:szCs w:val="24"/>
              </w:rPr>
            </w:pPr>
            <w:r>
              <w:rPr>
                <w:rFonts w:hint="eastAsia" w:ascii="宋体" w:hAnsi="宋体" w:cs="宋体"/>
                <w:szCs w:val="21"/>
              </w:rPr>
              <w:t>计算按四舍五入法则,保留小数点后两位。</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cs="宋体" w:asciiTheme="minorEastAsia" w:hAnsiTheme="minorEastAsia"/>
                <w:kern w:val="0"/>
                <w:sz w:val="24"/>
                <w:szCs w:val="24"/>
              </w:rPr>
            </w:pPr>
            <w:r>
              <w:rPr>
                <w:rFonts w:hint="eastAsia" w:cs="仿宋" w:asciiTheme="minorEastAsia" w:hAnsiTheme="minorEastAsia"/>
                <w:kern w:val="0"/>
                <w:sz w:val="24"/>
                <w:szCs w:val="24"/>
              </w:rPr>
              <w:t>50</w:t>
            </w:r>
            <w:r>
              <w:rPr>
                <w:rFonts w:hint="eastAsia" w:cs="宋体" w:asciiTheme="minorEastAsia" w:hAnsiTheme="minorEastAsia"/>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85"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cs="宋体" w:asciiTheme="minorEastAsia" w:hAnsiTheme="minorEastAsia"/>
                <w:kern w:val="0"/>
                <w:sz w:val="24"/>
                <w:szCs w:val="24"/>
              </w:rPr>
            </w:pPr>
            <w:r>
              <w:rPr>
                <w:rFonts w:hint="eastAsia" w:cs="宋体" w:asciiTheme="minorEastAsia" w:hAnsiTheme="minorEastAsia"/>
                <w:bCs/>
                <w:kern w:val="0"/>
                <w:sz w:val="24"/>
                <w:szCs w:val="24"/>
              </w:rPr>
              <w:t>二、商务部分（满分1</w:t>
            </w:r>
            <w:r>
              <w:rPr>
                <w:rFonts w:cs="宋体" w:asciiTheme="minorEastAsia" w:hAnsiTheme="minorEastAsia"/>
                <w:bCs/>
                <w:kern w:val="0"/>
                <w:sz w:val="24"/>
                <w:szCs w:val="24"/>
              </w:rPr>
              <w:t>0</w:t>
            </w:r>
            <w:r>
              <w:rPr>
                <w:rFonts w:hint="eastAsia" w:cs="宋体" w:asciiTheme="minorEastAsia" w:hAnsiTheme="minorEastAsia"/>
                <w:bCs/>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cs="宋体" w:asciiTheme="minorEastAsia" w:hAnsiTheme="minorEastAsia"/>
                <w:kern w:val="0"/>
                <w:sz w:val="24"/>
                <w:szCs w:val="24"/>
              </w:rPr>
            </w:pPr>
            <w:r>
              <w:rPr>
                <w:rFonts w:hint="eastAsia" w:cs="宋体" w:asciiTheme="minorEastAsia" w:hAnsiTheme="minorEastAsia"/>
                <w:bCs/>
                <w:kern w:val="0"/>
                <w:sz w:val="24"/>
                <w:szCs w:val="24"/>
              </w:rPr>
              <w:t>评分因素</w:t>
            </w:r>
          </w:p>
        </w:tc>
        <w:tc>
          <w:tcPr>
            <w:tcW w:w="6164"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cs="宋体" w:asciiTheme="minorEastAsia" w:hAnsiTheme="minorEastAsia"/>
                <w:kern w:val="0"/>
                <w:sz w:val="24"/>
                <w:szCs w:val="24"/>
              </w:rPr>
            </w:pPr>
            <w:r>
              <w:rPr>
                <w:rFonts w:hint="eastAsia" w:cs="宋体" w:asciiTheme="minorEastAsia" w:hAnsiTheme="minorEastAsia"/>
                <w:bCs/>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cs="宋体" w:asciiTheme="minorEastAsia" w:hAnsiTheme="minorEastAsia"/>
                <w:kern w:val="0"/>
                <w:sz w:val="24"/>
                <w:szCs w:val="24"/>
              </w:rPr>
            </w:pPr>
            <w:r>
              <w:rPr>
                <w:rFonts w:hint="eastAsia" w:cs="宋体" w:asciiTheme="minorEastAsia" w:hAnsiTheme="minorEastAsia"/>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cs="宋体" w:asciiTheme="minorEastAsia" w:hAnsiTheme="minorEastAsia"/>
                <w:kern w:val="0"/>
                <w:sz w:val="24"/>
                <w:szCs w:val="24"/>
              </w:rPr>
            </w:pPr>
            <w:r>
              <w:rPr>
                <w:rFonts w:hint="eastAsia" w:cs="宋体" w:asciiTheme="minorEastAsia" w:hAnsiTheme="minorEastAsia"/>
                <w:kern w:val="0"/>
                <w:sz w:val="24"/>
                <w:szCs w:val="24"/>
              </w:rPr>
              <w:t>企业实力</w:t>
            </w:r>
          </w:p>
        </w:tc>
        <w:tc>
          <w:tcPr>
            <w:tcW w:w="6164" w:type="dxa"/>
            <w:tcBorders>
              <w:top w:val="single" w:color="auto" w:sz="4" w:space="0"/>
              <w:left w:val="single" w:color="auto" w:sz="4" w:space="0"/>
              <w:bottom w:val="single" w:color="auto" w:sz="4" w:space="0"/>
              <w:right w:val="single" w:color="auto" w:sz="4" w:space="0"/>
            </w:tcBorders>
            <w:vAlign w:val="center"/>
          </w:tcPr>
          <w:p>
            <w:pPr>
              <w:widowControl/>
              <w:snapToGrid w:val="0"/>
              <w:spacing w:line="336" w:lineRule="auto"/>
              <w:jc w:val="left"/>
              <w:rPr>
                <w:rFonts w:hint="eastAsia" w:ascii="宋体" w:hAnsi="宋体" w:cs="宋体"/>
                <w:sz w:val="24"/>
                <w:szCs w:val="24"/>
              </w:rPr>
            </w:pPr>
            <w:r>
              <w:rPr>
                <w:rFonts w:hint="eastAsia"/>
              </w:rPr>
              <w:t>所投的工作站制造商售后服务体系同时具备：1</w:t>
            </w:r>
            <w:r>
              <w:t>.ISO27001</w:t>
            </w:r>
            <w:r>
              <w:rPr>
                <w:rFonts w:hint="eastAsia"/>
              </w:rPr>
              <w:t>认证；2</w:t>
            </w:r>
            <w:r>
              <w:t>.</w:t>
            </w:r>
            <w:r>
              <w:rPr>
                <w:rFonts w:hint="eastAsia"/>
              </w:rPr>
              <w:t>具备</w:t>
            </w:r>
            <w:r>
              <w:t>CCCS</w:t>
            </w:r>
            <w:r>
              <w:rPr>
                <w:rFonts w:hint="eastAsia"/>
              </w:rPr>
              <w:t>钻石五星级认证；3</w:t>
            </w:r>
            <w:r>
              <w:t>.</w:t>
            </w:r>
            <w:r>
              <w:rPr>
                <w:rFonts w:hint="eastAsia"/>
              </w:rPr>
              <w:t>具备</w:t>
            </w:r>
            <w:r>
              <w:t>4PS</w:t>
            </w:r>
            <w:r>
              <w:rPr>
                <w:rFonts w:hint="eastAsia"/>
              </w:rPr>
              <w:t>认证；每提供一项得</w:t>
            </w:r>
            <w:r>
              <w:t>2</w:t>
            </w:r>
            <w:r>
              <w:rPr>
                <w:rFonts w:hint="eastAsia"/>
              </w:rPr>
              <w:t>分，共</w:t>
            </w:r>
            <w:r>
              <w:t>6</w:t>
            </w:r>
            <w:r>
              <w:rPr>
                <w:rFonts w:hint="eastAsia"/>
              </w:rPr>
              <w:t>分</w:t>
            </w:r>
            <w:r>
              <w:rPr>
                <w:rFonts w:hint="eastAsia" w:ascii="宋体" w:hAnsi="宋体" w:cs="宋体"/>
                <w:sz w:val="24"/>
                <w:szCs w:val="24"/>
              </w:rPr>
              <w:t>。</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cs="宋体" w:asciiTheme="minorEastAsia" w:hAnsiTheme="minorEastAsia"/>
                <w:kern w:val="0"/>
                <w:sz w:val="24"/>
                <w:szCs w:val="24"/>
              </w:rPr>
            </w:pPr>
            <w:r>
              <w:rPr>
                <w:rFonts w:hint="eastAsia" w:cs="宋体" w:asciiTheme="minorEastAsia" w:hAnsiTheme="minorEastAsia"/>
                <w:kern w:val="0"/>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2119" w:type="dxa"/>
            <w:tcBorders>
              <w:top w:val="single" w:color="auto" w:sz="4" w:space="0"/>
              <w:left w:val="single" w:color="auto" w:sz="4" w:space="0"/>
              <w:right w:val="single" w:color="auto" w:sz="4" w:space="0"/>
            </w:tcBorders>
            <w:vAlign w:val="center"/>
          </w:tcPr>
          <w:p>
            <w:pPr>
              <w:widowControl/>
              <w:spacing w:line="400" w:lineRule="exact"/>
              <w:ind w:firstLine="240" w:firstLineChars="100"/>
              <w:jc w:val="center"/>
              <w:rPr>
                <w:rFonts w:hint="eastAsia" w:cs="宋体" w:asciiTheme="minorEastAsia" w:hAnsiTheme="minorEastAsia"/>
                <w:kern w:val="0"/>
                <w:sz w:val="24"/>
                <w:szCs w:val="24"/>
              </w:rPr>
            </w:pPr>
            <w:r>
              <w:rPr>
                <w:rFonts w:hint="eastAsia" w:cs="宋体" w:asciiTheme="minorEastAsia" w:hAnsiTheme="minorEastAsia"/>
                <w:kern w:val="0"/>
                <w:sz w:val="24"/>
                <w:szCs w:val="24"/>
              </w:rPr>
              <w:t>业绩</w:t>
            </w:r>
          </w:p>
        </w:tc>
        <w:tc>
          <w:tcPr>
            <w:tcW w:w="616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outlineLvl w:val="0"/>
              <w:rPr>
                <w:rFonts w:hint="eastAsia" w:ascii="宋体" w:hAnsi="宋体" w:eastAsia="宋体" w:cs="宋体"/>
                <w:sz w:val="24"/>
                <w:szCs w:val="24"/>
                <w:shd w:val="clear" w:color="auto" w:fill="FFFFFF"/>
              </w:rPr>
            </w:pPr>
            <w:r>
              <w:rPr>
                <w:rFonts w:hint="eastAsia" w:ascii="宋体" w:hAnsi="宋体" w:eastAsia="宋体" w:cs="宋体"/>
                <w:szCs w:val="21"/>
                <w:shd w:val="clear" w:color="auto" w:fill="FFFFFF"/>
              </w:rPr>
              <w:t>投标人提供2016年1月1日以来合同金额不低于300万元类似项目业绩</w:t>
            </w:r>
            <w:r>
              <w:rPr>
                <w:rFonts w:hint="eastAsia" w:ascii="宋体" w:hAnsi="宋体" w:eastAsia="宋体" w:cs="宋体"/>
                <w:szCs w:val="21"/>
                <w:shd w:val="clear" w:color="auto" w:fill="FFFFFF"/>
                <w:lang w:eastAsia="zh-CN"/>
              </w:rPr>
              <w:t>合同</w:t>
            </w:r>
            <w:r>
              <w:rPr>
                <w:rFonts w:hint="eastAsia" w:ascii="宋体" w:hAnsi="宋体" w:eastAsia="宋体" w:cs="宋体"/>
                <w:szCs w:val="21"/>
                <w:shd w:val="clear" w:color="auto" w:fill="FFFFFF"/>
              </w:rPr>
              <w:t>，每有一个得</w:t>
            </w:r>
            <w:r>
              <w:rPr>
                <w:rFonts w:ascii="宋体" w:hAnsi="宋体" w:eastAsia="宋体" w:cs="宋体"/>
                <w:szCs w:val="21"/>
                <w:shd w:val="clear" w:color="auto" w:fill="FFFFFF"/>
              </w:rPr>
              <w:t>2</w:t>
            </w:r>
            <w:r>
              <w:rPr>
                <w:rFonts w:hint="eastAsia" w:ascii="宋体" w:hAnsi="宋体" w:eastAsia="宋体" w:cs="宋体"/>
                <w:szCs w:val="21"/>
                <w:shd w:val="clear" w:color="auto" w:fill="FFFFFF"/>
              </w:rPr>
              <w:t>分，最多得</w:t>
            </w:r>
            <w:r>
              <w:rPr>
                <w:rFonts w:ascii="宋体" w:hAnsi="宋体" w:eastAsia="宋体" w:cs="宋体"/>
                <w:szCs w:val="21"/>
                <w:shd w:val="clear" w:color="auto" w:fill="FFFFFF"/>
              </w:rPr>
              <w:t>4</w:t>
            </w:r>
            <w:r>
              <w:rPr>
                <w:rFonts w:hint="eastAsia" w:ascii="宋体" w:hAnsi="宋体" w:eastAsia="宋体" w:cs="宋体"/>
                <w:szCs w:val="21"/>
                <w:shd w:val="clear" w:color="auto" w:fill="FFFFFF"/>
              </w:rPr>
              <w:t>分。投标人须提供合同复印件、中标（成交）通知书复印件、未提供或提供不全的不得分。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cs="宋体" w:asciiTheme="minorEastAsia" w:hAnsiTheme="minorEastAsia"/>
                <w:kern w:val="0"/>
                <w:sz w:val="24"/>
                <w:szCs w:val="24"/>
              </w:rPr>
            </w:pPr>
            <w:r>
              <w:rPr>
                <w:rFonts w:cs="宋体" w:asciiTheme="minorEastAsia" w:hAnsiTheme="minorEastAsia"/>
                <w:kern w:val="0"/>
                <w:sz w:val="24"/>
                <w:szCs w:val="24"/>
              </w:rPr>
              <w:t>4</w:t>
            </w:r>
            <w:r>
              <w:rPr>
                <w:rFonts w:hint="eastAsia" w:cs="宋体" w:asciiTheme="minorEastAsia" w:hAnsiTheme="minorEastAsia"/>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9285"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cs="宋体" w:asciiTheme="minorEastAsia" w:hAnsiTheme="minorEastAsia"/>
                <w:kern w:val="0"/>
                <w:sz w:val="24"/>
                <w:szCs w:val="24"/>
              </w:rPr>
            </w:pPr>
            <w:r>
              <w:rPr>
                <w:rFonts w:hint="eastAsia" w:cs="宋体" w:asciiTheme="minorEastAsia" w:hAnsiTheme="minorEastAsia"/>
                <w:bCs/>
                <w:kern w:val="0"/>
                <w:sz w:val="24"/>
                <w:szCs w:val="24"/>
              </w:rPr>
              <w:t>三、技术部分（满分</w:t>
            </w:r>
            <w:r>
              <w:rPr>
                <w:rFonts w:cs="宋体" w:asciiTheme="minorEastAsia" w:hAnsiTheme="minorEastAsia"/>
                <w:bCs/>
                <w:kern w:val="0"/>
                <w:sz w:val="24"/>
                <w:szCs w:val="24"/>
              </w:rPr>
              <w:t>40</w:t>
            </w:r>
            <w:r>
              <w:rPr>
                <w:rFonts w:hint="eastAsia" w:cs="仿宋" w:asciiTheme="minorEastAsia" w:hAnsiTheme="minorEastAsia"/>
                <w:bCs/>
                <w:kern w:val="0"/>
                <w:sz w:val="24"/>
                <w:szCs w:val="24"/>
              </w:rPr>
              <w:t xml:space="preserve"> </w:t>
            </w:r>
            <w:r>
              <w:rPr>
                <w:rFonts w:hint="eastAsia" w:cs="宋体" w:asciiTheme="minorEastAsia" w:hAnsiTheme="minorEastAsia"/>
                <w:bCs/>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cs="宋体" w:asciiTheme="minorEastAsia" w:hAnsiTheme="minorEastAsia"/>
                <w:kern w:val="0"/>
                <w:sz w:val="22"/>
              </w:rPr>
            </w:pPr>
            <w:r>
              <w:rPr>
                <w:rFonts w:hint="eastAsia" w:cs="宋体" w:asciiTheme="minorEastAsia" w:hAnsiTheme="minorEastAsia"/>
                <w:bCs/>
                <w:kern w:val="0"/>
                <w:sz w:val="22"/>
              </w:rPr>
              <w:t>评分因素</w:t>
            </w:r>
          </w:p>
        </w:tc>
        <w:tc>
          <w:tcPr>
            <w:tcW w:w="6164"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cs="宋体" w:asciiTheme="minorEastAsia" w:hAnsiTheme="minorEastAsia"/>
                <w:kern w:val="0"/>
                <w:sz w:val="22"/>
              </w:rPr>
            </w:pPr>
            <w:r>
              <w:rPr>
                <w:rFonts w:hint="eastAsia" w:cs="宋体" w:asciiTheme="minorEastAsia" w:hAnsiTheme="minorEastAsia"/>
                <w:bCs/>
                <w:kern w:val="0"/>
                <w:sz w:val="22"/>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cs="宋体" w:asciiTheme="minorEastAsia" w:hAnsiTheme="minorEastAsia"/>
                <w:kern w:val="0"/>
                <w:sz w:val="22"/>
              </w:rPr>
            </w:pPr>
            <w:r>
              <w:rPr>
                <w:rFonts w:hint="eastAsia" w:cs="宋体" w:asciiTheme="minorEastAsia" w:hAnsiTheme="minorEastAsia"/>
                <w:bCs/>
                <w:kern w:val="0"/>
                <w:sz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cs="宋体" w:asciiTheme="minorEastAsia" w:hAnsiTheme="minorEastAsia"/>
                <w:spacing w:val="10"/>
                <w:sz w:val="24"/>
                <w:szCs w:val="24"/>
              </w:rPr>
            </w:pPr>
            <w:r>
              <w:rPr>
                <w:rFonts w:hint="eastAsia" w:cs="宋体" w:asciiTheme="minorEastAsia" w:hAnsiTheme="minorEastAsia"/>
                <w:spacing w:val="10"/>
                <w:sz w:val="24"/>
                <w:szCs w:val="24"/>
              </w:rPr>
              <w:t>技术参数</w:t>
            </w:r>
          </w:p>
          <w:p>
            <w:pPr>
              <w:widowControl/>
              <w:spacing w:line="330" w:lineRule="atLeast"/>
              <w:jc w:val="center"/>
              <w:rPr>
                <w:rFonts w:hint="eastAsia" w:cs="宋体" w:asciiTheme="minorEastAsia" w:hAnsiTheme="minorEastAsia"/>
                <w:kern w:val="0"/>
                <w:sz w:val="24"/>
                <w:szCs w:val="24"/>
              </w:rPr>
            </w:pPr>
            <w:r>
              <w:rPr>
                <w:rFonts w:hint="eastAsia" w:cs="宋体" w:asciiTheme="minorEastAsia" w:hAnsiTheme="minorEastAsia"/>
                <w:spacing w:val="10"/>
                <w:sz w:val="24"/>
                <w:szCs w:val="24"/>
              </w:rPr>
              <w:t>响应程度</w:t>
            </w:r>
          </w:p>
        </w:tc>
        <w:tc>
          <w:tcPr>
            <w:tcW w:w="616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cs="宋体" w:asciiTheme="minorEastAsia" w:hAnsiTheme="minorEastAsia"/>
                <w:kern w:val="0"/>
                <w:sz w:val="24"/>
                <w:szCs w:val="24"/>
              </w:rPr>
            </w:pPr>
            <w:r>
              <w:rPr>
                <w:rFonts w:hint="eastAsia" w:cs="仿宋" w:asciiTheme="minorEastAsia" w:hAnsiTheme="minorEastAsia"/>
                <w:szCs w:val="21"/>
              </w:rPr>
              <w:t>加★项为关键技术参数每满足一项并提供检测报告复印件或相关证明文件的加1分，不满足不得分，该项满分为1</w:t>
            </w:r>
            <w:r>
              <w:rPr>
                <w:rFonts w:cs="仿宋" w:asciiTheme="minorEastAsia" w:hAnsiTheme="minorEastAsia"/>
                <w:szCs w:val="21"/>
              </w:rPr>
              <w:t>2</w:t>
            </w:r>
            <w:r>
              <w:rPr>
                <w:rFonts w:hint="eastAsia" w:cs="仿宋" w:asciiTheme="minorEastAsia" w:hAnsiTheme="minorEastAsia"/>
                <w:szCs w:val="21"/>
              </w:rPr>
              <w:t>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cs="宋体" w:asciiTheme="minorEastAsia" w:hAnsiTheme="minorEastAsia"/>
                <w:kern w:val="0"/>
                <w:sz w:val="24"/>
                <w:szCs w:val="24"/>
              </w:rPr>
            </w:pPr>
            <w:r>
              <w:rPr>
                <w:rFonts w:cs="宋体" w:asciiTheme="minorEastAsia" w:hAnsiTheme="minorEastAsia"/>
                <w:kern w:val="0"/>
                <w:sz w:val="24"/>
                <w:szCs w:val="24"/>
              </w:rPr>
              <w:t>12</w:t>
            </w:r>
            <w:r>
              <w:rPr>
                <w:rFonts w:hint="eastAsia" w:cs="宋体" w:asciiTheme="minorEastAsia" w:hAnsiTheme="minorEastAsia"/>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cs="宋体" w:asciiTheme="minorEastAsia" w:hAnsiTheme="minorEastAsia"/>
                <w:kern w:val="0"/>
                <w:sz w:val="24"/>
                <w:szCs w:val="24"/>
              </w:rPr>
            </w:pPr>
            <w:r>
              <w:rPr>
                <w:rFonts w:hint="eastAsia" w:cs="宋体" w:asciiTheme="minorEastAsia" w:hAnsiTheme="minorEastAsia"/>
                <w:kern w:val="0"/>
                <w:sz w:val="24"/>
                <w:szCs w:val="24"/>
              </w:rPr>
              <w:t>产品实力</w:t>
            </w:r>
          </w:p>
        </w:tc>
        <w:tc>
          <w:tcPr>
            <w:tcW w:w="6164"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szCs w:val="21"/>
              </w:rPr>
            </w:pPr>
            <w:r>
              <w:rPr>
                <w:rFonts w:ascii="宋体" w:hAnsi="宋体"/>
                <w:szCs w:val="21"/>
              </w:rPr>
              <w:t>1.</w:t>
            </w:r>
            <w:r>
              <w:rPr>
                <w:rFonts w:ascii="宋体" w:hAnsi="宋体" w:cs="宋体"/>
                <w:kern w:val="0"/>
                <w:szCs w:val="21"/>
              </w:rPr>
              <w:t xml:space="preserve"> </w:t>
            </w:r>
            <w:r>
              <w:rPr>
                <w:rFonts w:hint="eastAsia" w:ascii="宋体" w:hAnsi="宋体" w:cs="宋体"/>
                <w:kern w:val="0"/>
                <w:szCs w:val="21"/>
              </w:rPr>
              <w:t>投标人提供的软件具有信息接入系统、预警广播发布系统、调度指挥系统、分发传输系统、互动指挥系统、资源管理系统、终端管理系统、分析评估系统、运维监管系统、媒体服务系统软件、节目制作系统，同时具有《计算机软件著作权登记证书》的，全部提供的计</w:t>
            </w:r>
            <w:r>
              <w:rPr>
                <w:rFonts w:ascii="宋体" w:hAnsi="宋体" w:cs="宋体"/>
                <w:kern w:val="0"/>
                <w:szCs w:val="21"/>
              </w:rPr>
              <w:t>5</w:t>
            </w:r>
            <w:r>
              <w:rPr>
                <w:rFonts w:hint="eastAsia" w:ascii="宋体" w:hAnsi="宋体" w:cs="宋体"/>
                <w:kern w:val="0"/>
                <w:szCs w:val="21"/>
              </w:rPr>
              <w:t>分，每缺一项扣</w:t>
            </w:r>
            <w:r>
              <w:rPr>
                <w:rFonts w:ascii="宋体" w:hAnsi="宋体" w:cs="宋体"/>
                <w:kern w:val="0"/>
                <w:szCs w:val="21"/>
              </w:rPr>
              <w:t>1</w:t>
            </w:r>
            <w:r>
              <w:rPr>
                <w:rFonts w:hint="eastAsia" w:ascii="宋体" w:hAnsi="宋体" w:cs="宋体"/>
                <w:kern w:val="0"/>
                <w:szCs w:val="21"/>
              </w:rPr>
              <w:t>分。</w:t>
            </w:r>
          </w:p>
          <w:p>
            <w:pPr>
              <w:widowControl/>
              <w:spacing w:line="276" w:lineRule="auto"/>
              <w:jc w:val="left"/>
              <w:rPr>
                <w:rFonts w:ascii="宋体" w:cs="宋体"/>
                <w:kern w:val="0"/>
                <w:szCs w:val="21"/>
              </w:rPr>
            </w:pPr>
            <w:r>
              <w:rPr>
                <w:rFonts w:ascii="宋体" w:hAnsi="宋体"/>
                <w:szCs w:val="21"/>
              </w:rPr>
              <w:t>2.</w:t>
            </w:r>
            <w:r>
              <w:rPr>
                <w:rFonts w:ascii="宋体" w:hAnsi="宋体" w:cs="宋体"/>
                <w:kern w:val="0"/>
                <w:szCs w:val="21"/>
              </w:rPr>
              <w:t xml:space="preserve"> </w:t>
            </w:r>
            <w:r>
              <w:rPr>
                <w:rFonts w:hint="eastAsia" w:ascii="宋体" w:hAnsi="宋体" w:cs="宋体"/>
                <w:kern w:val="0"/>
                <w:szCs w:val="21"/>
              </w:rPr>
              <w:t>投标人提供的桌面式触摸交互对讲系统、</w:t>
            </w:r>
            <w:r>
              <w:rPr>
                <w:rFonts w:ascii="宋体" w:hAnsi="宋体" w:cs="宋体"/>
                <w:kern w:val="0"/>
                <w:szCs w:val="21"/>
              </w:rPr>
              <w:t>IP</w:t>
            </w:r>
            <w:r>
              <w:rPr>
                <w:rFonts w:hint="eastAsia" w:ascii="宋体" w:hAnsi="宋体" w:cs="宋体"/>
                <w:kern w:val="0"/>
                <w:szCs w:val="21"/>
              </w:rPr>
              <w:t>网络音箱具有外观专利证书共计</w:t>
            </w:r>
            <w:r>
              <w:rPr>
                <w:rFonts w:ascii="宋体" w:hAnsi="宋体" w:cs="宋体"/>
                <w:kern w:val="0"/>
                <w:szCs w:val="21"/>
              </w:rPr>
              <w:t>2</w:t>
            </w:r>
            <w:r>
              <w:rPr>
                <w:rFonts w:hint="eastAsia" w:ascii="宋体" w:hAnsi="宋体" w:cs="宋体"/>
                <w:kern w:val="0"/>
                <w:szCs w:val="21"/>
              </w:rPr>
              <w:t>分，每缺一项扣</w:t>
            </w:r>
            <w:r>
              <w:rPr>
                <w:rFonts w:ascii="宋体" w:hAnsi="宋体" w:cs="宋体"/>
                <w:kern w:val="0"/>
                <w:szCs w:val="21"/>
              </w:rPr>
              <w:t>1</w:t>
            </w:r>
            <w:r>
              <w:rPr>
                <w:rFonts w:hint="eastAsia" w:ascii="宋体" w:hAnsi="宋体" w:cs="宋体"/>
                <w:kern w:val="0"/>
                <w:szCs w:val="21"/>
              </w:rPr>
              <w:t>分。</w:t>
            </w:r>
          </w:p>
          <w:p>
            <w:pPr>
              <w:widowControl/>
              <w:spacing w:line="276" w:lineRule="auto"/>
              <w:jc w:val="left"/>
              <w:rPr>
                <w:rFonts w:ascii="宋体" w:cs="宋体"/>
                <w:kern w:val="0"/>
                <w:szCs w:val="21"/>
              </w:rPr>
            </w:pPr>
            <w:r>
              <w:rPr>
                <w:rFonts w:ascii="宋体" w:hAnsi="宋体"/>
                <w:szCs w:val="21"/>
              </w:rPr>
              <w:t>3.</w:t>
            </w:r>
            <w:r>
              <w:rPr>
                <w:rFonts w:hint="eastAsia" w:ascii="宋体" w:hAnsi="宋体" w:cs="宋体"/>
                <w:kern w:val="0"/>
                <w:szCs w:val="21"/>
              </w:rPr>
              <w:t>投标人提供的分布式</w:t>
            </w:r>
            <w:r>
              <w:rPr>
                <w:rFonts w:ascii="宋体" w:hAnsi="宋体" w:cs="宋体"/>
                <w:kern w:val="0"/>
                <w:szCs w:val="21"/>
              </w:rPr>
              <w:t>IP</w:t>
            </w:r>
            <w:r>
              <w:rPr>
                <w:rFonts w:hint="eastAsia" w:ascii="宋体" w:hAnsi="宋体" w:cs="宋体"/>
                <w:kern w:val="0"/>
                <w:szCs w:val="21"/>
              </w:rPr>
              <w:t>广播通信服务系统具有《计算机软件著作权登记证书》和云广播系统具备发明专利证书的计2分，每缺一项扣1分。</w:t>
            </w:r>
          </w:p>
          <w:p>
            <w:pPr>
              <w:widowControl/>
              <w:spacing w:line="276" w:lineRule="auto"/>
              <w:jc w:val="left"/>
              <w:rPr>
                <w:rFonts w:ascii="宋体" w:hAnsi="宋体" w:cs="宋体"/>
                <w:kern w:val="0"/>
                <w:szCs w:val="21"/>
              </w:rPr>
            </w:pPr>
            <w:r>
              <w:rPr>
                <w:rFonts w:ascii="宋体" w:cs="宋体"/>
                <w:kern w:val="0"/>
                <w:szCs w:val="21"/>
              </w:rPr>
              <w:t>4.</w:t>
            </w:r>
            <w:r>
              <w:rPr>
                <w:rFonts w:hint="eastAsia" w:ascii="宋体" w:hAnsi="宋体" w:cs="宋体"/>
                <w:kern w:val="0"/>
                <w:szCs w:val="21"/>
              </w:rPr>
              <w:t>投标人提供的彩屏桌面话筒和采播终端具有权威机构出具的功能性能检测报告计</w:t>
            </w:r>
            <w:r>
              <w:rPr>
                <w:rFonts w:ascii="宋体" w:hAnsi="宋体" w:cs="宋体"/>
                <w:kern w:val="0"/>
                <w:szCs w:val="21"/>
              </w:rPr>
              <w:t>5</w:t>
            </w:r>
            <w:r>
              <w:rPr>
                <w:rFonts w:hint="eastAsia" w:ascii="宋体" w:hAnsi="宋体" w:cs="宋体"/>
                <w:kern w:val="0"/>
                <w:szCs w:val="21"/>
              </w:rPr>
              <w:t>分, 每缺一项扣</w:t>
            </w:r>
            <w:r>
              <w:rPr>
                <w:rFonts w:ascii="宋体" w:hAnsi="宋体" w:cs="宋体"/>
                <w:kern w:val="0"/>
                <w:szCs w:val="21"/>
              </w:rPr>
              <w:t>2</w:t>
            </w:r>
            <w:r>
              <w:rPr>
                <w:rFonts w:hint="eastAsia" w:ascii="宋体" w:hAnsi="宋体" w:cs="宋体"/>
                <w:kern w:val="0"/>
                <w:szCs w:val="21"/>
              </w:rPr>
              <w:t>.5分。</w:t>
            </w:r>
          </w:p>
          <w:p>
            <w:pPr>
              <w:widowControl/>
              <w:spacing w:line="276" w:lineRule="auto"/>
              <w:jc w:val="left"/>
              <w:rPr>
                <w:rFonts w:ascii="宋体" w:hAnsi="宋体"/>
                <w:szCs w:val="21"/>
              </w:rPr>
            </w:pPr>
            <w:r>
              <w:rPr>
                <w:rFonts w:ascii="宋体" w:hAnsi="宋体"/>
                <w:szCs w:val="21"/>
              </w:rPr>
              <w:t>5.</w:t>
            </w:r>
            <w:r>
              <w:rPr>
                <w:rFonts w:hint="eastAsia" w:ascii="宋体" w:hAnsi="宋体"/>
                <w:szCs w:val="21"/>
              </w:rPr>
              <w:t>投标的工作站产品同时具备</w:t>
            </w:r>
            <w:r>
              <w:rPr>
                <w:rFonts w:ascii="宋体" w:hAnsi="宋体"/>
                <w:szCs w:val="21"/>
              </w:rPr>
              <w:t>1)</w:t>
            </w:r>
            <w:r>
              <w:rPr>
                <w:rFonts w:ascii="宋体"/>
                <w:szCs w:val="21"/>
              </w:rPr>
              <w:t>.</w:t>
            </w:r>
            <w:r>
              <w:rPr>
                <w:rFonts w:hint="eastAsia" w:ascii="宋体" w:hAnsi="宋体"/>
                <w:szCs w:val="21"/>
              </w:rPr>
              <w:t>计算机噪音小于</w:t>
            </w:r>
            <w:r>
              <w:rPr>
                <w:rFonts w:ascii="宋体" w:hAnsi="宋体"/>
                <w:szCs w:val="21"/>
              </w:rPr>
              <w:t>11DB</w:t>
            </w:r>
            <w:r>
              <w:rPr>
                <w:rFonts w:hint="eastAsia" w:ascii="宋体" w:hAnsi="宋体"/>
                <w:szCs w:val="21"/>
              </w:rPr>
              <w:t>、</w:t>
            </w:r>
            <w:r>
              <w:rPr>
                <w:rFonts w:ascii="宋体" w:hAnsi="宋体"/>
                <w:szCs w:val="21"/>
              </w:rPr>
              <w:t xml:space="preserve">2). </w:t>
            </w:r>
            <w:r>
              <w:rPr>
                <w:rFonts w:hint="eastAsia" w:ascii="宋体" w:hAnsi="宋体"/>
                <w:szCs w:val="21"/>
              </w:rPr>
              <w:t>由于</w:t>
            </w:r>
            <w:r>
              <w:rPr>
                <w:rFonts w:ascii="宋体" w:hAnsi="宋体"/>
                <w:szCs w:val="21"/>
              </w:rPr>
              <w:t>USB</w:t>
            </w:r>
            <w:r>
              <w:rPr>
                <w:rFonts w:hint="eastAsia" w:ascii="宋体" w:hAnsi="宋体"/>
                <w:szCs w:val="21"/>
              </w:rPr>
              <w:t>接口使用频繁，所投计算机产品</w:t>
            </w:r>
            <w:r>
              <w:rPr>
                <w:rFonts w:ascii="宋体" w:hAnsi="宋体"/>
                <w:szCs w:val="21"/>
              </w:rPr>
              <w:t>USB</w:t>
            </w:r>
            <w:r>
              <w:rPr>
                <w:rFonts w:hint="eastAsia" w:ascii="宋体" w:hAnsi="宋体"/>
                <w:szCs w:val="21"/>
              </w:rPr>
              <w:t>接口接触电流范围不超过</w:t>
            </w:r>
            <w:r>
              <w:rPr>
                <w:rFonts w:ascii="宋体" w:hAnsi="宋体"/>
                <w:szCs w:val="21"/>
              </w:rPr>
              <w:t>20UA</w:t>
            </w:r>
            <w:r>
              <w:rPr>
                <w:rFonts w:hint="eastAsia" w:ascii="宋体" w:hAnsi="宋体"/>
                <w:szCs w:val="21"/>
              </w:rPr>
              <w:t>；</w:t>
            </w:r>
            <w:r>
              <w:rPr>
                <w:rFonts w:ascii="宋体" w:hAnsi="宋体"/>
                <w:szCs w:val="21"/>
              </w:rPr>
              <w:t>3)</w:t>
            </w:r>
            <w:r>
              <w:rPr>
                <w:rFonts w:ascii="宋体"/>
                <w:szCs w:val="21"/>
              </w:rPr>
              <w:t>.</w:t>
            </w:r>
            <w:r>
              <w:rPr>
                <w:rFonts w:hint="eastAsia" w:ascii="宋体" w:hAnsi="宋体"/>
                <w:szCs w:val="21"/>
              </w:rPr>
              <w:t>提供工作站电源工作效率（能效比）达到</w:t>
            </w:r>
            <w:r>
              <w:rPr>
                <w:rFonts w:ascii="宋体" w:hAnsi="宋体"/>
                <w:szCs w:val="21"/>
              </w:rPr>
              <w:t>90%</w:t>
            </w:r>
            <w:r>
              <w:rPr>
                <w:rFonts w:hint="eastAsia" w:ascii="宋体" w:hAnsi="宋体"/>
                <w:szCs w:val="21"/>
              </w:rPr>
              <w:t>；</w:t>
            </w:r>
            <w:r>
              <w:rPr>
                <w:rFonts w:ascii="宋体" w:hAnsi="宋体"/>
                <w:szCs w:val="21"/>
              </w:rPr>
              <w:t>4)</w:t>
            </w:r>
            <w:r>
              <w:rPr>
                <w:rFonts w:ascii="宋体"/>
                <w:szCs w:val="21"/>
              </w:rPr>
              <w:t>.</w:t>
            </w:r>
            <w:r>
              <w:rPr>
                <w:rFonts w:hint="eastAsia" w:ascii="宋体" w:hAnsi="宋体"/>
                <w:szCs w:val="21"/>
              </w:rPr>
              <w:t>提供显示器中文版低蓝光护眼功能键证书，共</w:t>
            </w:r>
            <w:r>
              <w:rPr>
                <w:rFonts w:ascii="宋体" w:hAnsi="宋体"/>
                <w:szCs w:val="21"/>
              </w:rPr>
              <w:t>8</w:t>
            </w:r>
            <w:r>
              <w:rPr>
                <w:rFonts w:hint="eastAsia" w:ascii="宋体" w:hAnsi="宋体"/>
                <w:szCs w:val="21"/>
              </w:rPr>
              <w:t>分；缺少</w:t>
            </w:r>
            <w:r>
              <w:rPr>
                <w:rFonts w:ascii="宋体" w:hAnsi="宋体"/>
                <w:szCs w:val="21"/>
              </w:rPr>
              <w:t>2</w:t>
            </w:r>
            <w:r>
              <w:rPr>
                <w:rFonts w:hint="eastAsia" w:ascii="宋体" w:hAnsi="宋体"/>
                <w:szCs w:val="21"/>
              </w:rPr>
              <w:t>项或以上的不得分；</w:t>
            </w:r>
          </w:p>
          <w:p>
            <w:pPr>
              <w:widowControl/>
              <w:spacing w:line="276" w:lineRule="auto"/>
              <w:jc w:val="left"/>
              <w:rPr>
                <w:rFonts w:hint="eastAsia" w:cs="宋体" w:asciiTheme="minorEastAsia" w:hAnsiTheme="minorEastAsia"/>
                <w:kern w:val="0"/>
                <w:sz w:val="24"/>
                <w:szCs w:val="24"/>
              </w:rPr>
            </w:pPr>
            <w:r>
              <w:rPr>
                <w:rFonts w:ascii="宋体" w:cs="宋体"/>
                <w:szCs w:val="21"/>
              </w:rPr>
              <w:t>6.</w:t>
            </w:r>
            <w:r>
              <w:rPr>
                <w:rFonts w:ascii="宋体" w:hAnsi="宋体"/>
                <w:szCs w:val="21"/>
              </w:rPr>
              <w:t xml:space="preserve"> </w:t>
            </w:r>
            <w:r>
              <w:rPr>
                <w:rFonts w:hint="eastAsia" w:ascii="宋体" w:hAnsi="宋体"/>
                <w:szCs w:val="21"/>
              </w:rPr>
              <w:t>所投品牌拉杆有源音箱具有扩声软件著作权证书，</w:t>
            </w:r>
            <w:r>
              <w:rPr>
                <w:rFonts w:ascii="宋体" w:hAnsi="宋体"/>
                <w:szCs w:val="21"/>
              </w:rPr>
              <w:t>2.4G</w:t>
            </w:r>
            <w:r>
              <w:rPr>
                <w:rFonts w:hint="eastAsia" w:ascii="宋体" w:hAnsi="宋体"/>
                <w:szCs w:val="21"/>
              </w:rPr>
              <w:t>数字无线话筒控制软件著作权证书、</w:t>
            </w:r>
            <w:r>
              <w:rPr>
                <w:rFonts w:ascii="宋体" w:hAnsi="宋体"/>
                <w:szCs w:val="21"/>
              </w:rPr>
              <w:t>2.4G</w:t>
            </w:r>
            <w:r>
              <w:rPr>
                <w:rFonts w:hint="eastAsia" w:ascii="宋体" w:hAnsi="宋体"/>
                <w:szCs w:val="21"/>
              </w:rPr>
              <w:t>无线话筒近距离对频专利证书、一种无信号输入时自动静音的电路专利专利证书、</w:t>
            </w:r>
            <w:r>
              <w:rPr>
                <w:rFonts w:hint="eastAsia" w:ascii="宋体" w:hAnsi="宋体" w:cs="宋体"/>
                <w:szCs w:val="21"/>
              </w:rPr>
              <w:t>一种基于蓝牙技术的手持终端式麦克风系统专利证书、手机当话筒与蓝牙音箱同步扩音系统软件著作权证书，共</w:t>
            </w:r>
            <w:r>
              <w:rPr>
                <w:rFonts w:ascii="宋体" w:hAnsi="宋体" w:cs="宋体"/>
                <w:szCs w:val="21"/>
              </w:rPr>
              <w:t>6</w:t>
            </w:r>
            <w:r>
              <w:rPr>
                <w:rFonts w:hint="eastAsia" w:ascii="宋体" w:hAnsi="宋体" w:cs="宋体"/>
                <w:szCs w:val="21"/>
              </w:rPr>
              <w:t>分，缺少一项扣</w:t>
            </w:r>
            <w:r>
              <w:rPr>
                <w:rFonts w:ascii="宋体" w:hAnsi="宋体" w:cs="宋体"/>
                <w:szCs w:val="21"/>
              </w:rPr>
              <w:t>1</w:t>
            </w:r>
            <w:r>
              <w:rPr>
                <w:rFonts w:hint="eastAsia" w:ascii="宋体" w:hAnsi="宋体" w:cs="宋体"/>
                <w:szCs w:val="21"/>
              </w:rPr>
              <w:t>分。</w:t>
            </w:r>
            <w:r>
              <w:rPr>
                <w:rFonts w:ascii="宋体" w:cs="宋体"/>
                <w:szCs w:val="21"/>
              </w:rPr>
              <w:t xml:space="preserve"> </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cs="宋体" w:asciiTheme="minorEastAsia" w:hAnsiTheme="minorEastAsia"/>
                <w:kern w:val="0"/>
                <w:sz w:val="24"/>
                <w:szCs w:val="24"/>
              </w:rPr>
            </w:pPr>
            <w:r>
              <w:rPr>
                <w:rFonts w:cs="仿宋" w:asciiTheme="minorEastAsia" w:hAnsiTheme="minorEastAsia"/>
                <w:kern w:val="0"/>
                <w:sz w:val="24"/>
                <w:szCs w:val="24"/>
              </w:rPr>
              <w:t>28</w:t>
            </w:r>
            <w:r>
              <w:rPr>
                <w:rFonts w:hint="eastAsia" w:cs="宋体" w:asciiTheme="minorEastAsia" w:hAnsiTheme="minorEastAsia"/>
                <w:kern w:val="0"/>
                <w:sz w:val="24"/>
                <w:szCs w:val="24"/>
              </w:rPr>
              <w:t>分</w:t>
            </w:r>
          </w:p>
        </w:tc>
      </w:tr>
    </w:tbl>
    <w:p>
      <w:pPr>
        <w:pStyle w:val="13"/>
        <w:spacing w:line="360" w:lineRule="auto"/>
        <w:ind w:firstLine="480" w:firstLineChars="200"/>
        <w:contextualSpacing/>
        <w:rPr>
          <w:rFonts w:hint="eastAsia" w:cs="仿宋_GB2312" w:asciiTheme="minorEastAsia" w:hAnsiTheme="minorEastAsia" w:eastAsiaTheme="minorEastAsia"/>
          <w:b/>
          <w:szCs w:val="24"/>
          <w:lang w:val="zh-CN"/>
        </w:rPr>
      </w:pPr>
      <w:r>
        <w:rPr>
          <w:rFonts w:hint="eastAsia"/>
        </w:rPr>
        <w:t>注：核心产品提供品牌制造商技术证明文件、所投相关核心品牌产品出具的相关技术部分材料及技术证明文件需盖投标人及制造商公章有效，原件备查，否则不得分。</w:t>
      </w: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其中：价格分计算（落实政府采购政策价格调整部分）</w:t>
      </w:r>
    </w:p>
    <w:tbl>
      <w:tblPr>
        <w:tblStyle w:val="21"/>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（7）</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（8）</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widowControl/>
        <w:jc w:val="left"/>
        <w:rPr>
          <w:rFonts w:cs="宋体" w:asciiTheme="majorEastAsia" w:hAnsiTheme="majorEastAsia" w:eastAsiaTheme="majorEastAsia"/>
          <w:b/>
          <w:kern w:val="0"/>
          <w:sz w:val="36"/>
          <w:szCs w:val="36"/>
        </w:rPr>
      </w:pPr>
    </w:p>
    <w:p>
      <w:pPr>
        <w:pStyle w:val="13"/>
        <w:spacing w:line="360" w:lineRule="auto"/>
        <w:contextualSpacing/>
        <w:jc w:val="center"/>
        <w:rPr>
          <w:rFonts w:hint="eastAsia" w:cs="宋体" w:asciiTheme="majorEastAsia" w:hAnsiTheme="majorEastAsia" w:eastAsiaTheme="majorEastAsia"/>
          <w:b/>
          <w:kern w:val="0"/>
          <w:sz w:val="36"/>
          <w:szCs w:val="36"/>
        </w:rPr>
      </w:pPr>
    </w:p>
    <w:p>
      <w:pPr>
        <w:pStyle w:val="13"/>
        <w:spacing w:line="360" w:lineRule="auto"/>
        <w:contextualSpacing/>
        <w:jc w:val="center"/>
        <w:rPr>
          <w:rFonts w:hint="eastAsia" w:cs="宋体" w:asciiTheme="majorEastAsia" w:hAnsiTheme="majorEastAsia" w:eastAsiaTheme="majorEastAsia"/>
          <w:b/>
          <w:kern w:val="0"/>
          <w:sz w:val="36"/>
          <w:szCs w:val="36"/>
        </w:rPr>
      </w:pPr>
    </w:p>
    <w:p>
      <w:pPr>
        <w:pStyle w:val="13"/>
        <w:spacing w:line="360" w:lineRule="auto"/>
        <w:contextualSpacing/>
        <w:jc w:val="center"/>
        <w:rPr>
          <w:rFonts w:hint="eastAsia" w:cs="宋体" w:asciiTheme="majorEastAsia" w:hAnsiTheme="majorEastAsia" w:eastAsiaTheme="majorEastAsia"/>
          <w:b/>
          <w:kern w:val="0"/>
          <w:sz w:val="36"/>
          <w:szCs w:val="36"/>
        </w:rPr>
      </w:pPr>
    </w:p>
    <w:p>
      <w:pPr>
        <w:pStyle w:val="13"/>
        <w:spacing w:line="360" w:lineRule="auto"/>
        <w:contextualSpacing/>
        <w:jc w:val="center"/>
        <w:rPr>
          <w:rFonts w:hint="eastAsia" w:cs="宋体" w:asciiTheme="majorEastAsia" w:hAnsiTheme="majorEastAsia" w:eastAsiaTheme="majorEastAsia"/>
          <w:b/>
          <w:kern w:val="0"/>
          <w:sz w:val="36"/>
          <w:szCs w:val="36"/>
        </w:rPr>
      </w:pPr>
    </w:p>
    <w:p>
      <w:pPr>
        <w:pStyle w:val="13"/>
        <w:spacing w:line="360" w:lineRule="auto"/>
        <w:contextualSpacing/>
        <w:jc w:val="center"/>
        <w:rPr>
          <w:rFonts w:hint="eastAsia" w:cs="宋体" w:asciiTheme="majorEastAsia" w:hAnsiTheme="majorEastAsia" w:eastAsiaTheme="majorEastAsia"/>
          <w:b/>
          <w:kern w:val="0"/>
          <w:sz w:val="36"/>
          <w:szCs w:val="36"/>
        </w:rPr>
      </w:pPr>
    </w:p>
    <w:p>
      <w:pPr>
        <w:pStyle w:val="13"/>
        <w:spacing w:line="360" w:lineRule="auto"/>
        <w:contextualSpacing/>
        <w:jc w:val="center"/>
        <w:rPr>
          <w:rFonts w:hint="eastAsia" w:cs="宋体" w:asciiTheme="majorEastAsia" w:hAnsiTheme="majorEastAsia" w:eastAsiaTheme="majorEastAsia"/>
          <w:b/>
          <w:kern w:val="0"/>
          <w:sz w:val="36"/>
          <w:szCs w:val="36"/>
        </w:rPr>
      </w:pPr>
    </w:p>
    <w:p>
      <w:pPr>
        <w:pStyle w:val="13"/>
        <w:spacing w:line="360" w:lineRule="auto"/>
        <w:contextualSpacing/>
        <w:jc w:val="center"/>
        <w:rPr>
          <w:rFonts w:hint="eastAsia" w:cs="宋体" w:asciiTheme="majorEastAsia" w:hAnsiTheme="majorEastAsia" w:eastAsiaTheme="majorEastAsia"/>
          <w:b/>
          <w:kern w:val="0"/>
          <w:sz w:val="36"/>
          <w:szCs w:val="36"/>
        </w:rPr>
      </w:pPr>
    </w:p>
    <w:p>
      <w:pPr>
        <w:pStyle w:val="13"/>
        <w:spacing w:line="360" w:lineRule="auto"/>
        <w:contextualSpacing/>
        <w:jc w:val="center"/>
        <w:rPr>
          <w:rFonts w:hint="eastAsia"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3"/>
        <w:spacing w:line="360" w:lineRule="auto"/>
        <w:contextualSpacing/>
        <w:jc w:val="both"/>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第八章 投标文件有关格式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widowControl/>
        <w:jc w:val="left"/>
        <w:rPr>
          <w:rFonts w:cs="黑体" w:asciiTheme="minorEastAsia" w:hAnsiTheme="minorEastAsia"/>
          <w:b/>
          <w:bCs/>
          <w:sz w:val="36"/>
          <w:szCs w:val="36"/>
          <w:lang w:val="zh-CN"/>
        </w:rPr>
      </w:pPr>
      <w:bookmarkStart w:id="1" w:name="_Toc184023138"/>
      <w:bookmarkStart w:id="2" w:name="_Toc174185203"/>
      <w:bookmarkStart w:id="3" w:name="_Toc186274126"/>
      <w:r>
        <w:rPr>
          <w:rFonts w:cs="黑体" w:asciiTheme="minorEastAsia" w:hAnsiTheme="minorEastAsia"/>
          <w:sz w:val="36"/>
          <w:szCs w:val="36"/>
          <w:lang w:val="zh-CN"/>
        </w:rPr>
        <w:br w:type="page"/>
      </w:r>
    </w:p>
    <w:bookmarkEnd w:id="1"/>
    <w:bookmarkEnd w:id="2"/>
    <w:bookmarkEnd w:id="3"/>
    <w:p>
      <w:pPr>
        <w:pStyle w:val="49"/>
        <w:numPr>
          <w:ilvl w:val="0"/>
          <w:numId w:val="0"/>
        </w:numPr>
        <w:tabs>
          <w:tab w:val="left" w:pos="660"/>
        </w:tabs>
        <w:snapToGrid w:val="0"/>
        <w:spacing w:before="0" w:line="400" w:lineRule="exact"/>
        <w:rPr>
          <w:rFonts w:cs="黑体" w:asciiTheme="minorEastAsia" w:hAnsiTheme="minorEastAsia" w:eastAsiaTheme="minorEastAsia"/>
          <w:color w:val="auto"/>
          <w:kern w:val="2"/>
          <w:sz w:val="36"/>
          <w:szCs w:val="36"/>
          <w:lang w:val="zh-CN"/>
        </w:rPr>
      </w:pPr>
      <w:r>
        <w:rPr>
          <w:rFonts w:hint="eastAsia" w:cs="黑体" w:asciiTheme="minorEastAsia" w:hAnsiTheme="minorEastAsia" w:eastAsiaTheme="minorEastAsia"/>
          <w:color w:val="auto"/>
          <w:kern w:val="2"/>
          <w:sz w:val="36"/>
          <w:szCs w:val="36"/>
          <w:lang w:val="zh-CN"/>
        </w:rPr>
        <w:t>一、投标人应答索引表</w:t>
      </w:r>
    </w:p>
    <w:tbl>
      <w:tblPr>
        <w:tblStyle w:val="21"/>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751" w:type="dxa"/>
            <w:gridSpan w:val="3"/>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项目</w:t>
            </w:r>
          </w:p>
        </w:tc>
        <w:tc>
          <w:tcPr>
            <w:tcW w:w="1559"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投标人应答</w:t>
            </w:r>
          </w:p>
          <w:p>
            <w:pPr>
              <w:snapToGrid w:val="0"/>
              <w:spacing w:line="400" w:lineRule="exact"/>
              <w:jc w:val="center"/>
              <w:rPr>
                <w:rFonts w:ascii="宋体" w:hAnsi="宋体" w:cs="微软雅黑"/>
                <w:b/>
                <w:sz w:val="24"/>
                <w:szCs w:val="24"/>
              </w:rPr>
            </w:pPr>
            <w:r>
              <w:rPr>
                <w:rFonts w:hint="eastAsia" w:ascii="宋体" w:hAnsi="宋体" w:cs="微软雅黑"/>
                <w:b/>
                <w:sz w:val="24"/>
                <w:szCs w:val="24"/>
              </w:rPr>
              <w:t>（有/没有）</w:t>
            </w:r>
          </w:p>
        </w:tc>
        <w:tc>
          <w:tcPr>
            <w:tcW w:w="156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kern w:val="0"/>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kern w:val="0"/>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kern w:val="0"/>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asciiTheme="majorEastAsia" w:hAnsiTheme="majorEastAsia" w:eastAsiaTheme="majorEastAsia" w:cstheme="majorEastAsia"/>
                <w:bCs/>
                <w:szCs w:val="24"/>
                <w:lang w:val="zh-CN"/>
              </w:rPr>
              <w:t>法定代表人</w:t>
            </w:r>
            <w:r>
              <w:rPr>
                <w:rFonts w:asciiTheme="majorEastAsia" w:hAnsiTheme="majorEastAsia" w:eastAsiaTheme="majorEastAsia" w:cstheme="majorEastAsia"/>
                <w:bCs/>
                <w:szCs w:val="24"/>
                <w:lang w:val="zh-CN"/>
              </w:rPr>
              <w:t>资</w:t>
            </w:r>
            <w:r>
              <w:rPr>
                <w:rFonts w:hint="eastAsia" w:asciiTheme="majorEastAsia" w:hAnsiTheme="majorEastAsia" w:eastAsiaTheme="majorEastAsia" w:cstheme="majorEastAsia"/>
                <w:bCs/>
                <w:szCs w:val="24"/>
                <w:lang w:val="zh-CN"/>
              </w:rPr>
              <w:t>格</w:t>
            </w:r>
            <w:r>
              <w:rPr>
                <w:rFonts w:asciiTheme="majorEastAsia" w:hAnsiTheme="majorEastAsia" w:eastAsiaTheme="majorEastAsia" w:cstheme="majorEastAsia"/>
                <w:bCs/>
                <w:szCs w:val="24"/>
                <w:lang w:val="zh-CN"/>
              </w:rPr>
              <w:t>证</w:t>
            </w:r>
            <w:r>
              <w:rPr>
                <w:rFonts w:hint="eastAsia" w:asciiTheme="majorEastAsia" w:hAnsiTheme="majorEastAsia" w:eastAsiaTheme="majorEastAsia" w:cstheme="majorEastAsia"/>
                <w:bCs/>
                <w:szCs w:val="24"/>
                <w:lang w:val="zh-CN"/>
              </w:rPr>
              <w:t>明</w:t>
            </w:r>
            <w:r>
              <w:rPr>
                <w:rFonts w:asciiTheme="majorEastAsia" w:hAnsiTheme="majorEastAsia" w:eastAsiaTheme="majorEastAsia" w:cstheme="majorEastAsia"/>
                <w:bCs/>
                <w:szCs w:val="24"/>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kern w:val="0"/>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kern w:val="0"/>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13"/>
              <w:kinsoku w:val="0"/>
              <w:overflowPunct w:val="0"/>
              <w:autoSpaceDE w:val="0"/>
              <w:autoSpaceDN w:val="0"/>
              <w:spacing w:line="320" w:lineRule="exact"/>
              <w:jc w:val="center"/>
              <w:rPr>
                <w:rFonts w:hAnsi="宋体" w:cs="微软雅黑"/>
                <w:bCs/>
                <w:kern w:val="0"/>
              </w:rPr>
            </w:pPr>
            <w:r>
              <w:rPr>
                <w:rFonts w:hint="eastAsia" w:hAnsi="宋体"/>
                <w:kern w:val="0"/>
                <w:szCs w:val="24"/>
              </w:rPr>
              <w:t>纳税证明</w:t>
            </w: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kern w:val="0"/>
                <w:szCs w:val="24"/>
              </w:rPr>
            </w:pP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kern w:val="0"/>
                <w:szCs w:val="24"/>
              </w:rPr>
            </w:pPr>
            <w:r>
              <w:rPr>
                <w:rFonts w:hint="eastAsia" w:asciiTheme="minorEastAsia" w:hAnsiTheme="minorEastAsia"/>
                <w:bCs/>
                <w:szCs w:val="24"/>
              </w:rPr>
              <w:t>纳税凭据复印件</w:t>
            </w:r>
          </w:p>
        </w:tc>
        <w:tc>
          <w:tcPr>
            <w:tcW w:w="1559" w:type="dxa"/>
            <w:vAlign w:val="center"/>
          </w:tcPr>
          <w:p>
            <w:pPr>
              <w:pStyle w:val="13"/>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财务报告</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 w:val="24"/>
                <w:szCs w:val="24"/>
              </w:rPr>
            </w:pPr>
            <w:r>
              <w:rPr>
                <w:rFonts w:hint="eastAsia" w:asciiTheme="minorEastAsia" w:hAnsiTheme="minorEastAsia"/>
                <w:bCs/>
                <w:sz w:val="24"/>
                <w:szCs w:val="24"/>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证明或承诺函</w:t>
            </w:r>
          </w:p>
        </w:tc>
        <w:tc>
          <w:tcPr>
            <w:tcW w:w="709" w:type="dxa"/>
            <w:vMerge w:val="restart"/>
            <w:tcBorders>
              <w:left w:val="single" w:color="auto" w:sz="6"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设备购置发票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技术人员职称证书</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用工合同</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r>
              <w:rPr>
                <w:rFonts w:hint="eastAsia" w:asciiTheme="minorEastAsia" w:hAnsiTheme="minorEastAsia"/>
                <w:bCs/>
                <w:szCs w:val="24"/>
              </w:rPr>
              <w:t>投标人相关承诺函或声明</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kern w:val="0"/>
              </w:rPr>
              <w:t>没有重大违法记录的声明</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cs="微软雅黑"/>
                <w:bCs/>
                <w:kern w:val="0"/>
              </w:rPr>
              <w:t>投标人须具备的特殊资质证书</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szCs w:val="24"/>
                <w:lang w:val="zh-CN"/>
              </w:rPr>
              <w:t>投标保证金缴纳回执</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 w:val="24"/>
                <w:szCs w:val="24"/>
                <w:lang w:val="zh-CN"/>
              </w:rPr>
            </w:pPr>
            <w:r>
              <w:rPr>
                <w:rFonts w:hint="eastAsia" w:asciiTheme="majorEastAsia" w:hAnsiTheme="majorEastAsia" w:eastAsiaTheme="majorEastAsia" w:cstheme="majorEastAsia"/>
                <w:bCs/>
                <w:sz w:val="24"/>
                <w:szCs w:val="24"/>
                <w:lang w:val="zh-CN"/>
              </w:rPr>
              <w:t>14</w:t>
            </w:r>
          </w:p>
        </w:tc>
        <w:tc>
          <w:tcPr>
            <w:tcW w:w="3751" w:type="dxa"/>
            <w:gridSpan w:val="3"/>
            <w:vAlign w:val="center"/>
          </w:tcPr>
          <w:p>
            <w:pPr>
              <w:pStyle w:val="13"/>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联合体协议</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15</w:t>
            </w:r>
          </w:p>
        </w:tc>
        <w:tc>
          <w:tcPr>
            <w:tcW w:w="3751" w:type="dxa"/>
            <w:gridSpan w:val="3"/>
            <w:tcBorders>
              <w:top w:val="double" w:color="auto" w:sz="4" w:space="0"/>
            </w:tcBorders>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投标分项报价表</w:t>
            </w:r>
          </w:p>
        </w:tc>
        <w:tc>
          <w:tcPr>
            <w:tcW w:w="1559" w:type="dxa"/>
            <w:tcBorders>
              <w:top w:val="double" w:color="auto" w:sz="4" w:space="0"/>
            </w:tcBorders>
            <w:vAlign w:val="center"/>
          </w:tcPr>
          <w:p>
            <w:pPr>
              <w:jc w:val="cente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技术规格偏离表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技术方案（实施方案）</w:t>
            </w:r>
          </w:p>
        </w:tc>
        <w:tc>
          <w:tcPr>
            <w:tcW w:w="1559" w:type="dxa"/>
            <w:vAlign w:val="center"/>
          </w:tcPr>
          <w:p>
            <w:pPr>
              <w:jc w:val="cente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售后服务方案</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业绩情况表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强制节能产品政府采购清单情况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优先采购节能产品政府采购清单情况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ascii="宋体" w:hAnsi="宋体"/>
                <w:color w:val="000000"/>
                <w:szCs w:val="24"/>
                <w:lang w:val="en-GB"/>
              </w:rPr>
              <w:t>环境标志产品政府采购清单情况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中小企业声明函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cs="仿宋_GB2312" w:asciiTheme="minorEastAsia" w:hAnsiTheme="minorEastAsia" w:eastAsiaTheme="minorEastAsia"/>
                <w:szCs w:val="24"/>
                <w:lang w:val="zh-CN"/>
              </w:rPr>
              <w:t>残疾人福利性单位声明函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监狱企业证明文件</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60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774" w:type="dxa"/>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CCC强制性产品认证</w:t>
            </w:r>
          </w:p>
        </w:tc>
        <w:tc>
          <w:tcPr>
            <w:tcW w:w="2977"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color w:val="7030A0"/>
                <w:szCs w:val="24"/>
                <w:lang w:val="zh-CN"/>
              </w:rPr>
              <w:t>所投产品符合国家强制性要求承诺函</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92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774" w:type="dxa"/>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Cs w:val="24"/>
              </w:rPr>
            </w:pPr>
            <w:r>
              <w:rPr>
                <w:rFonts w:cs="宋体" w:asciiTheme="minorEastAsia" w:hAnsiTheme="minorEastAsia"/>
                <w:kern w:val="0"/>
                <w:szCs w:val="24"/>
              </w:rPr>
              <w:t>信息安全产品强制性认证</w:t>
            </w:r>
          </w:p>
        </w:tc>
        <w:tc>
          <w:tcPr>
            <w:tcW w:w="2977"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所投产品符合</w:t>
            </w:r>
            <w:r>
              <w:rPr>
                <w:rFonts w:cs="宋体" w:asciiTheme="minorEastAsia" w:hAnsiTheme="minorEastAsia"/>
                <w:kern w:val="0"/>
                <w:szCs w:val="24"/>
              </w:rPr>
              <w:t>信息安全产品强制性认证</w:t>
            </w:r>
            <w:r>
              <w:rPr>
                <w:rFonts w:hint="eastAsia" w:asciiTheme="majorEastAsia" w:hAnsiTheme="majorEastAsia" w:eastAsiaTheme="majorEastAsia" w:cstheme="majorEastAsia"/>
                <w:bCs/>
                <w:szCs w:val="24"/>
                <w:lang w:val="zh-CN"/>
              </w:rPr>
              <w:t>要求承诺函</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其它资料</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3"/>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二、开标一览表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pacing w:line="360" w:lineRule="auto"/>
        <w:contextualSpacing/>
        <w:rPr>
          <w:rFonts w:asciiTheme="minorEastAsia" w:hAnsiTheme="minorEastAsia"/>
          <w:color w:val="000000"/>
          <w:sz w:val="24"/>
          <w:szCs w:val="24"/>
        </w:rPr>
      </w:pPr>
      <w:r>
        <w:rPr>
          <w:rFonts w:hint="eastAsia" w:asciiTheme="minorEastAsia" w:hAnsiTheme="minorEastAsia"/>
          <w:color w:val="000000"/>
          <w:sz w:val="24"/>
          <w:szCs w:val="24"/>
        </w:rPr>
        <w:t xml:space="preserve">项目名称：                                             </w:t>
      </w:r>
      <w:r>
        <w:rPr>
          <w:rFonts w:hint="eastAsia" w:cs="Arial" w:asciiTheme="minorEastAsia" w:hAnsiTheme="minorEastAsia"/>
          <w:sz w:val="24"/>
          <w:szCs w:val="24"/>
        </w:rPr>
        <w:t>单位：元（人民币）</w:t>
      </w:r>
    </w:p>
    <w:tbl>
      <w:tblPr>
        <w:tblStyle w:val="21"/>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工期（天）</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r>
              <w:rPr>
                <w:rFonts w:cs="Arial" w:asciiTheme="minorEastAsia" w:hAnsiTheme="minorEastAsia"/>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投标人名称：</w:t>
      </w:r>
      <w:r>
        <w:rPr>
          <w:rFonts w:hint="eastAsia" w:cs="宋体" w:asciiTheme="minorEastAsia" w:hAnsiTheme="minorEastAsia"/>
          <w:sz w:val="24"/>
          <w:szCs w:val="24"/>
          <w:u w:val="single"/>
          <w:lang w:val="zh-CN"/>
        </w:rPr>
        <w:t xml:space="preserve">     （全称）   </w:t>
      </w:r>
      <w:r>
        <w:rPr>
          <w:rFonts w:hint="eastAsia" w:cs="宋体" w:asciiTheme="minorEastAsia" w:hAnsiTheme="minorEastAsia"/>
          <w:sz w:val="24"/>
          <w:szCs w:val="24"/>
          <w:lang w:val="zh-CN"/>
        </w:rPr>
        <w:t>（公章）：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日期：</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年</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月</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日</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注：交付日期指完成该项目的最终时间（日历天）。</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三、资格审查证明材料</w:t>
      </w: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3"/>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3.1 投 标 函</w:t>
      </w:r>
    </w:p>
    <w:p>
      <w:pPr>
        <w:adjustRightInd w:val="0"/>
        <w:spacing w:line="360" w:lineRule="auto"/>
        <w:contextualSpacing/>
        <w:rPr>
          <w:rFonts w:asciiTheme="minorEastAsia" w:hAnsiTheme="minorEastAsia"/>
          <w:b/>
          <w:snapToGrid w:val="0"/>
          <w:color w:val="7030A0"/>
          <w:kern w:val="0"/>
          <w:sz w:val="24"/>
          <w:szCs w:val="24"/>
        </w:rPr>
      </w:pPr>
      <w:r>
        <w:rPr>
          <w:rFonts w:hint="eastAsia" w:asciiTheme="minorEastAsia" w:hAnsiTheme="minorEastAsia"/>
          <w:snapToGrid w:val="0"/>
          <w:color w:val="7030A0"/>
          <w:kern w:val="0"/>
          <w:sz w:val="24"/>
          <w:szCs w:val="24"/>
        </w:rPr>
        <w:t>致：</w:t>
      </w:r>
      <w:r>
        <w:rPr>
          <w:rFonts w:hint="eastAsia" w:asciiTheme="minorEastAsia" w:hAnsiTheme="minorEastAsia"/>
          <w:b/>
          <w:snapToGrid w:val="0"/>
          <w:color w:val="7030A0"/>
          <w:kern w:val="0"/>
          <w:sz w:val="24"/>
          <w:szCs w:val="24"/>
        </w:rPr>
        <w:t>（采购人）</w:t>
      </w:r>
    </w:p>
    <w:p>
      <w:pPr>
        <w:adjustRightInd w:val="0"/>
        <w:spacing w:line="360" w:lineRule="auto"/>
        <w:ind w:firstLine="480" w:firstLineChars="200"/>
        <w:contextualSpacing/>
        <w:outlineLvl w:val="0"/>
        <w:rPr>
          <w:rFonts w:asciiTheme="minorEastAsia" w:hAnsiTheme="minorEastAsia"/>
          <w:snapToGrid w:val="0"/>
          <w:kern w:val="0"/>
          <w:sz w:val="24"/>
          <w:szCs w:val="24"/>
        </w:rPr>
      </w:pPr>
      <w:r>
        <w:rPr>
          <w:rFonts w:hint="eastAsia" w:asciiTheme="minorEastAsia" w:hAnsiTheme="minorEastAsia"/>
          <w:snapToGrid w:val="0"/>
          <w:kern w:val="0"/>
          <w:sz w:val="24"/>
          <w:szCs w:val="24"/>
        </w:rPr>
        <w:t>根据贵方_</w:t>
      </w:r>
      <w:r>
        <w:rPr>
          <w:rFonts w:hint="eastAsia" w:asciiTheme="minorEastAsia" w:hAnsiTheme="minorEastAsia"/>
          <w:snapToGrid w:val="0"/>
          <w:kern w:val="0"/>
          <w:sz w:val="24"/>
          <w:szCs w:val="24"/>
          <w:u w:val="single"/>
        </w:rPr>
        <w:t xml:space="preserve">_    </w:t>
      </w:r>
      <w:r>
        <w:rPr>
          <w:rFonts w:hint="eastAsia" w:asciiTheme="minorEastAsia" w:hAnsiTheme="minorEastAsia"/>
          <w:snapToGrid w:val="0"/>
          <w:kern w:val="0"/>
          <w:sz w:val="24"/>
          <w:szCs w:val="24"/>
        </w:rPr>
        <w:t>_（项目名称、项目编号）采购的招标公告及投标邀请，_______（姓名和职务）被正式授权并代表投标人</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（投标人名称、地址）提交。</w:t>
      </w:r>
    </w:p>
    <w:p>
      <w:pPr>
        <w:pStyle w:val="13"/>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我方确认收到贵方提供的</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u w:val="single"/>
        </w:rPr>
        <w:t xml:space="preserve">           </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rPr>
        <w:t>（项目名称、项目编号）招标文件的全部内容。</w:t>
      </w:r>
    </w:p>
    <w:p>
      <w:pPr>
        <w:pStyle w:val="13"/>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Cs w:val="24"/>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(投标人名称)     </w:t>
      </w:r>
      <w:r>
        <w:rPr>
          <w:rFonts w:hint="eastAsia" w:asciiTheme="minorEastAsia" w:hAnsiTheme="minorEastAsia"/>
          <w:snapToGrid w:val="0"/>
          <w:kern w:val="0"/>
          <w:sz w:val="24"/>
          <w:szCs w:val="24"/>
        </w:rPr>
        <w:t>作为投标人正式授权</w:t>
      </w: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(授权代表全名, 职务)       </w:t>
      </w:r>
      <w:r>
        <w:rPr>
          <w:rFonts w:hint="eastAsia" w:asciiTheme="minorEastAsia" w:hAnsiTheme="minorEastAsia"/>
          <w:snapToGrid w:val="0"/>
          <w:kern w:val="0"/>
          <w:sz w:val="24"/>
          <w:szCs w:val="24"/>
        </w:rPr>
        <w:t>代表我方全权处理有关本投标的一切事宜。</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rPr>
        <w:t>在此提交的投标文件，正本一份，副本</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份。</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我方已完全明白招标文件的所有条款要求，并申明如下：</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一、按招标文件提供的全部货物与相关服务的投标总价详见《开标一览表》。</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二、本投标文件的有效期为投标截止时间起</w:t>
      </w:r>
      <w:r>
        <w:rPr>
          <w:rFonts w:hint="eastAsia" w:cs="Courier New" w:asciiTheme="minorEastAsia" w:hAnsiTheme="minorEastAsia"/>
          <w:sz w:val="24"/>
          <w:szCs w:val="24"/>
          <w:u w:val="single"/>
        </w:rPr>
        <w:t xml:space="preserve">   </w:t>
      </w:r>
      <w:r>
        <w:rPr>
          <w:rFonts w:hint="eastAsia" w:cs="Courier New" w:asciiTheme="minorEastAsia" w:hAnsiTheme="minor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9"/>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三、我方明白并同意，在规定的开标日之后，投标有效期之内撤销投标的，则贵方将不予退还投标保证金。</w:t>
      </w:r>
    </w:p>
    <w:p>
      <w:pPr>
        <w:pStyle w:val="19"/>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四、我方同意按照贵方可能提出的要求而提供与投标有关的任何其它数据、信息或资料。</w:t>
      </w:r>
    </w:p>
    <w:p>
      <w:pPr>
        <w:pStyle w:val="19"/>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五、我方理解贵方不一定接受最低投标价或任何贵方可能收到的投标。</w:t>
      </w:r>
    </w:p>
    <w:p>
      <w:pPr>
        <w:pStyle w:val="19"/>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六、我方如果中标，将保证履行招标文件及其澄清、修改文件（如果有）中的全部责任和义务，按质、按量、按期完成《项目需求》及《合同书》中的全部任务。</w:t>
      </w:r>
    </w:p>
    <w:p>
      <w:pPr>
        <w:spacing w:line="360" w:lineRule="auto"/>
        <w:ind w:firstLine="480" w:firstLineChars="200"/>
        <w:rPr>
          <w:rFonts w:ascii="宋体" w:cs="Courier New"/>
          <w:color w:val="FF0000"/>
          <w:sz w:val="24"/>
          <w:szCs w:val="24"/>
        </w:rPr>
      </w:pPr>
      <w:r>
        <w:rPr>
          <w:rFonts w:hint="eastAsia" w:ascii="宋体" w:hAnsi="宋体" w:cs="Courier New"/>
          <w:color w:val="FF0000"/>
          <w:sz w:val="24"/>
          <w:szCs w:val="24"/>
        </w:rPr>
        <w:t>七、我方在此保证所提交的所有文件和全部说明是真实的和正确的</w:t>
      </w:r>
      <w:r>
        <w:rPr>
          <w:rFonts w:ascii="宋体" w:cs="Courier New"/>
          <w:color w:val="FF0000"/>
          <w:sz w:val="24"/>
          <w:szCs w:val="24"/>
        </w:rPr>
        <w:t>,</w:t>
      </w:r>
      <w:r>
        <w:rPr>
          <w:rFonts w:hint="eastAsia" w:ascii="宋体" w:hAnsi="宋体" w:cs="Courier New"/>
          <w:color w:val="FF0000"/>
          <w:sz w:val="24"/>
          <w:szCs w:val="24"/>
        </w:rPr>
        <w:t>未提供虚假的资格证书及业绩证明材料谋取中标，若存在虚假证书或者业绩证明材料的违规违法行为，承担法律责任，接受财政部门的处罚。</w:t>
      </w:r>
    </w:p>
    <w:p>
      <w:pPr>
        <w:pStyle w:val="13"/>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九、我方具备《政府采购法》第二十二条规定的条件；承诺如下：</w:t>
      </w:r>
    </w:p>
    <w:p>
      <w:pPr>
        <w:pStyle w:val="13"/>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（4）参加政府采购活动前三年内，在经营活动中没有重大违法记录。</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（5）符合法律、行政法规规定的其他条件。</w:t>
      </w:r>
    </w:p>
    <w:p>
      <w:pPr>
        <w:adjustRightInd w:val="0"/>
        <w:spacing w:line="360" w:lineRule="auto"/>
        <w:ind w:firstLine="504" w:firstLineChars="210"/>
        <w:contextualSpacing/>
        <w:rPr>
          <w:rFonts w:cs="Arial" w:asciiTheme="minorEastAsia" w:hAnsiTheme="minorEastAsia"/>
          <w:sz w:val="24"/>
          <w:szCs w:val="24"/>
        </w:rPr>
      </w:pPr>
      <w:r>
        <w:rPr>
          <w:rFonts w:hint="eastAsia" w:cs="宋体" w:asciiTheme="minorEastAsia" w:hAnsiTheme="minorEastAsia"/>
          <w:sz w:val="24"/>
          <w:szCs w:val="24"/>
        </w:rPr>
        <w:t>以上内容如有虚假或与事实不符的，评审委员会可将</w:t>
      </w:r>
      <w:r>
        <w:rPr>
          <w:rFonts w:hint="eastAsia" w:cs="Arial" w:asciiTheme="minorEastAsia" w:hAnsiTheme="minorEastAsia"/>
          <w:sz w:val="24"/>
          <w:szCs w:val="24"/>
        </w:rPr>
        <w:t>我方做无效投标处理，我方愿意承担相应的法律责任。</w:t>
      </w:r>
    </w:p>
    <w:p>
      <w:pPr>
        <w:pStyle w:val="13"/>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十、我方具备履行合同所必需的设备和专业技术能力。</w:t>
      </w:r>
    </w:p>
    <w:p>
      <w:pPr>
        <w:pStyle w:val="13"/>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napToGrid w:val="0"/>
          <w:kern w:val="0"/>
          <w:szCs w:val="24"/>
        </w:rPr>
        <w:t>十一、</w:t>
      </w:r>
      <w:r>
        <w:rPr>
          <w:rFonts w:hint="eastAsia" w:asciiTheme="minorEastAsia" w:hAnsiTheme="minorEastAsia" w:eastAsiaTheme="minorEastAsia"/>
          <w:szCs w:val="24"/>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Cs w:val="24"/>
        </w:rPr>
      </w:pPr>
    </w:p>
    <w:p>
      <w:pPr>
        <w:pStyle w:val="13"/>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所有与本招标有关的一切正式往来请寄：</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地    址：</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邮政编码：</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电    话：</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传    真：</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u w:val="single"/>
        </w:rPr>
      </w:pPr>
      <w:r>
        <w:rPr>
          <w:rFonts w:hint="eastAsia" w:cs="宋体" w:asciiTheme="minorEastAsia" w:hAnsiTheme="minorEastAsia"/>
          <w:sz w:val="24"/>
          <w:szCs w:val="24"/>
        </w:rPr>
        <w:t>投标人代表姓名：</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职    务：</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投标人法定代表人（或法定代表人授权代表）签字或盖章：</w:t>
      </w:r>
      <w:r>
        <w:rPr>
          <w:rFonts w:hint="eastAsia" w:cs="宋体" w:asciiTheme="minorEastAsia" w:hAnsiTheme="minorEastAsia"/>
          <w:sz w:val="24"/>
          <w:szCs w:val="24"/>
          <w:u w:val="single"/>
        </w:rPr>
        <w:t xml:space="preserve">         </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投标人名称（盖章）：</w:t>
      </w:r>
      <w:r>
        <w:rPr>
          <w:rFonts w:hint="eastAsia" w:cs="宋体" w:asciiTheme="minorEastAsia" w:hAnsiTheme="minorEastAsia"/>
          <w:sz w:val="24"/>
          <w:szCs w:val="24"/>
          <w:u w:val="single"/>
        </w:rPr>
        <w:t xml:space="preserve">                   </w:t>
      </w:r>
    </w:p>
    <w:p>
      <w:pPr>
        <w:adjustRightInd w:val="0"/>
        <w:snapToGrid w:val="0"/>
        <w:spacing w:line="360" w:lineRule="auto"/>
        <w:ind w:firstLine="4920" w:firstLineChars="2050"/>
        <w:rPr>
          <w:rFonts w:cs="宋体" w:asciiTheme="minorEastAsia" w:hAnsiTheme="minorEastAsia"/>
          <w:sz w:val="24"/>
          <w:szCs w:val="24"/>
        </w:rPr>
      </w:pPr>
      <w:r>
        <w:rPr>
          <w:rFonts w:hint="eastAsia" w:cs="宋体" w:asciiTheme="minorEastAsia" w:hAnsiTheme="minorEastAsia"/>
          <w:sz w:val="24"/>
          <w:szCs w:val="24"/>
        </w:rPr>
        <w:t>日期：   年   月   日</w:t>
      </w:r>
    </w:p>
    <w:p>
      <w:pPr>
        <w:spacing w:line="480" w:lineRule="exact"/>
        <w:jc w:val="center"/>
        <w:rPr>
          <w:rFonts w:asciiTheme="majorEastAsia" w:hAnsiTheme="majorEastAsia" w:eastAsiaTheme="majorEastAsia"/>
          <w:b/>
          <w:bCs/>
          <w:color w:val="000000"/>
          <w:sz w:val="36"/>
          <w:szCs w:val="36"/>
        </w:rPr>
      </w:pPr>
      <w:r>
        <w:rPr>
          <w:rFonts w:hint="eastAsia" w:asciiTheme="majorEastAsia" w:hAnsiTheme="majorEastAsia" w:eastAsiaTheme="majorEastAsia"/>
          <w:b/>
          <w:bCs/>
          <w:color w:val="000000"/>
          <w:sz w:val="36"/>
          <w:szCs w:val="36"/>
        </w:rPr>
        <w:t>3.2 法定代表人</w:t>
      </w:r>
      <w:r>
        <w:rPr>
          <w:rFonts w:asciiTheme="majorEastAsia" w:hAnsiTheme="majorEastAsia" w:eastAsiaTheme="majorEastAsia"/>
          <w:b/>
          <w:bCs/>
          <w:color w:val="000000"/>
          <w:sz w:val="36"/>
          <w:szCs w:val="36"/>
        </w:rPr>
        <w:t>资</w:t>
      </w:r>
      <w:r>
        <w:rPr>
          <w:rFonts w:hint="eastAsia" w:asciiTheme="majorEastAsia" w:hAnsiTheme="majorEastAsia" w:eastAsiaTheme="majorEastAsia"/>
          <w:b/>
          <w:bCs/>
          <w:color w:val="000000"/>
          <w:sz w:val="36"/>
          <w:szCs w:val="36"/>
        </w:rPr>
        <w:t>格</w:t>
      </w:r>
      <w:r>
        <w:rPr>
          <w:rFonts w:asciiTheme="majorEastAsia" w:hAnsiTheme="majorEastAsia" w:eastAsiaTheme="majorEastAsia"/>
          <w:b/>
          <w:bCs/>
          <w:color w:val="000000"/>
          <w:sz w:val="36"/>
          <w:szCs w:val="36"/>
        </w:rPr>
        <w:t>证</w:t>
      </w:r>
      <w:r>
        <w:rPr>
          <w:rFonts w:hint="eastAsia" w:asciiTheme="majorEastAsia" w:hAnsiTheme="majorEastAsia" w:eastAsiaTheme="majorEastAsia"/>
          <w:b/>
          <w:bCs/>
          <w:color w:val="000000"/>
          <w:sz w:val="36"/>
          <w:szCs w:val="36"/>
        </w:rPr>
        <w:t>明</w:t>
      </w:r>
      <w:r>
        <w:rPr>
          <w:rFonts w:asciiTheme="majorEastAsia" w:hAnsiTheme="majorEastAsia" w:eastAsiaTheme="majorEastAsia"/>
          <w:b/>
          <w:bCs/>
          <w:color w:val="000000"/>
          <w:sz w:val="36"/>
          <w:szCs w:val="36"/>
        </w:rPr>
        <w:t>书</w:t>
      </w:r>
    </w:p>
    <w:p>
      <w:pPr>
        <w:autoSpaceDE w:val="0"/>
        <w:autoSpaceDN w:val="0"/>
        <w:adjustRightInd w:val="0"/>
        <w:spacing w:line="480" w:lineRule="auto"/>
        <w:ind w:firstLine="616" w:firstLineChars="257"/>
        <w:rPr>
          <w:rFonts w:ascii="宋体" w:hAnsi="宋体"/>
          <w:color w:val="000000"/>
          <w:sz w:val="24"/>
          <w:szCs w:val="24"/>
        </w:rPr>
      </w:pPr>
    </w:p>
    <w:p>
      <w:pPr>
        <w:pStyle w:val="40"/>
        <w:spacing w:line="480" w:lineRule="auto"/>
        <w:ind w:firstLine="540" w:firstLineChars="225"/>
        <w:jc w:val="left"/>
        <w:rPr>
          <w:rFonts w:asciiTheme="minorEastAsia" w:hAnsiTheme="minorEastAsia"/>
          <w:color w:val="000000"/>
          <w:szCs w:val="24"/>
        </w:rPr>
      </w:pPr>
      <w:r>
        <w:rPr>
          <w:rFonts w:asciiTheme="minorEastAsia" w:hAnsiTheme="minorEastAsia"/>
          <w:color w:val="000000"/>
          <w:szCs w:val="24"/>
        </w:rPr>
        <w:t>单</w:t>
      </w:r>
      <w:r>
        <w:rPr>
          <w:rFonts w:hint="eastAsia" w:asciiTheme="minorEastAsia" w:hAnsiTheme="minorEastAsia"/>
          <w:color w:val="000000"/>
          <w:szCs w:val="24"/>
        </w:rPr>
        <w:t>位名</w:t>
      </w:r>
      <w:r>
        <w:rPr>
          <w:rFonts w:asciiTheme="minorEastAsia" w:hAnsiTheme="minorEastAsia"/>
          <w:color w:val="000000"/>
          <w:szCs w:val="24"/>
        </w:rPr>
        <w:t>称</w:t>
      </w:r>
      <w:r>
        <w:rPr>
          <w:rFonts w:hint="eastAsia" w:asciiTheme="minorEastAsia" w:hAnsiTheme="minorEastAsia"/>
          <w:color w:val="000000"/>
          <w:szCs w:val="24"/>
        </w:rPr>
        <w:t>：</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地址：</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姓名：       性</w:t>
      </w:r>
      <w:r>
        <w:rPr>
          <w:rFonts w:asciiTheme="minorEastAsia" w:hAnsiTheme="minorEastAsia"/>
          <w:color w:val="000000"/>
          <w:szCs w:val="24"/>
        </w:rPr>
        <w:t>别</w:t>
      </w:r>
      <w:r>
        <w:rPr>
          <w:rFonts w:hint="eastAsia" w:asciiTheme="minorEastAsia" w:hAnsiTheme="minorEastAsia"/>
          <w:color w:val="000000"/>
          <w:szCs w:val="24"/>
        </w:rPr>
        <w:t>：     年</w:t>
      </w:r>
      <w:r>
        <w:rPr>
          <w:rFonts w:asciiTheme="minorEastAsia" w:hAnsiTheme="minorEastAsia"/>
          <w:color w:val="000000"/>
          <w:szCs w:val="24"/>
        </w:rPr>
        <w:t>龄</w:t>
      </w:r>
      <w:r>
        <w:rPr>
          <w:rFonts w:hint="eastAsia" w:asciiTheme="minorEastAsia" w:hAnsiTheme="minorEastAsia"/>
          <w:color w:val="000000"/>
          <w:szCs w:val="24"/>
        </w:rPr>
        <w:t>：</w:t>
      </w:r>
      <w:r>
        <w:rPr>
          <w:rFonts w:asciiTheme="minorEastAsia" w:hAnsiTheme="minorEastAsia"/>
          <w:color w:val="000000"/>
          <w:szCs w:val="24"/>
        </w:rPr>
        <w:t xml:space="preserve">     职务</w:t>
      </w:r>
      <w:r>
        <w:rPr>
          <w:rFonts w:hint="eastAsia" w:asciiTheme="minorEastAsia" w:hAnsiTheme="minorEastAsia"/>
          <w:color w:val="000000"/>
          <w:szCs w:val="24"/>
        </w:rPr>
        <w:t xml:space="preserve">：        </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本人系</w:t>
      </w:r>
      <w:r>
        <w:rPr>
          <w:rFonts w:hint="eastAsia" w:asciiTheme="minorEastAsia" w:hAnsiTheme="minorEastAsia"/>
          <w:color w:val="000000"/>
          <w:szCs w:val="24"/>
          <w:u w:val="single"/>
        </w:rPr>
        <w:t xml:space="preserve">  </w:t>
      </w:r>
      <w:r>
        <w:rPr>
          <w:rFonts w:hint="eastAsia" w:asciiTheme="minorEastAsia" w:hAnsiTheme="minorEastAsia"/>
          <w:i/>
          <w:snapToGrid w:val="0"/>
          <w:szCs w:val="24"/>
          <w:u w:val="single"/>
        </w:rPr>
        <w:t>投</w:t>
      </w:r>
      <w:r>
        <w:rPr>
          <w:rFonts w:asciiTheme="minorEastAsia" w:hAnsiTheme="minorEastAsia"/>
          <w:i/>
          <w:snapToGrid w:val="0"/>
          <w:szCs w:val="24"/>
          <w:u w:val="single"/>
        </w:rPr>
        <w:t>标</w:t>
      </w:r>
      <w:r>
        <w:rPr>
          <w:rFonts w:hint="eastAsia" w:asciiTheme="minorEastAsia" w:hAnsiTheme="minorEastAsia"/>
          <w:i/>
          <w:snapToGrid w:val="0"/>
          <w:szCs w:val="24"/>
          <w:u w:val="single"/>
        </w:rPr>
        <w:t>人名</w:t>
      </w:r>
      <w:r>
        <w:rPr>
          <w:rFonts w:asciiTheme="minorEastAsia" w:hAnsiTheme="minorEastAsia"/>
          <w:i/>
          <w:snapToGrid w:val="0"/>
          <w:szCs w:val="24"/>
          <w:u w:val="single"/>
        </w:rPr>
        <w:t>称</w:t>
      </w:r>
      <w:r>
        <w:rPr>
          <w:rFonts w:hint="eastAsia" w:asciiTheme="minorEastAsia" w:hAnsiTheme="minorEastAsia"/>
          <w:i/>
          <w:snapToGrid w:val="0"/>
          <w:szCs w:val="24"/>
          <w:u w:val="single"/>
        </w:rPr>
        <w:t xml:space="preserve">  </w:t>
      </w:r>
      <w:r>
        <w:rPr>
          <w:rFonts w:hint="eastAsia" w:asciiTheme="minorEastAsia" w:hAnsiTheme="minorEastAsia"/>
          <w:color w:val="000000"/>
          <w:szCs w:val="24"/>
        </w:rPr>
        <w:t>的法定代表人。就</w:t>
      </w:r>
      <w:r>
        <w:rPr>
          <w:rFonts w:asciiTheme="minorEastAsia" w:hAnsiTheme="minorEastAsia"/>
          <w:color w:val="000000"/>
          <w:szCs w:val="24"/>
        </w:rPr>
        <w:t>参</w:t>
      </w:r>
      <w:r>
        <w:rPr>
          <w:rFonts w:hint="eastAsia" w:asciiTheme="minorEastAsia" w:hAnsiTheme="minorEastAsia"/>
          <w:color w:val="000000"/>
          <w:szCs w:val="24"/>
        </w:rPr>
        <w:t>加贵方项目</w:t>
      </w:r>
      <w:r>
        <w:rPr>
          <w:rFonts w:asciiTheme="minorEastAsia" w:hAnsiTheme="minorEastAsia"/>
          <w:color w:val="000000"/>
          <w:szCs w:val="24"/>
        </w:rPr>
        <w:t>编号为</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项目编号</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的</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w:t>
      </w:r>
      <w:r>
        <w:rPr>
          <w:rFonts w:hint="eastAsia" w:asciiTheme="minorEastAsia" w:hAnsiTheme="minorEastAsia"/>
          <w:i/>
          <w:color w:val="000000"/>
          <w:szCs w:val="24"/>
          <w:u w:val="single"/>
        </w:rPr>
        <w:t>名</w:t>
      </w:r>
      <w:r>
        <w:rPr>
          <w:rFonts w:asciiTheme="minorEastAsia" w:hAnsiTheme="minorEastAsia"/>
          <w:i/>
          <w:color w:val="000000"/>
          <w:szCs w:val="24"/>
          <w:u w:val="single"/>
        </w:rPr>
        <w:t>称</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公</w:t>
      </w:r>
      <w:r>
        <w:rPr>
          <w:rFonts w:asciiTheme="minorEastAsia" w:hAnsiTheme="minorEastAsia"/>
          <w:color w:val="000000"/>
          <w:szCs w:val="24"/>
        </w:rPr>
        <w:t>开</w:t>
      </w:r>
      <w:r>
        <w:rPr>
          <w:rFonts w:hint="eastAsia" w:asciiTheme="minorEastAsia" w:hAnsiTheme="minorEastAsia"/>
          <w:color w:val="000000"/>
          <w:szCs w:val="24"/>
        </w:rPr>
        <w:t>招</w:t>
      </w:r>
      <w:r>
        <w:rPr>
          <w:rFonts w:asciiTheme="minorEastAsia" w:hAnsiTheme="minorEastAsia"/>
          <w:color w:val="000000"/>
          <w:szCs w:val="24"/>
        </w:rPr>
        <w:t>标项目</w:t>
      </w:r>
      <w:r>
        <w:rPr>
          <w:rFonts w:hint="eastAsia" w:asciiTheme="minorEastAsia" w:hAnsiTheme="minorEastAsia"/>
          <w:color w:val="000000"/>
          <w:szCs w:val="24"/>
        </w:rPr>
        <w:t>的投</w:t>
      </w:r>
      <w:r>
        <w:rPr>
          <w:rFonts w:asciiTheme="minorEastAsia" w:hAnsiTheme="minorEastAsia"/>
          <w:color w:val="000000"/>
          <w:szCs w:val="24"/>
        </w:rPr>
        <w:t>标报价</w:t>
      </w:r>
      <w:r>
        <w:rPr>
          <w:rFonts w:hint="eastAsia" w:asciiTheme="minorEastAsia" w:hAnsiTheme="minorEastAsia"/>
          <w:color w:val="000000"/>
          <w:szCs w:val="24"/>
        </w:rPr>
        <w:t>，</w:t>
      </w:r>
      <w:r>
        <w:rPr>
          <w:rFonts w:asciiTheme="minorEastAsia" w:hAnsiTheme="minorEastAsia"/>
          <w:color w:val="000000"/>
          <w:szCs w:val="24"/>
        </w:rPr>
        <w:t>签</w:t>
      </w:r>
      <w:r>
        <w:rPr>
          <w:rFonts w:hint="eastAsia" w:asciiTheme="minorEastAsia" w:hAnsiTheme="minorEastAsia"/>
          <w:color w:val="000000"/>
          <w:szCs w:val="24"/>
        </w:rPr>
        <w:t>署上</w:t>
      </w:r>
      <w:r>
        <w:rPr>
          <w:rFonts w:asciiTheme="minorEastAsia" w:hAnsiTheme="minorEastAsia"/>
          <w:color w:val="000000"/>
          <w:szCs w:val="24"/>
        </w:rPr>
        <w:t>述项目</w:t>
      </w:r>
      <w:r>
        <w:rPr>
          <w:rFonts w:hint="eastAsia" w:asciiTheme="minorEastAsia" w:hAnsiTheme="minorEastAsia"/>
          <w:color w:val="000000"/>
          <w:szCs w:val="24"/>
        </w:rPr>
        <w:t>的投</w:t>
      </w:r>
      <w:r>
        <w:rPr>
          <w:rFonts w:asciiTheme="minorEastAsia" w:hAnsiTheme="minorEastAsia"/>
          <w:color w:val="000000"/>
          <w:szCs w:val="24"/>
        </w:rPr>
        <w:t>标</w:t>
      </w:r>
      <w:r>
        <w:rPr>
          <w:rFonts w:hint="eastAsia" w:asciiTheme="minorEastAsia" w:hAnsiTheme="minorEastAsia"/>
          <w:color w:val="000000"/>
          <w:szCs w:val="24"/>
        </w:rPr>
        <w:t>文件及合同的</w:t>
      </w:r>
      <w:r>
        <w:rPr>
          <w:rFonts w:asciiTheme="minorEastAsia" w:hAnsiTheme="minorEastAsia"/>
          <w:color w:val="000000"/>
          <w:szCs w:val="24"/>
        </w:rPr>
        <w:t>执</w:t>
      </w:r>
      <w:r>
        <w:rPr>
          <w:rFonts w:hint="eastAsia" w:asciiTheme="minorEastAsia" w:hAnsiTheme="minorEastAsia"/>
          <w:color w:val="000000"/>
          <w:szCs w:val="24"/>
        </w:rPr>
        <w:t>行、完成、服</w:t>
      </w:r>
      <w:r>
        <w:rPr>
          <w:rFonts w:asciiTheme="minorEastAsia" w:hAnsiTheme="minorEastAsia"/>
          <w:color w:val="000000"/>
          <w:szCs w:val="24"/>
        </w:rPr>
        <w:t>务</w:t>
      </w:r>
      <w:r>
        <w:rPr>
          <w:rFonts w:hint="eastAsia" w:asciiTheme="minorEastAsia" w:hAnsiTheme="minorEastAsia"/>
          <w:color w:val="000000"/>
          <w:szCs w:val="24"/>
        </w:rPr>
        <w:t>和保修，</w:t>
      </w:r>
      <w:r>
        <w:rPr>
          <w:rFonts w:asciiTheme="minorEastAsia" w:hAnsiTheme="minorEastAsia"/>
          <w:color w:val="000000"/>
          <w:szCs w:val="24"/>
        </w:rPr>
        <w:t>签</w:t>
      </w:r>
      <w:r>
        <w:rPr>
          <w:rFonts w:hint="eastAsia" w:asciiTheme="minorEastAsia" w:hAnsiTheme="minorEastAsia"/>
          <w:color w:val="000000"/>
          <w:szCs w:val="24"/>
        </w:rPr>
        <w:t>署合同和</w:t>
      </w:r>
      <w:r>
        <w:rPr>
          <w:rFonts w:asciiTheme="minorEastAsia" w:hAnsiTheme="minorEastAsia"/>
          <w:color w:val="000000"/>
          <w:szCs w:val="24"/>
        </w:rPr>
        <w:t>处</w:t>
      </w:r>
      <w:r>
        <w:rPr>
          <w:rFonts w:hint="eastAsia" w:asciiTheme="minorEastAsia" w:hAnsiTheme="minorEastAsia"/>
          <w:color w:val="000000"/>
          <w:szCs w:val="24"/>
        </w:rPr>
        <w:t>理与之有</w:t>
      </w:r>
      <w:r>
        <w:rPr>
          <w:rFonts w:asciiTheme="minorEastAsia" w:hAnsiTheme="minorEastAsia"/>
          <w:color w:val="000000"/>
          <w:szCs w:val="24"/>
        </w:rPr>
        <w:t>关的</w:t>
      </w:r>
      <w:r>
        <w:rPr>
          <w:rFonts w:hint="eastAsia" w:asciiTheme="minorEastAsia" w:hAnsiTheme="minorEastAsia"/>
          <w:color w:val="000000"/>
          <w:szCs w:val="24"/>
        </w:rPr>
        <w:t>一切事</w:t>
      </w:r>
      <w:r>
        <w:rPr>
          <w:rFonts w:asciiTheme="minorEastAsia" w:hAnsiTheme="minorEastAsia"/>
          <w:color w:val="000000"/>
          <w:szCs w:val="24"/>
        </w:rPr>
        <w:t>务</w:t>
      </w:r>
      <w:r>
        <w:rPr>
          <w:rFonts w:hint="eastAsia" w:asciiTheme="minorEastAsia" w:hAnsiTheme="minorEastAsia"/>
          <w:color w:val="000000"/>
          <w:szCs w:val="24"/>
        </w:rPr>
        <w:t>。</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特此</w:t>
      </w:r>
      <w:r>
        <w:rPr>
          <w:rFonts w:asciiTheme="minorEastAsia" w:hAnsiTheme="minorEastAsia"/>
          <w:color w:val="000000"/>
          <w:szCs w:val="24"/>
        </w:rPr>
        <w:t>证</w:t>
      </w:r>
      <w:r>
        <w:rPr>
          <w:rFonts w:hint="eastAsia" w:asciiTheme="minorEastAsia" w:hAnsiTheme="minorEastAsia"/>
          <w:color w:val="000000"/>
          <w:szCs w:val="24"/>
        </w:rPr>
        <w:t>明。</w:t>
      </w:r>
    </w:p>
    <w:p>
      <w:pPr>
        <w:pStyle w:val="40"/>
        <w:spacing w:line="480" w:lineRule="auto"/>
        <w:ind w:firstLine="540" w:firstLineChars="225"/>
        <w:jc w:val="left"/>
        <w:rPr>
          <w:rFonts w:asciiTheme="minorEastAsia" w:hAnsiTheme="minorEastAsia"/>
          <w:color w:val="000000"/>
          <w:szCs w:val="24"/>
        </w:rPr>
      </w:pPr>
    </w:p>
    <w:p>
      <w:pPr>
        <w:pStyle w:val="40"/>
        <w:spacing w:line="480" w:lineRule="auto"/>
        <w:ind w:firstLine="540" w:firstLineChars="225"/>
        <w:jc w:val="left"/>
        <w:rPr>
          <w:rFonts w:asciiTheme="minorEastAsia" w:hAnsiTheme="minorEastAsia"/>
          <w:color w:val="000000"/>
          <w:szCs w:val="24"/>
        </w:rPr>
      </w:pPr>
    </w:p>
    <w:p>
      <w:pPr>
        <w:pStyle w:val="40"/>
        <w:spacing w:line="480" w:lineRule="auto"/>
        <w:ind w:left="-538" w:leftChars="-256" w:firstLine="616" w:firstLineChars="257"/>
        <w:jc w:val="center"/>
        <w:rPr>
          <w:rFonts w:asciiTheme="minorEastAsia" w:hAnsiTheme="minorEastAsia"/>
          <w:bCs/>
          <w:color w:val="000000"/>
          <w:szCs w:val="24"/>
        </w:rPr>
      </w:pPr>
      <w:r>
        <w:rPr>
          <w:rFonts w:hint="eastAsia" w:asciiTheme="minorEastAsia" w:hAnsiTheme="minorEastAsia"/>
          <w:bCs/>
          <w:color w:val="000000"/>
          <w:szCs w:val="24"/>
        </w:rPr>
        <w:t>【此</w:t>
      </w:r>
      <w:r>
        <w:rPr>
          <w:rFonts w:asciiTheme="minorEastAsia" w:hAnsiTheme="minorEastAsia"/>
          <w:bCs/>
          <w:color w:val="000000"/>
          <w:szCs w:val="24"/>
        </w:rPr>
        <w:t>处请</w:t>
      </w:r>
      <w:r>
        <w:rPr>
          <w:rFonts w:hint="eastAsia" w:asciiTheme="minorEastAsia" w:hAnsiTheme="minorEastAsia"/>
          <w:bCs/>
          <w:color w:val="000000"/>
          <w:szCs w:val="24"/>
        </w:rPr>
        <w:t>粘</w:t>
      </w:r>
      <w:r>
        <w:rPr>
          <w:rFonts w:asciiTheme="minorEastAsia" w:hAnsiTheme="minorEastAsia"/>
          <w:bCs/>
          <w:color w:val="000000"/>
          <w:szCs w:val="24"/>
        </w:rPr>
        <w:t>贴</w:t>
      </w:r>
      <w:r>
        <w:rPr>
          <w:rFonts w:hint="eastAsia" w:asciiTheme="minorEastAsia" w:hAnsiTheme="minorEastAsia"/>
          <w:bCs/>
          <w:color w:val="000000"/>
          <w:szCs w:val="24"/>
        </w:rPr>
        <w:t>法定代表人身份</w:t>
      </w:r>
      <w:r>
        <w:rPr>
          <w:rFonts w:asciiTheme="minorEastAsia" w:hAnsiTheme="minorEastAsia"/>
          <w:bCs/>
          <w:color w:val="000000"/>
          <w:szCs w:val="24"/>
        </w:rPr>
        <w:t>证复</w:t>
      </w:r>
      <w:r>
        <w:rPr>
          <w:rFonts w:hint="eastAsia" w:asciiTheme="minorEastAsia" w:hAnsiTheme="minorEastAsia"/>
          <w:bCs/>
          <w:color w:val="000000"/>
          <w:szCs w:val="24"/>
        </w:rPr>
        <w:t>印件，需清晰反映身份证有效期限】</w:t>
      </w:r>
    </w:p>
    <w:p>
      <w:pPr>
        <w:pStyle w:val="40"/>
        <w:spacing w:line="480" w:lineRule="auto"/>
        <w:ind w:left="-538" w:leftChars="-256" w:firstLine="616" w:firstLineChars="257"/>
        <w:jc w:val="center"/>
        <w:rPr>
          <w:rFonts w:asciiTheme="minorEastAsia" w:hAnsiTheme="minorEastAsia"/>
          <w:bCs/>
          <w:color w:val="000000"/>
          <w:szCs w:val="24"/>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spacing w:line="480" w:lineRule="auto"/>
        <w:ind w:firstLine="3900" w:firstLineChars="1625"/>
        <w:rPr>
          <w:rFonts w:cs="Arial" w:asciiTheme="minorEastAsia" w:hAnsiTheme="minorEastAsia"/>
          <w:color w:val="000000"/>
          <w:sz w:val="24"/>
          <w:szCs w:val="24"/>
          <w:u w:val="single"/>
        </w:rPr>
      </w:pPr>
      <w:r>
        <w:rPr>
          <w:rFonts w:hint="eastAsia" w:cs="Arial" w:asciiTheme="minorEastAsia" w:hAnsiTheme="minorEastAsia"/>
          <w:color w:val="000000"/>
          <w:sz w:val="24"/>
          <w:szCs w:val="24"/>
        </w:rPr>
        <w:t>投标人名称（并加盖公章）：</w:t>
      </w:r>
    </w:p>
    <w:p>
      <w:pPr>
        <w:pStyle w:val="43"/>
        <w:spacing w:before="60" w:line="480" w:lineRule="auto"/>
        <w:ind w:firstLine="3900" w:firstLineChars="1625"/>
        <w:rPr>
          <w:rFonts w:cs="Arial" w:asciiTheme="minorEastAsia" w:hAnsiTheme="minorEastAsia" w:eastAsiaTheme="minorEastAsia"/>
          <w:color w:val="000000"/>
          <w:szCs w:val="24"/>
        </w:rPr>
      </w:pPr>
      <w:r>
        <w:rPr>
          <w:rFonts w:hint="eastAsia" w:cs="Arial" w:asciiTheme="minorEastAsia" w:hAnsiTheme="minorEastAsia" w:eastAsiaTheme="minorEastAsia"/>
          <w:color w:val="000000"/>
          <w:szCs w:val="24"/>
        </w:rPr>
        <w:t>签署日期：   年   月  日</w:t>
      </w:r>
    </w:p>
    <w:p>
      <w:pPr>
        <w:pStyle w:val="42"/>
        <w:spacing w:line="480" w:lineRule="auto"/>
        <w:rPr>
          <w:rFonts w:cs="Arial" w:asciiTheme="minorEastAsia" w:hAnsiTheme="minorEastAsia"/>
          <w:color w:val="000000"/>
          <w:szCs w:val="24"/>
        </w:rPr>
      </w:pPr>
    </w:p>
    <w:p/>
    <w:p>
      <w:pPr>
        <w:spacing w:line="320" w:lineRule="exact"/>
        <w:rPr>
          <w:rFonts w:asciiTheme="minorEastAsia" w:hAnsiTheme="minorEastAsia"/>
          <w:bCs/>
          <w:color w:val="000000"/>
          <w:kern w:val="12"/>
          <w:sz w:val="24"/>
          <w:szCs w:val="24"/>
        </w:rPr>
      </w:pPr>
      <w:r>
        <w:rPr>
          <w:rFonts w:hint="eastAsia" w:asciiTheme="minorEastAsia" w:hAnsiTheme="minorEastAsia"/>
          <w:bCs/>
          <w:color w:val="000000"/>
          <w:kern w:val="12"/>
          <w:sz w:val="24"/>
          <w:szCs w:val="24"/>
        </w:rPr>
        <w:t>说明：法定代表人</w:t>
      </w:r>
      <w:r>
        <w:rPr>
          <w:rFonts w:asciiTheme="minorEastAsia" w:hAnsiTheme="minorEastAsia"/>
          <w:bCs/>
          <w:color w:val="000000"/>
          <w:kern w:val="12"/>
          <w:sz w:val="24"/>
          <w:szCs w:val="24"/>
        </w:rPr>
        <w:t>参</w:t>
      </w:r>
      <w:r>
        <w:rPr>
          <w:rFonts w:hint="eastAsia" w:asciiTheme="minorEastAsia" w:hAnsiTheme="minorEastAsia"/>
          <w:bCs/>
          <w:color w:val="000000"/>
          <w:kern w:val="12"/>
          <w:sz w:val="24"/>
          <w:szCs w:val="24"/>
        </w:rPr>
        <w:t>加本招</w:t>
      </w:r>
      <w:r>
        <w:rPr>
          <w:rFonts w:asciiTheme="minorEastAsia" w:hAnsiTheme="minorEastAsia"/>
          <w:bCs/>
          <w:color w:val="000000"/>
          <w:kern w:val="12"/>
          <w:sz w:val="24"/>
          <w:szCs w:val="24"/>
        </w:rPr>
        <w:t>标项目</w:t>
      </w:r>
      <w:r>
        <w:rPr>
          <w:rFonts w:hint="eastAsia" w:asciiTheme="minorEastAsia" w:hAnsiTheme="minorEastAsia"/>
          <w:bCs/>
          <w:color w:val="000000"/>
          <w:kern w:val="12"/>
          <w:sz w:val="24"/>
          <w:szCs w:val="24"/>
        </w:rPr>
        <w:t>投</w:t>
      </w:r>
      <w:r>
        <w:rPr>
          <w:rFonts w:asciiTheme="minorEastAsia" w:hAnsiTheme="minorEastAsia"/>
          <w:bCs/>
          <w:color w:val="000000"/>
          <w:kern w:val="12"/>
          <w:sz w:val="24"/>
          <w:szCs w:val="24"/>
        </w:rPr>
        <w:t>标</w:t>
      </w:r>
      <w:r>
        <w:rPr>
          <w:rFonts w:hint="eastAsia" w:asciiTheme="minorEastAsia" w:hAnsiTheme="minorEastAsia"/>
          <w:bCs/>
          <w:color w:val="000000"/>
          <w:kern w:val="12"/>
          <w:sz w:val="24"/>
          <w:szCs w:val="24"/>
        </w:rPr>
        <w:t>的，</w:t>
      </w:r>
      <w:r>
        <w:rPr>
          <w:rFonts w:asciiTheme="minorEastAsia" w:hAnsiTheme="minorEastAsia"/>
          <w:bCs/>
          <w:color w:val="000000"/>
          <w:kern w:val="12"/>
          <w:sz w:val="24"/>
          <w:szCs w:val="24"/>
        </w:rPr>
        <w:t>仅须</w:t>
      </w:r>
      <w:r>
        <w:rPr>
          <w:rFonts w:hint="eastAsia" w:asciiTheme="minorEastAsia" w:hAnsiTheme="minorEastAsia"/>
          <w:bCs/>
          <w:color w:val="000000"/>
          <w:kern w:val="12"/>
          <w:sz w:val="24"/>
          <w:szCs w:val="24"/>
        </w:rPr>
        <w:t>出具此</w:t>
      </w:r>
      <w:r>
        <w:rPr>
          <w:rFonts w:asciiTheme="minorEastAsia" w:hAnsiTheme="minorEastAsia"/>
          <w:bCs/>
          <w:color w:val="000000"/>
          <w:kern w:val="12"/>
          <w:sz w:val="24"/>
          <w:szCs w:val="24"/>
        </w:rPr>
        <w:t>证</w:t>
      </w:r>
      <w:r>
        <w:rPr>
          <w:rFonts w:hint="eastAsia" w:asciiTheme="minorEastAsia" w:hAnsiTheme="minorEastAsia"/>
          <w:bCs/>
          <w:color w:val="000000"/>
          <w:kern w:val="12"/>
          <w:sz w:val="24"/>
          <w:szCs w:val="24"/>
        </w:rPr>
        <w:t>明</w:t>
      </w:r>
      <w:r>
        <w:rPr>
          <w:rFonts w:asciiTheme="minorEastAsia" w:hAnsiTheme="minorEastAsia"/>
          <w:bCs/>
          <w:color w:val="000000"/>
          <w:kern w:val="12"/>
          <w:sz w:val="24"/>
          <w:szCs w:val="24"/>
        </w:rPr>
        <w:t>书</w:t>
      </w:r>
      <w:r>
        <w:rPr>
          <w:rFonts w:hint="eastAsia" w:asciiTheme="minorEastAsia" w:hAnsiTheme="minorEastAsia"/>
          <w:bCs/>
          <w:color w:val="000000"/>
          <w:kern w:val="12"/>
          <w:sz w:val="24"/>
          <w:szCs w:val="24"/>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36"/>
          <w:szCs w:val="36"/>
        </w:rPr>
      </w:pPr>
      <w:r>
        <w:rPr>
          <w:rFonts w:hint="eastAsia" w:ascii="宋体" w:hAnsi="宋体"/>
          <w:b/>
          <w:bCs/>
          <w:color w:val="000000"/>
          <w:sz w:val="36"/>
          <w:szCs w:val="36"/>
        </w:rPr>
        <w:t>3.3 法定代表人授权书</w:t>
      </w:r>
    </w:p>
    <w:p>
      <w:pPr>
        <w:spacing w:line="480" w:lineRule="exact"/>
        <w:jc w:val="center"/>
        <w:rPr>
          <w:rFonts w:ascii="宋体" w:hAnsi="宋体"/>
          <w:b/>
          <w:bCs/>
          <w:color w:val="000000"/>
          <w:sz w:val="36"/>
          <w:szCs w:val="36"/>
        </w:rPr>
      </w:pPr>
    </w:p>
    <w:p>
      <w:pPr>
        <w:adjustRightInd w:val="0"/>
        <w:spacing w:line="360" w:lineRule="auto"/>
        <w:ind w:firstLine="504" w:firstLineChars="210"/>
        <w:contextualSpacing/>
        <w:rPr>
          <w:rFonts w:cs="Arial" w:asciiTheme="minorEastAsia" w:hAnsiTheme="minorEastAsia"/>
          <w:sz w:val="24"/>
          <w:szCs w:val="24"/>
        </w:rPr>
      </w:pPr>
      <w:r>
        <w:rPr>
          <w:rFonts w:hint="eastAsia" w:asciiTheme="minorEastAsia" w:hAnsiTheme="minorEastAsia"/>
          <w:sz w:val="24"/>
          <w:szCs w:val="24"/>
        </w:rPr>
        <w:t xml:space="preserve"> </w:t>
      </w:r>
      <w:r>
        <w:rPr>
          <w:rFonts w:hint="eastAsia" w:cs="Arial" w:asciiTheme="minorEastAsia" w:hAnsiTheme="minorEastAsia"/>
          <w:sz w:val="24"/>
          <w:szCs w:val="24"/>
        </w:rPr>
        <w:t>本人</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法人姓名</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系</w:t>
      </w:r>
      <w:r>
        <w:rPr>
          <w:rFonts w:hint="eastAsia" w:cs="Arial" w:asciiTheme="minorEastAsia" w:hAnsiTheme="minorEastAsia"/>
          <w:sz w:val="24"/>
          <w:szCs w:val="24"/>
          <w:u w:val="single"/>
        </w:rPr>
        <w:t>　</w:t>
      </w:r>
      <w:r>
        <w:rPr>
          <w:rFonts w:hint="eastAsia" w:asciiTheme="minorEastAsia" w:hAnsiTheme="minorEastAsia"/>
          <w:i/>
          <w:snapToGrid w:val="0"/>
          <w:sz w:val="24"/>
          <w:szCs w:val="24"/>
          <w:u w:val="single"/>
        </w:rPr>
        <w:t xml:space="preserve">投标人名称  </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的法定代表人，现委托</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姓名，职务</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被授权人无转委托权，特此委托。</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投标人名称： </w:t>
      </w:r>
      <w:r>
        <w:rPr>
          <w:rFonts w:hint="eastAsia" w:asciiTheme="minorEastAsia" w:hAnsiTheme="minorEastAsia"/>
          <w:sz w:val="24"/>
          <w:szCs w:val="24"/>
          <w:u w:val="single"/>
        </w:rPr>
        <w:t xml:space="preserve">       （全称）       </w:t>
      </w:r>
      <w:r>
        <w:rPr>
          <w:rFonts w:hint="eastAsia" w:asciiTheme="minorEastAsia" w:hAnsiTheme="minorEastAsia"/>
          <w:sz w:val="24"/>
          <w:szCs w:val="24"/>
        </w:rPr>
        <w:t xml:space="preserve"> （盖单位公章）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法定代表人授权代表：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tbl>
      <w:tblPr>
        <w:tblStyle w:val="21"/>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法定代表人身份证（正面）</w:t>
            </w:r>
          </w:p>
        </w:tc>
        <w:tc>
          <w:tcPr>
            <w:tcW w:w="448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 w:val="24"/>
                <w:szCs w:val="24"/>
              </w:rPr>
            </w:pPr>
            <w:bookmarkStart w:id="4" w:name="_资格证明文件"/>
            <w:bookmarkEnd w:id="4"/>
            <w:bookmarkStart w:id="5" w:name="_Toc364329026"/>
            <w:r>
              <w:rPr>
                <w:rFonts w:hint="eastAsia" w:asciiTheme="minorEastAsia" w:hAnsiTheme="minorEastAsia"/>
                <w:sz w:val="24"/>
                <w:szCs w:val="24"/>
              </w:rPr>
              <w:t>法定代表人授权代表身份证（正面）</w:t>
            </w:r>
            <w:bookmarkEnd w:id="5"/>
          </w:p>
        </w:tc>
        <w:tc>
          <w:tcPr>
            <w:tcW w:w="4492" w:type="dxa"/>
            <w:gridSpan w:val="2"/>
            <w:vAlign w:val="center"/>
          </w:tcPr>
          <w:p>
            <w:pPr>
              <w:jc w:val="center"/>
              <w:rPr>
                <w:rFonts w:asciiTheme="minorEastAsia" w:hAnsiTheme="minorEastAsia"/>
                <w:sz w:val="24"/>
                <w:szCs w:val="24"/>
              </w:rPr>
            </w:pPr>
            <w:bookmarkStart w:id="6" w:name="_Toc364329027"/>
            <w:r>
              <w:rPr>
                <w:rFonts w:hint="eastAsia" w:asciiTheme="minorEastAsia" w:hAnsiTheme="minorEastAsia"/>
                <w:sz w:val="24"/>
                <w:szCs w:val="24"/>
              </w:rPr>
              <w:t>法定代表人授权代表身份证（反面）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3.4 没有重大违法记录的声明</w:t>
      </w:r>
    </w:p>
    <w:p>
      <w:pPr>
        <w:spacing w:beforeLines="50" w:afterLines="50"/>
        <w:jc w:val="center"/>
        <w:rPr>
          <w:rFonts w:ascii="宋体" w:hAnsi="宋体" w:cs="Arial"/>
          <w:color w:val="000000"/>
          <w:kern w:val="0"/>
          <w:sz w:val="36"/>
          <w:szCs w:val="36"/>
        </w:rPr>
      </w:pPr>
      <w:r>
        <w:rPr>
          <w:rFonts w:hint="eastAsia" w:ascii="宋体" w:hAnsi="宋体" w:cs="Arial"/>
          <w:color w:val="000000"/>
          <w:kern w:val="0"/>
          <w:sz w:val="36"/>
          <w:szCs w:val="36"/>
        </w:rPr>
        <w:t>声　   明</w:t>
      </w:r>
    </w:p>
    <w:p>
      <w:pPr>
        <w:spacing w:beforeLines="50" w:afterLines="50" w:line="36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特此声明。</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本公司对上述声明的真实性负责。如有虚假，将依法承担相应责任。</w:t>
      </w:r>
    </w:p>
    <w:p>
      <w:pPr>
        <w:spacing w:beforeLines="50" w:afterLines="50" w:line="360" w:lineRule="auto"/>
        <w:ind w:firstLine="566" w:firstLineChars="23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单位名称（盖章）：</w:t>
      </w: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日    期：</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禹州市公共资源交易中心保证金缴纳回执</w:t>
      </w:r>
    </w:p>
    <w:p>
      <w:pPr>
        <w:autoSpaceDE w:val="0"/>
        <w:autoSpaceDN w:val="0"/>
        <w:adjustRightInd w:val="0"/>
        <w:spacing w:line="360" w:lineRule="auto"/>
        <w:jc w:val="center"/>
        <w:rPr>
          <w:rFonts w:ascii="宋体" w:cs="宋体"/>
          <w:sz w:val="24"/>
          <w:lang w:val="zh-CN"/>
        </w:rPr>
      </w:pPr>
    </w:p>
    <w:p>
      <w:pPr>
        <w:autoSpaceDE w:val="0"/>
        <w:autoSpaceDN w:val="0"/>
        <w:adjustRightInd w:val="0"/>
        <w:spacing w:line="360" w:lineRule="auto"/>
        <w:jc w:val="center"/>
        <w:rPr>
          <w:rFonts w:ascii="宋体" w:cs="宋体"/>
          <w:sz w:val="24"/>
          <w:lang w:val="zh-CN"/>
        </w:rPr>
      </w:pPr>
      <w:r>
        <w:rPr>
          <w:rFonts w:hint="eastAsia" w:ascii="宋体" w:cs="宋体"/>
          <w:sz w:val="24"/>
          <w:lang w:val="zh-CN"/>
        </w:rPr>
        <w:t>（注：开标现场单独提供一份“禹州市公共资源交易中心保证金缴纳回执”以备查询）</w:t>
      </w: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4.1 </w:t>
      </w:r>
      <w:r>
        <w:rPr>
          <w:rFonts w:hint="eastAsia" w:hAnsi="宋体" w:eastAsia="宋体"/>
          <w:b/>
          <w:snapToGrid w:val="0"/>
          <w:kern w:val="0"/>
          <w:sz w:val="36"/>
          <w:szCs w:val="36"/>
        </w:rPr>
        <w:t>投标分项报价表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1"/>
        <w:tblW w:w="9400" w:type="dxa"/>
        <w:tblInd w:w="0" w:type="dxa"/>
        <w:tblLayout w:type="fixed"/>
        <w:tblCellMar>
          <w:top w:w="0" w:type="dxa"/>
          <w:left w:w="108" w:type="dxa"/>
          <w:bottom w:w="0" w:type="dxa"/>
          <w:right w:w="108" w:type="dxa"/>
        </w:tblCellMar>
      </w:tblPr>
      <w:tblGrid>
        <w:gridCol w:w="534"/>
        <w:gridCol w:w="1134"/>
        <w:gridCol w:w="1701"/>
        <w:gridCol w:w="1059"/>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名</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称</w:t>
            </w:r>
          </w:p>
        </w:tc>
        <w:tc>
          <w:tcPr>
            <w:tcW w:w="170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rPr>
                <w:rFonts w:cs="宋体" w:asciiTheme="minorEastAsia" w:hAnsiTheme="minorEastAsia"/>
                <w:b/>
                <w:color w:val="00B050"/>
                <w:sz w:val="24"/>
                <w:szCs w:val="24"/>
                <w:lang w:val="zh-CN"/>
              </w:rPr>
            </w:pPr>
            <w:r>
              <w:rPr>
                <w:rFonts w:hint="eastAsia" w:cs="宋体" w:asciiTheme="minorEastAsia" w:hAnsiTheme="minorEastAsia"/>
                <w:b/>
                <w:color w:val="00B050"/>
                <w:sz w:val="24"/>
                <w:szCs w:val="24"/>
                <w:lang w:val="zh-CN"/>
              </w:rPr>
              <w:t>品牌规格型号</w:t>
            </w:r>
          </w:p>
        </w:tc>
        <w:tc>
          <w:tcPr>
            <w:tcW w:w="10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技术</w:t>
            </w:r>
          </w:p>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数</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 w:val="24"/>
                <w:szCs w:val="24"/>
                <w:lang w:val="zh-CN"/>
              </w:rPr>
            </w:pPr>
            <w:r>
              <w:rPr>
                <w:rFonts w:hint="eastAsia" w:cs="宋体" w:asciiTheme="minorEastAsia" w:hAnsiTheme="minorEastAsia"/>
                <w:b/>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产地及</w:t>
            </w:r>
          </w:p>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4"/>
              </w:rPr>
            </w:pPr>
            <w:r>
              <w:rPr>
                <w:rFonts w:hint="eastAsia" w:cs="宋体" w:asciiTheme="minorEastAsia" w:hAnsiTheme="minorEastAsia"/>
                <w:sz w:val="24"/>
                <w:szCs w:val="24"/>
                <w:lang w:val="zh-CN"/>
              </w:rPr>
              <w:t>合</w:t>
            </w:r>
            <w:r>
              <w:rPr>
                <w:rFonts w:asciiTheme="minorEastAsia" w:hAnsiTheme="minorEastAsia"/>
                <w:sz w:val="24"/>
                <w:szCs w:val="24"/>
              </w:rPr>
              <w:t xml:space="preserve">  </w:t>
            </w:r>
            <w:r>
              <w:rPr>
                <w:rFonts w:hint="eastAsia" w:cs="宋体" w:asciiTheme="minorEastAsia" w:hAnsiTheme="minorEastAsia"/>
                <w:sz w:val="24"/>
                <w:szCs w:val="24"/>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cs="宋体" w:asciiTheme="minorEastAsia" w:hAnsiTheme="minorEastAsia"/>
                <w:sz w:val="24"/>
                <w:szCs w:val="24"/>
                <w:lang w:val="zh-CN"/>
              </w:rPr>
            </w:pPr>
            <w:r>
              <w:rPr>
                <w:rFonts w:hint="eastAsia" w:cs="宋体" w:asciiTheme="minorEastAsia" w:hAnsiTheme="minorEastAsia"/>
                <w:sz w:val="24"/>
                <w:szCs w:val="24"/>
                <w:lang w:val="zh-CN"/>
              </w:rPr>
              <w:t>大写：　　　　　　</w:t>
            </w:r>
            <w:r>
              <w:rPr>
                <w:rFonts w:asciiTheme="minorEastAsia" w:hAnsiTheme="minorEastAsia"/>
                <w:sz w:val="24"/>
                <w:szCs w:val="24"/>
              </w:rPr>
              <w:t xml:space="preserve">              </w:t>
            </w:r>
            <w:r>
              <w:rPr>
                <w:rFonts w:hint="eastAsia" w:cs="宋体" w:asciiTheme="minorEastAsia" w:hAnsiTheme="minorEastAsia"/>
                <w:sz w:val="24"/>
                <w:szCs w:val="24"/>
                <w:lang w:val="zh-CN"/>
              </w:rPr>
              <w:t>小写：</w:t>
            </w: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4.2 </w:t>
      </w:r>
      <w:r>
        <w:rPr>
          <w:rFonts w:hint="eastAsia" w:hAnsi="宋体" w:eastAsia="宋体"/>
          <w:b/>
          <w:snapToGrid w:val="0"/>
          <w:kern w:val="0"/>
          <w:sz w:val="36"/>
          <w:szCs w:val="36"/>
        </w:rPr>
        <w:t>技术规格偏离表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1"/>
        <w:tblW w:w="9322" w:type="dxa"/>
        <w:tblInd w:w="0" w:type="dxa"/>
        <w:tblLayout w:type="fixed"/>
        <w:tblCellMar>
          <w:top w:w="0" w:type="dxa"/>
          <w:left w:w="108" w:type="dxa"/>
          <w:bottom w:w="0" w:type="dxa"/>
          <w:right w:w="108" w:type="dxa"/>
        </w:tblCellMar>
      </w:tblPr>
      <w:tblGrid>
        <w:gridCol w:w="828"/>
        <w:gridCol w:w="1980"/>
        <w:gridCol w:w="1411"/>
        <w:gridCol w:w="1701"/>
        <w:gridCol w:w="1559"/>
        <w:gridCol w:w="993"/>
        <w:gridCol w:w="850"/>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9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货物或服务名称</w:t>
            </w:r>
          </w:p>
        </w:tc>
        <w:tc>
          <w:tcPr>
            <w:tcW w:w="141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color w:val="00B050"/>
                <w:sz w:val="24"/>
                <w:szCs w:val="24"/>
              </w:rPr>
            </w:pPr>
            <w:r>
              <w:rPr>
                <w:rFonts w:hint="eastAsia" w:ascii="宋体" w:hAnsi="宋体" w:eastAsia="宋体" w:cs="宋体"/>
                <w:b/>
                <w:bCs/>
                <w:color w:val="00B050"/>
                <w:sz w:val="24"/>
                <w:szCs w:val="24"/>
              </w:rPr>
              <w:t>品牌规格型号</w:t>
            </w:r>
          </w:p>
        </w:tc>
        <w:tc>
          <w:tcPr>
            <w:tcW w:w="170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招标文件</w:t>
            </w:r>
          </w:p>
          <w:p>
            <w:pPr>
              <w:pStyle w:val="8"/>
              <w:jc w:val="center"/>
              <w:rPr>
                <w:rFonts w:ascii="宋体" w:hAnsi="宋体" w:eastAsia="宋体" w:cs="宋体"/>
                <w:b/>
                <w:bCs/>
                <w:sz w:val="24"/>
                <w:szCs w:val="24"/>
              </w:rPr>
            </w:pPr>
            <w:r>
              <w:rPr>
                <w:rFonts w:hint="eastAsia" w:ascii="宋体" w:hAnsi="宋体" w:eastAsia="宋体" w:cs="宋体"/>
                <w:b/>
                <w:bCs/>
                <w:sz w:val="24"/>
                <w:szCs w:val="24"/>
              </w:rPr>
              <w:t>技术参数</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投标技术</w:t>
            </w:r>
          </w:p>
          <w:p>
            <w:pPr>
              <w:pStyle w:val="8"/>
              <w:jc w:val="center"/>
              <w:rPr>
                <w:rFonts w:ascii="宋体" w:hAnsi="宋体" w:eastAsia="宋体" w:cs="宋体"/>
                <w:b/>
                <w:bCs/>
                <w:sz w:val="24"/>
                <w:szCs w:val="24"/>
              </w:rPr>
            </w:pPr>
            <w:r>
              <w:rPr>
                <w:rFonts w:hint="eastAsia" w:ascii="宋体" w:hAnsi="宋体" w:eastAsia="宋体" w:cs="宋体"/>
                <w:b/>
                <w:bCs/>
                <w:sz w:val="24"/>
                <w:szCs w:val="24"/>
              </w:rPr>
              <w:t>参数</w:t>
            </w:r>
          </w:p>
        </w:tc>
        <w:tc>
          <w:tcPr>
            <w:tcW w:w="99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偏离</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说明</w:t>
            </w: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bCs/>
                <w:sz w:val="24"/>
                <w:szCs w:val="24"/>
              </w:rPr>
              <w:t>1</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sz w:val="24"/>
                <w:szCs w:val="24"/>
              </w:rPr>
              <w:t>…</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autoSpaceDE w:val="0"/>
        <w:autoSpaceDN w:val="0"/>
        <w:adjustRightInd w:val="0"/>
        <w:spacing w:line="360" w:lineRule="auto"/>
        <w:jc w:val="center"/>
        <w:rPr>
          <w:rFonts w:hint="eastAsia" w:ascii="宋体" w:hAnsi="宋体"/>
          <w:b/>
          <w:bCs/>
          <w:color w:val="000000"/>
          <w:sz w:val="36"/>
          <w:szCs w:val="36"/>
        </w:rPr>
      </w:pPr>
    </w:p>
    <w:p>
      <w:pPr>
        <w:autoSpaceDE w:val="0"/>
        <w:autoSpaceDN w:val="0"/>
        <w:adjustRightInd w:val="0"/>
        <w:spacing w:line="360" w:lineRule="auto"/>
        <w:jc w:val="center"/>
        <w:rPr>
          <w:rFonts w:hint="eastAsia" w:ascii="宋体" w:hAnsi="宋体"/>
          <w:b/>
          <w:bCs/>
          <w:color w:val="00000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ascii="宋体" w:hAnsi="宋体"/>
          <w:b/>
          <w:bCs/>
          <w:color w:val="000000"/>
          <w:sz w:val="36"/>
          <w:szCs w:val="36"/>
        </w:rPr>
        <w:t>4.3</w:t>
      </w:r>
      <w:r>
        <w:rPr>
          <w:rFonts w:hint="eastAsia" w:ascii="宋体" w:hAnsi="宋体"/>
          <w:b/>
          <w:bCs/>
          <w:color w:val="000000"/>
          <w:sz w:val="36"/>
          <w:szCs w:val="36"/>
          <w:lang w:val="en-US" w:eastAsia="zh-CN"/>
        </w:rPr>
        <w:t xml:space="preserve">  </w:t>
      </w:r>
      <w:r>
        <w:rPr>
          <w:rFonts w:hint="eastAsia" w:ascii="宋体" w:hAnsi="宋体"/>
          <w:b/>
          <w:bCs/>
          <w:color w:val="000000"/>
          <w:sz w:val="36"/>
          <w:szCs w:val="36"/>
        </w:rPr>
        <w:t xml:space="preserve"> </w:t>
      </w:r>
      <w:r>
        <w:rPr>
          <w:rFonts w:hint="eastAsia" w:hAnsi="宋体" w:eastAsia="宋体"/>
          <w:b/>
          <w:snapToGrid w:val="0"/>
          <w:kern w:val="0"/>
          <w:sz w:val="36"/>
          <w:szCs w:val="36"/>
        </w:rPr>
        <w:t>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int="eastAsia" w:ascii="宋体" w:hAnsi="宋体"/>
          <w:b/>
          <w:bCs/>
          <w:color w:val="000000"/>
          <w:sz w:val="36"/>
          <w:szCs w:val="36"/>
        </w:rPr>
      </w:pPr>
    </w:p>
    <w:p>
      <w:pPr>
        <w:snapToGrid w:val="0"/>
        <w:spacing w:line="360" w:lineRule="auto"/>
        <w:jc w:val="center"/>
        <w:rPr>
          <w:rFonts w:hint="eastAsia" w:ascii="宋体" w:hAnsi="宋体"/>
          <w:b/>
          <w:bCs/>
          <w:color w:val="000000"/>
          <w:sz w:val="36"/>
          <w:szCs w:val="36"/>
        </w:rPr>
      </w:pPr>
    </w:p>
    <w:p>
      <w:pPr>
        <w:snapToGrid w:val="0"/>
        <w:spacing w:line="360" w:lineRule="auto"/>
        <w:jc w:val="center"/>
        <w:rPr>
          <w:rFonts w:hAnsi="宋体" w:eastAsia="宋体"/>
          <w:b/>
          <w:snapToGrid w:val="0"/>
          <w:kern w:val="0"/>
          <w:sz w:val="36"/>
          <w:szCs w:val="36"/>
        </w:rPr>
      </w:pPr>
      <w:r>
        <w:rPr>
          <w:rFonts w:hint="eastAsia" w:ascii="宋体" w:hAnsi="宋体"/>
          <w:b/>
          <w:bCs/>
          <w:color w:val="000000"/>
          <w:sz w:val="36"/>
          <w:szCs w:val="36"/>
        </w:rPr>
        <w:t xml:space="preserve">4.4 </w:t>
      </w:r>
      <w:r>
        <w:rPr>
          <w:rFonts w:hint="eastAsia" w:hAnsi="宋体" w:eastAsia="宋体"/>
          <w:b/>
          <w:snapToGrid w:val="0"/>
          <w:kern w:val="0"/>
          <w:sz w:val="36"/>
          <w:szCs w:val="36"/>
        </w:rPr>
        <w:t>业绩情况表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napToGrid w:val="0"/>
        <w:spacing w:line="360" w:lineRule="auto"/>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1"/>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8"/>
              <w:spacing w:line="360" w:lineRule="auto"/>
              <w:rPr>
                <w:rFonts w:ascii="宋体" w:hAnsi="宋体" w:eastAsia="宋体" w:cs="Times New Roman"/>
                <w:sz w:val="24"/>
                <w:szCs w:val="24"/>
              </w:rPr>
            </w:pPr>
          </w:p>
        </w:tc>
        <w:tc>
          <w:tcPr>
            <w:tcW w:w="3579" w:type="dxa"/>
            <w:vAlign w:val="center"/>
          </w:tcPr>
          <w:p>
            <w:pPr>
              <w:pStyle w:val="8"/>
              <w:spacing w:line="360" w:lineRule="auto"/>
              <w:rPr>
                <w:rFonts w:ascii="宋体" w:hAnsi="宋体" w:eastAsia="宋体" w:cs="Times New Roman"/>
                <w:sz w:val="24"/>
                <w:szCs w:val="24"/>
              </w:rPr>
            </w:pPr>
          </w:p>
        </w:tc>
        <w:tc>
          <w:tcPr>
            <w:tcW w:w="1440" w:type="dxa"/>
            <w:vAlign w:val="center"/>
          </w:tcPr>
          <w:p>
            <w:pPr>
              <w:pStyle w:val="8"/>
              <w:spacing w:line="360" w:lineRule="auto"/>
              <w:rPr>
                <w:rFonts w:ascii="宋体" w:hAnsi="宋体" w:eastAsia="宋体" w:cs="Times New Roman"/>
                <w:sz w:val="24"/>
                <w:szCs w:val="24"/>
              </w:rPr>
            </w:pPr>
          </w:p>
        </w:tc>
        <w:tc>
          <w:tcPr>
            <w:tcW w:w="1706" w:type="dxa"/>
            <w:vAlign w:val="center"/>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8"/>
              <w:spacing w:line="360" w:lineRule="auto"/>
              <w:rPr>
                <w:rFonts w:ascii="宋体" w:hAnsi="宋体" w:eastAsia="宋体" w:cs="Times New Roman"/>
                <w:sz w:val="24"/>
                <w:szCs w:val="24"/>
              </w:rPr>
            </w:pPr>
          </w:p>
        </w:tc>
        <w:tc>
          <w:tcPr>
            <w:tcW w:w="3579" w:type="dxa"/>
            <w:vAlign w:val="center"/>
          </w:tcPr>
          <w:p>
            <w:pPr>
              <w:pStyle w:val="8"/>
              <w:spacing w:line="360" w:lineRule="auto"/>
              <w:rPr>
                <w:rFonts w:ascii="宋体" w:hAnsi="宋体" w:eastAsia="宋体" w:cs="Times New Roman"/>
                <w:sz w:val="24"/>
                <w:szCs w:val="24"/>
              </w:rPr>
            </w:pPr>
          </w:p>
        </w:tc>
        <w:tc>
          <w:tcPr>
            <w:tcW w:w="1440" w:type="dxa"/>
            <w:vAlign w:val="center"/>
          </w:tcPr>
          <w:p>
            <w:pPr>
              <w:pStyle w:val="8"/>
              <w:spacing w:line="360" w:lineRule="auto"/>
              <w:rPr>
                <w:rFonts w:ascii="宋体" w:hAnsi="宋体" w:eastAsia="宋体" w:cs="Times New Roman"/>
                <w:sz w:val="24"/>
                <w:szCs w:val="24"/>
              </w:rPr>
            </w:pPr>
          </w:p>
        </w:tc>
        <w:tc>
          <w:tcPr>
            <w:tcW w:w="1706" w:type="dxa"/>
            <w:vAlign w:val="center"/>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8"/>
              <w:spacing w:line="360" w:lineRule="auto"/>
              <w:rPr>
                <w:rFonts w:ascii="宋体" w:hAnsi="宋体" w:eastAsia="宋体" w:cs="Times New Roman"/>
                <w:sz w:val="24"/>
                <w:szCs w:val="24"/>
              </w:rPr>
            </w:pPr>
          </w:p>
        </w:tc>
        <w:tc>
          <w:tcPr>
            <w:tcW w:w="3579" w:type="dxa"/>
            <w:vAlign w:val="center"/>
          </w:tcPr>
          <w:p>
            <w:pPr>
              <w:pStyle w:val="8"/>
              <w:spacing w:line="360" w:lineRule="auto"/>
              <w:rPr>
                <w:rFonts w:ascii="宋体" w:hAnsi="宋体" w:eastAsia="宋体" w:cs="Times New Roman"/>
                <w:sz w:val="24"/>
                <w:szCs w:val="24"/>
              </w:rPr>
            </w:pPr>
          </w:p>
        </w:tc>
        <w:tc>
          <w:tcPr>
            <w:tcW w:w="1440" w:type="dxa"/>
            <w:vAlign w:val="center"/>
          </w:tcPr>
          <w:p>
            <w:pPr>
              <w:pStyle w:val="8"/>
              <w:spacing w:line="360" w:lineRule="auto"/>
              <w:rPr>
                <w:rFonts w:ascii="宋体" w:hAnsi="宋体" w:eastAsia="宋体" w:cs="Times New Roman"/>
                <w:sz w:val="24"/>
                <w:szCs w:val="24"/>
              </w:rPr>
            </w:pPr>
          </w:p>
        </w:tc>
        <w:tc>
          <w:tcPr>
            <w:tcW w:w="1706" w:type="dxa"/>
            <w:vAlign w:val="center"/>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4.</w:t>
      </w:r>
      <w:r>
        <w:rPr>
          <w:rFonts w:hint="eastAsia" w:ascii="宋体" w:hAnsi="宋体"/>
          <w:b/>
          <w:bCs/>
          <w:color w:val="000000"/>
          <w:sz w:val="36"/>
          <w:szCs w:val="36"/>
          <w:lang w:val="en-US" w:eastAsia="zh-CN"/>
        </w:rPr>
        <w:t>5</w:t>
      </w:r>
      <w:r>
        <w:rPr>
          <w:rFonts w:hint="eastAsia" w:ascii="宋体" w:hAnsi="宋体"/>
          <w:b/>
          <w:bCs/>
          <w:color w:val="000000"/>
          <w:sz w:val="36"/>
          <w:szCs w:val="36"/>
        </w:rPr>
        <w:t xml:space="preserve">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Ansi="宋体" w:cs="微软雅黑"/>
          <w:bCs/>
          <w:kern w:val="0"/>
        </w:rPr>
      </w:pPr>
    </w:p>
    <w:p>
      <w:pPr>
        <w:jc w:val="center"/>
        <w:rPr>
          <w:rFonts w:hint="eastAsia" w:ascii="宋体" w:hAnsi="宋体"/>
          <w:b/>
          <w:bCs/>
          <w:color w:val="000000"/>
          <w:sz w:val="36"/>
          <w:szCs w:val="36"/>
        </w:rPr>
      </w:pPr>
    </w:p>
    <w:p>
      <w:pPr>
        <w:jc w:val="center"/>
        <w:rPr>
          <w:rFonts w:ascii="宋体" w:hAnsi="宋体"/>
          <w:b/>
          <w:bCs/>
          <w:color w:val="000000"/>
          <w:sz w:val="36"/>
          <w:szCs w:val="36"/>
        </w:rPr>
      </w:pPr>
      <w:r>
        <w:rPr>
          <w:rFonts w:hint="eastAsia" w:ascii="宋体" w:hAnsi="宋体"/>
          <w:b/>
          <w:bCs/>
          <w:color w:val="000000"/>
          <w:sz w:val="36"/>
          <w:szCs w:val="36"/>
        </w:rPr>
        <w:t>4.</w:t>
      </w:r>
      <w:r>
        <w:rPr>
          <w:rFonts w:hint="eastAsia" w:ascii="宋体" w:hAnsi="宋体"/>
          <w:b/>
          <w:bCs/>
          <w:color w:val="000000"/>
          <w:sz w:val="36"/>
          <w:szCs w:val="36"/>
          <w:lang w:val="en-US" w:eastAsia="zh-CN"/>
        </w:rPr>
        <w:t>6</w:t>
      </w:r>
      <w:r>
        <w:rPr>
          <w:rFonts w:hint="eastAsia" w:ascii="宋体" w:hAnsi="宋体"/>
          <w:b/>
          <w:bCs/>
          <w:color w:val="000000"/>
          <w:sz w:val="36"/>
          <w:szCs w:val="36"/>
        </w:rPr>
        <w:t>“节能产品政府采购清单”强制节能产品情况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8"/>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8"/>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8"/>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说明：所投产品节能清单所在页复印件并加盖投标人公章须附后。</w:t>
      </w:r>
    </w:p>
    <w:p>
      <w:pPr>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w:t>
      </w:r>
      <w:r>
        <w:rPr>
          <w:rFonts w:hint="eastAsia" w:ascii="宋体" w:hAnsi="宋体"/>
          <w:b/>
          <w:bCs/>
          <w:color w:val="000000"/>
          <w:sz w:val="36"/>
          <w:szCs w:val="36"/>
          <w:lang w:val="en-US" w:eastAsia="zh-CN"/>
        </w:rPr>
        <w:t>7</w:t>
      </w:r>
      <w:r>
        <w:rPr>
          <w:rFonts w:hint="eastAsia" w:ascii="宋体" w:hAnsi="宋体"/>
          <w:b/>
          <w:bCs/>
          <w:color w:val="000000"/>
          <w:sz w:val="36"/>
          <w:szCs w:val="36"/>
        </w:rPr>
        <w:t xml:space="preserve"> “节能产品政府采购清单”优先采购产品情况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8"/>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8"/>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8"/>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w:t>
      </w:r>
      <w:r>
        <w:rPr>
          <w:rFonts w:hint="eastAsia" w:ascii="宋体" w:hAnsi="宋体"/>
          <w:b/>
          <w:bCs/>
          <w:color w:val="000000"/>
          <w:sz w:val="36"/>
          <w:szCs w:val="36"/>
          <w:lang w:val="en-US" w:eastAsia="zh-CN"/>
        </w:rPr>
        <w:t>8</w:t>
      </w:r>
      <w:r>
        <w:rPr>
          <w:rFonts w:hint="eastAsia" w:ascii="宋体" w:hAnsi="宋体"/>
          <w:b/>
          <w:bCs/>
          <w:color w:val="000000"/>
          <w:sz w:val="36"/>
          <w:szCs w:val="36"/>
        </w:rPr>
        <w:t xml:space="preserve"> “环境标志产品政府采购清单”优先采购产品情况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8"/>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中国环境标志认证证书编号</w:t>
            </w:r>
          </w:p>
        </w:tc>
        <w:tc>
          <w:tcPr>
            <w:tcW w:w="1439"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提供环境标志产品所在页复印件</w:t>
            </w:r>
          </w:p>
          <w:p>
            <w:pPr>
              <w:pStyle w:val="8"/>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未提供环境标志产品所在页原因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ind w:left="720" w:hanging="720" w:hangingChars="300"/>
        <w:rPr>
          <w:rFonts w:cs="宋体" w:asciiTheme="minorEastAsia" w:hAnsiTheme="minorEastAsia"/>
          <w:sz w:val="24"/>
          <w:szCs w:val="24"/>
          <w:lang w:val="zh-CN"/>
        </w:rPr>
      </w:pPr>
      <w:r>
        <w:rPr>
          <w:rFonts w:hint="eastAsia" w:cs="宋体" w:asciiTheme="minorEastAsia" w:hAnsiTheme="minorEastAsia"/>
          <w:sz w:val="24"/>
          <w:szCs w:val="24"/>
          <w:lang w:val="zh-CN"/>
        </w:rPr>
        <w:t>说明：所投产品“环境标志产品政府采购清单”所在页复印件并加盖投标人公章须附后。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hint="eastAsia" w:ascii="宋体" w:hAnsi="宋体"/>
          <w:b/>
          <w:bCs/>
          <w:color w:val="000000"/>
          <w:sz w:val="36"/>
          <w:szCs w:val="36"/>
        </w:rPr>
      </w:pPr>
    </w:p>
    <w:p>
      <w:pPr>
        <w:spacing w:line="360" w:lineRule="auto"/>
        <w:jc w:val="center"/>
        <w:rPr>
          <w:rFonts w:hint="eastAsia"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w:t>
      </w:r>
      <w:r>
        <w:rPr>
          <w:rFonts w:hint="eastAsia" w:ascii="宋体" w:hAnsi="宋体"/>
          <w:b/>
          <w:bCs/>
          <w:color w:val="000000"/>
          <w:sz w:val="36"/>
          <w:szCs w:val="36"/>
          <w:lang w:val="en-US" w:eastAsia="zh-CN"/>
        </w:rPr>
        <w:t>9</w:t>
      </w:r>
      <w:r>
        <w:rPr>
          <w:rFonts w:hint="eastAsia" w:ascii="宋体" w:hAnsi="宋体"/>
          <w:b/>
          <w:bCs/>
          <w:color w:val="000000"/>
          <w:sz w:val="36"/>
          <w:szCs w:val="36"/>
        </w:rPr>
        <w:t xml:space="preserve"> 中小企业声明函</w:t>
      </w:r>
    </w:p>
    <w:p>
      <w:pPr>
        <w:spacing w:line="360" w:lineRule="auto"/>
        <w:jc w:val="center"/>
        <w:rPr>
          <w:rFonts w:ascii="宋体" w:hAnsi="宋体"/>
          <w:b/>
          <w:bCs/>
          <w:color w:val="000000"/>
          <w:sz w:val="36"/>
          <w:szCs w:val="36"/>
        </w:rPr>
      </w:pP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int="eastAsia" w:ascii="宋体" w:hAnsi="宋体" w:cs="Arial"/>
          <w:color w:val="000000"/>
          <w:kern w:val="0"/>
          <w:sz w:val="24"/>
          <w:szCs w:val="24"/>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 w:val="24"/>
          <w:szCs w:val="24"/>
        </w:rPr>
      </w:pPr>
    </w:p>
    <w:p>
      <w:pPr>
        <w:widowControl/>
        <w:spacing w:before="100" w:beforeAutospacing="1" w:after="100" w:afterAutospacing="1" w:line="360" w:lineRule="auto"/>
        <w:ind w:left="3885" w:leftChars="1850"/>
        <w:jc w:val="left"/>
        <w:rPr>
          <w:rFonts w:ascii="宋体" w:hAnsi="宋体" w:cs="Arial"/>
          <w:color w:val="000000"/>
          <w:kern w:val="0"/>
          <w:sz w:val="24"/>
          <w:szCs w:val="24"/>
        </w:rPr>
      </w:pPr>
      <w:r>
        <w:rPr>
          <w:rFonts w:hint="eastAsia" w:ascii="宋体" w:hAnsi="宋体" w:cs="Arial"/>
          <w:color w:val="000000"/>
          <w:kern w:val="0"/>
          <w:sz w:val="24"/>
          <w:szCs w:val="24"/>
        </w:rPr>
        <w:t>企业名称（盖章）：　　　　　　　　　</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日　  期：</w:t>
      </w:r>
    </w:p>
    <w:p>
      <w:pPr>
        <w:widowControl/>
        <w:spacing w:before="100" w:beforeAutospacing="1" w:after="100" w:afterAutospacing="1" w:line="360" w:lineRule="auto"/>
        <w:jc w:val="left"/>
        <w:rPr>
          <w:rFonts w:ascii="宋体" w:hAnsi="宋体"/>
          <w:color w:val="000000"/>
          <w:sz w:val="24"/>
          <w:szCs w:val="24"/>
        </w:rPr>
      </w:pPr>
    </w:p>
    <w:p>
      <w:pPr>
        <w:widowControl/>
        <w:spacing w:before="100" w:beforeAutospacing="1" w:after="100" w:afterAutospacing="1" w:line="360" w:lineRule="auto"/>
        <w:contextualSpacing/>
        <w:jc w:val="left"/>
        <w:rPr>
          <w:rFonts w:ascii="宋体" w:hAnsi="宋体"/>
          <w:color w:val="000000"/>
          <w:sz w:val="24"/>
          <w:szCs w:val="24"/>
        </w:rPr>
      </w:pPr>
      <w:r>
        <w:rPr>
          <w:rFonts w:hint="eastAsia" w:ascii="宋体" w:hAnsi="宋体"/>
          <w:color w:val="000000"/>
          <w:sz w:val="24"/>
          <w:szCs w:val="24"/>
        </w:rPr>
        <w:t>说明：</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color w:val="000000"/>
          <w:kern w:val="0"/>
          <w:sz w:val="24"/>
          <w:szCs w:val="24"/>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bookmarkStart w:id="7" w:name="OLE_LINK13"/>
      <w:bookmarkStart w:id="8" w:name="OLE_LINK14"/>
      <w:r>
        <w:rPr>
          <w:rFonts w:hint="eastAsia" w:ascii="宋体" w:hAnsi="宋体"/>
          <w:b/>
          <w:bCs/>
          <w:color w:val="000000"/>
          <w:sz w:val="36"/>
          <w:szCs w:val="36"/>
        </w:rPr>
        <w:t>4.</w:t>
      </w:r>
      <w:r>
        <w:rPr>
          <w:rFonts w:hint="eastAsia" w:ascii="宋体" w:hAnsi="宋体"/>
          <w:b/>
          <w:bCs/>
          <w:color w:val="000000"/>
          <w:sz w:val="36"/>
          <w:szCs w:val="36"/>
          <w:lang w:val="en-US" w:eastAsia="zh-CN"/>
        </w:rPr>
        <w:t>10</w:t>
      </w:r>
      <w:r>
        <w:rPr>
          <w:rFonts w:hint="eastAsia" w:ascii="宋体" w:hAnsi="宋体"/>
          <w:b/>
          <w:bCs/>
          <w:color w:val="000000"/>
          <w:sz w:val="36"/>
          <w:szCs w:val="36"/>
        </w:rPr>
        <w:t xml:space="preserve"> 残疾人福利性单位声明函</w:t>
      </w:r>
    </w:p>
    <w:bookmarkEnd w:id="7"/>
    <w:bookmarkEnd w:id="8"/>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 w:val="24"/>
          <w:szCs w:val="24"/>
          <w:u w:val="single"/>
        </w:rPr>
        <w:t xml:space="preserve">        </w:t>
      </w:r>
      <w:r>
        <w:rPr>
          <w:rFonts w:hint="eastAsia" w:ascii="宋体" w:hAnsi="宋体"/>
          <w:sz w:val="24"/>
          <w:szCs w:val="24"/>
        </w:rPr>
        <w:t>单位的</w:t>
      </w:r>
      <w:r>
        <w:rPr>
          <w:rFonts w:hint="eastAsia" w:ascii="宋体" w:hAnsi="宋体"/>
          <w:sz w:val="24"/>
          <w:szCs w:val="24"/>
          <w:u w:val="single"/>
        </w:rPr>
        <w:t xml:space="preserve">           </w:t>
      </w:r>
      <w:r>
        <w:rPr>
          <w:rFonts w:hint="eastAsia" w:ascii="宋体" w:hAnsi="宋体"/>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
    <w:p/>
    <w:p/>
    <w:p/>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4.1</w:t>
      </w:r>
      <w:r>
        <w:rPr>
          <w:rFonts w:hint="eastAsia" w:ascii="宋体" w:hAnsi="宋体"/>
          <w:b/>
          <w:bCs/>
          <w:color w:val="000000"/>
          <w:sz w:val="36"/>
          <w:szCs w:val="36"/>
          <w:lang w:val="en-US" w:eastAsia="zh-CN"/>
        </w:rPr>
        <w:t>1</w:t>
      </w:r>
      <w:r>
        <w:rPr>
          <w:rFonts w:hint="eastAsia" w:ascii="宋体" w:hAnsi="宋体"/>
          <w:b/>
          <w:bCs/>
          <w:color w:val="000000"/>
          <w:sz w:val="36"/>
          <w:szCs w:val="36"/>
        </w:rPr>
        <w:t xml:space="preserve">  所投产品符合国家强制性要求承诺函 </w:t>
      </w:r>
    </w:p>
    <w:p>
      <w:pPr>
        <w:spacing w:line="360" w:lineRule="auto"/>
        <w:jc w:val="center"/>
        <w:rPr>
          <w:rFonts w:cs="黑体" w:asciiTheme="minorEastAsia" w:hAnsiTheme="minorEastAsia"/>
          <w:b/>
          <w:bCs/>
          <w:sz w:val="44"/>
          <w:szCs w:val="44"/>
          <w:lang w:val="zh-CN"/>
        </w:rPr>
      </w:pPr>
      <w:r>
        <w:rPr>
          <w:rFonts w:hint="eastAsia" w:ascii="宋体" w:hAnsi="宋体" w:cs="Arial"/>
          <w:color w:val="000000"/>
          <w:kern w:val="0"/>
          <w:sz w:val="24"/>
          <w:szCs w:val="24"/>
        </w:rPr>
        <w:t>投标人所投产品涉及国家有属强制性规定的，须承诺其所投产品符合国家强制性要求（如CCC认证，格式自拟）</w:t>
      </w: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rPr>
      </w:pPr>
    </w:p>
    <w:p>
      <w:pPr>
        <w:autoSpaceDE w:val="0"/>
        <w:autoSpaceDN w:val="0"/>
        <w:adjustRightInd w:val="0"/>
        <w:spacing w:line="360" w:lineRule="auto"/>
        <w:ind w:firstLine="2209" w:firstLineChars="500"/>
        <w:rPr>
          <w:rFonts w:hint="eastAsia" w:cs="黑体" w:asciiTheme="minorEastAsia" w:hAnsiTheme="minorEastAsia"/>
          <w:b/>
          <w:bCs/>
          <w:sz w:val="44"/>
          <w:szCs w:val="44"/>
        </w:rPr>
      </w:pPr>
    </w:p>
    <w:p>
      <w:pPr>
        <w:autoSpaceDE w:val="0"/>
        <w:autoSpaceDN w:val="0"/>
        <w:adjustRightInd w:val="0"/>
        <w:spacing w:line="360" w:lineRule="auto"/>
        <w:ind w:firstLine="2209" w:firstLineChars="500"/>
        <w:rPr>
          <w:rFonts w:hint="eastAsia" w:cs="黑体" w:asciiTheme="minorEastAsia" w:hAnsiTheme="minorEastAsia"/>
          <w:b/>
          <w:bCs/>
          <w:sz w:val="44"/>
          <w:szCs w:val="44"/>
        </w:rPr>
      </w:pPr>
    </w:p>
    <w:p>
      <w:pPr>
        <w:autoSpaceDE w:val="0"/>
        <w:autoSpaceDN w:val="0"/>
        <w:adjustRightInd w:val="0"/>
        <w:spacing w:line="360" w:lineRule="auto"/>
        <w:ind w:firstLine="2209" w:firstLineChars="500"/>
        <w:rPr>
          <w:rFonts w:hint="eastAsia" w:cs="黑体" w:asciiTheme="minorEastAsia" w:hAnsiTheme="minorEastAsia"/>
          <w:b/>
          <w:bCs/>
          <w:sz w:val="44"/>
          <w:szCs w:val="44"/>
        </w:rPr>
      </w:pPr>
    </w:p>
    <w:p>
      <w:pPr>
        <w:autoSpaceDE w:val="0"/>
        <w:autoSpaceDN w:val="0"/>
        <w:adjustRightInd w:val="0"/>
        <w:spacing w:line="360" w:lineRule="auto"/>
        <w:ind w:firstLine="2209" w:firstLineChars="500"/>
        <w:rPr>
          <w:rFonts w:hint="eastAsia" w:cs="黑体" w:asciiTheme="minorEastAsia" w:hAnsiTheme="minorEastAsia"/>
          <w:b/>
          <w:bCs/>
          <w:sz w:val="44"/>
          <w:szCs w:val="44"/>
        </w:rPr>
      </w:pPr>
    </w:p>
    <w:p>
      <w:pPr>
        <w:autoSpaceDE w:val="0"/>
        <w:autoSpaceDN w:val="0"/>
        <w:adjustRightInd w:val="0"/>
        <w:spacing w:line="360" w:lineRule="auto"/>
        <w:ind w:firstLine="2209" w:firstLineChars="500"/>
        <w:rPr>
          <w:rFonts w:cs="黑体" w:asciiTheme="minorEastAsia" w:hAnsiTheme="minorEastAsia"/>
          <w:b/>
          <w:bCs/>
          <w:sz w:val="44"/>
          <w:szCs w:val="44"/>
        </w:rPr>
      </w:pPr>
      <w:r>
        <w:rPr>
          <w:rFonts w:hint="eastAsia" w:cs="黑体" w:asciiTheme="minorEastAsia" w:hAnsiTheme="minorEastAsia"/>
          <w:b/>
          <w:bCs/>
          <w:sz w:val="44"/>
          <w:szCs w:val="44"/>
        </w:rPr>
        <w:t>4.1</w:t>
      </w:r>
      <w:r>
        <w:rPr>
          <w:rFonts w:hint="eastAsia" w:cs="黑体" w:asciiTheme="minorEastAsia" w:hAnsiTheme="minorEastAsia"/>
          <w:b/>
          <w:bCs/>
          <w:sz w:val="44"/>
          <w:szCs w:val="44"/>
          <w:lang w:val="en-US" w:eastAsia="zh-CN"/>
        </w:rPr>
        <w:t>2</w:t>
      </w:r>
      <w:r>
        <w:rPr>
          <w:rFonts w:hint="eastAsia" w:cs="黑体" w:asciiTheme="minorEastAsia" w:hAnsiTheme="minorEastAsia"/>
          <w:b/>
          <w:bCs/>
          <w:sz w:val="44"/>
          <w:szCs w:val="44"/>
        </w:rPr>
        <w:t xml:space="preserve">  证明材料</w:t>
      </w:r>
    </w:p>
    <w:p>
      <w:pPr>
        <w:spacing w:line="360" w:lineRule="auto"/>
        <w:jc w:val="center"/>
        <w:rPr>
          <w:rFonts w:ascii="宋体" w:hAnsi="宋体" w:cs="Arial"/>
          <w:color w:val="000000"/>
          <w:kern w:val="0"/>
          <w:sz w:val="24"/>
          <w:szCs w:val="24"/>
        </w:rPr>
      </w:pPr>
      <w:r>
        <w:rPr>
          <w:rFonts w:hint="eastAsia" w:ascii="宋体" w:hAnsi="宋体" w:cs="Arial"/>
          <w:color w:val="000000"/>
          <w:kern w:val="0"/>
          <w:sz w:val="24"/>
          <w:szCs w:val="24"/>
        </w:rPr>
        <w:t>（技术参数及评分标准中要求提供的相关证明材料）</w:t>
      </w:r>
    </w:p>
    <w:p>
      <w:pPr>
        <w:autoSpaceDE w:val="0"/>
        <w:autoSpaceDN w:val="0"/>
        <w:adjustRightInd w:val="0"/>
        <w:spacing w:line="360" w:lineRule="auto"/>
        <w:jc w:val="center"/>
        <w:rPr>
          <w:rFonts w:cs="黑体" w:asciiTheme="minorEastAsia" w:hAnsiTheme="minorEastAsia"/>
          <w:b/>
          <w:bCs/>
          <w:sz w:val="44"/>
          <w:szCs w:val="44"/>
        </w:rPr>
      </w:pPr>
    </w:p>
    <w:p>
      <w:pPr>
        <w:autoSpaceDE w:val="0"/>
        <w:autoSpaceDN w:val="0"/>
        <w:adjustRightInd w:val="0"/>
        <w:spacing w:line="360" w:lineRule="auto"/>
        <w:jc w:val="center"/>
        <w:rPr>
          <w:rFonts w:cs="黑体" w:asciiTheme="minorEastAsia" w:hAnsiTheme="minorEastAsia"/>
          <w:b/>
          <w:bCs/>
          <w:sz w:val="44"/>
          <w:szCs w:val="44"/>
        </w:rPr>
      </w:pPr>
    </w:p>
    <w:p>
      <w:pPr>
        <w:autoSpaceDE w:val="0"/>
        <w:autoSpaceDN w:val="0"/>
        <w:adjustRightInd w:val="0"/>
        <w:spacing w:line="360" w:lineRule="auto"/>
        <w:jc w:val="center"/>
        <w:rPr>
          <w:rFonts w:cs="黑体" w:asciiTheme="minorEastAsia" w:hAnsiTheme="minorEastAsia"/>
          <w:b/>
          <w:bCs/>
          <w:sz w:val="44"/>
          <w:szCs w:val="44"/>
        </w:rPr>
      </w:pPr>
    </w:p>
    <w:p>
      <w:pPr>
        <w:autoSpaceDE w:val="0"/>
        <w:autoSpaceDN w:val="0"/>
        <w:adjustRightInd w:val="0"/>
        <w:spacing w:line="360" w:lineRule="auto"/>
        <w:jc w:val="center"/>
        <w:rPr>
          <w:rFonts w:cs="黑体" w:asciiTheme="minorEastAsia" w:hAnsiTheme="minorEastAsia"/>
          <w:b/>
          <w:bCs/>
          <w:sz w:val="44"/>
          <w:szCs w:val="44"/>
          <w:lang w:val="zh-CN"/>
        </w:rPr>
      </w:pPr>
      <w:bookmarkStart w:id="9" w:name="_GoBack"/>
      <w:bookmarkEnd w:id="9"/>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五、</w:t>
      </w:r>
      <w:r>
        <w:rPr>
          <w:rFonts w:cs="黑体" w:asciiTheme="minorEastAsia" w:hAnsiTheme="minorEastAsia"/>
          <w:b/>
          <w:sz w:val="44"/>
          <w:szCs w:val="44"/>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E7CF6D"/>
    <w:multiLevelType w:val="singleLevel"/>
    <w:tmpl w:val="97E7CF6D"/>
    <w:lvl w:ilvl="0" w:tentative="0">
      <w:start w:val="7"/>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4491004"/>
    <w:multiLevelType w:val="multilevel"/>
    <w:tmpl w:val="04491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31D40CE9"/>
    <w:multiLevelType w:val="singleLevel"/>
    <w:tmpl w:val="31D40CE9"/>
    <w:lvl w:ilvl="0" w:tentative="0">
      <w:start w:val="1"/>
      <w:numFmt w:val="chineseCounting"/>
      <w:suff w:val="space"/>
      <w:lvlText w:val="第%1章"/>
      <w:lvlJc w:val="left"/>
      <w:rPr>
        <w:rFonts w:hint="eastAsia"/>
      </w:rPr>
    </w:lvl>
  </w:abstractNum>
  <w:abstractNum w:abstractNumId="6">
    <w:nsid w:val="59F817C2"/>
    <w:multiLevelType w:val="singleLevel"/>
    <w:tmpl w:val="59F817C2"/>
    <w:lvl w:ilvl="0" w:tentative="0">
      <w:start w:val="2"/>
      <w:numFmt w:val="chineseCounting"/>
      <w:suff w:val="space"/>
      <w:lvlText w:val="第%1章"/>
      <w:lvlJc w:val="left"/>
    </w:lvl>
  </w:abstractNum>
  <w:abstractNum w:abstractNumId="7">
    <w:nsid w:val="59F817E8"/>
    <w:multiLevelType w:val="singleLevel"/>
    <w:tmpl w:val="59F817E8"/>
    <w:lvl w:ilvl="0" w:tentative="0">
      <w:start w:val="1"/>
      <w:numFmt w:val="chineseCounting"/>
      <w:pStyle w:val="49"/>
      <w:suff w:val="nothing"/>
      <w:lvlText w:val="%1、"/>
      <w:lvlJc w:val="left"/>
    </w:lvl>
  </w:abstractNum>
  <w:abstractNum w:abstractNumId="8">
    <w:nsid w:val="5D1F0770"/>
    <w:multiLevelType w:val="singleLevel"/>
    <w:tmpl w:val="5D1F0770"/>
    <w:lvl w:ilvl="0" w:tentative="0">
      <w:start w:val="1"/>
      <w:numFmt w:val="chineseCounting"/>
      <w:suff w:val="nothing"/>
      <w:lvlText w:val="（%1）"/>
      <w:lvlJc w:val="left"/>
      <w:rPr>
        <w:rFonts w:hint="eastAsia"/>
      </w:rPr>
    </w:lvl>
  </w:abstractNum>
  <w:num w:numId="1">
    <w:abstractNumId w:val="1"/>
  </w:num>
  <w:num w:numId="2">
    <w:abstractNumId w:val="2"/>
  </w:num>
  <w:num w:numId="3">
    <w:abstractNumId w:val="7"/>
  </w:num>
  <w:num w:numId="4">
    <w:abstractNumId w:val="5"/>
  </w:num>
  <w:num w:numId="5">
    <w:abstractNumId w:val="3"/>
  </w:num>
  <w:num w:numId="6">
    <w:abstractNumId w:val="6"/>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32449BC"/>
    <w:rsid w:val="037217D3"/>
    <w:rsid w:val="03A87C38"/>
    <w:rsid w:val="03C54AE6"/>
    <w:rsid w:val="080C2BBA"/>
    <w:rsid w:val="08FD5745"/>
    <w:rsid w:val="0AB50907"/>
    <w:rsid w:val="0C1D2223"/>
    <w:rsid w:val="0C3D4298"/>
    <w:rsid w:val="0C9523A6"/>
    <w:rsid w:val="0CA67F00"/>
    <w:rsid w:val="0FD30C14"/>
    <w:rsid w:val="101B403B"/>
    <w:rsid w:val="116D26CD"/>
    <w:rsid w:val="11C23651"/>
    <w:rsid w:val="129267D1"/>
    <w:rsid w:val="171E620C"/>
    <w:rsid w:val="17A87F25"/>
    <w:rsid w:val="183965F3"/>
    <w:rsid w:val="189035FD"/>
    <w:rsid w:val="18C769E5"/>
    <w:rsid w:val="18D55096"/>
    <w:rsid w:val="198348D6"/>
    <w:rsid w:val="1A08396D"/>
    <w:rsid w:val="1AFBFFDD"/>
    <w:rsid w:val="1B1653FD"/>
    <w:rsid w:val="1C2D1536"/>
    <w:rsid w:val="1CCF2F1D"/>
    <w:rsid w:val="1E8E722F"/>
    <w:rsid w:val="1F8E45BB"/>
    <w:rsid w:val="1FE15514"/>
    <w:rsid w:val="208614E5"/>
    <w:rsid w:val="2157706F"/>
    <w:rsid w:val="21DD4A96"/>
    <w:rsid w:val="24D35795"/>
    <w:rsid w:val="271F4B16"/>
    <w:rsid w:val="27CD14F5"/>
    <w:rsid w:val="29A55E19"/>
    <w:rsid w:val="29F94CB1"/>
    <w:rsid w:val="2A553543"/>
    <w:rsid w:val="2C014C3B"/>
    <w:rsid w:val="2F650AED"/>
    <w:rsid w:val="2FFD3F6B"/>
    <w:rsid w:val="30FD56B7"/>
    <w:rsid w:val="329E1B24"/>
    <w:rsid w:val="32BF12F4"/>
    <w:rsid w:val="33563CED"/>
    <w:rsid w:val="338A4286"/>
    <w:rsid w:val="34B644B7"/>
    <w:rsid w:val="36B46A4A"/>
    <w:rsid w:val="375656B9"/>
    <w:rsid w:val="37627558"/>
    <w:rsid w:val="37B91083"/>
    <w:rsid w:val="39FD28B4"/>
    <w:rsid w:val="3AC47AB6"/>
    <w:rsid w:val="3ADD0A2E"/>
    <w:rsid w:val="3B7A3E82"/>
    <w:rsid w:val="3B8D0CE8"/>
    <w:rsid w:val="3BA71EF1"/>
    <w:rsid w:val="3CBF1608"/>
    <w:rsid w:val="3DCA2531"/>
    <w:rsid w:val="3E3A26DB"/>
    <w:rsid w:val="3F263B0E"/>
    <w:rsid w:val="414D7438"/>
    <w:rsid w:val="41A16B13"/>
    <w:rsid w:val="41EF3AE9"/>
    <w:rsid w:val="423A7A11"/>
    <w:rsid w:val="428968C5"/>
    <w:rsid w:val="430D37F8"/>
    <w:rsid w:val="43420F67"/>
    <w:rsid w:val="43AF27C5"/>
    <w:rsid w:val="444772BC"/>
    <w:rsid w:val="444D773E"/>
    <w:rsid w:val="459D509E"/>
    <w:rsid w:val="477C4489"/>
    <w:rsid w:val="477E79DB"/>
    <w:rsid w:val="48BB1E61"/>
    <w:rsid w:val="48E44347"/>
    <w:rsid w:val="4AB4093D"/>
    <w:rsid w:val="4AE22F4C"/>
    <w:rsid w:val="4CA91082"/>
    <w:rsid w:val="4E8F0D2C"/>
    <w:rsid w:val="4EAC4ADD"/>
    <w:rsid w:val="4EB72836"/>
    <w:rsid w:val="4ED23FD5"/>
    <w:rsid w:val="4EE945C2"/>
    <w:rsid w:val="4EFB1FC3"/>
    <w:rsid w:val="4F3C1178"/>
    <w:rsid w:val="4F661CEB"/>
    <w:rsid w:val="4FEB5C49"/>
    <w:rsid w:val="527B1821"/>
    <w:rsid w:val="5310611D"/>
    <w:rsid w:val="53276344"/>
    <w:rsid w:val="533D55CA"/>
    <w:rsid w:val="535D3032"/>
    <w:rsid w:val="53C97953"/>
    <w:rsid w:val="562D2F69"/>
    <w:rsid w:val="5703196B"/>
    <w:rsid w:val="57140DA8"/>
    <w:rsid w:val="58077CBD"/>
    <w:rsid w:val="58FD658D"/>
    <w:rsid w:val="5B0C6CA4"/>
    <w:rsid w:val="5CFD3C28"/>
    <w:rsid w:val="5E2C7B65"/>
    <w:rsid w:val="5EC23D91"/>
    <w:rsid w:val="5EEA6FD8"/>
    <w:rsid w:val="5F91300B"/>
    <w:rsid w:val="60BD0412"/>
    <w:rsid w:val="616C5D6E"/>
    <w:rsid w:val="648D2FFF"/>
    <w:rsid w:val="65725730"/>
    <w:rsid w:val="65B92974"/>
    <w:rsid w:val="65C80747"/>
    <w:rsid w:val="672B7704"/>
    <w:rsid w:val="68594ADA"/>
    <w:rsid w:val="68741D48"/>
    <w:rsid w:val="6AB31C19"/>
    <w:rsid w:val="6B357A50"/>
    <w:rsid w:val="6BB95672"/>
    <w:rsid w:val="6C4712E8"/>
    <w:rsid w:val="6C9C46AE"/>
    <w:rsid w:val="6CE55F45"/>
    <w:rsid w:val="6D8D5D8A"/>
    <w:rsid w:val="6DE87E82"/>
    <w:rsid w:val="6DFC3DF2"/>
    <w:rsid w:val="6F272507"/>
    <w:rsid w:val="6FF11A89"/>
    <w:rsid w:val="70117814"/>
    <w:rsid w:val="70602224"/>
    <w:rsid w:val="70C1699F"/>
    <w:rsid w:val="71617265"/>
    <w:rsid w:val="71E53350"/>
    <w:rsid w:val="720E5D3A"/>
    <w:rsid w:val="72254E2A"/>
    <w:rsid w:val="72ED3426"/>
    <w:rsid w:val="73184127"/>
    <w:rsid w:val="73D40348"/>
    <w:rsid w:val="74AB41BE"/>
    <w:rsid w:val="774700AD"/>
    <w:rsid w:val="777E0158"/>
    <w:rsid w:val="788A0F31"/>
    <w:rsid w:val="78F56DD8"/>
    <w:rsid w:val="7A77760E"/>
    <w:rsid w:val="7B7986D1"/>
    <w:rsid w:val="7EE52F06"/>
    <w:rsid w:val="7F7C60D3"/>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正文"/>
    <w:basedOn w:val="1"/>
    <w:qFormat/>
    <w:uiPriority w:val="0"/>
    <w:pPr>
      <w:keepNext/>
      <w:keepLines/>
      <w:spacing w:line="360" w:lineRule="auto"/>
      <w:ind w:firstLine="200" w:firstLineChars="200"/>
    </w:pPr>
    <w:rPr>
      <w:rFonts w:ascii="宋体" w:hAnsi="宋体"/>
    </w:r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6"/>
    <w:qFormat/>
    <w:uiPriority w:val="0"/>
    <w:rPr>
      <w:rFonts w:ascii="Times New Roman" w:hAnsi="Times New Roman" w:eastAsia="宋体" w:cs="Times New Roman"/>
      <w:color w:val="FF0000"/>
      <w:sz w:val="24"/>
      <w:szCs w:val="24"/>
    </w:rPr>
  </w:style>
  <w:style w:type="paragraph" w:styleId="10">
    <w:name w:val="Body Text"/>
    <w:basedOn w:val="1"/>
    <w:link w:val="50"/>
    <w:unhideWhenUsed/>
    <w:qFormat/>
    <w:uiPriority w:val="99"/>
    <w:pPr>
      <w:spacing w:after="120"/>
    </w:p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2"/>
    <w:qFormat/>
    <w:uiPriority w:val="0"/>
    <w:rPr>
      <w:rFonts w:eastAsia="宋体"/>
      <w:sz w:val="24"/>
    </w:rPr>
  </w:style>
  <w:style w:type="paragraph" w:styleId="14">
    <w:name w:val="Date"/>
    <w:basedOn w:val="1"/>
    <w:next w:val="1"/>
    <w:link w:val="33"/>
    <w:unhideWhenUsed/>
    <w:qFormat/>
    <w:uiPriority w:val="99"/>
    <w:pPr>
      <w:ind w:left="100" w:leftChars="2500"/>
    </w:pPr>
  </w:style>
  <w:style w:type="paragraph" w:styleId="15">
    <w:name w:val="footer"/>
    <w:basedOn w:val="1"/>
    <w:link w:val="34"/>
    <w:unhideWhenUsed/>
    <w:qFormat/>
    <w:uiPriority w:val="99"/>
    <w:pPr>
      <w:tabs>
        <w:tab w:val="center" w:pos="4153"/>
        <w:tab w:val="right" w:pos="8306"/>
      </w:tabs>
      <w:snapToGrid w:val="0"/>
      <w:jc w:val="left"/>
    </w:pPr>
    <w:rPr>
      <w:sz w:val="18"/>
      <w:szCs w:val="18"/>
    </w:rPr>
  </w:style>
  <w:style w:type="paragraph" w:styleId="16">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8">
    <w:name w:val="HTML Preformatted"/>
    <w:basedOn w:val="1"/>
    <w:link w:val="5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qFormat/>
    <w:uiPriority w:val="99"/>
    <w:rPr>
      <w:rFonts w:ascii="Calibri" w:hAnsi="Calibri" w:eastAsia="宋体" w:cs="Times New Roman"/>
      <w:sz w:val="24"/>
      <w:szCs w:val="24"/>
    </w:rPr>
  </w:style>
  <w:style w:type="paragraph" w:styleId="20">
    <w:name w:val="Body Text First Indent"/>
    <w:basedOn w:val="10"/>
    <w:link w:val="51"/>
    <w:qFormat/>
    <w:uiPriority w:val="0"/>
    <w:pPr>
      <w:ind w:firstLine="420" w:firstLineChars="100"/>
    </w:pPr>
    <w:rPr>
      <w:rFonts w:ascii="宋体" w:hAnsi="Times New Roman" w:eastAsia="宋体" w:cs="Times New Roman"/>
      <w:kern w:val="0"/>
      <w:sz w:val="34"/>
      <w:szCs w:val="20"/>
    </w:rPr>
  </w:style>
  <w:style w:type="character" w:styleId="23">
    <w:name w:val="Strong"/>
    <w:basedOn w:val="22"/>
    <w:qFormat/>
    <w:uiPriority w:val="22"/>
    <w:rPr>
      <w:b/>
      <w:bCs/>
    </w:rPr>
  </w:style>
  <w:style w:type="character" w:styleId="24">
    <w:name w:val="FollowedHyperlink"/>
    <w:basedOn w:val="22"/>
    <w:unhideWhenUsed/>
    <w:qFormat/>
    <w:uiPriority w:val="99"/>
    <w:rPr>
      <w:color w:val="800080" w:themeColor="followedHyperlink"/>
      <w:u w:val="single"/>
    </w:rPr>
  </w:style>
  <w:style w:type="character" w:styleId="25">
    <w:name w:val="Emphasis"/>
    <w:basedOn w:val="22"/>
    <w:qFormat/>
    <w:uiPriority w:val="20"/>
    <w:rPr>
      <w:i/>
      <w:iCs/>
    </w:rPr>
  </w:style>
  <w:style w:type="character" w:styleId="26">
    <w:name w:val="Hyperlink"/>
    <w:basedOn w:val="22"/>
    <w:unhideWhenUsed/>
    <w:qFormat/>
    <w:uiPriority w:val="99"/>
    <w:rPr>
      <w:color w:val="0000FF"/>
      <w:u w:val="single"/>
    </w:rPr>
  </w:style>
  <w:style w:type="paragraph" w:customStyle="1" w:styleId="27">
    <w:name w:val="列出段落1"/>
    <w:basedOn w:val="1"/>
    <w:unhideWhenUsed/>
    <w:qFormat/>
    <w:uiPriority w:val="99"/>
    <w:pPr>
      <w:ind w:firstLine="420" w:firstLineChars="200"/>
    </w:pPr>
  </w:style>
  <w:style w:type="character" w:customStyle="1" w:styleId="28">
    <w:name w:val="标题 1 Char"/>
    <w:basedOn w:val="22"/>
    <w:link w:val="3"/>
    <w:qFormat/>
    <w:uiPriority w:val="0"/>
    <w:rPr>
      <w:rFonts w:ascii="Calibri" w:hAnsi="Calibri" w:eastAsia="宋体" w:cs="Times New Roman"/>
      <w:b/>
      <w:bCs/>
      <w:kern w:val="44"/>
      <w:sz w:val="44"/>
      <w:szCs w:val="44"/>
    </w:rPr>
  </w:style>
  <w:style w:type="character" w:customStyle="1" w:styleId="29">
    <w:name w:val="标题 2 Char"/>
    <w:basedOn w:val="22"/>
    <w:link w:val="4"/>
    <w:qFormat/>
    <w:uiPriority w:val="0"/>
    <w:rPr>
      <w:rFonts w:ascii="Arial" w:hAnsi="Arial" w:eastAsia="黑体" w:cs="Times New Roman"/>
      <w:b/>
      <w:bCs/>
      <w:kern w:val="0"/>
      <w:sz w:val="32"/>
      <w:szCs w:val="32"/>
    </w:rPr>
  </w:style>
  <w:style w:type="character" w:customStyle="1" w:styleId="30">
    <w:name w:val="标题 3 Char"/>
    <w:basedOn w:val="22"/>
    <w:link w:val="5"/>
    <w:qFormat/>
    <w:uiPriority w:val="0"/>
    <w:rPr>
      <w:rFonts w:ascii="宋体" w:hAnsi="宋体" w:eastAsia="宋体" w:cs="Times New Roman"/>
      <w:b/>
      <w:color w:val="000000"/>
      <w:kern w:val="0"/>
      <w:sz w:val="24"/>
      <w:szCs w:val="20"/>
      <w:lang w:val="en-GB"/>
    </w:rPr>
  </w:style>
  <w:style w:type="character" w:customStyle="1" w:styleId="31">
    <w:name w:val="标题 4 Char"/>
    <w:basedOn w:val="22"/>
    <w:link w:val="6"/>
    <w:qFormat/>
    <w:uiPriority w:val="0"/>
    <w:rPr>
      <w:rFonts w:ascii="Arial" w:hAnsi="Arial" w:eastAsia="黑体" w:cs="Times New Roman"/>
      <w:b/>
      <w:bCs/>
      <w:kern w:val="0"/>
      <w:sz w:val="28"/>
      <w:szCs w:val="28"/>
    </w:rPr>
  </w:style>
  <w:style w:type="character" w:customStyle="1" w:styleId="32">
    <w:name w:val="纯文本 Char"/>
    <w:basedOn w:val="22"/>
    <w:link w:val="13"/>
    <w:qFormat/>
    <w:uiPriority w:val="0"/>
    <w:rPr>
      <w:rFonts w:eastAsia="宋体"/>
      <w:sz w:val="24"/>
    </w:rPr>
  </w:style>
  <w:style w:type="character" w:customStyle="1" w:styleId="33">
    <w:name w:val="日期 Char"/>
    <w:basedOn w:val="22"/>
    <w:link w:val="14"/>
    <w:qFormat/>
    <w:uiPriority w:val="99"/>
  </w:style>
  <w:style w:type="character" w:customStyle="1" w:styleId="34">
    <w:name w:val="页脚 Char"/>
    <w:basedOn w:val="22"/>
    <w:link w:val="15"/>
    <w:qFormat/>
    <w:uiPriority w:val="99"/>
    <w:rPr>
      <w:sz w:val="18"/>
      <w:szCs w:val="18"/>
    </w:rPr>
  </w:style>
  <w:style w:type="character" w:customStyle="1" w:styleId="35">
    <w:name w:val="页眉 Char"/>
    <w:basedOn w:val="22"/>
    <w:link w:val="16"/>
    <w:qFormat/>
    <w:uiPriority w:val="99"/>
    <w:rPr>
      <w:sz w:val="18"/>
      <w:szCs w:val="18"/>
    </w:rPr>
  </w:style>
  <w:style w:type="character" w:customStyle="1" w:styleId="36">
    <w:name w:val="纯文本 Char1"/>
    <w:qFormat/>
    <w:uiPriority w:val="0"/>
    <w:rPr>
      <w:rFonts w:eastAsia="宋体"/>
      <w:sz w:val="24"/>
    </w:rPr>
  </w:style>
  <w:style w:type="paragraph" w:customStyle="1" w:styleId="37">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8">
    <w:name w:val="列出段落11"/>
    <w:basedOn w:val="1"/>
    <w:qFormat/>
    <w:uiPriority w:val="34"/>
    <w:pPr>
      <w:ind w:firstLine="420" w:firstLineChars="200"/>
    </w:pPr>
  </w:style>
  <w:style w:type="character" w:customStyle="1" w:styleId="39">
    <w:name w:val="正文文本缩进 Char Char"/>
    <w:link w:val="40"/>
    <w:qFormat/>
    <w:uiPriority w:val="0"/>
    <w:rPr>
      <w:rFonts w:ascii="宋体"/>
      <w:sz w:val="24"/>
    </w:rPr>
  </w:style>
  <w:style w:type="paragraph" w:customStyle="1" w:styleId="40">
    <w:name w:val="正文文本缩进1"/>
    <w:basedOn w:val="1"/>
    <w:link w:val="39"/>
    <w:qFormat/>
    <w:uiPriority w:val="0"/>
    <w:pPr>
      <w:spacing w:line="360" w:lineRule="auto"/>
      <w:ind w:firstLine="480" w:firstLineChars="200"/>
    </w:pPr>
    <w:rPr>
      <w:rFonts w:ascii="宋体"/>
      <w:sz w:val="24"/>
    </w:rPr>
  </w:style>
  <w:style w:type="character" w:customStyle="1" w:styleId="41">
    <w:name w:val="日期 Char Char"/>
    <w:link w:val="42"/>
    <w:qFormat/>
    <w:uiPriority w:val="0"/>
    <w:rPr>
      <w:sz w:val="24"/>
    </w:rPr>
  </w:style>
  <w:style w:type="paragraph" w:customStyle="1" w:styleId="42">
    <w:name w:val="日期1"/>
    <w:basedOn w:val="1"/>
    <w:next w:val="1"/>
    <w:link w:val="41"/>
    <w:qFormat/>
    <w:uiPriority w:val="0"/>
    <w:rPr>
      <w:sz w:val="24"/>
    </w:rPr>
  </w:style>
  <w:style w:type="paragraph" w:customStyle="1" w:styleId="43">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4">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5">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6">
    <w:name w:val="正文文本 3 Char"/>
    <w:basedOn w:val="22"/>
    <w:link w:val="9"/>
    <w:qFormat/>
    <w:uiPriority w:val="0"/>
    <w:rPr>
      <w:rFonts w:ascii="Times New Roman" w:hAnsi="Times New Roman" w:eastAsia="宋体" w:cs="Times New Roman"/>
      <w:color w:val="FF0000"/>
      <w:sz w:val="24"/>
      <w:szCs w:val="24"/>
    </w:rPr>
  </w:style>
  <w:style w:type="character" w:customStyle="1" w:styleId="47">
    <w:name w:val="edittexttarea"/>
    <w:basedOn w:val="22"/>
    <w:qFormat/>
    <w:uiPriority w:val="0"/>
  </w:style>
  <w:style w:type="paragraph" w:customStyle="1" w:styleId="48">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49">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0">
    <w:name w:val="正文文本 Char"/>
    <w:basedOn w:val="22"/>
    <w:link w:val="10"/>
    <w:semiHidden/>
    <w:qFormat/>
    <w:uiPriority w:val="99"/>
  </w:style>
  <w:style w:type="character" w:customStyle="1" w:styleId="51">
    <w:name w:val="正文首行缩进 Char"/>
    <w:basedOn w:val="50"/>
    <w:link w:val="20"/>
    <w:qFormat/>
    <w:uiPriority w:val="0"/>
    <w:rPr>
      <w:rFonts w:ascii="宋体" w:hAnsi="Times New Roman" w:eastAsia="宋体" w:cs="Times New Roman"/>
      <w:kern w:val="0"/>
      <w:sz w:val="34"/>
      <w:szCs w:val="20"/>
    </w:rPr>
  </w:style>
  <w:style w:type="character" w:customStyle="1" w:styleId="52">
    <w:name w:val="HTML 预设格式 Char"/>
    <w:basedOn w:val="22"/>
    <w:link w:val="18"/>
    <w:semiHidden/>
    <w:qFormat/>
    <w:uiPriority w:val="99"/>
    <w:rPr>
      <w:rFonts w:ascii="宋体" w:hAnsi="宋体" w:eastAsia="宋体" w:cs="宋体"/>
      <w:kern w:val="0"/>
      <w:sz w:val="24"/>
      <w:szCs w:val="24"/>
    </w:rPr>
  </w:style>
  <w:style w:type="paragraph" w:customStyle="1" w:styleId="53">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4">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5">
    <w:name w:val="List Paragraph1"/>
    <w:basedOn w:val="1"/>
    <w:qFormat/>
    <w:uiPriority w:val="99"/>
    <w:pPr>
      <w:ind w:firstLine="420" w:firstLineChars="200"/>
    </w:pPr>
    <w:rPr>
      <w:rFonts w:ascii="Times New Roman" w:hAnsi="Times New Roman" w:eastAsia="宋体" w:cs="Times New Roman"/>
      <w:szCs w:val="24"/>
    </w:rPr>
  </w:style>
  <w:style w:type="paragraph" w:styleId="5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77</Pages>
  <Words>6512</Words>
  <Characters>37119</Characters>
  <Lines>309</Lines>
  <Paragraphs>87</Paragraphs>
  <TotalTime>6</TotalTime>
  <ScaleCrop>false</ScaleCrop>
  <LinksUpToDate>false</LinksUpToDate>
  <CharactersWithSpaces>43544</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禹州市公共资源交易中心:侯英红</cp:lastModifiedBy>
  <cp:lastPrinted>2018-08-01T18:20:00Z</cp:lastPrinted>
  <dcterms:modified xsi:type="dcterms:W3CDTF">2019-07-01T07:29:38Z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