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</w:rPr>
        <w:t>禹州市中等专业学校新校区配套教学、生活等设备物品购置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  <w:lang w:eastAsia="zh-CN"/>
        </w:rPr>
        <w:t>（L包）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color w:val="000000"/>
          <w:sz w:val="44"/>
          <w:szCs w:val="44"/>
          <w:u w:val="none"/>
          <w:shd w:val="clear" w:fill="FFFFFF"/>
        </w:rPr>
        <w:t>评标报告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</w:pPr>
      <w:r>
        <w:rPr>
          <w:rFonts w:ascii="黑体" w:hAnsi="宋体" w:eastAsia="黑体" w:cs="黑体"/>
          <w:color w:val="000000"/>
          <w:sz w:val="32"/>
          <w:szCs w:val="32"/>
          <w:u w:val="none"/>
          <w:shd w:val="clear" w:fill="FFFFFF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（一）项目名称：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禹州市中等专业学校新校区配套教学、生活等设备物品购置（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L包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20" w:firstLineChars="100"/>
        <w:jc w:val="both"/>
        <w:textAlignment w:val="auto"/>
        <w:rPr>
          <w:rFonts w:hint="eastAsia" w:ascii="仿宋" w:hAnsi="仿宋" w:eastAsia="仿宋"/>
          <w:sz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（二）项目编号：YZCG-DL201901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7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color w:val="FF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（三）招标公告发布日期：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（四）变更公告发布日期：无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（五）开标日期：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>0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 xml:space="preserve">（六）采购方式：公开招标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（七）最高限价：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132.5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万元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（八）评标办法：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zh-CN"/>
        </w:rPr>
        <w:t>综合评分法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（九）资格审查方式：资格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审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十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招标公告刊登的媒体：全国公共资源交易平台（河南省·许昌市）、河南省电子招标投标公共服务平台。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二、开标记录及投标报价</w:t>
      </w:r>
    </w:p>
    <w:tbl>
      <w:tblPr>
        <w:tblStyle w:val="7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397"/>
        <w:gridCol w:w="1932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   标   人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报价（元）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交付期限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河南政达实业有限公司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1269100.00 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合同签订后25日历天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河南爱诺文化传播有限公司 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1120100.00 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合同签订后30日历天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河南出日实业有限公司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1300000.00 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合同签订后30日历天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禹州市西坡贸易有限公司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1289300.00 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合同签订后30日历天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right="0"/>
        <w:jc w:val="left"/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三、资格审查情况</w:t>
      </w:r>
    </w:p>
    <w:tbl>
      <w:tblPr>
        <w:tblStyle w:val="7"/>
        <w:tblW w:w="91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通过资格审查的投标人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河南政达实业有限公司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河南爱诺文化传播有限公司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河南出日实业有限公司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禹州市西坡贸易有限公司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未</w:t>
            </w:r>
            <w:r>
              <w:rPr>
                <w:rFonts w:ascii="仿宋" w:hAnsi="仿宋" w:eastAsia="仿宋"/>
                <w:sz w:val="32"/>
                <w:szCs w:val="32"/>
              </w:rPr>
              <w:t>通过资格审查的投标人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四、评审情况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（一）符合性审查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通过资格审查的四家投标人均通过符合性审查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b w:val="0"/>
          <w:i w:val="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综合比较与评价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/>
        </w:rPr>
        <w:t> </w:t>
      </w:r>
    </w:p>
    <w:tbl>
      <w:tblPr>
        <w:tblStyle w:val="7"/>
        <w:tblW w:w="9785" w:type="dxa"/>
        <w:jc w:val="center"/>
        <w:tblInd w:w="-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802"/>
        <w:gridCol w:w="1010"/>
        <w:gridCol w:w="1010"/>
        <w:gridCol w:w="1400"/>
        <w:gridCol w:w="780"/>
        <w:gridCol w:w="850"/>
        <w:gridCol w:w="1250"/>
        <w:gridCol w:w="774"/>
        <w:gridCol w:w="10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河南政达实业有限公司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评审因素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投标报价（35分）</w:t>
            </w:r>
          </w:p>
        </w:tc>
        <w:tc>
          <w:tcPr>
            <w:tcW w:w="5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商务部分（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技术部分（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合计得分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889" w:type="dxa"/>
            <w:vMerge w:val="continue"/>
            <w:tcBorders>
              <w:left w:val="single" w:color="000000" w:sz="4" w:space="0"/>
              <w:bottom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企业综合实力</w:t>
            </w:r>
          </w:p>
          <w:p>
            <w:pPr>
              <w:widowControl/>
              <w:tabs>
                <w:tab w:val="left" w:pos="285"/>
              </w:tabs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（13分）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售后服务能力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（4分）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50"/>
              <w:ind w:right="9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设备安装调试及保修维护方案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（8分）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质保期（2分）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培训方案(3分)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满足技术术参数（30分）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样品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（5分）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评委1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30.89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95.89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30.89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94.89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30.89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95.89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30.89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94.89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30.89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94.89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  <w:t>平均得分</w:t>
            </w:r>
          </w:p>
        </w:tc>
        <w:tc>
          <w:tcPr>
            <w:tcW w:w="889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95.29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7"/>
        <w:tblW w:w="9785" w:type="dxa"/>
        <w:jc w:val="center"/>
        <w:tblInd w:w="-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802"/>
        <w:gridCol w:w="1010"/>
        <w:gridCol w:w="1010"/>
        <w:gridCol w:w="1400"/>
        <w:gridCol w:w="780"/>
        <w:gridCol w:w="850"/>
        <w:gridCol w:w="1250"/>
        <w:gridCol w:w="774"/>
        <w:gridCol w:w="10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河南爱诺文化传播有限公司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bookmarkStart w:id="0" w:name="_GoBack" w:colFirst="0" w:colLast="9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评审因素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投标报价（35分）</w:t>
            </w:r>
          </w:p>
        </w:tc>
        <w:tc>
          <w:tcPr>
            <w:tcW w:w="5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商务部分（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技术部分（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合计得分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企业综合实力</w:t>
            </w:r>
          </w:p>
          <w:p>
            <w:pPr>
              <w:widowControl/>
              <w:tabs>
                <w:tab w:val="left" w:pos="285"/>
              </w:tabs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（13分）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售后服务能力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（4分）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50"/>
              <w:ind w:right="9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设备安装调试及保修维护方案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（8分）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质保期（2分）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培训方案(3分)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满足技术术参数（30分）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样品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（5分）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评委1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88</w:t>
            </w:r>
          </w:p>
        </w:tc>
      </w:tr>
      <w:bookmarkEnd w:id="0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35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35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  <w:t>平均得分</w:t>
            </w:r>
          </w:p>
        </w:tc>
        <w:tc>
          <w:tcPr>
            <w:tcW w:w="889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89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tbl>
      <w:tblPr>
        <w:tblStyle w:val="7"/>
        <w:tblW w:w="9785" w:type="dxa"/>
        <w:jc w:val="center"/>
        <w:tblInd w:w="-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802"/>
        <w:gridCol w:w="1010"/>
        <w:gridCol w:w="1010"/>
        <w:gridCol w:w="1400"/>
        <w:gridCol w:w="780"/>
        <w:gridCol w:w="850"/>
        <w:gridCol w:w="1250"/>
        <w:gridCol w:w="774"/>
        <w:gridCol w:w="10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7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禹州市西坡贸易有限公司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评审因素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投标报价（35分）</w:t>
            </w:r>
          </w:p>
        </w:tc>
        <w:tc>
          <w:tcPr>
            <w:tcW w:w="5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商务部分（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技术部分（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合计得分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889" w:type="dxa"/>
            <w:vMerge w:val="continue"/>
            <w:tcBorders>
              <w:left w:val="single" w:color="000000" w:sz="4" w:space="0"/>
              <w:bottom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企业综合实力</w:t>
            </w:r>
          </w:p>
          <w:p>
            <w:pPr>
              <w:widowControl/>
              <w:tabs>
                <w:tab w:val="left" w:pos="285"/>
              </w:tabs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（13分）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Autospacing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售后服务能力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（4分）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50"/>
              <w:ind w:right="9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设备安装调试及保修维护方案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（8分）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质保期（2分）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培训方案(3分)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满足技术术参数（30分）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样品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4"/>
                <w:lang w:val="en-US" w:eastAsia="zh-CN" w:bidi="ar"/>
              </w:rPr>
              <w:t>（5分）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评委1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30.41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11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82.41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30.41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11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80.41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30.41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11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80.41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4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30.41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11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81.41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评委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5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30.41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11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81.41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 w:bidi="ar"/>
              </w:rPr>
              <w:t>平均得分</w:t>
            </w:r>
          </w:p>
        </w:tc>
        <w:tc>
          <w:tcPr>
            <w:tcW w:w="889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81.21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（三）最终排序</w:t>
      </w:r>
    </w:p>
    <w:tbl>
      <w:tblPr>
        <w:tblStyle w:val="7"/>
        <w:tblpPr w:leftFromText="180" w:rightFromText="180" w:vertAnchor="text" w:horzAnchor="page" w:tblpX="1135" w:tblpY="113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5445"/>
        <w:gridCol w:w="172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投标商名称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最终得分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lang w:val="en-US" w:eastAsia="zh-CN"/>
              </w:rPr>
              <w:t>1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河南政达实业有限公司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95.29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lang w:val="en-US" w:eastAsia="zh-CN"/>
              </w:rPr>
              <w:t>2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河南爱诺文化传播有限公司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lang w:val="en-US" w:eastAsia="zh-CN"/>
              </w:rPr>
              <w:t>3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禹州市西坡贸易有限公司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81.21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lang w:val="en-US" w:eastAsia="zh-CN"/>
              </w:rPr>
              <w:t>4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河南出日实业有限公司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80.96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五、评标委员会推荐中标候选人（或采购人授权确定中标人）情况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第一中标候选人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中标候选人（中标人）名称：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河南政达实业有限公司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郑州市二七区冯庄路西、石柱路东、寒山东路南、南屏路北7幢2单元19层1903号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中标金额：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1269100.00元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第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中标候选人（中标人）名称：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河南爱诺文化传播有限公司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郑州市郑东新区农业东路33号宝龙城市广场B区三楼B3223—C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中标金额：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1120100.00元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第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中标候选人（中标人）名称：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禹州市西坡贸易有限公司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禹州市颖川办大同路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中标金额：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1289300.00元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六、投标人根据评标委员会要求进行的澄清、说明或者补正：无。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七、是否存在评标委员会成员更换：无。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八、评标委员会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主任：王金玲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eastAsia="zh-CN"/>
        </w:rPr>
        <w:t>九、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评标委员会成员：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eastAsia="zh-CN"/>
        </w:rPr>
        <w:t>王银海、李艳、杜建业、贾桢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0" w:firstLineChars="0"/>
        <w:jc w:val="righ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5F18"/>
    <w:rsid w:val="0128301B"/>
    <w:rsid w:val="02FC5C80"/>
    <w:rsid w:val="044E69EE"/>
    <w:rsid w:val="048906E4"/>
    <w:rsid w:val="050E61B3"/>
    <w:rsid w:val="065E0B01"/>
    <w:rsid w:val="08D75275"/>
    <w:rsid w:val="091D1846"/>
    <w:rsid w:val="09255EE5"/>
    <w:rsid w:val="0A1F2D53"/>
    <w:rsid w:val="0A4E1111"/>
    <w:rsid w:val="0CAA7F9C"/>
    <w:rsid w:val="0CCB298C"/>
    <w:rsid w:val="0D250EF9"/>
    <w:rsid w:val="0D3A2E6F"/>
    <w:rsid w:val="0E3D02A4"/>
    <w:rsid w:val="0FEF2423"/>
    <w:rsid w:val="10676D26"/>
    <w:rsid w:val="10780F59"/>
    <w:rsid w:val="10A41BAA"/>
    <w:rsid w:val="10B911A5"/>
    <w:rsid w:val="12BB5366"/>
    <w:rsid w:val="14556854"/>
    <w:rsid w:val="158A29C6"/>
    <w:rsid w:val="15D74C26"/>
    <w:rsid w:val="168F244A"/>
    <w:rsid w:val="16B619FB"/>
    <w:rsid w:val="17D926FA"/>
    <w:rsid w:val="18A1237E"/>
    <w:rsid w:val="1C67368D"/>
    <w:rsid w:val="1D07382B"/>
    <w:rsid w:val="1D8323B1"/>
    <w:rsid w:val="1EBA7710"/>
    <w:rsid w:val="1F142E4E"/>
    <w:rsid w:val="1F262C8C"/>
    <w:rsid w:val="1F4F2798"/>
    <w:rsid w:val="21A97E41"/>
    <w:rsid w:val="22034C9F"/>
    <w:rsid w:val="23037B56"/>
    <w:rsid w:val="23660306"/>
    <w:rsid w:val="23773265"/>
    <w:rsid w:val="23EF765A"/>
    <w:rsid w:val="24384F75"/>
    <w:rsid w:val="244D2287"/>
    <w:rsid w:val="25FC06C1"/>
    <w:rsid w:val="265A23C7"/>
    <w:rsid w:val="27A24328"/>
    <w:rsid w:val="286F36FD"/>
    <w:rsid w:val="28B2034C"/>
    <w:rsid w:val="29E818A7"/>
    <w:rsid w:val="2B0228D2"/>
    <w:rsid w:val="2BB172D0"/>
    <w:rsid w:val="2C4B3DB8"/>
    <w:rsid w:val="2C574B53"/>
    <w:rsid w:val="2D080062"/>
    <w:rsid w:val="2DDE1879"/>
    <w:rsid w:val="2DE25F8A"/>
    <w:rsid w:val="2ED67925"/>
    <w:rsid w:val="2FE5659A"/>
    <w:rsid w:val="31534C8B"/>
    <w:rsid w:val="31AD4BEF"/>
    <w:rsid w:val="32436E54"/>
    <w:rsid w:val="35D148D9"/>
    <w:rsid w:val="364A4F82"/>
    <w:rsid w:val="37BC633F"/>
    <w:rsid w:val="3A745AA5"/>
    <w:rsid w:val="3AA617CD"/>
    <w:rsid w:val="3D1F7497"/>
    <w:rsid w:val="3ED952A4"/>
    <w:rsid w:val="3F360F7A"/>
    <w:rsid w:val="3F7F6503"/>
    <w:rsid w:val="401F60C2"/>
    <w:rsid w:val="40255B12"/>
    <w:rsid w:val="41BE39C4"/>
    <w:rsid w:val="423B38E7"/>
    <w:rsid w:val="42A668D7"/>
    <w:rsid w:val="44A83E43"/>
    <w:rsid w:val="454A4C9F"/>
    <w:rsid w:val="45DC3267"/>
    <w:rsid w:val="463B1FB6"/>
    <w:rsid w:val="46A33677"/>
    <w:rsid w:val="47D77E04"/>
    <w:rsid w:val="4A0C358F"/>
    <w:rsid w:val="4BA53E9B"/>
    <w:rsid w:val="4CA523C3"/>
    <w:rsid w:val="4D8E5CE3"/>
    <w:rsid w:val="4E4A3FB2"/>
    <w:rsid w:val="4ED66FCE"/>
    <w:rsid w:val="50BF64AD"/>
    <w:rsid w:val="531870A4"/>
    <w:rsid w:val="53EB3110"/>
    <w:rsid w:val="54DD3BB4"/>
    <w:rsid w:val="559E6C26"/>
    <w:rsid w:val="563F1657"/>
    <w:rsid w:val="56CA06C1"/>
    <w:rsid w:val="56E268DF"/>
    <w:rsid w:val="57A6789C"/>
    <w:rsid w:val="58AB1466"/>
    <w:rsid w:val="58B82E95"/>
    <w:rsid w:val="59F579C1"/>
    <w:rsid w:val="5CBD4099"/>
    <w:rsid w:val="5DE74906"/>
    <w:rsid w:val="5E943DC4"/>
    <w:rsid w:val="610F5247"/>
    <w:rsid w:val="629474F2"/>
    <w:rsid w:val="651327E9"/>
    <w:rsid w:val="65307B3F"/>
    <w:rsid w:val="654066B1"/>
    <w:rsid w:val="66AA1F20"/>
    <w:rsid w:val="66D16712"/>
    <w:rsid w:val="678B1BFF"/>
    <w:rsid w:val="69AD6243"/>
    <w:rsid w:val="6AF064E6"/>
    <w:rsid w:val="6B973023"/>
    <w:rsid w:val="6E547A0B"/>
    <w:rsid w:val="6ED35C82"/>
    <w:rsid w:val="6F7613B8"/>
    <w:rsid w:val="6FE8043B"/>
    <w:rsid w:val="6FE924CA"/>
    <w:rsid w:val="70C274EE"/>
    <w:rsid w:val="71617399"/>
    <w:rsid w:val="71990FDF"/>
    <w:rsid w:val="74BF6EEE"/>
    <w:rsid w:val="764C70D6"/>
    <w:rsid w:val="780564AD"/>
    <w:rsid w:val="7A28649E"/>
    <w:rsid w:val="7D150AA8"/>
    <w:rsid w:val="7F64740C"/>
    <w:rsid w:val="7F660AEE"/>
    <w:rsid w:val="7F8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8"/>
    <w:qFormat/>
    <w:uiPriority w:val="0"/>
    <w:rPr>
      <w:color w:val="CC0000"/>
    </w:rPr>
  </w:style>
  <w:style w:type="character" w:customStyle="1" w:styleId="15">
    <w:name w:val="red3"/>
    <w:basedOn w:val="8"/>
    <w:qFormat/>
    <w:uiPriority w:val="0"/>
    <w:rPr>
      <w:color w:val="FF0000"/>
    </w:rPr>
  </w:style>
  <w:style w:type="character" w:customStyle="1" w:styleId="16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7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18">
    <w:name w:val="hover25"/>
    <w:basedOn w:val="8"/>
    <w:qFormat/>
    <w:uiPriority w:val="0"/>
  </w:style>
  <w:style w:type="character" w:customStyle="1" w:styleId="19">
    <w:name w:val="gb-jt"/>
    <w:basedOn w:val="8"/>
    <w:qFormat/>
    <w:uiPriority w:val="0"/>
  </w:style>
  <w:style w:type="character" w:customStyle="1" w:styleId="20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8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　　</cp:lastModifiedBy>
  <cp:lastPrinted>2019-06-26T06:24:00Z</cp:lastPrinted>
  <dcterms:modified xsi:type="dcterms:W3CDTF">2019-06-26T07:55:28Z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