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55" w:rsidRPr="00B02755" w:rsidRDefault="00B02755" w:rsidP="00B02755">
      <w:pPr>
        <w:jc w:val="center"/>
        <w:rPr>
          <w:rFonts w:asciiTheme="minorEastAsia" w:hAnsiTheme="minorEastAsia" w:cs="Tahoma" w:hint="eastAsia"/>
          <w:color w:val="000000"/>
          <w:kern w:val="0"/>
          <w:sz w:val="36"/>
          <w:szCs w:val="28"/>
        </w:rPr>
      </w:pPr>
      <w:r w:rsidRPr="00B02755">
        <w:rPr>
          <w:rFonts w:asciiTheme="minorEastAsia" w:hAnsiTheme="minorEastAsia" w:cs="Tahoma"/>
          <w:b/>
          <w:bCs/>
          <w:color w:val="000000"/>
          <w:kern w:val="0"/>
          <w:sz w:val="36"/>
          <w:szCs w:val="28"/>
        </w:rPr>
        <w:t>许昌市建设工程工程量清单招标评标办法（试行）</w:t>
      </w:r>
    </w:p>
    <w:p w:rsidR="00B02755" w:rsidRDefault="00B02755" w:rsidP="00B02755">
      <w:pPr>
        <w:rPr>
          <w:rFonts w:asciiTheme="minorEastAsia" w:hAnsiTheme="minorEastAsia" w:cs="Tahoma" w:hint="eastAsia"/>
          <w:color w:val="000000"/>
          <w:kern w:val="0"/>
          <w:sz w:val="28"/>
          <w:szCs w:val="28"/>
        </w:rPr>
      </w:pP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第一条  为了规范我市建设工程工程量清单招标评标活动，根据《中华人民共和国招标投标法》、《中华人民共和国政府采购法》、《中华人民共和国招标投标法实施条例》、《建设工程工程量清单计价规范》(GB50500—2013)、《河南省建设工程工程量清单招标评标办法》（</w:t>
      </w:r>
      <w:proofErr w:type="gramStart"/>
      <w:r w:rsidRPr="00B02755">
        <w:rPr>
          <w:rFonts w:asciiTheme="minorEastAsia" w:hAnsiTheme="minorEastAsia" w:cs="Tahoma" w:hint="eastAsia"/>
          <w:color w:val="000000"/>
          <w:kern w:val="0"/>
          <w:sz w:val="28"/>
          <w:szCs w:val="28"/>
        </w:rPr>
        <w:t>豫建〔2014〕</w:t>
      </w:r>
      <w:proofErr w:type="gramEnd"/>
      <w:r w:rsidRPr="00B02755">
        <w:rPr>
          <w:rFonts w:asciiTheme="minorEastAsia" w:hAnsiTheme="minorEastAsia" w:cs="Tahoma" w:hint="eastAsia"/>
          <w:color w:val="000000"/>
          <w:kern w:val="0"/>
          <w:sz w:val="28"/>
          <w:szCs w:val="28"/>
        </w:rPr>
        <w:t>36号）等法律法规、规章、规范性文件的规定，结合我市招标评标工作实际，制定本办法。</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第二条 本办法适用于在许昌市行政区域内依法必须招标的各类房屋建筑和市政基础设施工程。</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第三条 使用国有资金投资的建设工程发承包，依法必须进行招标的，必须采用工程量清单计价方式招标。非国有资金投资的建设工程发承包，鼓励采用工程量清单计价招标。</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第四条 建设工程发承包，招标人应按照《建设工程工程量清单计价规范》（GB50500—2013）的有关规定，在招标文件中明确规定计价风险的内容及范围，合理分担风险，不得采用无限风险、所有风险或类似语句规定计价中的风险内容及范围。在下列三种情况下，必须调整合同价款：</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1.国家法律、法规、规章和政策发生变化；</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2.省级主管部门发布的人工费调整；</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3.由政府定价或政府指导价管理的原材料等价格的调整。</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第五条  工程量清单作为编制招标控制价、投标报价，计</w:t>
      </w:r>
      <w:r w:rsidRPr="00B02755">
        <w:rPr>
          <w:rFonts w:asciiTheme="minorEastAsia" w:hAnsiTheme="minorEastAsia" w:cs="Tahoma" w:hint="eastAsia"/>
          <w:color w:val="000000"/>
          <w:kern w:val="0"/>
          <w:sz w:val="28"/>
          <w:szCs w:val="28"/>
        </w:rPr>
        <w:lastRenderedPageBreak/>
        <w:t>算或调整工程量、索赔的重要依据，应以单位（项）工程为单位编制，清单应由分部分项工程项目、措施项目、其它项目、</w:t>
      </w:r>
      <w:proofErr w:type="gramStart"/>
      <w:r w:rsidRPr="00B02755">
        <w:rPr>
          <w:rFonts w:asciiTheme="minorEastAsia" w:hAnsiTheme="minorEastAsia" w:cs="Tahoma" w:hint="eastAsia"/>
          <w:color w:val="000000"/>
          <w:kern w:val="0"/>
          <w:sz w:val="28"/>
          <w:szCs w:val="28"/>
        </w:rPr>
        <w:t>规</w:t>
      </w:r>
      <w:proofErr w:type="gramEnd"/>
      <w:r w:rsidRPr="00B02755">
        <w:rPr>
          <w:rFonts w:asciiTheme="minorEastAsia" w:hAnsiTheme="minorEastAsia" w:cs="Tahoma" w:hint="eastAsia"/>
          <w:color w:val="000000"/>
          <w:kern w:val="0"/>
          <w:sz w:val="28"/>
          <w:szCs w:val="28"/>
        </w:rPr>
        <w:t>费和税金项目组成。工程量清单必须作为招标文件组成部分，其编制的准确性和完整性由招标人负责。</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招标人应当在招标文件中提供符合《建设工程工程量清单计价规范》（GB50500—2013）、河南省现行计价依据规定的工程量清单的纸质文件和电子文件。</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投标人应当根据招标文件提供的工程量清单、招标文件相关要求及有关规定编制投标报价。在提交投标文件时，应同时提交与投标报价内容一致的电子文件，并与标书一起密封。当电子文件与纸质文件不一致的，以纸质文件为准。采用电子招标的，从其规定。</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编制工程量清单、招标控制价以及投标报价，电子文件应当符合河南省《建设工程造价软件数据交换标准》。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第六条  国有资金投资的建设工程采用工程量清单方式招标，必须编制招标控制价。招标控制价应在招标时公布，招标人应将招标控制价及有关资料按照《河南省建设工程工程量清单招标控制价管理规定》报送当地工程造价管理机构备查。</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招标控制价由招标人依据国家计价规范、《河南省建设工程工程量清单招标控制价管理规定》、河南省现行计价依据的规定编制。材料价格应按市造价管理部门发布的最近一期信息指导价格执行，信息指导价格</w:t>
      </w:r>
      <w:proofErr w:type="gramStart"/>
      <w:r w:rsidRPr="00B02755">
        <w:rPr>
          <w:rFonts w:asciiTheme="minorEastAsia" w:hAnsiTheme="minorEastAsia" w:cs="Tahoma" w:hint="eastAsia"/>
          <w:color w:val="000000"/>
          <w:kern w:val="0"/>
          <w:sz w:val="28"/>
          <w:szCs w:val="28"/>
        </w:rPr>
        <w:t>未发布</w:t>
      </w:r>
      <w:proofErr w:type="gramEnd"/>
      <w:r w:rsidRPr="00B02755">
        <w:rPr>
          <w:rFonts w:asciiTheme="minorEastAsia" w:hAnsiTheme="minorEastAsia" w:cs="Tahoma" w:hint="eastAsia"/>
          <w:color w:val="000000"/>
          <w:kern w:val="0"/>
          <w:sz w:val="28"/>
          <w:szCs w:val="28"/>
        </w:rPr>
        <w:t>的由招标人根据市场价格确定。</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第七条  招标控制价应采用综合单价计价，应包括招标文</w:t>
      </w:r>
      <w:r w:rsidRPr="00B02755">
        <w:rPr>
          <w:rFonts w:asciiTheme="minorEastAsia" w:hAnsiTheme="minorEastAsia" w:cs="Tahoma" w:hint="eastAsia"/>
          <w:color w:val="000000"/>
          <w:kern w:val="0"/>
          <w:sz w:val="28"/>
          <w:szCs w:val="28"/>
        </w:rPr>
        <w:lastRenderedPageBreak/>
        <w:t>件中划分的由投标人承担的风险范围及其费用。</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投标人的投标报价高于招标控制价的，其投标应予以拒绝。</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第八条  采用工程量清单招标的工程项目开标后，先由评标委员会对投标文件进行基础性数据分析和整理（清标内容见附件1），形成清标成果。出现否定事项的，经质询不能合理说明理由或不能提供有效证明材料的，评标委员会可判定为不合理报价，不得进入下步评审；经质询能合理说明理由或提供有效证明材料的，评标委员会应判定为合理报价，进入下步评审。</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评标委员会的组成人员中具有注册造价工程师资格的评委应不少于两名。</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评标委员会在评标过程中，发现投标文件存在下列情形之一的，</w:t>
      </w:r>
      <w:proofErr w:type="gramStart"/>
      <w:r w:rsidRPr="00B02755">
        <w:rPr>
          <w:rFonts w:asciiTheme="minorEastAsia" w:hAnsiTheme="minorEastAsia" w:cs="Tahoma" w:hint="eastAsia"/>
          <w:color w:val="000000"/>
          <w:kern w:val="0"/>
          <w:sz w:val="28"/>
          <w:szCs w:val="28"/>
        </w:rPr>
        <w:t>按废标处理</w:t>
      </w:r>
      <w:proofErr w:type="gramEnd"/>
      <w:r w:rsidRPr="00B02755">
        <w:rPr>
          <w:rFonts w:asciiTheme="minorEastAsia" w:hAnsiTheme="minorEastAsia" w:cs="Tahoma" w:hint="eastAsia"/>
          <w:color w:val="000000"/>
          <w:kern w:val="0"/>
          <w:sz w:val="28"/>
          <w:szCs w:val="28"/>
        </w:rPr>
        <w:t>。</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1.未按招标文件规定编制各项报价的；</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2.投标总报价与其组成部分、工程量清单项目合价与综合单价、综合单价与</w:t>
      </w:r>
      <w:proofErr w:type="gramStart"/>
      <w:r w:rsidRPr="00B02755">
        <w:rPr>
          <w:rFonts w:asciiTheme="minorEastAsia" w:hAnsiTheme="minorEastAsia" w:cs="Tahoma" w:hint="eastAsia"/>
          <w:color w:val="000000"/>
          <w:kern w:val="0"/>
          <w:sz w:val="28"/>
          <w:szCs w:val="28"/>
        </w:rPr>
        <w:t>人材机用量</w:t>
      </w:r>
      <w:proofErr w:type="gramEnd"/>
      <w:r w:rsidRPr="00B02755">
        <w:rPr>
          <w:rFonts w:asciiTheme="minorEastAsia" w:hAnsiTheme="minorEastAsia" w:cs="Tahoma" w:hint="eastAsia"/>
          <w:color w:val="000000"/>
          <w:kern w:val="0"/>
          <w:sz w:val="28"/>
          <w:szCs w:val="28"/>
        </w:rPr>
        <w:t>相互矛盾，致使评标委员会无法正常评审判定的；</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3.</w:t>
      </w:r>
      <w:proofErr w:type="gramStart"/>
      <w:r w:rsidRPr="00B02755">
        <w:rPr>
          <w:rFonts w:asciiTheme="minorEastAsia" w:hAnsiTheme="minorEastAsia" w:cs="Tahoma" w:hint="eastAsia"/>
          <w:color w:val="000000"/>
          <w:kern w:val="0"/>
          <w:sz w:val="28"/>
          <w:szCs w:val="28"/>
        </w:rPr>
        <w:t>规</w:t>
      </w:r>
      <w:proofErr w:type="gramEnd"/>
      <w:r w:rsidRPr="00B02755">
        <w:rPr>
          <w:rFonts w:asciiTheme="minorEastAsia" w:hAnsiTheme="minorEastAsia" w:cs="Tahoma" w:hint="eastAsia"/>
          <w:color w:val="000000"/>
          <w:kern w:val="0"/>
          <w:sz w:val="28"/>
          <w:szCs w:val="28"/>
        </w:rPr>
        <w:t>费和税金、安全文明施工措施费违背工程造价管理规定的；</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4.分部分项工程项目、措施项目报价中的项目编码、项目名称、项目特征、计量单位和工程量与招标文件的清单不一致的；</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5.未按照暂列金额或者暂估价编制投标报价的。</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第九条  投标文件的评审分初步评审和详细评审两个阶段。</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lastRenderedPageBreak/>
        <w:t>    初步评审是指评标委员会按招标文件要求对所有投标文件真实性、符合性、响应性和重大偏差逐一评审，经审查不符合招标文件要求的，不再进入详细评审阶段。初步评审主要包括以下内容：</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1.投标文件未经投标单位盖章和单位负责人签字；</w:t>
      </w:r>
      <w:r w:rsidRPr="00B02755">
        <w:rPr>
          <w:rFonts w:asciiTheme="minorEastAsia" w:hAnsiTheme="minorEastAsia" w:cs="Tahoma"/>
          <w:color w:val="000000"/>
          <w:kern w:val="0"/>
          <w:sz w:val="28"/>
          <w:szCs w:val="28"/>
        </w:rPr>
        <w:br/>
      </w:r>
      <w:r w:rsidRPr="00B02755">
        <w:rPr>
          <w:rFonts w:asciiTheme="minorEastAsia" w:hAnsiTheme="minorEastAsia" w:cs="Tahoma" w:hint="eastAsia"/>
          <w:color w:val="000000"/>
          <w:kern w:val="0"/>
          <w:sz w:val="28"/>
          <w:szCs w:val="28"/>
        </w:rPr>
        <w:t xml:space="preserve">　　 2.投标联合体没有提交共同投标协议；</w:t>
      </w:r>
      <w:r w:rsidRPr="00B02755">
        <w:rPr>
          <w:rFonts w:asciiTheme="minorEastAsia" w:hAnsiTheme="minorEastAsia" w:cs="Tahoma"/>
          <w:color w:val="000000"/>
          <w:kern w:val="0"/>
          <w:sz w:val="28"/>
          <w:szCs w:val="28"/>
        </w:rPr>
        <w:br/>
      </w:r>
      <w:r w:rsidRPr="00B02755">
        <w:rPr>
          <w:rFonts w:asciiTheme="minorEastAsia" w:hAnsiTheme="minorEastAsia" w:cs="Tahoma" w:hint="eastAsia"/>
          <w:color w:val="000000"/>
          <w:kern w:val="0"/>
          <w:sz w:val="28"/>
          <w:szCs w:val="28"/>
        </w:rPr>
        <w:t xml:space="preserve">　　 3.投标人不符合国家或者招标文件规定的资格条件；</w:t>
      </w:r>
      <w:r w:rsidRPr="00B02755">
        <w:rPr>
          <w:rFonts w:asciiTheme="minorEastAsia" w:hAnsiTheme="minorEastAsia" w:cs="Tahoma"/>
          <w:color w:val="000000"/>
          <w:kern w:val="0"/>
          <w:sz w:val="28"/>
          <w:szCs w:val="28"/>
        </w:rPr>
        <w:br/>
      </w:r>
      <w:r w:rsidRPr="00B02755">
        <w:rPr>
          <w:rFonts w:asciiTheme="minorEastAsia" w:hAnsiTheme="minorEastAsia" w:cs="Tahoma" w:hint="eastAsia"/>
          <w:color w:val="000000"/>
          <w:kern w:val="0"/>
          <w:sz w:val="28"/>
          <w:szCs w:val="28"/>
        </w:rPr>
        <w:t xml:space="preserve">　　 4.同一投标人提交两个以上不同的投标文件或者投标报价，但招标文件要求提交备选投标的除外；</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5.投标报价高于招标文件设定的最高投标限价；</w:t>
      </w:r>
      <w:r w:rsidRPr="00B02755">
        <w:rPr>
          <w:rFonts w:asciiTheme="minorEastAsia" w:hAnsiTheme="minorEastAsia" w:cs="Tahoma"/>
          <w:color w:val="000000"/>
          <w:kern w:val="0"/>
          <w:sz w:val="28"/>
          <w:szCs w:val="28"/>
        </w:rPr>
        <w:br/>
      </w:r>
      <w:r w:rsidRPr="00B02755">
        <w:rPr>
          <w:rFonts w:asciiTheme="minorEastAsia" w:hAnsiTheme="minorEastAsia" w:cs="Tahoma" w:hint="eastAsia"/>
          <w:color w:val="000000"/>
          <w:kern w:val="0"/>
          <w:sz w:val="28"/>
          <w:szCs w:val="28"/>
        </w:rPr>
        <w:t xml:space="preserve">　　 6.投标标的物、工期、工程质量、付款方式不符合招标文件规定；</w:t>
      </w:r>
      <w:r w:rsidRPr="00B02755">
        <w:rPr>
          <w:rFonts w:asciiTheme="minorEastAsia" w:hAnsiTheme="minorEastAsia" w:cs="Tahoma"/>
          <w:color w:val="000000"/>
          <w:kern w:val="0"/>
          <w:sz w:val="28"/>
          <w:szCs w:val="28"/>
        </w:rPr>
        <w:br/>
      </w:r>
      <w:r w:rsidRPr="00B02755">
        <w:rPr>
          <w:rFonts w:asciiTheme="minorEastAsia" w:hAnsiTheme="minorEastAsia" w:cs="Tahoma" w:hint="eastAsia"/>
          <w:color w:val="000000"/>
          <w:kern w:val="0"/>
          <w:sz w:val="28"/>
          <w:szCs w:val="28"/>
        </w:rPr>
        <w:t xml:space="preserve">　　 7.投标人有串通投标、弄虚作假、行贿等违法行为。</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详细评审是对初步评审合格投标文件的技术标、商务标、综合</w:t>
      </w:r>
      <w:proofErr w:type="gramStart"/>
      <w:r w:rsidRPr="00B02755">
        <w:rPr>
          <w:rFonts w:asciiTheme="minorEastAsia" w:hAnsiTheme="minorEastAsia" w:cs="Tahoma" w:hint="eastAsia"/>
          <w:color w:val="000000"/>
          <w:kern w:val="0"/>
          <w:sz w:val="28"/>
          <w:szCs w:val="28"/>
        </w:rPr>
        <w:t>标按照</w:t>
      </w:r>
      <w:proofErr w:type="gramEnd"/>
      <w:r w:rsidRPr="00B02755">
        <w:rPr>
          <w:rFonts w:asciiTheme="minorEastAsia" w:hAnsiTheme="minorEastAsia" w:cs="Tahoma" w:hint="eastAsia"/>
          <w:color w:val="000000"/>
          <w:kern w:val="0"/>
          <w:sz w:val="28"/>
          <w:szCs w:val="28"/>
        </w:rPr>
        <w:t>招标文件中明确的评标办法以列表、随机抽取的方式进行分析、比较和评审。</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初步评审和详细评审经审查后应写出评审意见。</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第十条  </w:t>
      </w:r>
      <w:proofErr w:type="gramStart"/>
      <w:r w:rsidRPr="00B02755">
        <w:rPr>
          <w:rFonts w:asciiTheme="minorEastAsia" w:hAnsiTheme="minorEastAsia" w:cs="Tahoma" w:hint="eastAsia"/>
          <w:color w:val="000000"/>
          <w:kern w:val="0"/>
          <w:sz w:val="28"/>
          <w:szCs w:val="28"/>
        </w:rPr>
        <w:t>规</w:t>
      </w:r>
      <w:proofErr w:type="gramEnd"/>
      <w:r w:rsidRPr="00B02755">
        <w:rPr>
          <w:rFonts w:asciiTheme="minorEastAsia" w:hAnsiTheme="minorEastAsia" w:cs="Tahoma" w:hint="eastAsia"/>
          <w:color w:val="000000"/>
          <w:kern w:val="0"/>
          <w:sz w:val="28"/>
          <w:szCs w:val="28"/>
        </w:rPr>
        <w:t>费、税金、安全文明施工措施</w:t>
      </w:r>
      <w:proofErr w:type="gramStart"/>
      <w:r w:rsidRPr="00B02755">
        <w:rPr>
          <w:rFonts w:asciiTheme="minorEastAsia" w:hAnsiTheme="minorEastAsia" w:cs="Tahoma" w:hint="eastAsia"/>
          <w:color w:val="000000"/>
          <w:kern w:val="0"/>
          <w:sz w:val="28"/>
          <w:szCs w:val="28"/>
        </w:rPr>
        <w:t>费属于</w:t>
      </w:r>
      <w:proofErr w:type="gramEnd"/>
      <w:r w:rsidRPr="00B02755">
        <w:rPr>
          <w:rFonts w:asciiTheme="minorEastAsia" w:hAnsiTheme="minorEastAsia" w:cs="Tahoma" w:hint="eastAsia"/>
          <w:color w:val="000000"/>
          <w:kern w:val="0"/>
          <w:sz w:val="28"/>
          <w:szCs w:val="28"/>
        </w:rPr>
        <w:t>不可竞争费用，应按河南省及许昌市现行的计价依据及其计价办法的规定计算。上述费用应计入投标总报价，并在投标函、投标函附录中单列，不参与商务标评审。</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第十一条  评标办法分为两种：经评审的最低投标价法和综合计分法。采用综合计分法评标的，必须经市政府批准后方可实行。</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lastRenderedPageBreak/>
        <w:t>   第十二条  采用经评审的最低投标价法评标的，评标委员会根据招标文件要求，对商务标、技术标进行评审。</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（一）对商务标进行详细评审。包括分部分项工程项目清单、措施费项目、主要材料项目。</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1.分部分项工程项目依据招标文件规定的方式抽取10—20项，分析综合单价报价是否合理。分部分项工程项目综合单价按有效投标人综合单价的算术平均值作为基准价。当投标人的综合单价低于基准价12%的工程项目数量超过抽取数量的50%时，评标委员会应对其质询。</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2.措施费项目按有效投标人措施费报价的算术平均值作为基准价，低于基准价20%的措施费报价，评标委员会应对其质询。</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3.主要材料项目依据招标文件规定的方式抽取10—15项，分析材料单价报价是否合理。主要材料单价按有效投标人材料单价的算术平均值作为基准价，当投标人的材料单价低于基准价12%的材料数量超过抽取数量的50%时，评标委员会应对其质询。 </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评标委员会对以上三项中的质询结果，认为不能合理说明或提供相应证明材料的，评标委员会可判定为报价不合理。经评标委员会评审，定为合理报价的，按照投标人投标总报价由低到高进行排序，对前三名投标人的技术标进行评审。</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（二）对技术标进行详细评审。评标委员会对投标人的技术</w:t>
      </w:r>
      <w:proofErr w:type="gramStart"/>
      <w:r w:rsidRPr="00B02755">
        <w:rPr>
          <w:rFonts w:asciiTheme="minorEastAsia" w:hAnsiTheme="minorEastAsia" w:cs="Tahoma" w:hint="eastAsia"/>
          <w:color w:val="000000"/>
          <w:kern w:val="0"/>
          <w:sz w:val="28"/>
          <w:szCs w:val="28"/>
        </w:rPr>
        <w:t>标通过</w:t>
      </w:r>
      <w:proofErr w:type="gramEnd"/>
      <w:r w:rsidRPr="00B02755">
        <w:rPr>
          <w:rFonts w:asciiTheme="minorEastAsia" w:hAnsiTheme="minorEastAsia" w:cs="Tahoma" w:hint="eastAsia"/>
          <w:color w:val="000000"/>
          <w:kern w:val="0"/>
          <w:sz w:val="28"/>
          <w:szCs w:val="28"/>
        </w:rPr>
        <w:t>综合计分</w:t>
      </w:r>
      <w:proofErr w:type="gramStart"/>
      <w:r w:rsidRPr="00B02755">
        <w:rPr>
          <w:rFonts w:asciiTheme="minorEastAsia" w:hAnsiTheme="minorEastAsia" w:cs="Tahoma" w:hint="eastAsia"/>
          <w:color w:val="000000"/>
          <w:kern w:val="0"/>
          <w:sz w:val="28"/>
          <w:szCs w:val="28"/>
        </w:rPr>
        <w:t>作出</w:t>
      </w:r>
      <w:proofErr w:type="gramEnd"/>
      <w:r w:rsidRPr="00B02755">
        <w:rPr>
          <w:rFonts w:asciiTheme="minorEastAsia" w:hAnsiTheme="minorEastAsia" w:cs="Tahoma" w:hint="eastAsia"/>
          <w:color w:val="000000"/>
          <w:kern w:val="0"/>
          <w:sz w:val="28"/>
          <w:szCs w:val="28"/>
        </w:rPr>
        <w:t>“可行”和“不可行”认定（技术标评审内容详见附件2）。   </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lastRenderedPageBreak/>
        <w:t>   技术标得分≥60分时应做出“可行”认定，技术标得分&lt;60分时应做出“不可行”认定。评标委员会认为技术标“不可行”的，应当在评标报告中注明原因或理由。在技术标的详细评审过程中，若前三名的投标人的技术标被认定为“不可行”的，按投标人</w:t>
      </w:r>
      <w:proofErr w:type="gramStart"/>
      <w:r w:rsidRPr="00B02755">
        <w:rPr>
          <w:rFonts w:asciiTheme="minorEastAsia" w:hAnsiTheme="minorEastAsia" w:cs="Tahoma" w:hint="eastAsia"/>
          <w:color w:val="000000"/>
          <w:kern w:val="0"/>
          <w:sz w:val="28"/>
          <w:szCs w:val="28"/>
        </w:rPr>
        <w:t>报标总报价</w:t>
      </w:r>
      <w:proofErr w:type="gramEnd"/>
      <w:r w:rsidRPr="00B02755">
        <w:rPr>
          <w:rFonts w:asciiTheme="minorEastAsia" w:hAnsiTheme="minorEastAsia" w:cs="Tahoma" w:hint="eastAsia"/>
          <w:color w:val="000000"/>
          <w:kern w:val="0"/>
          <w:sz w:val="28"/>
          <w:szCs w:val="28"/>
        </w:rPr>
        <w:t>的排序添加，添加后的</w:t>
      </w:r>
      <w:proofErr w:type="gramStart"/>
      <w:r w:rsidRPr="00B02755">
        <w:rPr>
          <w:rFonts w:asciiTheme="minorEastAsia" w:hAnsiTheme="minorEastAsia" w:cs="Tahoma" w:hint="eastAsia"/>
          <w:color w:val="000000"/>
          <w:kern w:val="0"/>
          <w:sz w:val="28"/>
          <w:szCs w:val="28"/>
        </w:rPr>
        <w:t>技术标按以上</w:t>
      </w:r>
      <w:proofErr w:type="gramEnd"/>
      <w:r w:rsidRPr="00B02755">
        <w:rPr>
          <w:rFonts w:asciiTheme="minorEastAsia" w:hAnsiTheme="minorEastAsia" w:cs="Tahoma" w:hint="eastAsia"/>
          <w:color w:val="000000"/>
          <w:kern w:val="0"/>
          <w:sz w:val="28"/>
          <w:szCs w:val="28"/>
        </w:rPr>
        <w:t>规定评审。</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经评标委员会评审，定为合理报价且技术标“可行”的，按照投标总报价由低到高顺序，推荐前三名作为中标候选人。</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第十三条  采用综合计分法评标的，评标委员会根据招标文件要求应从技术标、商务标、综合（信用）标三部分进行综合评审。技术标的权重占20%，商务标的权重占60%，综合（信用）标的权重占20%。</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（一）工程量清单总报价评标基准价按下列公式确定：</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评标基准价＝招标控制价×K+投标总报价×（1－K）</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其中：投标总报价为各投标人有效投标总报价（不含</w:t>
      </w:r>
      <w:proofErr w:type="gramStart"/>
      <w:r w:rsidRPr="00B02755">
        <w:rPr>
          <w:rFonts w:asciiTheme="minorEastAsia" w:hAnsiTheme="minorEastAsia" w:cs="Tahoma" w:hint="eastAsia"/>
          <w:color w:val="000000"/>
          <w:kern w:val="0"/>
          <w:sz w:val="28"/>
          <w:szCs w:val="28"/>
        </w:rPr>
        <w:t>规</w:t>
      </w:r>
      <w:proofErr w:type="gramEnd"/>
      <w:r w:rsidRPr="00B02755">
        <w:rPr>
          <w:rFonts w:asciiTheme="minorEastAsia" w:hAnsiTheme="minorEastAsia" w:cs="Tahoma" w:hint="eastAsia"/>
          <w:color w:val="000000"/>
          <w:kern w:val="0"/>
          <w:sz w:val="28"/>
          <w:szCs w:val="28"/>
        </w:rPr>
        <w:t>费、税金、安全文明施工措施费，下同），去掉一个最高和一个最低报价后的算术平均值。</w:t>
      </w:r>
      <w:proofErr w:type="gramStart"/>
      <w:r w:rsidRPr="00B02755">
        <w:rPr>
          <w:rFonts w:asciiTheme="minorEastAsia" w:hAnsiTheme="minorEastAsia" w:cs="Tahoma" w:hint="eastAsia"/>
          <w:color w:val="000000"/>
          <w:kern w:val="0"/>
          <w:sz w:val="28"/>
          <w:szCs w:val="28"/>
        </w:rPr>
        <w:t>当有效</w:t>
      </w:r>
      <w:proofErr w:type="gramEnd"/>
      <w:r w:rsidRPr="00B02755">
        <w:rPr>
          <w:rFonts w:asciiTheme="minorEastAsia" w:hAnsiTheme="minorEastAsia" w:cs="Tahoma" w:hint="eastAsia"/>
          <w:color w:val="000000"/>
          <w:kern w:val="0"/>
          <w:sz w:val="28"/>
          <w:szCs w:val="28"/>
        </w:rPr>
        <w:t>投标少于5家时（不含5家），则以所有有效投标总报价的算术平均值作为投标总报价。</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K为招标控制价权重系数，0.1≤K≤0.5，在开标现场随机抽取。</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（二）技术标的评标分值20分（详细评审内容见附件2）</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（三）商务标的评标分值60分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1.投标报价的评审30分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投标报价与评标基准价相等得基本分20分。当投标报价低于</w:t>
      </w:r>
      <w:r w:rsidRPr="00B02755">
        <w:rPr>
          <w:rFonts w:asciiTheme="minorEastAsia" w:hAnsiTheme="minorEastAsia" w:cs="Tahoma" w:hint="eastAsia"/>
          <w:color w:val="000000"/>
          <w:kern w:val="0"/>
          <w:sz w:val="28"/>
          <w:szCs w:val="28"/>
        </w:rPr>
        <w:lastRenderedPageBreak/>
        <w:t>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2.分部分项工程项目综合单价的评审15分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分部分项工程项目综合单价随机选择15项清单项目。清单项目综合单价以各有效投标报价的（</w:t>
      </w:r>
      <w:proofErr w:type="gramStart"/>
      <w:r w:rsidRPr="00B02755">
        <w:rPr>
          <w:rFonts w:asciiTheme="minorEastAsia" w:hAnsiTheme="minorEastAsia" w:cs="Tahoma" w:hint="eastAsia"/>
          <w:color w:val="000000"/>
          <w:kern w:val="0"/>
          <w:sz w:val="28"/>
          <w:szCs w:val="28"/>
        </w:rPr>
        <w:t>当有效</w:t>
      </w:r>
      <w:proofErr w:type="gramEnd"/>
      <w:r w:rsidRPr="00B02755">
        <w:rPr>
          <w:rFonts w:asciiTheme="minorEastAsia" w:hAnsiTheme="minorEastAsia" w:cs="Tahoma" w:hint="eastAsia"/>
          <w:color w:val="000000"/>
          <w:kern w:val="0"/>
          <w:sz w:val="28"/>
          <w:szCs w:val="28"/>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3.措施项目的评审5分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措施项目基准值=各投标人所报措施项目费（</w:t>
      </w:r>
      <w:proofErr w:type="gramStart"/>
      <w:r w:rsidRPr="00B02755">
        <w:rPr>
          <w:rFonts w:asciiTheme="minorEastAsia" w:hAnsiTheme="minorEastAsia" w:cs="Tahoma" w:hint="eastAsia"/>
          <w:color w:val="000000"/>
          <w:kern w:val="0"/>
          <w:sz w:val="28"/>
          <w:szCs w:val="28"/>
        </w:rPr>
        <w:t>当有效</w:t>
      </w:r>
      <w:proofErr w:type="gramEnd"/>
      <w:r w:rsidRPr="00B02755">
        <w:rPr>
          <w:rFonts w:asciiTheme="minorEastAsia" w:hAnsiTheme="minorEastAsia" w:cs="Tahoma" w:hint="eastAsia"/>
          <w:color w:val="000000"/>
          <w:kern w:val="0"/>
          <w:sz w:val="28"/>
          <w:szCs w:val="28"/>
        </w:rPr>
        <w:t>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4.主要材料单价的评审10分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主要材料项目单价选择10项材料，材料的单价以各有效投标</w:t>
      </w:r>
      <w:r w:rsidRPr="00B02755">
        <w:rPr>
          <w:rFonts w:asciiTheme="minorEastAsia" w:hAnsiTheme="minorEastAsia" w:cs="Tahoma" w:hint="eastAsia"/>
          <w:color w:val="000000"/>
          <w:kern w:val="0"/>
          <w:sz w:val="28"/>
          <w:szCs w:val="28"/>
        </w:rPr>
        <w:lastRenderedPageBreak/>
        <w:t>报价（</w:t>
      </w:r>
      <w:proofErr w:type="gramStart"/>
      <w:r w:rsidRPr="00B02755">
        <w:rPr>
          <w:rFonts w:asciiTheme="minorEastAsia" w:hAnsiTheme="minorEastAsia" w:cs="Tahoma" w:hint="eastAsia"/>
          <w:color w:val="000000"/>
          <w:kern w:val="0"/>
          <w:sz w:val="28"/>
          <w:szCs w:val="28"/>
        </w:rPr>
        <w:t>当有效</w:t>
      </w:r>
      <w:proofErr w:type="gramEnd"/>
      <w:r w:rsidRPr="00B02755">
        <w:rPr>
          <w:rFonts w:asciiTheme="minorEastAsia" w:hAnsiTheme="minorEastAsia" w:cs="Tahoma" w:hint="eastAsia"/>
          <w:color w:val="000000"/>
          <w:kern w:val="0"/>
          <w:sz w:val="28"/>
          <w:szCs w:val="28"/>
        </w:rPr>
        <w:t>投标人5名及以上时，去掉1个最高、1个最低值）材料单价的算术平均值作为材料基准值。在材料基准值95%—103%范围内（不含95%和103%）每项得1分，在材料基准值90%—95%范围内（含90%和95%）每项得0.5分。超出该范围的不得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（四）综合（信用）标的评标分值20分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1.项目班子配备    0-5分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2.企业综合信用    0-5分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3.项目经理业绩及信用  0-5分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4.服务承诺（含不拖欠农民工工资承诺、扬尘治理等内容）  0-5分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（五）投标人综合得分按下列公式计算：</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投标人综合得分＝技术标得分＋商务标得分＋综合（信用）标得分。</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（六）投标人的最终得分及中标候选人排序</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1.评标委员会完成对技术标、商务标和综合（信用）标的汇总后，从中去掉一个最高分和一个最低分，取平均值作为该投标人的最终得分。计算</w:t>
      </w:r>
      <w:proofErr w:type="gramStart"/>
      <w:r w:rsidRPr="00B02755">
        <w:rPr>
          <w:rFonts w:asciiTheme="minorEastAsia" w:hAnsiTheme="minorEastAsia" w:cs="Tahoma" w:hint="eastAsia"/>
          <w:color w:val="000000"/>
          <w:kern w:val="0"/>
          <w:sz w:val="28"/>
          <w:szCs w:val="28"/>
        </w:rPr>
        <w:t>分值均</w:t>
      </w:r>
      <w:proofErr w:type="gramEnd"/>
      <w:r w:rsidRPr="00B02755">
        <w:rPr>
          <w:rFonts w:asciiTheme="minorEastAsia" w:hAnsiTheme="minorEastAsia" w:cs="Tahoma" w:hint="eastAsia"/>
          <w:color w:val="000000"/>
          <w:kern w:val="0"/>
          <w:sz w:val="28"/>
          <w:szCs w:val="28"/>
        </w:rPr>
        <w:t>保留两位小数。</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第十四条  国有资金投资的建设工程依法必须进行招标的项目，评</w:t>
      </w:r>
      <w:r w:rsidRPr="00B02755">
        <w:rPr>
          <w:rFonts w:asciiTheme="minorEastAsia" w:hAnsiTheme="minorEastAsia" w:cs="Tahoma" w:hint="eastAsia"/>
          <w:color w:val="000000"/>
          <w:kern w:val="0"/>
          <w:sz w:val="28"/>
          <w:szCs w:val="28"/>
        </w:rPr>
        <w:lastRenderedPageBreak/>
        <w:t>标委员会按规定否决不合格投标后，有效投标人只剩</w:t>
      </w:r>
      <w:proofErr w:type="gramStart"/>
      <w:r w:rsidRPr="00B02755">
        <w:rPr>
          <w:rFonts w:asciiTheme="minorEastAsia" w:hAnsiTheme="minorEastAsia" w:cs="Tahoma" w:hint="eastAsia"/>
          <w:color w:val="000000"/>
          <w:kern w:val="0"/>
          <w:sz w:val="28"/>
          <w:szCs w:val="28"/>
        </w:rPr>
        <w:t>一家且</w:t>
      </w:r>
      <w:proofErr w:type="gramEnd"/>
      <w:r w:rsidRPr="00B02755">
        <w:rPr>
          <w:rFonts w:asciiTheme="minorEastAsia" w:hAnsiTheme="minorEastAsia" w:cs="Tahoma" w:hint="eastAsia"/>
          <w:color w:val="000000"/>
          <w:kern w:val="0"/>
          <w:sz w:val="28"/>
          <w:szCs w:val="28"/>
        </w:rPr>
        <w:t>投标报价为所有投标人报价中最高的，投标明显缺乏竞争的，评标委员会应当否决全部投标。</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第十五条  使用电子招投标系统进行评标的，按有关要求执行。</w:t>
      </w:r>
    </w:p>
    <w:p w:rsidR="00B02755" w:rsidRPr="00B02755" w:rsidRDefault="00B02755" w:rsidP="00B02755">
      <w:pPr>
        <w:rPr>
          <w:rFonts w:asciiTheme="minorEastAsia" w:hAnsiTheme="minorEastAsia" w:cs="Tahoma"/>
          <w:color w:val="000000"/>
          <w:kern w:val="0"/>
          <w:sz w:val="28"/>
          <w:szCs w:val="28"/>
        </w:rPr>
      </w:pPr>
      <w:r w:rsidRPr="00B02755">
        <w:rPr>
          <w:rFonts w:asciiTheme="minorEastAsia" w:hAnsiTheme="minorEastAsia" w:cs="Tahoma" w:hint="eastAsia"/>
          <w:color w:val="000000"/>
          <w:kern w:val="0"/>
          <w:sz w:val="28"/>
          <w:szCs w:val="28"/>
        </w:rPr>
        <w:t>    第十六条  本办法自印发之日起施行，《许昌市房屋建筑和市政基础设施工程工程量清单计价招标评标办法（试行）》（许发改办〔2010〕328号）、《许昌市财政投资绿化工程施工合理低价评审随机摇号评标办法（试行）》（</w:t>
      </w:r>
      <w:proofErr w:type="gramStart"/>
      <w:r w:rsidRPr="00B02755">
        <w:rPr>
          <w:rFonts w:asciiTheme="minorEastAsia" w:hAnsiTheme="minorEastAsia" w:cs="Tahoma" w:hint="eastAsia"/>
          <w:color w:val="000000"/>
          <w:kern w:val="0"/>
          <w:sz w:val="28"/>
          <w:szCs w:val="28"/>
        </w:rPr>
        <w:t>许治工</w:t>
      </w:r>
      <w:proofErr w:type="gramEnd"/>
      <w:r w:rsidRPr="00B02755">
        <w:rPr>
          <w:rFonts w:asciiTheme="minorEastAsia" w:hAnsiTheme="minorEastAsia" w:cs="Tahoma" w:hint="eastAsia"/>
          <w:color w:val="000000"/>
          <w:kern w:val="0"/>
          <w:sz w:val="28"/>
          <w:szCs w:val="28"/>
        </w:rPr>
        <w:t>发〔2013〕1号）文件同时废止。</w:t>
      </w:r>
    </w:p>
    <w:p w:rsidR="00B02755" w:rsidRPr="00B02755" w:rsidRDefault="00B02755" w:rsidP="00B02755">
      <w:pPr>
        <w:widowControl/>
        <w:shd w:val="clear" w:color="auto" w:fill="FFFFFF"/>
        <w:spacing w:after="75" w:line="330" w:lineRule="atLeast"/>
        <w:jc w:val="left"/>
        <w:rPr>
          <w:rFonts w:ascii="Tahoma" w:eastAsia="宋体" w:hAnsi="Tahoma" w:cs="Tahoma"/>
          <w:color w:val="000000"/>
          <w:kern w:val="0"/>
          <w:sz w:val="18"/>
          <w:szCs w:val="18"/>
        </w:rPr>
      </w:pPr>
      <w:r w:rsidRPr="00B02755">
        <w:rPr>
          <w:rFonts w:ascii="仿宋_GB2312" w:eastAsia="仿宋_GB2312" w:hAnsi="Tahoma" w:cs="Tahoma" w:hint="eastAsia"/>
          <w:color w:val="000000"/>
          <w:kern w:val="0"/>
          <w:sz w:val="27"/>
          <w:szCs w:val="27"/>
        </w:rPr>
        <w:t>附件1</w:t>
      </w:r>
    </w:p>
    <w:p w:rsidR="00B02755" w:rsidRPr="00B02755" w:rsidRDefault="00B02755" w:rsidP="00B02755">
      <w:pPr>
        <w:widowControl/>
        <w:shd w:val="clear" w:color="auto" w:fill="FFFFFF"/>
        <w:spacing w:before="75" w:after="75" w:line="330" w:lineRule="atLeast"/>
        <w:jc w:val="center"/>
        <w:rPr>
          <w:rFonts w:ascii="Tahoma" w:eastAsia="宋体" w:hAnsi="Tahoma" w:cs="Tahoma"/>
          <w:color w:val="000000"/>
          <w:kern w:val="0"/>
          <w:sz w:val="18"/>
          <w:szCs w:val="18"/>
        </w:rPr>
      </w:pPr>
      <w:r w:rsidRPr="00B02755">
        <w:rPr>
          <w:rFonts w:ascii="仿宋_GB2312" w:eastAsia="仿宋_GB2312" w:hAnsi="Tahoma" w:cs="Tahoma" w:hint="eastAsia"/>
          <w:color w:val="000000"/>
          <w:kern w:val="0"/>
          <w:sz w:val="27"/>
          <w:szCs w:val="27"/>
        </w:rPr>
        <w:t>商务标清标内容</w:t>
      </w:r>
    </w:p>
    <w:tbl>
      <w:tblPr>
        <w:tblW w:w="5000" w:type="pct"/>
        <w:jc w:val="center"/>
        <w:tblCellMar>
          <w:top w:w="15" w:type="dxa"/>
          <w:left w:w="15" w:type="dxa"/>
          <w:bottom w:w="15" w:type="dxa"/>
          <w:right w:w="15" w:type="dxa"/>
        </w:tblCellMar>
        <w:tblLook w:val="04A0"/>
      </w:tblPr>
      <w:tblGrid>
        <w:gridCol w:w="372"/>
        <w:gridCol w:w="525"/>
        <w:gridCol w:w="2871"/>
        <w:gridCol w:w="3529"/>
        <w:gridCol w:w="481"/>
        <w:gridCol w:w="558"/>
      </w:tblGrid>
      <w:tr w:rsidR="00B02755" w:rsidRPr="00B02755" w:rsidTr="00B02755">
        <w:trPr>
          <w:jc w:val="center"/>
        </w:trPr>
        <w:tc>
          <w:tcPr>
            <w:tcW w:w="94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序号</w:t>
            </w:r>
          </w:p>
        </w:tc>
        <w:tc>
          <w:tcPr>
            <w:tcW w:w="3285" w:type="dxa"/>
            <w:vMerge w:val="restart"/>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清标项目</w:t>
            </w:r>
          </w:p>
        </w:tc>
        <w:tc>
          <w:tcPr>
            <w:tcW w:w="4005" w:type="dxa"/>
            <w:vMerge w:val="restart"/>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清标内容</w:t>
            </w:r>
          </w:p>
        </w:tc>
        <w:tc>
          <w:tcPr>
            <w:tcW w:w="1110" w:type="dxa"/>
            <w:gridSpan w:val="2"/>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清</w:t>
            </w:r>
            <w:proofErr w:type="gramStart"/>
            <w:r w:rsidRPr="00B02755">
              <w:rPr>
                <w:rFonts w:ascii="仿宋_GB2312" w:eastAsia="仿宋_GB2312" w:hAnsi="Tahoma" w:cs="Tahoma" w:hint="eastAsia"/>
                <w:color w:val="000000"/>
                <w:kern w:val="0"/>
                <w:sz w:val="27"/>
                <w:szCs w:val="27"/>
              </w:rPr>
              <w:t>标成果</w:t>
            </w:r>
            <w:proofErr w:type="gramEnd"/>
          </w:p>
        </w:tc>
      </w:tr>
      <w:tr w:rsidR="00B02755" w:rsidRPr="00B02755" w:rsidTr="00B02755">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是</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否</w:t>
            </w:r>
          </w:p>
        </w:tc>
      </w:tr>
      <w:tr w:rsidR="00B02755" w:rsidRPr="00B02755" w:rsidTr="00B02755">
        <w:trPr>
          <w:jc w:val="center"/>
        </w:trPr>
        <w:tc>
          <w:tcPr>
            <w:tcW w:w="405" w:type="dxa"/>
            <w:vMerge w:val="restart"/>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w:t>
            </w: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1.1</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项目总报价</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是否等于各单项工程造价之和</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单项工程费</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是否等于各单位工程造价之和</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1.3</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单位工程费</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是否等于分部分项工程费+措</w:t>
            </w:r>
            <w:r w:rsidRPr="00B02755">
              <w:rPr>
                <w:rFonts w:ascii="仿宋_GB2312" w:eastAsia="仿宋_GB2312" w:hAnsi="Tahoma" w:cs="Tahoma" w:hint="eastAsia"/>
                <w:color w:val="000000"/>
                <w:kern w:val="0"/>
                <w:sz w:val="27"/>
                <w:szCs w:val="27"/>
              </w:rPr>
              <w:lastRenderedPageBreak/>
              <w:t>施项目费+其它项目费+</w:t>
            </w:r>
            <w:proofErr w:type="gramStart"/>
            <w:r w:rsidRPr="00B02755">
              <w:rPr>
                <w:rFonts w:ascii="仿宋_GB2312" w:eastAsia="仿宋_GB2312" w:hAnsi="Tahoma" w:cs="Tahoma" w:hint="eastAsia"/>
                <w:color w:val="000000"/>
                <w:kern w:val="0"/>
                <w:sz w:val="27"/>
                <w:szCs w:val="27"/>
              </w:rPr>
              <w:t>规</w:t>
            </w:r>
            <w:proofErr w:type="gramEnd"/>
            <w:r w:rsidRPr="00B02755">
              <w:rPr>
                <w:rFonts w:ascii="仿宋_GB2312" w:eastAsia="仿宋_GB2312" w:hAnsi="Tahoma" w:cs="Tahoma" w:hint="eastAsia"/>
                <w:color w:val="000000"/>
                <w:kern w:val="0"/>
                <w:sz w:val="27"/>
                <w:szCs w:val="27"/>
              </w:rPr>
              <w:t>费+税金之和</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lastRenderedPageBreak/>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05" w:type="dxa"/>
            <w:vMerge w:val="restart"/>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lastRenderedPageBreak/>
              <w:t>2</w:t>
            </w: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2.1</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分部分项工程费及单价措施费</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是否等于各分部分项清单费之和</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2.2</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分部分项及单价措施项目编码</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不得修改招标人清单</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2.3</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分部分项及单价措施项目名称</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不得修改招标人清单</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2.4</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分部分项及单价措施项目特征</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不得修改招标人清单</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2.5</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分部分项及单价措施项目计量单位</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不得修改招标人清单</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2.6</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分部分项及单价措施项目工程数量</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不得修改招标人清单</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2.7</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分部分项工程费及单价措施费清单单价</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hint="eastAsia"/>
                <w:color w:val="000000"/>
                <w:kern w:val="0"/>
                <w:sz w:val="24"/>
                <w:szCs w:val="24"/>
              </w:rPr>
            </w:pPr>
            <w:r w:rsidRPr="00B02755">
              <w:rPr>
                <w:rFonts w:ascii="仿宋_GB2312" w:eastAsia="仿宋_GB2312" w:hAnsi="Tahoma" w:cs="Tahoma" w:hint="eastAsia"/>
                <w:color w:val="000000"/>
                <w:kern w:val="0"/>
                <w:sz w:val="27"/>
                <w:szCs w:val="27"/>
              </w:rPr>
              <w:t>综合单价＝人工费+材料费+机械费+管理费+利润之和；</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偏差不大于招标控制</w:t>
            </w:r>
            <w:proofErr w:type="gramStart"/>
            <w:r w:rsidRPr="00B02755">
              <w:rPr>
                <w:rFonts w:ascii="仿宋_GB2312" w:eastAsia="仿宋_GB2312" w:hAnsi="Tahoma" w:cs="Tahoma" w:hint="eastAsia"/>
                <w:color w:val="000000"/>
                <w:kern w:val="0"/>
                <w:sz w:val="27"/>
                <w:szCs w:val="27"/>
              </w:rPr>
              <w:t>价相应</w:t>
            </w:r>
            <w:proofErr w:type="gramEnd"/>
            <w:r w:rsidRPr="00B02755">
              <w:rPr>
                <w:rFonts w:ascii="仿宋_GB2312" w:eastAsia="仿宋_GB2312" w:hAnsi="Tahoma" w:cs="Tahoma" w:hint="eastAsia"/>
                <w:color w:val="000000"/>
                <w:kern w:val="0"/>
                <w:sz w:val="27"/>
                <w:szCs w:val="27"/>
              </w:rPr>
              <w:t>项目单价的±12%</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2.8</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材料单价</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材料表中的单价与组成清单</w:t>
            </w:r>
            <w:r w:rsidRPr="00B02755">
              <w:rPr>
                <w:rFonts w:ascii="仿宋_GB2312" w:eastAsia="仿宋_GB2312" w:hAnsi="Tahoma" w:cs="Tahoma" w:hint="eastAsia"/>
                <w:color w:val="000000"/>
                <w:kern w:val="0"/>
                <w:sz w:val="27"/>
                <w:szCs w:val="27"/>
              </w:rPr>
              <w:lastRenderedPageBreak/>
              <w:t>单价中的单价必须一致</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lastRenderedPageBreak/>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05" w:type="dxa"/>
            <w:vMerge w:val="restart"/>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lastRenderedPageBreak/>
              <w:t>3</w:t>
            </w: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3.1</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安全文明费</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必须按河南省及许昌市计价依据规定计算</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3.2</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总价措施项目</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根据招标文件要求自主报价</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05" w:type="dxa"/>
            <w:vMerge w:val="restart"/>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4</w:t>
            </w: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4.1</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其它项目费</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必须等于各组成部分之和（暂列金额+专业暂估价+计日工费+总承包服务费）</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4.2</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暂列金额</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必须与招标人价格一致</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4.3</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专业暂估价</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必须与招标人价格一致</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4.4</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计日工</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必须与招标人数量一致</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0" w:type="auto"/>
            <w:vMerge/>
            <w:vAlign w:val="center"/>
            <w:hideMark/>
          </w:tcPr>
          <w:p w:rsidR="00B02755" w:rsidRPr="00B02755" w:rsidRDefault="00B02755" w:rsidP="00B02755">
            <w:pPr>
              <w:widowControl/>
              <w:jc w:val="left"/>
              <w:rPr>
                <w:rFonts w:ascii="Tahoma" w:eastAsia="宋体" w:hAnsi="Tahoma" w:cs="Tahoma"/>
                <w:color w:val="000000"/>
                <w:kern w:val="0"/>
                <w:sz w:val="24"/>
                <w:szCs w:val="24"/>
              </w:rPr>
            </w:pP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4.5</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总承包服务费</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是否按招标文件要求计算</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5</w:t>
            </w: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proofErr w:type="gramStart"/>
            <w:r w:rsidRPr="00B02755">
              <w:rPr>
                <w:rFonts w:ascii="仿宋_GB2312" w:eastAsia="仿宋_GB2312" w:hAnsi="Tahoma" w:cs="Tahoma" w:hint="eastAsia"/>
                <w:color w:val="000000"/>
                <w:kern w:val="0"/>
                <w:sz w:val="27"/>
                <w:szCs w:val="27"/>
              </w:rPr>
              <w:t>规</w:t>
            </w:r>
            <w:proofErr w:type="gramEnd"/>
            <w:r w:rsidRPr="00B02755">
              <w:rPr>
                <w:rFonts w:ascii="仿宋_GB2312" w:eastAsia="仿宋_GB2312" w:hAnsi="Tahoma" w:cs="Tahoma" w:hint="eastAsia"/>
                <w:color w:val="000000"/>
                <w:kern w:val="0"/>
                <w:sz w:val="27"/>
                <w:szCs w:val="27"/>
              </w:rPr>
              <w:t>费</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必须按河南省及许昌市计价依据规定计算</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6</w:t>
            </w: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328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税金</w:t>
            </w:r>
          </w:p>
        </w:tc>
        <w:tc>
          <w:tcPr>
            <w:tcW w:w="40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必须按河南省及许昌市计价依据规定计算</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0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7</w:t>
            </w:r>
          </w:p>
        </w:tc>
        <w:tc>
          <w:tcPr>
            <w:tcW w:w="54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7290" w:type="dxa"/>
            <w:gridSpan w:val="2"/>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不违反法律、法规、规章、规范性文件规定的其它情况</w:t>
            </w:r>
          </w:p>
        </w:tc>
        <w:tc>
          <w:tcPr>
            <w:tcW w:w="51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60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bl>
    <w:p w:rsidR="00B02755" w:rsidRPr="00B02755" w:rsidRDefault="00B02755" w:rsidP="00B02755">
      <w:pPr>
        <w:widowControl/>
        <w:shd w:val="clear" w:color="auto" w:fill="FFFFFF"/>
        <w:jc w:val="left"/>
        <w:rPr>
          <w:rFonts w:ascii="Microsoft Yahei" w:eastAsia="宋体" w:hAnsi="Microsoft Yahei" w:cs="宋体"/>
          <w:color w:val="000000"/>
          <w:kern w:val="0"/>
          <w:sz w:val="24"/>
          <w:szCs w:val="24"/>
        </w:rPr>
      </w:pPr>
      <w:r w:rsidRPr="00B02755">
        <w:rPr>
          <w:rFonts w:ascii="Tahoma" w:eastAsia="宋体" w:hAnsi="Tahoma" w:cs="Tahoma"/>
          <w:color w:val="000000"/>
          <w:kern w:val="0"/>
          <w:sz w:val="18"/>
          <w:szCs w:val="18"/>
        </w:rPr>
        <w:br/>
      </w:r>
      <w:r w:rsidRPr="00B02755">
        <w:rPr>
          <w:rFonts w:ascii="Tahoma" w:eastAsia="宋体" w:hAnsi="Tahoma" w:cs="Tahoma"/>
          <w:color w:val="000000"/>
          <w:kern w:val="0"/>
          <w:sz w:val="18"/>
          <w:szCs w:val="18"/>
        </w:rPr>
        <w:br/>
      </w:r>
      <w:r w:rsidRPr="00B02755">
        <w:rPr>
          <w:rFonts w:ascii="Tahoma" w:eastAsia="宋体" w:hAnsi="Tahoma" w:cs="Tahoma"/>
          <w:color w:val="000000"/>
          <w:kern w:val="0"/>
          <w:sz w:val="18"/>
          <w:szCs w:val="18"/>
        </w:rPr>
        <w:br/>
      </w:r>
    </w:p>
    <w:p w:rsidR="00B02755" w:rsidRPr="00B02755" w:rsidRDefault="00B02755" w:rsidP="00B02755">
      <w:pPr>
        <w:widowControl/>
        <w:shd w:val="clear" w:color="auto" w:fill="FFFFFF"/>
        <w:spacing w:before="75" w:after="75" w:line="330" w:lineRule="atLeast"/>
        <w:jc w:val="left"/>
        <w:rPr>
          <w:rFonts w:ascii="Tahoma" w:eastAsia="宋体" w:hAnsi="Tahoma" w:cs="Tahoma"/>
          <w:color w:val="000000"/>
          <w:kern w:val="0"/>
          <w:sz w:val="18"/>
          <w:szCs w:val="18"/>
        </w:rPr>
      </w:pPr>
      <w:r w:rsidRPr="00B02755">
        <w:rPr>
          <w:rFonts w:ascii="仿宋_GB2312" w:eastAsia="仿宋_GB2312" w:hAnsi="Tahoma" w:cs="Tahoma" w:hint="eastAsia"/>
          <w:color w:val="000000"/>
          <w:kern w:val="0"/>
          <w:sz w:val="27"/>
          <w:szCs w:val="27"/>
        </w:rPr>
        <w:t>附件2</w:t>
      </w:r>
    </w:p>
    <w:p w:rsidR="00B02755" w:rsidRPr="00B02755" w:rsidRDefault="00B02755" w:rsidP="00B02755">
      <w:pPr>
        <w:widowControl/>
        <w:shd w:val="clear" w:color="auto" w:fill="FFFFFF"/>
        <w:spacing w:before="75" w:after="75" w:line="330" w:lineRule="atLeast"/>
        <w:jc w:val="center"/>
        <w:rPr>
          <w:rFonts w:ascii="Tahoma" w:eastAsia="宋体" w:hAnsi="Tahoma" w:cs="Tahoma"/>
          <w:color w:val="000000"/>
          <w:kern w:val="0"/>
          <w:sz w:val="18"/>
          <w:szCs w:val="18"/>
        </w:rPr>
      </w:pPr>
      <w:r w:rsidRPr="00B02755">
        <w:rPr>
          <w:rFonts w:ascii="仿宋_GB2312" w:eastAsia="仿宋_GB2312" w:hAnsi="Tahoma" w:cs="Tahoma" w:hint="eastAsia"/>
          <w:color w:val="000000"/>
          <w:kern w:val="0"/>
          <w:sz w:val="27"/>
          <w:szCs w:val="27"/>
        </w:rPr>
        <w:lastRenderedPageBreak/>
        <w:t>技术标评审内容</w:t>
      </w:r>
    </w:p>
    <w:tbl>
      <w:tblPr>
        <w:tblW w:w="5000" w:type="pct"/>
        <w:jc w:val="center"/>
        <w:tblCellMar>
          <w:top w:w="15" w:type="dxa"/>
          <w:left w:w="15" w:type="dxa"/>
          <w:bottom w:w="15" w:type="dxa"/>
          <w:right w:w="15" w:type="dxa"/>
        </w:tblCellMar>
        <w:tblLook w:val="04A0"/>
      </w:tblPr>
      <w:tblGrid>
        <w:gridCol w:w="483"/>
        <w:gridCol w:w="4145"/>
        <w:gridCol w:w="1628"/>
        <w:gridCol w:w="2080"/>
      </w:tblGrid>
      <w:tr w:rsidR="00B02755" w:rsidRPr="00B02755" w:rsidTr="00B02755">
        <w:trPr>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序号</w:t>
            </w:r>
          </w:p>
        </w:tc>
        <w:tc>
          <w:tcPr>
            <w:tcW w:w="4125"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评审内容</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综合计分法分值</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（满分20分）</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经评审最低投标价法分值</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（满分100分）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内容完整性和编制水平</w:t>
            </w:r>
            <w:r w:rsidRPr="00B02755">
              <w:rPr>
                <w:rFonts w:ascii="仿宋_GB2312" w:eastAsia="仿宋_GB2312" w:hAnsi="Tahoma" w:cs="Tahoma" w:hint="eastAsia"/>
                <w:color w:val="000000"/>
                <w:kern w:val="0"/>
                <w:sz w:val="27"/>
                <w:szCs w:val="27"/>
              </w:rPr>
              <w:t>   </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0-1分</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3-6分</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2</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施工方案和技术措施</w:t>
            </w:r>
            <w:r w:rsidRPr="00B02755">
              <w:rPr>
                <w:rFonts w:ascii="仿宋_GB2312" w:eastAsia="仿宋_GB2312" w:hAnsi="Tahoma" w:cs="Tahoma" w:hint="eastAsia"/>
                <w:color w:val="000000"/>
                <w:kern w:val="0"/>
                <w:sz w:val="27"/>
                <w:szCs w:val="27"/>
              </w:rPr>
              <w:t>      </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1-2分</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6-10分</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质量管理体系与措施</w:t>
            </w:r>
            <w:r w:rsidRPr="00B02755">
              <w:rPr>
                <w:rFonts w:ascii="仿宋_GB2312" w:eastAsia="仿宋_GB2312" w:hAnsi="Tahoma" w:cs="Tahoma" w:hint="eastAsia"/>
                <w:color w:val="000000"/>
                <w:kern w:val="0"/>
                <w:sz w:val="27"/>
                <w:szCs w:val="27"/>
              </w:rPr>
              <w:t>      </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1-2分</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6-10分</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4</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安全管理体系与措施</w:t>
            </w:r>
            <w:r w:rsidRPr="00B02755">
              <w:rPr>
                <w:rFonts w:ascii="仿宋_GB2312" w:eastAsia="仿宋_GB2312" w:hAnsi="Tahoma" w:cs="Tahoma" w:hint="eastAsia"/>
                <w:color w:val="000000"/>
                <w:kern w:val="0"/>
                <w:sz w:val="27"/>
                <w:szCs w:val="27"/>
              </w:rPr>
              <w:t>      </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1-2分</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6-10分</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5</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环境保护管理体系与措施</w:t>
            </w:r>
            <w:r w:rsidRPr="00B02755">
              <w:rPr>
                <w:rFonts w:ascii="仿宋_GB2312" w:eastAsia="仿宋_GB2312" w:hAnsi="Tahoma" w:cs="Tahoma" w:hint="eastAsia"/>
                <w:color w:val="000000"/>
                <w:kern w:val="0"/>
                <w:sz w:val="27"/>
                <w:szCs w:val="27"/>
              </w:rPr>
              <w:t>  </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1-2分</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6-10分</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6</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工程进度计划与措施</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0-1分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3-6分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7</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拟投入资源配备计划……</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3-7分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8</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施工进度表或施工网络图</w:t>
            </w:r>
            <w:r w:rsidRPr="00B02755">
              <w:rPr>
                <w:rFonts w:ascii="仿宋_GB2312" w:eastAsia="仿宋_GB2312" w:hAnsi="Tahoma" w:cs="Tahoma" w:hint="eastAsia"/>
                <w:color w:val="000000"/>
                <w:kern w:val="0"/>
                <w:sz w:val="27"/>
                <w:szCs w:val="27"/>
              </w:rPr>
              <w:t> </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0-1分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3-7分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9</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施工总平面布置图</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0-1分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3-7分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10</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在节能减排、绿色施工（含扬尘治理）、工艺创新方面针对本工程有</w:t>
            </w:r>
            <w:r w:rsidRPr="00B02755">
              <w:rPr>
                <w:rFonts w:ascii="仿宋_GB2312" w:eastAsia="仿宋_GB2312" w:hAnsi="Tahoma" w:cs="Tahoma" w:hint="eastAsia"/>
                <w:color w:val="000000"/>
                <w:kern w:val="0"/>
                <w:sz w:val="27"/>
                <w:szCs w:val="27"/>
              </w:rPr>
              <w:lastRenderedPageBreak/>
              <w:t>具体措施或企业自有创新技术</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lastRenderedPageBreak/>
              <w:t>1-2分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6-10分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lastRenderedPageBreak/>
              <w:t>11</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新工艺、新技术、新设备、新材料的采用程度，其在确保质量、降低成本、缩短工期、减轻劳动强度、提高工效等方面的作用</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6-10分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r w:rsidR="00B02755" w:rsidRPr="00B02755" w:rsidTr="00B02755">
        <w:trPr>
          <w:jc w:val="center"/>
        </w:trPr>
        <w:tc>
          <w:tcPr>
            <w:tcW w:w="48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w:t>
            </w:r>
          </w:p>
        </w:tc>
        <w:tc>
          <w:tcPr>
            <w:tcW w:w="4125" w:type="dxa"/>
            <w:vAlign w:val="center"/>
            <w:hideMark/>
          </w:tcPr>
          <w:p w:rsidR="00B02755" w:rsidRPr="00B02755" w:rsidRDefault="00B02755" w:rsidP="00B02755">
            <w:pPr>
              <w:widowControl/>
              <w:spacing w:before="75" w:after="75" w:line="330" w:lineRule="atLeast"/>
              <w:jc w:val="left"/>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企业具备信息化管理平台，能够使工程管理者对现场实施监控和数据处理</w:t>
            </w:r>
          </w:p>
        </w:tc>
        <w:tc>
          <w:tcPr>
            <w:tcW w:w="162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1-2分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c>
          <w:tcPr>
            <w:tcW w:w="2070" w:type="dxa"/>
            <w:vAlign w:val="center"/>
            <w:hideMark/>
          </w:tcPr>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仿宋_GB2312" w:eastAsia="仿宋_GB2312" w:hAnsi="Tahoma" w:cs="Tahoma" w:hint="eastAsia"/>
                <w:color w:val="000000"/>
                <w:kern w:val="0"/>
                <w:sz w:val="27"/>
                <w:szCs w:val="27"/>
              </w:rPr>
              <w:t>3-7分</w:t>
            </w:r>
          </w:p>
          <w:p w:rsidR="00B02755" w:rsidRPr="00B02755" w:rsidRDefault="00B02755" w:rsidP="00B02755">
            <w:pPr>
              <w:widowControl/>
              <w:spacing w:before="75" w:after="75" w:line="330" w:lineRule="atLeast"/>
              <w:jc w:val="center"/>
              <w:rPr>
                <w:rFonts w:ascii="Tahoma" w:eastAsia="宋体" w:hAnsi="Tahoma" w:cs="Tahoma"/>
                <w:color w:val="000000"/>
                <w:kern w:val="0"/>
                <w:sz w:val="24"/>
                <w:szCs w:val="24"/>
              </w:rPr>
            </w:pPr>
            <w:r w:rsidRPr="00B02755">
              <w:rPr>
                <w:rFonts w:ascii="Tahoma" w:eastAsia="宋体" w:hAnsi="Tahoma" w:cs="Tahoma"/>
                <w:color w:val="000000"/>
                <w:kern w:val="0"/>
                <w:sz w:val="24"/>
                <w:szCs w:val="24"/>
              </w:rPr>
              <w:t> </w:t>
            </w:r>
          </w:p>
        </w:tc>
      </w:tr>
    </w:tbl>
    <w:p w:rsidR="00B02755" w:rsidRPr="00B02755" w:rsidRDefault="00B02755" w:rsidP="00B02755">
      <w:pPr>
        <w:widowControl/>
        <w:shd w:val="clear" w:color="auto" w:fill="FFFFFF"/>
        <w:spacing w:before="75" w:after="75" w:line="330" w:lineRule="atLeast"/>
        <w:jc w:val="left"/>
        <w:rPr>
          <w:rFonts w:ascii="Tahoma" w:eastAsia="宋体" w:hAnsi="Tahoma" w:cs="Tahoma"/>
          <w:color w:val="000000"/>
          <w:kern w:val="0"/>
          <w:sz w:val="18"/>
          <w:szCs w:val="18"/>
        </w:rPr>
      </w:pPr>
      <w:r w:rsidRPr="00B02755">
        <w:rPr>
          <w:rFonts w:ascii="仿宋_GB2312" w:eastAsia="仿宋_GB2312" w:hAnsi="Tahoma" w:cs="Tahoma" w:hint="eastAsia"/>
          <w:color w:val="000000"/>
          <w:kern w:val="0"/>
          <w:sz w:val="27"/>
          <w:szCs w:val="27"/>
        </w:rPr>
        <w:t>   </w:t>
      </w:r>
      <w:r w:rsidRPr="00B02755">
        <w:rPr>
          <w:rFonts w:ascii="仿宋_GB2312" w:eastAsia="仿宋_GB2312" w:hAnsi="Tahoma" w:cs="Tahoma" w:hint="eastAsia"/>
          <w:color w:val="000000"/>
          <w:kern w:val="0"/>
          <w:sz w:val="27"/>
          <w:szCs w:val="27"/>
        </w:rPr>
        <w:t xml:space="preserve"> 招标人可结合所建工程项目的技术特点及工艺要求，对技术标的内容、分值进行增减调整，但不得超出给定的分值范围，若缺项按0分。</w:t>
      </w:r>
    </w:p>
    <w:p w:rsidR="00C22F4A" w:rsidRPr="00B02755" w:rsidRDefault="00C22F4A" w:rsidP="00B02755">
      <w:pPr>
        <w:rPr>
          <w:szCs w:val="28"/>
        </w:rPr>
      </w:pPr>
    </w:p>
    <w:sectPr w:rsidR="00C22F4A" w:rsidRPr="00B02755" w:rsidSect="00C22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AB" w:rsidRDefault="00D244AB" w:rsidP="00782E10">
      <w:r>
        <w:separator/>
      </w:r>
    </w:p>
  </w:endnote>
  <w:endnote w:type="continuationSeparator" w:id="0">
    <w:p w:rsidR="00D244AB" w:rsidRDefault="00D244AB" w:rsidP="00782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AB" w:rsidRDefault="00D244AB" w:rsidP="00782E10">
      <w:r>
        <w:separator/>
      </w:r>
    </w:p>
  </w:footnote>
  <w:footnote w:type="continuationSeparator" w:id="0">
    <w:p w:rsidR="00D244AB" w:rsidRDefault="00D244AB" w:rsidP="00782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E10"/>
    <w:rsid w:val="00782E10"/>
    <w:rsid w:val="007C488C"/>
    <w:rsid w:val="00965E61"/>
    <w:rsid w:val="00B02755"/>
    <w:rsid w:val="00C22F4A"/>
    <w:rsid w:val="00D24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4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E10"/>
    <w:rPr>
      <w:sz w:val="18"/>
      <w:szCs w:val="18"/>
    </w:rPr>
  </w:style>
  <w:style w:type="paragraph" w:styleId="a4">
    <w:name w:val="footer"/>
    <w:basedOn w:val="a"/>
    <w:link w:val="Char0"/>
    <w:uiPriority w:val="99"/>
    <w:semiHidden/>
    <w:unhideWhenUsed/>
    <w:rsid w:val="00782E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E10"/>
    <w:rPr>
      <w:sz w:val="18"/>
      <w:szCs w:val="18"/>
    </w:rPr>
  </w:style>
</w:styles>
</file>

<file path=word/webSettings.xml><?xml version="1.0" encoding="utf-8"?>
<w:webSettings xmlns:r="http://schemas.openxmlformats.org/officeDocument/2006/relationships" xmlns:w="http://schemas.openxmlformats.org/wordprocessingml/2006/main">
  <w:divs>
    <w:div w:id="176045099">
      <w:bodyDiv w:val="1"/>
      <w:marLeft w:val="0"/>
      <w:marRight w:val="0"/>
      <w:marTop w:val="0"/>
      <w:marBottom w:val="0"/>
      <w:divBdr>
        <w:top w:val="none" w:sz="0" w:space="0" w:color="auto"/>
        <w:left w:val="none" w:sz="0" w:space="0" w:color="auto"/>
        <w:bottom w:val="none" w:sz="0" w:space="0" w:color="auto"/>
        <w:right w:val="none" w:sz="0" w:space="0" w:color="auto"/>
      </w:divBdr>
      <w:divsChild>
        <w:div w:id="1187018977">
          <w:marLeft w:val="0"/>
          <w:marRight w:val="0"/>
          <w:marTop w:val="0"/>
          <w:marBottom w:val="0"/>
          <w:divBdr>
            <w:top w:val="single" w:sz="8" w:space="31" w:color="E7E7E7"/>
            <w:left w:val="single" w:sz="8" w:space="31" w:color="E7E7E7"/>
            <w:bottom w:val="single" w:sz="8" w:space="31" w:color="E7E7E7"/>
            <w:right w:val="single" w:sz="8" w:space="31" w:color="E7E7E7"/>
          </w:divBdr>
          <w:divsChild>
            <w:div w:id="372080614">
              <w:marLeft w:val="0"/>
              <w:marRight w:val="0"/>
              <w:marTop w:val="322"/>
              <w:marBottom w:val="0"/>
              <w:divBdr>
                <w:top w:val="none" w:sz="0" w:space="0" w:color="auto"/>
                <w:left w:val="none" w:sz="0" w:space="0" w:color="auto"/>
                <w:bottom w:val="none" w:sz="0" w:space="0" w:color="auto"/>
                <w:right w:val="none" w:sz="0" w:space="0" w:color="auto"/>
              </w:divBdr>
              <w:divsChild>
                <w:div w:id="856622788">
                  <w:marLeft w:val="0"/>
                  <w:marRight w:val="0"/>
                  <w:marTop w:val="0"/>
                  <w:marBottom w:val="0"/>
                  <w:divBdr>
                    <w:top w:val="none" w:sz="0" w:space="0" w:color="auto"/>
                    <w:left w:val="none" w:sz="0" w:space="0" w:color="auto"/>
                    <w:bottom w:val="none" w:sz="0" w:space="0" w:color="auto"/>
                    <w:right w:val="none" w:sz="0" w:space="0" w:color="auto"/>
                  </w:divBdr>
                  <w:divsChild>
                    <w:div w:id="1837308848">
                      <w:marLeft w:val="0"/>
                      <w:marRight w:val="0"/>
                      <w:marTop w:val="0"/>
                      <w:marBottom w:val="0"/>
                      <w:divBdr>
                        <w:top w:val="none" w:sz="0" w:space="0" w:color="auto"/>
                        <w:left w:val="none" w:sz="0" w:space="0" w:color="auto"/>
                        <w:bottom w:val="none" w:sz="0" w:space="0" w:color="auto"/>
                        <w:right w:val="none" w:sz="0" w:space="0" w:color="auto"/>
                      </w:divBdr>
                      <w:divsChild>
                        <w:div w:id="3136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63411">
      <w:bodyDiv w:val="1"/>
      <w:marLeft w:val="0"/>
      <w:marRight w:val="0"/>
      <w:marTop w:val="0"/>
      <w:marBottom w:val="0"/>
      <w:divBdr>
        <w:top w:val="none" w:sz="0" w:space="0" w:color="auto"/>
        <w:left w:val="none" w:sz="0" w:space="0" w:color="auto"/>
        <w:bottom w:val="none" w:sz="0" w:space="0" w:color="auto"/>
        <w:right w:val="none" w:sz="0" w:space="0" w:color="auto"/>
      </w:divBdr>
      <w:divsChild>
        <w:div w:id="98642504">
          <w:marLeft w:val="0"/>
          <w:marRight w:val="0"/>
          <w:marTop w:val="0"/>
          <w:marBottom w:val="0"/>
          <w:divBdr>
            <w:top w:val="single" w:sz="6" w:space="23" w:color="E7E7E7"/>
            <w:left w:val="single" w:sz="6" w:space="23" w:color="E7E7E7"/>
            <w:bottom w:val="single" w:sz="6" w:space="23" w:color="E7E7E7"/>
            <w:right w:val="single" w:sz="6" w:space="23" w:color="E7E7E7"/>
          </w:divBdr>
          <w:divsChild>
            <w:div w:id="2039234661">
              <w:marLeft w:val="0"/>
              <w:marRight w:val="0"/>
              <w:marTop w:val="225"/>
              <w:marBottom w:val="0"/>
              <w:divBdr>
                <w:top w:val="none" w:sz="0" w:space="0" w:color="auto"/>
                <w:left w:val="none" w:sz="0" w:space="0" w:color="auto"/>
                <w:bottom w:val="none" w:sz="0" w:space="0" w:color="auto"/>
                <w:right w:val="none" w:sz="0" w:space="0" w:color="auto"/>
              </w:divBdr>
              <w:divsChild>
                <w:div w:id="1752964598">
                  <w:marLeft w:val="0"/>
                  <w:marRight w:val="0"/>
                  <w:marTop w:val="0"/>
                  <w:marBottom w:val="0"/>
                  <w:divBdr>
                    <w:top w:val="none" w:sz="0" w:space="0" w:color="auto"/>
                    <w:left w:val="none" w:sz="0" w:space="0" w:color="auto"/>
                    <w:bottom w:val="none" w:sz="0" w:space="0" w:color="auto"/>
                    <w:right w:val="none" w:sz="0" w:space="0" w:color="auto"/>
                  </w:divBdr>
                  <w:divsChild>
                    <w:div w:id="484013213">
                      <w:marLeft w:val="0"/>
                      <w:marRight w:val="0"/>
                      <w:marTop w:val="0"/>
                      <w:marBottom w:val="0"/>
                      <w:divBdr>
                        <w:top w:val="none" w:sz="0" w:space="0" w:color="auto"/>
                        <w:left w:val="none" w:sz="0" w:space="0" w:color="auto"/>
                        <w:bottom w:val="none" w:sz="0" w:space="0" w:color="auto"/>
                        <w:right w:val="none" w:sz="0" w:space="0" w:color="auto"/>
                      </w:divBdr>
                      <w:divsChild>
                        <w:div w:id="3616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78980">
      <w:bodyDiv w:val="1"/>
      <w:marLeft w:val="0"/>
      <w:marRight w:val="0"/>
      <w:marTop w:val="0"/>
      <w:marBottom w:val="0"/>
      <w:divBdr>
        <w:top w:val="none" w:sz="0" w:space="0" w:color="auto"/>
        <w:left w:val="none" w:sz="0" w:space="0" w:color="auto"/>
        <w:bottom w:val="none" w:sz="0" w:space="0" w:color="auto"/>
        <w:right w:val="none" w:sz="0" w:space="0" w:color="auto"/>
      </w:divBdr>
      <w:divsChild>
        <w:div w:id="2703603">
          <w:marLeft w:val="0"/>
          <w:marRight w:val="0"/>
          <w:marTop w:val="0"/>
          <w:marBottom w:val="0"/>
          <w:divBdr>
            <w:top w:val="single" w:sz="8" w:space="31" w:color="E7E7E7"/>
            <w:left w:val="single" w:sz="8" w:space="31" w:color="E7E7E7"/>
            <w:bottom w:val="single" w:sz="8" w:space="31" w:color="E7E7E7"/>
            <w:right w:val="single" w:sz="8" w:space="31" w:color="E7E7E7"/>
          </w:divBdr>
          <w:divsChild>
            <w:div w:id="1244142020">
              <w:marLeft w:val="0"/>
              <w:marRight w:val="0"/>
              <w:marTop w:val="322"/>
              <w:marBottom w:val="0"/>
              <w:divBdr>
                <w:top w:val="none" w:sz="0" w:space="0" w:color="auto"/>
                <w:left w:val="none" w:sz="0" w:space="0" w:color="auto"/>
                <w:bottom w:val="none" w:sz="0" w:space="0" w:color="auto"/>
                <w:right w:val="none" w:sz="0" w:space="0" w:color="auto"/>
              </w:divBdr>
              <w:divsChild>
                <w:div w:id="1442413368">
                  <w:marLeft w:val="0"/>
                  <w:marRight w:val="0"/>
                  <w:marTop w:val="0"/>
                  <w:marBottom w:val="0"/>
                  <w:divBdr>
                    <w:top w:val="none" w:sz="0" w:space="0" w:color="auto"/>
                    <w:left w:val="none" w:sz="0" w:space="0" w:color="auto"/>
                    <w:bottom w:val="none" w:sz="0" w:space="0" w:color="auto"/>
                    <w:right w:val="none" w:sz="0" w:space="0" w:color="auto"/>
                  </w:divBdr>
                  <w:divsChild>
                    <w:div w:id="285233980">
                      <w:marLeft w:val="0"/>
                      <w:marRight w:val="0"/>
                      <w:marTop w:val="0"/>
                      <w:marBottom w:val="0"/>
                      <w:divBdr>
                        <w:top w:val="none" w:sz="0" w:space="0" w:color="auto"/>
                        <w:left w:val="none" w:sz="0" w:space="0" w:color="auto"/>
                        <w:bottom w:val="none" w:sz="0" w:space="0" w:color="auto"/>
                        <w:right w:val="none" w:sz="0" w:space="0" w:color="auto"/>
                      </w:divBdr>
                      <w:divsChild>
                        <w:div w:id="20645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78438">
      <w:bodyDiv w:val="1"/>
      <w:marLeft w:val="0"/>
      <w:marRight w:val="0"/>
      <w:marTop w:val="0"/>
      <w:marBottom w:val="0"/>
      <w:divBdr>
        <w:top w:val="none" w:sz="0" w:space="0" w:color="auto"/>
        <w:left w:val="none" w:sz="0" w:space="0" w:color="auto"/>
        <w:bottom w:val="none" w:sz="0" w:space="0" w:color="auto"/>
        <w:right w:val="none" w:sz="0" w:space="0" w:color="auto"/>
      </w:divBdr>
      <w:divsChild>
        <w:div w:id="1803886229">
          <w:marLeft w:val="0"/>
          <w:marRight w:val="0"/>
          <w:marTop w:val="0"/>
          <w:marBottom w:val="0"/>
          <w:divBdr>
            <w:top w:val="single" w:sz="8" w:space="31" w:color="E7E7E7"/>
            <w:left w:val="single" w:sz="8" w:space="31" w:color="E7E7E7"/>
            <w:bottom w:val="single" w:sz="8" w:space="31" w:color="E7E7E7"/>
            <w:right w:val="single" w:sz="8" w:space="31" w:color="E7E7E7"/>
          </w:divBdr>
          <w:divsChild>
            <w:div w:id="1371110298">
              <w:marLeft w:val="0"/>
              <w:marRight w:val="0"/>
              <w:marTop w:val="322"/>
              <w:marBottom w:val="0"/>
              <w:divBdr>
                <w:top w:val="none" w:sz="0" w:space="0" w:color="auto"/>
                <w:left w:val="none" w:sz="0" w:space="0" w:color="auto"/>
                <w:bottom w:val="none" w:sz="0" w:space="0" w:color="auto"/>
                <w:right w:val="none" w:sz="0" w:space="0" w:color="auto"/>
              </w:divBdr>
              <w:divsChild>
                <w:div w:id="780030810">
                  <w:marLeft w:val="0"/>
                  <w:marRight w:val="0"/>
                  <w:marTop w:val="0"/>
                  <w:marBottom w:val="0"/>
                  <w:divBdr>
                    <w:top w:val="none" w:sz="0" w:space="0" w:color="auto"/>
                    <w:left w:val="none" w:sz="0" w:space="0" w:color="auto"/>
                    <w:bottom w:val="none" w:sz="0" w:space="0" w:color="auto"/>
                    <w:right w:val="none" w:sz="0" w:space="0" w:color="auto"/>
                  </w:divBdr>
                  <w:divsChild>
                    <w:div w:id="102967093">
                      <w:marLeft w:val="0"/>
                      <w:marRight w:val="0"/>
                      <w:marTop w:val="0"/>
                      <w:marBottom w:val="0"/>
                      <w:divBdr>
                        <w:top w:val="none" w:sz="0" w:space="0" w:color="auto"/>
                        <w:left w:val="none" w:sz="0" w:space="0" w:color="auto"/>
                        <w:bottom w:val="none" w:sz="0" w:space="0" w:color="auto"/>
                        <w:right w:val="none" w:sz="0" w:space="0" w:color="auto"/>
                      </w:divBdr>
                      <w:divsChild>
                        <w:div w:id="12611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08ADF-A26C-4AF4-A11B-A60652FB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932</Words>
  <Characters>5313</Characters>
  <Application>Microsoft Office Word</Application>
  <DocSecurity>0</DocSecurity>
  <Lines>44</Lines>
  <Paragraphs>12</Paragraphs>
  <ScaleCrop>false</ScaleCrop>
  <Company>china</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河南飞洋建设工程咨询有限公司:艾晓晓</dc:creator>
  <cp:keywords/>
  <dc:description/>
  <cp:lastModifiedBy>河南飞洋建设工程咨询有限公司:艾晓晓</cp:lastModifiedBy>
  <cp:revision>3</cp:revision>
  <dcterms:created xsi:type="dcterms:W3CDTF">2018-07-19T07:30:00Z</dcterms:created>
  <dcterms:modified xsi:type="dcterms:W3CDTF">2018-07-19T07:33:00Z</dcterms:modified>
</cp:coreProperties>
</file>