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sz w:val="52"/>
          <w:szCs w:val="52"/>
        </w:rPr>
      </w:pPr>
      <w:r>
        <w:rPr>
          <w:rFonts w:hint="eastAsia" w:asciiTheme="minorEastAsia" w:hAnsiTheme="minorEastAsia" w:eastAsiaTheme="minorEastAsia"/>
          <w:sz w:val="52"/>
          <w:szCs w:val="52"/>
        </w:rPr>
        <w:t>建安区</w:t>
      </w:r>
      <w:r>
        <w:rPr>
          <w:rFonts w:asciiTheme="minorEastAsia" w:hAnsiTheme="minorEastAsia" w:eastAsiaTheme="minorEastAsia"/>
          <w:sz w:val="52"/>
          <w:szCs w:val="52"/>
        </w:rPr>
        <w:t>建设工程</w:t>
      </w:r>
    </w:p>
    <w:p>
      <w:pPr>
        <w:jc w:val="center"/>
        <w:rPr>
          <w:rFonts w:asciiTheme="minorEastAsia" w:hAnsiTheme="minorEastAsia" w:eastAsiaTheme="minorEastAsia"/>
          <w:sz w:val="56"/>
          <w:szCs w:val="56"/>
        </w:rPr>
      </w:pPr>
    </w:p>
    <w:p>
      <w:pPr>
        <w:jc w:val="center"/>
        <w:rPr>
          <w:rFonts w:asciiTheme="minorEastAsia" w:hAnsiTheme="minorEastAsia" w:eastAsiaTheme="minorEastAsia"/>
          <w:sz w:val="52"/>
          <w:szCs w:val="52"/>
        </w:rPr>
      </w:pPr>
    </w:p>
    <w:p>
      <w:pPr>
        <w:rPr>
          <w:rFonts w:asciiTheme="minorEastAsia" w:hAnsiTheme="minorEastAsia" w:eastAsiaTheme="minorEastAsia"/>
          <w:sz w:val="52"/>
          <w:szCs w:val="52"/>
        </w:rPr>
      </w:pPr>
    </w:p>
    <w:p>
      <w:pPr>
        <w:jc w:val="center"/>
        <w:rPr>
          <w:rFonts w:asciiTheme="minorEastAsia" w:hAnsiTheme="minorEastAsia" w:eastAsiaTheme="minorEastAsia"/>
          <w:sz w:val="52"/>
          <w:szCs w:val="52"/>
        </w:rPr>
      </w:pPr>
      <w:r>
        <w:rPr>
          <w:rFonts w:asciiTheme="minorEastAsia" w:hAnsiTheme="minorEastAsia" w:eastAsiaTheme="minorEastAsia"/>
          <w:sz w:val="52"/>
          <w:szCs w:val="52"/>
        </w:rPr>
        <w:t>招</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标</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文</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件</w:t>
      </w:r>
    </w:p>
    <w:p>
      <w:pPr>
        <w:jc w:val="center"/>
        <w:rPr>
          <w:rFonts w:asciiTheme="minorEastAsia" w:hAnsiTheme="minorEastAsia" w:eastAsiaTheme="minorEastAsia"/>
          <w:sz w:val="32"/>
          <w:szCs w:val="32"/>
        </w:rPr>
      </w:pPr>
    </w:p>
    <w:p>
      <w:pPr>
        <w:tabs>
          <w:tab w:val="left" w:pos="1476"/>
        </w:tabs>
        <w:jc w:val="cente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p>
      <w:pPr>
        <w:ind w:firstLine="1920" w:firstLineChars="6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项目编号：建安建工公字〔2019〕100号</w:t>
      </w:r>
    </w:p>
    <w:p>
      <w:pPr>
        <w:ind w:left="3517" w:leftChars="564" w:hanging="1600" w:hangingChars="500"/>
        <w:jc w:val="left"/>
        <w:rPr>
          <w:rFonts w:asciiTheme="minorEastAsia" w:hAnsiTheme="minorEastAsia" w:eastAsiaTheme="minorEastAsia"/>
          <w:sz w:val="32"/>
          <w:szCs w:val="32"/>
        </w:rPr>
      </w:pPr>
      <w:r>
        <w:rPr>
          <w:rFonts w:asciiTheme="minorEastAsia" w:hAnsiTheme="minorEastAsia" w:eastAsiaTheme="minorEastAsia"/>
          <w:sz w:val="32"/>
          <w:szCs w:val="32"/>
        </w:rPr>
        <w:t>项目名称：</w:t>
      </w:r>
      <w:r>
        <w:rPr>
          <w:rFonts w:hint="eastAsia" w:asciiTheme="minorEastAsia" w:hAnsiTheme="minorEastAsia" w:eastAsiaTheme="minorEastAsia"/>
          <w:sz w:val="32"/>
          <w:szCs w:val="32"/>
        </w:rPr>
        <w:t>昌盛路西延（京广铁路引线-河苏路）拓宽改造工程（施工标）</w:t>
      </w:r>
    </w:p>
    <w:p>
      <w:pPr>
        <w:ind w:firstLine="1920" w:firstLineChars="600"/>
        <w:jc w:val="left"/>
        <w:rPr>
          <w:rFonts w:asciiTheme="minorEastAsia" w:hAnsiTheme="minorEastAsia" w:eastAsiaTheme="minorEastAsia"/>
          <w:sz w:val="32"/>
          <w:szCs w:val="32"/>
        </w:rPr>
      </w:pPr>
      <w:r>
        <w:rPr>
          <w:rFonts w:asciiTheme="minorEastAsia" w:hAnsiTheme="minorEastAsia" w:eastAsiaTheme="minorEastAsia"/>
          <w:sz w:val="32"/>
          <w:szCs w:val="32"/>
        </w:rPr>
        <w:t>招 标 人：</w:t>
      </w:r>
      <w:r>
        <w:rPr>
          <w:rFonts w:hint="eastAsia" w:asciiTheme="minorEastAsia" w:hAnsiTheme="minorEastAsia" w:eastAsiaTheme="minorEastAsia"/>
          <w:sz w:val="32"/>
          <w:szCs w:val="32"/>
        </w:rPr>
        <w:t>许昌市建安区住房和城乡建设局</w:t>
      </w:r>
    </w:p>
    <w:p>
      <w:pPr>
        <w:ind w:firstLine="1920" w:firstLineChars="600"/>
        <w:jc w:val="left"/>
        <w:rPr>
          <w:rFonts w:asciiTheme="minorEastAsia" w:hAnsiTheme="minorEastAsia" w:eastAsiaTheme="minorEastAsia"/>
          <w:sz w:val="32"/>
          <w:szCs w:val="32"/>
        </w:rPr>
      </w:pPr>
      <w:r>
        <w:rPr>
          <w:rFonts w:asciiTheme="minorEastAsia" w:hAnsiTheme="minorEastAsia" w:eastAsiaTheme="minorEastAsia"/>
          <w:sz w:val="32"/>
          <w:szCs w:val="32"/>
        </w:rPr>
        <w:t>代理机构：</w:t>
      </w:r>
      <w:r>
        <w:rPr>
          <w:rFonts w:hint="eastAsia" w:asciiTheme="minorEastAsia" w:hAnsiTheme="minorEastAsia" w:eastAsiaTheme="minorEastAsia"/>
          <w:sz w:val="32"/>
          <w:szCs w:val="32"/>
        </w:rPr>
        <w:t>河南天扬工程项目管理有限公司</w:t>
      </w:r>
    </w:p>
    <w:p>
      <w:pPr>
        <w:ind w:firstLine="3840" w:firstLineChars="1200"/>
        <w:rPr>
          <w:rFonts w:asciiTheme="minorEastAsia" w:hAnsiTheme="minorEastAsia" w:eastAsiaTheme="minorEastAsia"/>
          <w:sz w:val="16"/>
        </w:rPr>
      </w:pPr>
      <w:r>
        <w:rPr>
          <w:rFonts w:hint="eastAsia" w:asciiTheme="minorEastAsia" w:hAnsiTheme="minorEastAsia" w:eastAsiaTheme="minorEastAsia"/>
          <w:sz w:val="32"/>
          <w:szCs w:val="32"/>
        </w:rPr>
        <w:t>二〇一九年六月</w:t>
      </w:r>
    </w:p>
    <w:p>
      <w:pPr>
        <w:rPr>
          <w:rFonts w:ascii="黑体" w:hAnsi="宋体" w:eastAsia="黑体"/>
          <w:b/>
          <w:sz w:val="44"/>
        </w:rPr>
        <w:sectPr>
          <w:headerReference r:id="rId4" w:type="first"/>
          <w:footerReference r:id="rId6" w:type="first"/>
          <w:headerReference r:id="rId3" w:type="default"/>
          <w:footerReference r:id="rId5" w:type="default"/>
          <w:pgSz w:w="11906" w:h="16838"/>
          <w:pgMar w:top="1304" w:right="1134" w:bottom="1304" w:left="1134" w:header="851" w:footer="992" w:gutter="0"/>
          <w:pgNumType w:start="0"/>
          <w:cols w:space="720" w:num="1"/>
          <w:docGrid w:type="linesAndChars" w:linePitch="312" w:charSpace="0"/>
        </w:sectPr>
      </w:pPr>
    </w:p>
    <w:p>
      <w:pPr>
        <w:ind w:firstLine="4400" w:firstLineChars="1000"/>
        <w:rPr>
          <w:rFonts w:ascii="黑体" w:hAnsi="宋体" w:eastAsia="黑体"/>
          <w:b/>
          <w:sz w:val="44"/>
        </w:rPr>
      </w:pPr>
      <w:r>
        <w:rPr>
          <w:rFonts w:hint="eastAsia" w:ascii="黑体" w:hAnsi="宋体" w:eastAsia="黑体"/>
          <w:b/>
          <w:sz w:val="44"/>
        </w:rPr>
        <w:t>目  录</w:t>
      </w:r>
    </w:p>
    <w:p>
      <w:pPr>
        <w:jc w:val="center"/>
        <w:rPr>
          <w:rFonts w:hAnsi="宋体"/>
          <w:b/>
          <w:sz w:val="32"/>
        </w:rPr>
      </w:pPr>
    </w:p>
    <w:p>
      <w:pPr>
        <w:numPr>
          <w:ilvl w:val="0"/>
          <w:numId w:val="1"/>
        </w:num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szCs w:val="28"/>
        </w:rPr>
        <w:t xml:space="preserve"> 招标公告</w:t>
      </w:r>
    </w:p>
    <w:p>
      <w:pPr>
        <w:numPr>
          <w:ilvl w:val="0"/>
          <w:numId w:val="1"/>
        </w:num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 xml:space="preserve"> 投标人须知</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第三章  评标办法</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第四章  合同条款及格式</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第五章  工程量清单</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第六章  技术标准和要求</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第七章  投标文件格式</w:t>
      </w:r>
    </w:p>
    <w:p>
      <w:pPr>
        <w:rPr>
          <w:rFonts w:hAnsi="宋体" w:cs="黑体"/>
          <w:b/>
          <w:sz w:val="32"/>
          <w:szCs w:val="32"/>
        </w:rPr>
      </w:pPr>
    </w:p>
    <w:p>
      <w:pPr>
        <w:ind w:firstLine="3465" w:firstLineChars="1083"/>
        <w:rPr>
          <w:rFonts w:hAnsi="宋体" w:cs="黑体"/>
          <w:b/>
          <w:sz w:val="32"/>
          <w:szCs w:val="32"/>
        </w:rPr>
      </w:pPr>
    </w:p>
    <w:p>
      <w:pPr>
        <w:rPr>
          <w:b/>
          <w:sz w:val="48"/>
          <w:szCs w:val="48"/>
        </w:rPr>
      </w:pPr>
    </w:p>
    <w:p>
      <w:pPr>
        <w:rPr>
          <w:rFonts w:hAnsi="宋体" w:cs="黑体"/>
          <w:b/>
          <w:sz w:val="32"/>
          <w:szCs w:val="32"/>
        </w:rPr>
      </w:pPr>
    </w:p>
    <w:p>
      <w:pPr>
        <w:ind w:firstLine="4765" w:firstLineChars="1083"/>
        <w:rPr>
          <w:rFonts w:ascii="黑体" w:hAnsi="宋体" w:eastAsia="黑体"/>
          <w:b/>
          <w:sz w:val="44"/>
        </w:rPr>
        <w:sectPr>
          <w:footerReference r:id="rId7" w:type="default"/>
          <w:pgSz w:w="11906" w:h="16838"/>
          <w:pgMar w:top="1304" w:right="1134" w:bottom="1304" w:left="1134" w:header="851" w:footer="992" w:gutter="0"/>
          <w:pgNumType w:start="1"/>
          <w:cols w:space="720" w:num="1"/>
          <w:docGrid w:type="linesAndChars" w:linePitch="312" w:charSpace="0"/>
        </w:sectPr>
      </w:pPr>
    </w:p>
    <w:p>
      <w:pPr>
        <w:ind w:firstLine="3465" w:firstLineChars="1083"/>
        <w:rPr>
          <w:rFonts w:hAnsi="宋体" w:cs="黑体"/>
          <w:b/>
          <w:sz w:val="32"/>
          <w:szCs w:val="32"/>
        </w:rPr>
      </w:pPr>
    </w:p>
    <w:p>
      <w:pPr>
        <w:tabs>
          <w:tab w:val="left" w:pos="3185"/>
          <w:tab w:val="center" w:pos="5452"/>
        </w:tabs>
        <w:snapToGrid w:val="0"/>
        <w:spacing w:before="156" w:beforeLines="50"/>
        <w:jc w:val="left"/>
        <w:rPr>
          <w:rFonts w:hAnsi="宋体" w:cs="黑体"/>
          <w:b/>
          <w:sz w:val="36"/>
          <w:szCs w:val="36"/>
        </w:rPr>
      </w:pPr>
      <w:bookmarkStart w:id="0" w:name="_Toc215282124"/>
    </w:p>
    <w:p>
      <w:pPr>
        <w:tabs>
          <w:tab w:val="left" w:pos="3185"/>
          <w:tab w:val="center" w:pos="5452"/>
        </w:tabs>
        <w:snapToGrid w:val="0"/>
        <w:spacing w:before="156" w:beforeLines="50"/>
        <w:jc w:val="left"/>
        <w:rPr>
          <w:rFonts w:hAnsi="宋体" w:cs="黑体"/>
          <w:b/>
          <w:sz w:val="36"/>
          <w:szCs w:val="36"/>
        </w:rPr>
        <w:sectPr>
          <w:type w:val="continuous"/>
          <w:pgSz w:w="11906" w:h="16838"/>
          <w:pgMar w:top="1304" w:right="1134" w:bottom="1304" w:left="1134" w:header="851" w:footer="992" w:gutter="0"/>
          <w:cols w:space="720" w:num="1"/>
          <w:titlePg/>
          <w:docGrid w:type="linesAndChars" w:linePitch="312" w:charSpace="0"/>
        </w:sectPr>
      </w:pPr>
    </w:p>
    <w:p>
      <w:pPr>
        <w:numPr>
          <w:ilvl w:val="0"/>
          <w:numId w:val="2"/>
        </w:numPr>
        <w:tabs>
          <w:tab w:val="left" w:pos="3185"/>
          <w:tab w:val="center" w:pos="5452"/>
        </w:tabs>
        <w:snapToGrid w:val="0"/>
        <w:spacing w:before="156" w:beforeLines="50"/>
        <w:jc w:val="center"/>
        <w:rPr>
          <w:rFonts w:hAnsi="宋体" w:cs="黑体"/>
          <w:b/>
          <w:sz w:val="36"/>
          <w:szCs w:val="36"/>
        </w:rPr>
      </w:pPr>
      <w:r>
        <w:rPr>
          <w:rFonts w:hint="eastAsia" w:hAnsi="宋体" w:cs="黑体"/>
          <w:b/>
          <w:sz w:val="36"/>
          <w:szCs w:val="36"/>
        </w:rPr>
        <w:t xml:space="preserve"> 招标公告</w:t>
      </w:r>
    </w:p>
    <w:p>
      <w:pPr>
        <w:autoSpaceDE w:val="0"/>
        <w:autoSpaceDN w:val="0"/>
        <w:adjustRightInd w:val="0"/>
        <w:spacing w:line="520" w:lineRule="exact"/>
        <w:ind w:firstLine="480" w:firstLineChars="200"/>
        <w:jc w:val="center"/>
        <w:outlineLvl w:val="0"/>
        <w:rPr>
          <w:rFonts w:hAnsi="宋体" w:cs="宋体"/>
          <w:sz w:val="24"/>
          <w:szCs w:val="24"/>
        </w:rPr>
      </w:pPr>
      <w:r>
        <w:rPr>
          <w:rFonts w:hint="eastAsia" w:hAnsi="宋体" w:cs="宋体"/>
          <w:sz w:val="24"/>
          <w:szCs w:val="24"/>
        </w:rPr>
        <w:t>建安建工公字〔2019〕100号</w:t>
      </w:r>
    </w:p>
    <w:p>
      <w:pPr>
        <w:autoSpaceDE w:val="0"/>
        <w:autoSpaceDN w:val="0"/>
        <w:adjustRightInd w:val="0"/>
        <w:spacing w:line="520" w:lineRule="exact"/>
        <w:ind w:firstLine="480" w:firstLineChars="200"/>
        <w:jc w:val="center"/>
        <w:outlineLvl w:val="0"/>
        <w:rPr>
          <w:rFonts w:hAnsi="宋体" w:cs="宋体"/>
          <w:sz w:val="24"/>
          <w:szCs w:val="24"/>
        </w:rPr>
      </w:pPr>
      <w:r>
        <w:rPr>
          <w:rFonts w:hint="eastAsia" w:hAnsi="宋体" w:cs="宋体"/>
          <w:sz w:val="24"/>
          <w:szCs w:val="24"/>
        </w:rPr>
        <w:t>许昌市建安区住房和城乡建设局</w:t>
      </w:r>
    </w:p>
    <w:p>
      <w:pPr>
        <w:autoSpaceDE w:val="0"/>
        <w:autoSpaceDN w:val="0"/>
        <w:adjustRightInd w:val="0"/>
        <w:spacing w:line="520" w:lineRule="exact"/>
        <w:ind w:firstLine="480" w:firstLineChars="200"/>
        <w:jc w:val="center"/>
        <w:outlineLvl w:val="0"/>
        <w:rPr>
          <w:rFonts w:hAnsi="宋体" w:cs="宋体"/>
          <w:sz w:val="24"/>
          <w:szCs w:val="24"/>
        </w:rPr>
      </w:pPr>
      <w:r>
        <w:rPr>
          <w:rFonts w:hint="eastAsia" w:hAnsi="宋体" w:cs="宋体"/>
          <w:sz w:val="24"/>
          <w:szCs w:val="24"/>
        </w:rPr>
        <w:t>昌盛路西延（京广铁路引线-河苏路）拓宽改造工程</w:t>
      </w:r>
    </w:p>
    <w:p>
      <w:pPr>
        <w:autoSpaceDE w:val="0"/>
        <w:autoSpaceDN w:val="0"/>
        <w:adjustRightInd w:val="0"/>
        <w:spacing w:line="520" w:lineRule="exact"/>
        <w:ind w:firstLine="480" w:firstLineChars="200"/>
        <w:jc w:val="center"/>
        <w:outlineLvl w:val="0"/>
        <w:rPr>
          <w:rFonts w:hAnsi="宋体" w:cs="宋体"/>
          <w:sz w:val="28"/>
          <w:szCs w:val="28"/>
        </w:rPr>
      </w:pPr>
      <w:r>
        <w:rPr>
          <w:rFonts w:hAnsi="宋体" w:cs="宋体"/>
          <w:sz w:val="24"/>
          <w:szCs w:val="24"/>
        </w:rPr>
        <w:t>公开招标公告</w:t>
      </w:r>
    </w:p>
    <w:p>
      <w:pPr>
        <w:autoSpaceDE w:val="0"/>
        <w:autoSpaceDN w:val="0"/>
        <w:adjustRightInd w:val="0"/>
        <w:spacing w:line="420" w:lineRule="exact"/>
        <w:jc w:val="left"/>
        <w:outlineLvl w:val="0"/>
        <w:rPr>
          <w:rFonts w:hAnsi="宋体" w:cs="宋体"/>
          <w:sz w:val="24"/>
          <w:szCs w:val="24"/>
        </w:rPr>
      </w:pPr>
      <w:r>
        <w:rPr>
          <w:rFonts w:hint="eastAsia" w:hAnsi="宋体" w:cs="宋体"/>
          <w:b/>
          <w:bCs/>
          <w:sz w:val="24"/>
          <w:szCs w:val="24"/>
        </w:rPr>
        <w:t xml:space="preserve"> 一、</w:t>
      </w:r>
      <w:r>
        <w:rPr>
          <w:rFonts w:hAnsi="宋体" w:cs="宋体"/>
          <w:b/>
          <w:bCs/>
          <w:sz w:val="24"/>
          <w:szCs w:val="24"/>
        </w:rPr>
        <w:t>项目概况</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1、项目编号：建安建工公字〔2019〕100号。</w:t>
      </w:r>
    </w:p>
    <w:p>
      <w:pPr>
        <w:autoSpaceDE w:val="0"/>
        <w:autoSpaceDN w:val="0"/>
        <w:adjustRightInd w:val="0"/>
        <w:spacing w:line="520" w:lineRule="exact"/>
        <w:ind w:firstLine="480" w:firstLineChars="200"/>
        <w:outlineLvl w:val="0"/>
      </w:pPr>
      <w:r>
        <w:rPr>
          <w:rFonts w:hint="eastAsia" w:hAnsi="宋体" w:cs="宋体"/>
          <w:sz w:val="24"/>
          <w:szCs w:val="24"/>
        </w:rPr>
        <w:t>2、</w:t>
      </w:r>
      <w:r>
        <w:rPr>
          <w:rFonts w:hAnsi="宋体" w:cs="宋体"/>
          <w:sz w:val="24"/>
          <w:szCs w:val="24"/>
        </w:rPr>
        <w:t>项目名称：</w:t>
      </w:r>
      <w:r>
        <w:rPr>
          <w:rFonts w:hint="eastAsia" w:hAnsi="宋体" w:cs="宋体"/>
          <w:sz w:val="24"/>
          <w:szCs w:val="24"/>
        </w:rPr>
        <w:t>昌盛路西延（京广铁路引线-河苏路）拓宽改造工程。</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3、招标单位：许昌市建安区住房和城乡建设局。</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4、工程概况及标段划分：</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该项目共分为两个标段：一标段为施工标，二标段为监理标。</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b/>
          <w:sz w:val="24"/>
          <w:szCs w:val="22"/>
        </w:rPr>
        <w:t>一标段（施工标）：</w:t>
      </w:r>
      <w:r>
        <w:rPr>
          <w:rFonts w:hint="eastAsia" w:hAnsi="宋体" w:cs="宋体"/>
          <w:sz w:val="24"/>
          <w:szCs w:val="22"/>
        </w:rPr>
        <w:t>本项目位于许昌市建安区内，起点位于京广铁路交叉处，起点桩号为K0+000,向西跨颖汝灌渠，止于河苏路（Y018线），终点桩号为K2+302.266，路线全长2.302公里。该工程包括：道路工程、给排水工程、交通标志标线工程、照明工程。</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b/>
          <w:bCs/>
          <w:sz w:val="24"/>
          <w:szCs w:val="22"/>
        </w:rPr>
        <w:t>二标段（监理标）：</w:t>
      </w:r>
      <w:r>
        <w:rPr>
          <w:rFonts w:hint="eastAsia" w:hAnsi="宋体" w:cs="宋体"/>
          <w:sz w:val="24"/>
          <w:szCs w:val="24"/>
        </w:rPr>
        <w:t>施工及保修阶段全过程监理工作。</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5、招标范围：招标文件、施工图纸、工程量清单、设计变更（如有）及答疑纪要（如有）范围内的所有工程内容。</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4"/>
        </w:rPr>
        <w:t>6</w:t>
      </w:r>
      <w:r>
        <w:rPr>
          <w:rFonts w:hAnsi="宋体" w:cs="宋体"/>
          <w:sz w:val="24"/>
          <w:szCs w:val="24"/>
        </w:rPr>
        <w:t>、</w:t>
      </w:r>
      <w:r>
        <w:rPr>
          <w:rFonts w:hint="eastAsia" w:hAnsi="宋体" w:cs="宋体"/>
          <w:sz w:val="24"/>
          <w:szCs w:val="22"/>
        </w:rPr>
        <w:t>招标控制价：施工标：32462759.11元，监理标：227239.31元。</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7、</w:t>
      </w:r>
      <w:r>
        <w:rPr>
          <w:rFonts w:hAnsi="宋体" w:cs="宋体"/>
          <w:sz w:val="24"/>
          <w:szCs w:val="24"/>
        </w:rPr>
        <w:t>计划工期：</w:t>
      </w:r>
      <w:r>
        <w:rPr>
          <w:rFonts w:hint="eastAsia" w:hAnsi="宋体" w:cs="宋体"/>
          <w:sz w:val="24"/>
          <w:szCs w:val="24"/>
        </w:rPr>
        <w:t>180日历天，监理标：同施工工期。</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8、质量要求：达到国家建设工程质量验收的规范和标准(合格)。</w:t>
      </w:r>
    </w:p>
    <w:p>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二、投标人资格要求</w:t>
      </w:r>
    </w:p>
    <w:p>
      <w:pPr>
        <w:autoSpaceDE w:val="0"/>
        <w:autoSpaceDN w:val="0"/>
        <w:adjustRightInd w:val="0"/>
        <w:spacing w:line="420" w:lineRule="exact"/>
        <w:ind w:firstLine="480" w:firstLineChars="200"/>
        <w:jc w:val="left"/>
        <w:outlineLvl w:val="0"/>
        <w:rPr>
          <w:rFonts w:hAnsi="宋体" w:cs="仿宋_GB2312"/>
          <w:color w:val="000000" w:themeColor="text1"/>
          <w:kern w:val="2"/>
          <w:sz w:val="24"/>
          <w:szCs w:val="24"/>
          <w:shd w:val="clear" w:color="auto" w:fill="FFFFFF"/>
          <w14:textFill>
            <w14:solidFill>
              <w14:schemeClr w14:val="tx1"/>
            </w14:solidFill>
          </w14:textFill>
        </w:rPr>
      </w:pPr>
      <w:r>
        <w:rPr>
          <w:rFonts w:hint="eastAsia" w:hAnsi="宋体" w:cs="仿宋_GB2312"/>
          <w:color w:val="000000" w:themeColor="text1"/>
          <w:kern w:val="2"/>
          <w:sz w:val="24"/>
          <w:szCs w:val="24"/>
          <w:shd w:val="clear" w:color="auto" w:fill="FFFFFF"/>
          <w14:textFill>
            <w14:solidFill>
              <w14:schemeClr w14:val="tx1"/>
            </w14:solidFill>
          </w14:textFill>
        </w:rPr>
        <w:t>1、一标段：</w:t>
      </w:r>
      <w:r>
        <w:rPr>
          <w:rFonts w:hint="eastAsia" w:hAnsi="宋体" w:cs="宋体"/>
          <w:color w:val="000000" w:themeColor="text1"/>
          <w:sz w:val="24"/>
          <w:szCs w:val="24"/>
          <w14:textFill>
            <w14:solidFill>
              <w14:schemeClr w14:val="tx1"/>
            </w14:solidFill>
          </w14:textFill>
        </w:rPr>
        <w:t>要求投标人须具备独立的法人资格，具备建设行政主管部门颁发的市政公用工程施工总承包贰级及以上资质，且具备有效的安全生产许可证。拟派项目负责人须具备市政公用工程专业贰级及以上注册建造师资格，且具有有效的安全生产考核合格证，并未承担其他在施建设工程项目的项目负责人。</w:t>
      </w:r>
    </w:p>
    <w:p>
      <w:pPr>
        <w:autoSpaceDE w:val="0"/>
        <w:autoSpaceDN w:val="0"/>
        <w:adjustRightInd w:val="0"/>
        <w:spacing w:line="420" w:lineRule="exact"/>
        <w:ind w:firstLine="480" w:firstLineChars="200"/>
        <w:outlineLvl w:val="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w:t>
      </w:r>
      <w:r>
        <w:rPr>
          <w:rFonts w:hint="eastAsia" w:hAnsi="宋体" w:cs="宋体"/>
          <w:sz w:val="24"/>
          <w:szCs w:val="24"/>
        </w:rPr>
        <w:t>二标段：要求投标人</w:t>
      </w:r>
      <w:r>
        <w:rPr>
          <w:rFonts w:hint="eastAsia" w:hAnsi="宋体" w:cs="宋体"/>
          <w:color w:val="000000" w:themeColor="text1"/>
          <w:sz w:val="24"/>
          <w:szCs w:val="24"/>
          <w14:textFill>
            <w14:solidFill>
              <w14:schemeClr w14:val="tx1"/>
            </w14:solidFill>
          </w14:textFill>
        </w:rPr>
        <w:t>须具备独立的法人资格，</w:t>
      </w:r>
      <w:r>
        <w:rPr>
          <w:rFonts w:hint="eastAsia" w:hAnsi="宋体" w:cs="宋体"/>
          <w:sz w:val="24"/>
          <w:szCs w:val="24"/>
        </w:rPr>
        <w:t>具备市政公用工程监理专业乙级及以上资质；拟派总监理工程师须具备市政公用工程专业注册监理工程师资格。</w:t>
      </w:r>
    </w:p>
    <w:p>
      <w:pPr>
        <w:autoSpaceDE w:val="0"/>
        <w:autoSpaceDN w:val="0"/>
        <w:adjustRightInd w:val="0"/>
        <w:spacing w:line="420" w:lineRule="exact"/>
        <w:ind w:firstLine="480" w:firstLineChars="200"/>
        <w:jc w:val="left"/>
        <w:outlineLvl w:val="0"/>
        <w:rPr>
          <w:rFonts w:hAnsi="宋体" w:cs="仿宋_GB2312"/>
          <w:kern w:val="2"/>
          <w:sz w:val="24"/>
          <w:szCs w:val="24"/>
          <w:shd w:val="clear" w:color="auto" w:fill="FFFFFF"/>
        </w:rPr>
      </w:pPr>
      <w:r>
        <w:rPr>
          <w:rFonts w:hint="eastAsia" w:hAnsi="宋体" w:cs="仿宋_GB2312"/>
          <w:kern w:val="2"/>
          <w:sz w:val="24"/>
          <w:szCs w:val="24"/>
          <w:shd w:val="clear" w:color="auto" w:fill="FFFFFF"/>
        </w:rPr>
        <w:t>3、不接受投标人被“信用中国”和“信用河南”网站信用信息栏列入黑名单，以及被“国家企业信用信息公示系统”列入经营异常名录或严重失信黑名单的投标。</w:t>
      </w:r>
    </w:p>
    <w:p>
      <w:pPr>
        <w:autoSpaceDE w:val="0"/>
        <w:autoSpaceDN w:val="0"/>
        <w:adjustRightInd w:val="0"/>
        <w:spacing w:line="420" w:lineRule="exact"/>
        <w:ind w:firstLine="480" w:firstLineChars="200"/>
        <w:jc w:val="left"/>
        <w:outlineLvl w:val="0"/>
        <w:rPr>
          <w:rFonts w:hAnsi="宋体" w:cs="仿宋_GB2312"/>
          <w:kern w:val="2"/>
          <w:sz w:val="21"/>
          <w:szCs w:val="21"/>
          <w:shd w:val="clear" w:color="auto" w:fill="FFFFFF"/>
        </w:rPr>
      </w:pPr>
      <w:r>
        <w:rPr>
          <w:rFonts w:hint="eastAsia" w:hAnsi="宋体" w:cs="仿宋_GB2312"/>
          <w:kern w:val="2"/>
          <w:sz w:val="24"/>
          <w:szCs w:val="24"/>
          <w:shd w:val="clear" w:color="auto" w:fill="FFFFFF"/>
        </w:rPr>
        <w:t>4、不接受联合体投标</w:t>
      </w:r>
      <w:r>
        <w:rPr>
          <w:rFonts w:hint="eastAsia" w:hAnsi="宋体" w:cs="仿宋_GB2312"/>
          <w:kern w:val="2"/>
          <w:sz w:val="21"/>
          <w:szCs w:val="21"/>
          <w:shd w:val="clear" w:color="auto" w:fill="FFFFFF"/>
        </w:rPr>
        <w:t>。</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5、本次招标实行资格后审。</w:t>
      </w:r>
    </w:p>
    <w:p>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三、投标报名</w:t>
      </w:r>
      <w:r>
        <w:rPr>
          <w:rFonts w:hint="eastAsia" w:hAnsi="宋体" w:cs="宋体"/>
          <w:b/>
          <w:bCs/>
          <w:sz w:val="24"/>
          <w:szCs w:val="24"/>
        </w:rPr>
        <w:t>时间及方式</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2、在投标截止时间前均可登录【全国公共资源交易平台（河南省·许昌市）】“投标人/供应商登录”入口（http://221.14.6.70:8088/ggzy/）自行下载招标文件等（详见“常见问题解答-交易系统操作手册”）。</w:t>
      </w:r>
    </w:p>
    <w:p>
      <w:pPr>
        <w:autoSpaceDE w:val="0"/>
        <w:autoSpaceDN w:val="0"/>
        <w:adjustRightInd w:val="0"/>
        <w:spacing w:line="360" w:lineRule="auto"/>
        <w:rPr>
          <w:rFonts w:hAnsi="宋体"/>
          <w:b/>
          <w:sz w:val="24"/>
        </w:rPr>
      </w:pPr>
      <w:r>
        <w:rPr>
          <w:rFonts w:hint="eastAsia" w:hAnsi="宋体" w:cs="宋体"/>
          <w:b/>
          <w:bCs/>
          <w:sz w:val="24"/>
          <w:szCs w:val="24"/>
        </w:rPr>
        <w:t xml:space="preserve">四、招标文件的获取  </w:t>
      </w:r>
    </w:p>
    <w:p>
      <w:pPr>
        <w:spacing w:line="440" w:lineRule="exact"/>
        <w:ind w:firstLine="480" w:firstLineChars="200"/>
        <w:jc w:val="left"/>
        <w:rPr>
          <w:rFonts w:hAnsi="宋体" w:cs="宋体"/>
          <w:sz w:val="24"/>
          <w:szCs w:val="24"/>
        </w:rPr>
      </w:pPr>
      <w:r>
        <w:rPr>
          <w:rFonts w:hint="eastAsia" w:hAnsi="宋体" w:cs="宋体"/>
          <w:sz w:val="24"/>
          <w:szCs w:val="24"/>
        </w:rPr>
        <w:t>4.1招标文件、图纸和工程量清单的获取：投标人于投标文件递交截止时间前均可登录《全国公共资源交易平台(河南省▪许昌市)》（http://ggzy.xuchang.gov.cn/），通过“投标人/供应商登录” 入口自行下载。</w:t>
      </w:r>
    </w:p>
    <w:p>
      <w:pPr>
        <w:spacing w:line="440" w:lineRule="exact"/>
        <w:ind w:firstLine="480" w:firstLineChars="200"/>
        <w:jc w:val="left"/>
        <w:rPr>
          <w:rFonts w:hAnsi="宋体" w:cs="宋体"/>
          <w:sz w:val="24"/>
          <w:szCs w:val="24"/>
        </w:rPr>
      </w:pPr>
      <w:r>
        <w:rPr>
          <w:rFonts w:hint="eastAsia" w:hAnsi="宋体" w:cs="宋体"/>
          <w:sz w:val="24"/>
          <w:szCs w:val="24"/>
        </w:rPr>
        <w:t>4.2招标文件每套售价300元，于递交投标文件时缴纳给招标代理机构，售后不退。</w:t>
      </w:r>
    </w:p>
    <w:p>
      <w:pPr>
        <w:autoSpaceDE w:val="0"/>
        <w:autoSpaceDN w:val="0"/>
        <w:adjustRightInd w:val="0"/>
        <w:spacing w:line="360" w:lineRule="auto"/>
        <w:rPr>
          <w:rFonts w:hAnsi="宋体" w:cs="宋体"/>
          <w:b/>
          <w:bCs/>
          <w:sz w:val="24"/>
          <w:szCs w:val="24"/>
        </w:rPr>
      </w:pPr>
      <w:r>
        <w:rPr>
          <w:rFonts w:hint="eastAsia" w:hAnsi="宋体" w:cs="宋体"/>
          <w:b/>
          <w:bCs/>
          <w:sz w:val="24"/>
          <w:szCs w:val="24"/>
        </w:rPr>
        <w:t>五、投标文件的递交</w:t>
      </w:r>
    </w:p>
    <w:p>
      <w:pPr>
        <w:spacing w:line="440" w:lineRule="exact"/>
        <w:ind w:firstLine="480" w:firstLineChars="200"/>
        <w:jc w:val="left"/>
        <w:rPr>
          <w:rFonts w:hAnsi="宋体" w:cs="宋体"/>
          <w:sz w:val="24"/>
          <w:szCs w:val="24"/>
        </w:rPr>
      </w:pPr>
      <w:r>
        <w:rPr>
          <w:rFonts w:hint="eastAsia" w:hAnsi="宋体" w:cs="宋体"/>
          <w:sz w:val="24"/>
          <w:szCs w:val="24"/>
        </w:rPr>
        <w:t>5.1 本项目为全流程电子化交易项目，须提交电子投标文件和纸质投标文件（正本1份、副本1份）。</w:t>
      </w:r>
    </w:p>
    <w:p>
      <w:pPr>
        <w:spacing w:line="440" w:lineRule="exact"/>
        <w:ind w:firstLine="480" w:firstLineChars="200"/>
        <w:jc w:val="left"/>
        <w:rPr>
          <w:rFonts w:hAnsi="宋体" w:cs="宋体"/>
          <w:sz w:val="24"/>
          <w:szCs w:val="24"/>
        </w:rPr>
      </w:pPr>
      <w:r>
        <w:rPr>
          <w:rFonts w:hint="eastAsia" w:hAnsi="宋体" w:cs="宋体"/>
          <w:sz w:val="24"/>
          <w:szCs w:val="24"/>
        </w:rPr>
        <w:t>5.2 投标文件提交的截止时间及开标时间：2019年7月</w:t>
      </w:r>
      <w:r>
        <w:rPr>
          <w:rFonts w:hint="eastAsia" w:hAnsi="宋体" w:cs="宋体"/>
          <w:sz w:val="24"/>
          <w:szCs w:val="24"/>
          <w:lang w:val="en-US" w:eastAsia="zh-CN"/>
        </w:rPr>
        <w:t>4</w:t>
      </w:r>
      <w:r>
        <w:rPr>
          <w:rFonts w:hint="eastAsia" w:hAnsi="宋体" w:cs="宋体"/>
          <w:sz w:val="24"/>
          <w:szCs w:val="24"/>
        </w:rPr>
        <w:t>日09时30分。</w:t>
      </w:r>
    </w:p>
    <w:p>
      <w:pPr>
        <w:spacing w:line="440" w:lineRule="exact"/>
        <w:ind w:firstLine="480" w:firstLineChars="200"/>
        <w:jc w:val="left"/>
        <w:rPr>
          <w:rFonts w:hAnsi="宋体" w:cs="宋体"/>
          <w:sz w:val="24"/>
          <w:szCs w:val="24"/>
        </w:rPr>
      </w:pPr>
      <w:r>
        <w:rPr>
          <w:rFonts w:hint="eastAsia" w:hAnsi="宋体" w:cs="宋体"/>
          <w:sz w:val="24"/>
          <w:szCs w:val="24"/>
        </w:rPr>
        <w:t>5.3电子投标文件的提交：电子投标文件应在投标文件提交截止时间（开标时间）之前成功提交至《全国公共资源交易平台(河南省▪许昌市)》公共资源交易系统，并随纸质投标文件同时提交1份使用电子介质存储的备份文件。</w:t>
      </w:r>
    </w:p>
    <w:p>
      <w:pPr>
        <w:spacing w:line="440" w:lineRule="exact"/>
        <w:ind w:firstLine="480" w:firstLineChars="200"/>
        <w:jc w:val="left"/>
        <w:rPr>
          <w:rFonts w:hAnsi="宋体" w:cs="宋体"/>
          <w:sz w:val="24"/>
          <w:szCs w:val="24"/>
        </w:rPr>
      </w:pPr>
      <w:r>
        <w:rPr>
          <w:rFonts w:hint="eastAsia" w:hAnsi="宋体" w:cs="宋体"/>
          <w:sz w:val="24"/>
          <w:szCs w:val="24"/>
        </w:rPr>
        <w:t>5.4纸质投标文件提交地点：许昌市建安区新元大道兴业大厦4楼开标一室。</w:t>
      </w:r>
    </w:p>
    <w:p>
      <w:pPr>
        <w:spacing w:line="440" w:lineRule="exact"/>
        <w:ind w:firstLine="480" w:firstLineChars="200"/>
        <w:jc w:val="left"/>
        <w:rPr>
          <w:rFonts w:hAnsi="宋体" w:cs="宋体"/>
          <w:sz w:val="24"/>
          <w:szCs w:val="24"/>
        </w:rPr>
      </w:pPr>
      <w:r>
        <w:rPr>
          <w:rFonts w:hint="eastAsia" w:hAnsi="宋体" w:cs="宋体"/>
          <w:sz w:val="24"/>
          <w:szCs w:val="24"/>
        </w:rPr>
        <w:t>5.5逾期送达的或者未送达指定地点的纸质投标文件、及仅提供纸质投标文件的，招标人不予受理。</w:t>
      </w:r>
    </w:p>
    <w:p>
      <w:pPr>
        <w:widowControl/>
        <w:spacing w:line="312" w:lineRule="auto"/>
        <w:rPr>
          <w:rFonts w:hAnsi="宋体"/>
          <w:b/>
          <w:sz w:val="24"/>
        </w:rPr>
      </w:pPr>
      <w:r>
        <w:rPr>
          <w:rFonts w:hint="eastAsia" w:hAnsi="宋体"/>
          <w:b/>
          <w:sz w:val="24"/>
        </w:rPr>
        <w:t>六、发布公告的媒介</w:t>
      </w:r>
    </w:p>
    <w:p>
      <w:pPr>
        <w:spacing w:line="440" w:lineRule="exact"/>
        <w:ind w:firstLine="480" w:firstLineChars="200"/>
        <w:jc w:val="left"/>
        <w:rPr>
          <w:rFonts w:hAnsi="宋体" w:cs="宋体"/>
          <w:sz w:val="24"/>
          <w:szCs w:val="24"/>
        </w:rPr>
      </w:pPr>
      <w:r>
        <w:rPr>
          <w:rFonts w:hint="eastAsia" w:hAnsi="宋体" w:cs="宋体"/>
          <w:sz w:val="24"/>
          <w:szCs w:val="24"/>
        </w:rPr>
        <w:t>本公告同时在《全国公共资源交易平台(河南省▪许昌市)》、《河南省电子招标投标公共服务平台》上发布。</w:t>
      </w:r>
    </w:p>
    <w:p>
      <w:pPr>
        <w:widowControl/>
        <w:spacing w:line="312" w:lineRule="auto"/>
        <w:rPr>
          <w:rFonts w:hAnsi="宋体"/>
          <w:b/>
          <w:sz w:val="24"/>
          <w:szCs w:val="22"/>
        </w:rPr>
      </w:pPr>
      <w:r>
        <w:rPr>
          <w:rFonts w:hint="eastAsia" w:hAnsi="宋体"/>
          <w:b/>
          <w:sz w:val="24"/>
          <w:szCs w:val="22"/>
        </w:rPr>
        <w:t>七、联系方式</w:t>
      </w:r>
    </w:p>
    <w:p>
      <w:pPr>
        <w:spacing w:line="440" w:lineRule="exact"/>
        <w:ind w:firstLine="480" w:firstLineChars="200"/>
        <w:jc w:val="left"/>
        <w:rPr>
          <w:rFonts w:hAnsi="宋体" w:cs="宋体"/>
          <w:sz w:val="24"/>
          <w:szCs w:val="24"/>
        </w:rPr>
      </w:pPr>
      <w:r>
        <w:rPr>
          <w:rFonts w:hint="eastAsia" w:hAnsi="宋体" w:cs="宋体"/>
          <w:sz w:val="24"/>
          <w:szCs w:val="24"/>
        </w:rPr>
        <w:t>招  标  人：许昌市建安区住房和城乡建设局</w:t>
      </w:r>
    </w:p>
    <w:p>
      <w:pPr>
        <w:spacing w:line="440" w:lineRule="exact"/>
        <w:ind w:firstLine="480" w:firstLineChars="200"/>
        <w:jc w:val="left"/>
        <w:rPr>
          <w:rFonts w:hAnsi="宋体" w:cs="宋体"/>
          <w:sz w:val="24"/>
          <w:szCs w:val="24"/>
        </w:rPr>
      </w:pPr>
      <w:r>
        <w:rPr>
          <w:rFonts w:hint="eastAsia" w:hAnsi="宋体" w:cs="宋体"/>
          <w:sz w:val="24"/>
          <w:szCs w:val="24"/>
        </w:rPr>
        <w:t>项目负责人：杨会芳</w:t>
      </w:r>
    </w:p>
    <w:p>
      <w:pPr>
        <w:spacing w:line="440" w:lineRule="exact"/>
        <w:ind w:firstLine="480" w:firstLineChars="200"/>
        <w:jc w:val="left"/>
        <w:rPr>
          <w:rFonts w:hAnsi="宋体" w:cs="宋体"/>
          <w:sz w:val="24"/>
          <w:szCs w:val="24"/>
        </w:rPr>
      </w:pPr>
      <w:r>
        <w:rPr>
          <w:rFonts w:hint="eastAsia" w:hAnsi="宋体" w:cs="宋体"/>
          <w:sz w:val="24"/>
          <w:szCs w:val="24"/>
        </w:rPr>
        <w:t>电      话：13849880890</w:t>
      </w:r>
    </w:p>
    <w:p>
      <w:pPr>
        <w:spacing w:line="440" w:lineRule="exact"/>
        <w:ind w:firstLine="480" w:firstLineChars="200"/>
        <w:jc w:val="left"/>
        <w:rPr>
          <w:rFonts w:hAnsi="宋体" w:cs="宋体"/>
          <w:sz w:val="24"/>
          <w:szCs w:val="24"/>
        </w:rPr>
      </w:pPr>
      <w:r>
        <w:rPr>
          <w:rFonts w:hint="eastAsia" w:hAnsi="宋体" w:cs="宋体"/>
          <w:sz w:val="24"/>
          <w:szCs w:val="24"/>
        </w:rPr>
        <w:t>代理  机构：河南天扬工程项目管理有限公司</w:t>
      </w:r>
    </w:p>
    <w:p>
      <w:pPr>
        <w:spacing w:line="440" w:lineRule="exact"/>
        <w:ind w:firstLine="480" w:firstLineChars="200"/>
        <w:jc w:val="left"/>
        <w:rPr>
          <w:rFonts w:hAnsi="宋体" w:cs="宋体"/>
          <w:sz w:val="24"/>
          <w:szCs w:val="24"/>
        </w:rPr>
      </w:pPr>
      <w:r>
        <w:rPr>
          <w:rFonts w:hint="eastAsia" w:hAnsi="宋体" w:cs="宋体"/>
          <w:sz w:val="24"/>
          <w:szCs w:val="24"/>
        </w:rPr>
        <w:t>项目负责人：齐小换</w:t>
      </w:r>
    </w:p>
    <w:p>
      <w:pPr>
        <w:spacing w:line="440" w:lineRule="exact"/>
        <w:ind w:firstLine="480" w:firstLineChars="200"/>
        <w:jc w:val="left"/>
        <w:rPr>
          <w:rFonts w:hAnsi="宋体" w:cs="宋体"/>
          <w:sz w:val="24"/>
          <w:szCs w:val="24"/>
        </w:rPr>
      </w:pPr>
      <w:r>
        <w:rPr>
          <w:rFonts w:hint="eastAsia" w:hAnsi="宋体" w:cs="宋体"/>
          <w:sz w:val="24"/>
          <w:szCs w:val="24"/>
        </w:rPr>
        <w:t>电     话：13782288180</w:t>
      </w:r>
    </w:p>
    <w:p>
      <w:pPr>
        <w:pStyle w:val="2"/>
        <w:ind w:firstLine="5280" w:firstLineChars="2200"/>
        <w:rPr>
          <w:rFonts w:hAnsi="宋体" w:cs="宋体"/>
          <w:sz w:val="24"/>
          <w:szCs w:val="24"/>
        </w:rPr>
      </w:pPr>
      <w:r>
        <w:rPr>
          <w:rFonts w:hint="eastAsia" w:hAnsi="宋体" w:cs="宋体"/>
          <w:sz w:val="24"/>
          <w:szCs w:val="24"/>
        </w:rPr>
        <w:t>许昌市建安区住房和城乡建设局</w:t>
      </w:r>
    </w:p>
    <w:p>
      <w:pPr>
        <w:pStyle w:val="2"/>
        <w:ind w:firstLine="6720" w:firstLineChars="2800"/>
        <w:rPr>
          <w:rFonts w:hAnsi="宋体" w:cs="宋体"/>
          <w:sz w:val="24"/>
          <w:szCs w:val="24"/>
        </w:rPr>
      </w:pPr>
      <w:r>
        <w:rPr>
          <w:rFonts w:hint="eastAsia" w:hAnsi="宋体" w:cs="宋体"/>
          <w:sz w:val="24"/>
          <w:szCs w:val="24"/>
        </w:rPr>
        <w:t xml:space="preserve">2019年6月13日 </w:t>
      </w:r>
    </w:p>
    <w:p>
      <w:pPr>
        <w:widowControl/>
        <w:spacing w:line="312" w:lineRule="auto"/>
        <w:rPr>
          <w:rFonts w:hAnsi="宋体"/>
          <w:b/>
          <w:sz w:val="28"/>
          <w:szCs w:val="21"/>
        </w:rPr>
      </w:pPr>
      <w:r>
        <w:rPr>
          <w:rFonts w:hint="eastAsia" w:hAnsi="宋体"/>
          <w:b/>
          <w:sz w:val="28"/>
          <w:szCs w:val="21"/>
        </w:rPr>
        <w:t>温馨提示：</w:t>
      </w:r>
    </w:p>
    <w:p>
      <w:pPr>
        <w:widowControl/>
        <w:spacing w:line="312" w:lineRule="auto"/>
        <w:ind w:firstLine="140" w:firstLineChars="50"/>
        <w:rPr>
          <w:rFonts w:hAnsi="宋体"/>
          <w:b/>
          <w:sz w:val="24"/>
        </w:rPr>
      </w:pPr>
      <w:r>
        <w:rPr>
          <w:rFonts w:hint="eastAsia" w:hAnsi="宋体"/>
          <w:b/>
          <w:sz w:val="28"/>
          <w:szCs w:val="21"/>
        </w:rPr>
        <w:t>本项目为全流程电子化交易项目，请认真阅读招标文件，并注意以下事项。</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1.投标人应按招标文件规定下载、编制、提交电子投标文件和纸质投标文件。开、评标现场不接受投标人递交的电子投标文件和纸质投标文件以外的其他资料。</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2.电子文件下载、制作、提交期间和开标（电子投标文件的解密）环节，投标人须使用CA数字证书。</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3.电子投标文件的制作</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Ansi="宋体" w:cs="宋体"/>
          <w:sz w:val="24"/>
          <w:szCs w:val="24"/>
        </w:rPr>
        <w:fldChar w:fldCharType="end"/>
      </w:r>
      <w:r>
        <w:rPr>
          <w:rFonts w:hint="eastAsia" w:hAnsi="宋体" w:cs="宋体"/>
          <w:sz w:val="24"/>
          <w:szCs w:val="24"/>
        </w:rPr>
        <w:t>）下载“许昌投标文件制作系统SEARUN V1.1”，按招标文件要求制作电子投标文件。</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电子投标文件的制作，参考《全国公共资源交易平台(河南省▪许昌市)》公共资源交易系统——组件下载——交易系统操作手册（投标人、供应商）。</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3.2 投标人须将招标文件要求的资质、业绩、荣誉及相关人员证明材料等资料原件扫描件（或图片）制作到所提交的电子投标文件中。</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4.电子投标文件的提交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 xml:space="preserve"> 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投标人应充分考虑并预留技术处理和上传数据所需时间。</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4.2 投标人对同一项目多个标段进行投标的，电子投标文件应按标段分别提交。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4.3 电子投标文件成功提交后，投标人应打印“投标文件提交回执单”，供开标现场备查。</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5.评标依据</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5.1采用全流程电子化交易评标时，评标委员会以电子投标文件为依据评标。</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5.2全流程电子化交易如因系统异常情况无法完成，将以人工方式进行。评标委员会以纸质投标文件为依据评标。</w:t>
      </w: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tabs>
          <w:tab w:val="left" w:pos="4140"/>
          <w:tab w:val="left" w:pos="4260"/>
        </w:tabs>
        <w:spacing w:line="360" w:lineRule="auto"/>
        <w:ind w:right="-578" w:rightChars="-170"/>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r>
        <w:rPr>
          <w:rFonts w:hint="eastAsia" w:hAnsi="宋体" w:cs="黑体"/>
          <w:b/>
          <w:sz w:val="36"/>
          <w:szCs w:val="36"/>
        </w:rPr>
        <w:t xml:space="preserve">第二章  </w:t>
      </w:r>
      <w:bookmarkEnd w:id="0"/>
      <w:r>
        <w:rPr>
          <w:rFonts w:hint="eastAsia" w:hAnsi="宋体" w:cs="黑体"/>
          <w:b/>
          <w:sz w:val="36"/>
          <w:szCs w:val="36"/>
        </w:rPr>
        <w:t>投标人须知</w:t>
      </w:r>
    </w:p>
    <w:p>
      <w:pPr>
        <w:autoSpaceDE w:val="0"/>
        <w:autoSpaceDN w:val="0"/>
        <w:adjustRightInd w:val="0"/>
        <w:outlineLvl w:val="0"/>
        <w:rPr>
          <w:rFonts w:hAnsi="宋体" w:cs="黑体"/>
          <w:b/>
          <w:sz w:val="28"/>
          <w:szCs w:val="28"/>
        </w:rPr>
      </w:pPr>
      <w:bookmarkStart w:id="1" w:name="_Toc283559940"/>
      <w:r>
        <w:rPr>
          <w:rFonts w:hint="eastAsia" w:hAnsi="宋体" w:cs="黑体"/>
          <w:b/>
          <w:sz w:val="28"/>
          <w:szCs w:val="28"/>
        </w:rPr>
        <w:t>投标人须知前附表</w:t>
      </w:r>
      <w:bookmarkEnd w:id="1"/>
    </w:p>
    <w:tbl>
      <w:tblPr>
        <w:tblStyle w:val="29"/>
        <w:tblW w:w="98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209"/>
        <w:gridCol w:w="7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条款号</w:t>
            </w:r>
          </w:p>
        </w:tc>
        <w:tc>
          <w:tcPr>
            <w:tcW w:w="1854" w:type="dxa"/>
            <w:gridSpan w:val="3"/>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条款名称</w:t>
            </w:r>
          </w:p>
        </w:tc>
        <w:tc>
          <w:tcPr>
            <w:tcW w:w="7017" w:type="dxa"/>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1003" w:type="dxa"/>
            <w:vAlign w:val="center"/>
          </w:tcPr>
          <w:p>
            <w:pPr>
              <w:autoSpaceDE w:val="0"/>
              <w:autoSpaceDN w:val="0"/>
              <w:adjustRightInd w:val="0"/>
              <w:jc w:val="center"/>
              <w:rPr>
                <w:rFonts w:hAnsi="宋体" w:cs="黑体"/>
                <w:sz w:val="24"/>
              </w:rPr>
            </w:pPr>
            <w:r>
              <w:rPr>
                <w:rFonts w:hAnsi="宋体" w:cs="TimesNewRomanPSMT"/>
                <w:sz w:val="24"/>
              </w:rPr>
              <w:t>1.1.</w:t>
            </w:r>
            <w:r>
              <w:rPr>
                <w:rFonts w:hint="eastAsia" w:hAnsi="宋体" w:cs="TimesNewRomanPSMT"/>
                <w:sz w:val="24"/>
              </w:rPr>
              <w:t>1</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招标人</w:t>
            </w:r>
          </w:p>
        </w:tc>
        <w:tc>
          <w:tcPr>
            <w:tcW w:w="7017" w:type="dxa"/>
            <w:vAlign w:val="center"/>
          </w:tcPr>
          <w:p>
            <w:pPr>
              <w:autoSpaceDE w:val="0"/>
              <w:autoSpaceDN w:val="0"/>
              <w:adjustRightInd w:val="0"/>
              <w:spacing w:line="320" w:lineRule="exact"/>
              <w:rPr>
                <w:rFonts w:hAnsi="宋体"/>
                <w:sz w:val="24"/>
                <w:szCs w:val="22"/>
              </w:rPr>
            </w:pPr>
            <w:r>
              <w:rPr>
                <w:rFonts w:hint="eastAsia" w:hAnsi="宋体"/>
                <w:sz w:val="24"/>
                <w:szCs w:val="22"/>
                <w:lang w:val="zh-CN"/>
              </w:rPr>
              <w:t>招 标 人：</w:t>
            </w:r>
            <w:r>
              <w:rPr>
                <w:rFonts w:hint="eastAsia" w:hAnsi="宋体" w:cs="宋体"/>
                <w:sz w:val="24"/>
                <w:szCs w:val="24"/>
              </w:rPr>
              <w:t>许昌市建安区住房和城乡建设局</w:t>
            </w:r>
          </w:p>
          <w:p>
            <w:pPr>
              <w:autoSpaceDE w:val="0"/>
              <w:autoSpaceDN w:val="0"/>
              <w:adjustRightInd w:val="0"/>
              <w:spacing w:line="320" w:lineRule="exact"/>
              <w:rPr>
                <w:rFonts w:hAnsi="宋体"/>
                <w:sz w:val="24"/>
                <w:szCs w:val="22"/>
              </w:rPr>
            </w:pPr>
            <w:r>
              <w:rPr>
                <w:rFonts w:hint="eastAsia" w:hAnsi="宋体"/>
                <w:sz w:val="24"/>
                <w:szCs w:val="22"/>
              </w:rPr>
              <w:t>地    址：</w:t>
            </w:r>
            <w:r>
              <w:rPr>
                <w:rFonts w:hint="eastAsia" w:hAnsi="宋体" w:cs="宋体"/>
                <w:sz w:val="24"/>
                <w:szCs w:val="24"/>
              </w:rPr>
              <w:t>许昌市建安区兴业大厦3楼</w:t>
            </w:r>
          </w:p>
          <w:p>
            <w:pPr>
              <w:autoSpaceDE w:val="0"/>
              <w:autoSpaceDN w:val="0"/>
              <w:adjustRightInd w:val="0"/>
              <w:spacing w:line="320" w:lineRule="exact"/>
              <w:rPr>
                <w:rFonts w:hAnsi="宋体"/>
                <w:sz w:val="24"/>
                <w:szCs w:val="22"/>
              </w:rPr>
            </w:pPr>
            <w:r>
              <w:rPr>
                <w:rFonts w:hint="eastAsia" w:hAnsi="宋体"/>
                <w:sz w:val="24"/>
                <w:szCs w:val="22"/>
              </w:rPr>
              <w:t>联 系 人：</w:t>
            </w:r>
            <w:r>
              <w:rPr>
                <w:rFonts w:hint="eastAsia" w:hAnsi="宋体" w:cs="宋体"/>
                <w:sz w:val="24"/>
                <w:szCs w:val="24"/>
              </w:rPr>
              <w:t>杨会芳</w:t>
            </w:r>
          </w:p>
          <w:p>
            <w:pPr>
              <w:autoSpaceDE w:val="0"/>
              <w:autoSpaceDN w:val="0"/>
              <w:adjustRightInd w:val="0"/>
              <w:spacing w:line="320" w:lineRule="exact"/>
              <w:rPr>
                <w:rFonts w:hAnsi="宋体"/>
                <w:bCs/>
                <w:sz w:val="24"/>
              </w:rPr>
            </w:pPr>
            <w:r>
              <w:rPr>
                <w:rFonts w:hint="eastAsia" w:hAnsi="宋体"/>
                <w:sz w:val="24"/>
                <w:szCs w:val="22"/>
              </w:rPr>
              <w:t>联系电话：</w:t>
            </w:r>
            <w:r>
              <w:rPr>
                <w:rFonts w:hint="eastAsia" w:hAnsi="宋体" w:cs="宋体"/>
                <w:sz w:val="24"/>
                <w:szCs w:val="24"/>
              </w:rPr>
              <w:t>13849880890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jc w:val="center"/>
        </w:trPr>
        <w:tc>
          <w:tcPr>
            <w:tcW w:w="1003" w:type="dxa"/>
            <w:vAlign w:val="center"/>
          </w:tcPr>
          <w:p>
            <w:pPr>
              <w:autoSpaceDE w:val="0"/>
              <w:autoSpaceDN w:val="0"/>
              <w:adjustRightInd w:val="0"/>
              <w:jc w:val="center"/>
              <w:rPr>
                <w:rFonts w:hAnsi="宋体" w:cs="TimesNewRomanPSMT"/>
                <w:sz w:val="24"/>
              </w:rPr>
            </w:pPr>
            <w:r>
              <w:rPr>
                <w:rFonts w:hint="eastAsia" w:hAnsi="宋体" w:cs="TimesNewRomanPSMT"/>
                <w:sz w:val="24"/>
              </w:rPr>
              <w:t>1.1.2</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代理机构</w:t>
            </w:r>
          </w:p>
        </w:tc>
        <w:tc>
          <w:tcPr>
            <w:tcW w:w="7017" w:type="dxa"/>
            <w:vAlign w:val="center"/>
          </w:tcPr>
          <w:p>
            <w:pPr>
              <w:spacing w:line="440" w:lineRule="exact"/>
              <w:jc w:val="left"/>
              <w:rPr>
                <w:rFonts w:hAnsi="宋体"/>
                <w:sz w:val="24"/>
              </w:rPr>
            </w:pPr>
            <w:r>
              <w:rPr>
                <w:rFonts w:hint="eastAsia" w:hAnsi="宋体"/>
                <w:sz w:val="24"/>
              </w:rPr>
              <w:t>代理机构：</w:t>
            </w:r>
            <w:r>
              <w:rPr>
                <w:rFonts w:hint="eastAsia" w:hAnsi="宋体" w:cs="宋体"/>
                <w:sz w:val="24"/>
                <w:szCs w:val="24"/>
              </w:rPr>
              <w:t>河南天扬工程项目管理有限公司</w:t>
            </w:r>
          </w:p>
          <w:p>
            <w:pPr>
              <w:autoSpaceDE w:val="0"/>
              <w:autoSpaceDN w:val="0"/>
              <w:adjustRightInd w:val="0"/>
              <w:spacing w:line="320" w:lineRule="exact"/>
              <w:rPr>
                <w:rFonts w:hAnsi="宋体"/>
                <w:sz w:val="24"/>
              </w:rPr>
            </w:pPr>
            <w:r>
              <w:rPr>
                <w:rFonts w:hint="eastAsia" w:hAnsi="宋体"/>
                <w:sz w:val="24"/>
              </w:rPr>
              <w:t>联 系 人：齐小换</w:t>
            </w:r>
          </w:p>
          <w:p>
            <w:pPr>
              <w:autoSpaceDE w:val="0"/>
              <w:autoSpaceDN w:val="0"/>
              <w:adjustRightInd w:val="0"/>
              <w:spacing w:line="320" w:lineRule="exact"/>
              <w:rPr>
                <w:rFonts w:hAnsi="宋体"/>
                <w:sz w:val="24"/>
              </w:rPr>
            </w:pPr>
            <w:r>
              <w:rPr>
                <w:rFonts w:hint="eastAsia" w:hAnsi="宋体"/>
                <w:sz w:val="24"/>
              </w:rPr>
              <w:t>联系电话：13782288180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3</w:t>
            </w:r>
          </w:p>
        </w:tc>
        <w:tc>
          <w:tcPr>
            <w:tcW w:w="1854" w:type="dxa"/>
            <w:gridSpan w:val="3"/>
            <w:vAlign w:val="center"/>
          </w:tcPr>
          <w:p>
            <w:pPr>
              <w:autoSpaceDE w:val="0"/>
              <w:autoSpaceDN w:val="0"/>
              <w:adjustRightInd w:val="0"/>
              <w:spacing w:line="320" w:lineRule="exact"/>
              <w:jc w:val="center"/>
              <w:rPr>
                <w:rFonts w:hAnsi="宋体"/>
                <w:sz w:val="24"/>
              </w:rPr>
            </w:pPr>
            <w:r>
              <w:rPr>
                <w:rFonts w:hint="eastAsia" w:hAnsi="宋体"/>
                <w:sz w:val="24"/>
              </w:rPr>
              <w:t>项目名称</w:t>
            </w:r>
          </w:p>
        </w:tc>
        <w:tc>
          <w:tcPr>
            <w:tcW w:w="7017" w:type="dxa"/>
            <w:vAlign w:val="center"/>
          </w:tcPr>
          <w:p>
            <w:pPr>
              <w:autoSpaceDE w:val="0"/>
              <w:autoSpaceDN w:val="0"/>
              <w:adjustRightInd w:val="0"/>
              <w:spacing w:line="520" w:lineRule="exact"/>
              <w:outlineLvl w:val="0"/>
              <w:rPr>
                <w:rFonts w:hAnsi="宋体"/>
                <w:b/>
                <w:sz w:val="24"/>
              </w:rPr>
            </w:pPr>
            <w:r>
              <w:rPr>
                <w:rFonts w:hint="eastAsia" w:hAnsi="宋体" w:cs="宋体"/>
                <w:sz w:val="24"/>
                <w:szCs w:val="24"/>
              </w:rPr>
              <w:t>昌盛路西延（京广铁路引线-河苏路）拓宽改造工程（施工标）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4</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建设地点</w:t>
            </w:r>
          </w:p>
        </w:tc>
        <w:tc>
          <w:tcPr>
            <w:tcW w:w="7017" w:type="dxa"/>
            <w:vAlign w:val="center"/>
          </w:tcPr>
          <w:p>
            <w:pPr>
              <w:spacing w:line="320" w:lineRule="exact"/>
              <w:jc w:val="left"/>
              <w:rPr>
                <w:rFonts w:hAnsi="宋体" w:cs="仿宋_GB2312"/>
                <w:sz w:val="24"/>
                <w:szCs w:val="24"/>
              </w:rPr>
            </w:pPr>
            <w:r>
              <w:rPr>
                <w:rFonts w:hint="eastAsia" w:hAnsi="宋体"/>
                <w:sz w:val="24"/>
              </w:rPr>
              <w:t>许昌市建安区</w:t>
            </w:r>
            <w:r>
              <w:rPr>
                <w:rFonts w:hint="eastAsia" w:hAnsi="宋体" w:cs="宋体"/>
                <w:sz w:val="24"/>
                <w:szCs w:val="24"/>
              </w:rPr>
              <w:t>境内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1.2.1</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资金来源</w:t>
            </w:r>
          </w:p>
        </w:tc>
        <w:tc>
          <w:tcPr>
            <w:tcW w:w="7017" w:type="dxa"/>
            <w:vAlign w:val="center"/>
          </w:tcPr>
          <w:p>
            <w:pPr>
              <w:autoSpaceDE w:val="0"/>
              <w:autoSpaceDN w:val="0"/>
              <w:adjustRightInd w:val="0"/>
              <w:spacing w:line="320" w:lineRule="exact"/>
              <w:jc w:val="left"/>
              <w:rPr>
                <w:rFonts w:hAnsi="宋体" w:cs="黑体"/>
                <w:sz w:val="24"/>
              </w:rPr>
            </w:pPr>
            <w:r>
              <w:rPr>
                <w:rFonts w:hint="eastAsia" w:hAnsi="宋体" w:cs="黑体"/>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1.2.2</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出资比例</w:t>
            </w:r>
          </w:p>
        </w:tc>
        <w:tc>
          <w:tcPr>
            <w:tcW w:w="7017" w:type="dxa"/>
            <w:vAlign w:val="center"/>
          </w:tcPr>
          <w:p>
            <w:pPr>
              <w:autoSpaceDE w:val="0"/>
              <w:autoSpaceDN w:val="0"/>
              <w:adjustRightInd w:val="0"/>
              <w:spacing w:line="320" w:lineRule="exact"/>
              <w:jc w:val="left"/>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1.2.3</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资金落实情况</w:t>
            </w:r>
          </w:p>
        </w:tc>
        <w:tc>
          <w:tcPr>
            <w:tcW w:w="7017" w:type="dxa"/>
            <w:vAlign w:val="center"/>
          </w:tcPr>
          <w:p>
            <w:pPr>
              <w:autoSpaceDE w:val="0"/>
              <w:autoSpaceDN w:val="0"/>
              <w:adjustRightInd w:val="0"/>
              <w:spacing w:line="320" w:lineRule="exact"/>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1.3.1</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招标范围</w:t>
            </w:r>
          </w:p>
        </w:tc>
        <w:tc>
          <w:tcPr>
            <w:tcW w:w="7017" w:type="dxa"/>
            <w:tcBorders>
              <w:bottom w:val="single" w:color="auto" w:sz="4" w:space="0"/>
            </w:tcBorders>
          </w:tcPr>
          <w:p>
            <w:pPr>
              <w:autoSpaceDE w:val="0"/>
              <w:autoSpaceDN w:val="0"/>
              <w:adjustRightInd w:val="0"/>
              <w:spacing w:line="320" w:lineRule="exact"/>
            </w:pPr>
            <w:r>
              <w:rPr>
                <w:rFonts w:hint="eastAsia" w:hAnsi="宋体"/>
                <w:sz w:val="24"/>
                <w:szCs w:val="22"/>
              </w:rPr>
              <w:t>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1.3.2</w:t>
            </w:r>
          </w:p>
        </w:tc>
        <w:tc>
          <w:tcPr>
            <w:tcW w:w="1854" w:type="dxa"/>
            <w:gridSpan w:val="3"/>
            <w:tcBorders>
              <w:right w:val="single" w:color="auto" w:sz="4" w:space="0"/>
            </w:tcBorders>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计划工期</w:t>
            </w:r>
          </w:p>
        </w:tc>
        <w:tc>
          <w:tcPr>
            <w:tcW w:w="70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hAnsi="宋体" w:cs="黑体"/>
                <w:sz w:val="24"/>
              </w:rPr>
            </w:pPr>
            <w:r>
              <w:rPr>
                <w:rFonts w:hint="eastAsia" w:hAnsi="宋体" w:cs="仿宋_GB2312"/>
                <w:sz w:val="24"/>
              </w:rPr>
              <w:t>180日历天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1.3.3</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质量要求</w:t>
            </w:r>
          </w:p>
        </w:tc>
        <w:tc>
          <w:tcPr>
            <w:tcW w:w="7017" w:type="dxa"/>
            <w:tcBorders>
              <w:top w:val="single" w:color="auto" w:sz="4" w:space="0"/>
            </w:tcBorders>
            <w:vAlign w:val="center"/>
          </w:tcPr>
          <w:p>
            <w:pPr>
              <w:autoSpaceDE w:val="0"/>
              <w:autoSpaceDN w:val="0"/>
              <w:adjustRightInd w:val="0"/>
              <w:spacing w:line="320" w:lineRule="exact"/>
              <w:rPr>
                <w:rFonts w:hAnsi="宋体" w:cs="黑体"/>
                <w:sz w:val="24"/>
              </w:rPr>
            </w:pPr>
            <w:r>
              <w:rPr>
                <w:rFonts w:hint="eastAsia" w:hAnsi="宋体" w:cs="宋体"/>
                <w:sz w:val="24"/>
                <w:szCs w:val="24"/>
              </w:rPr>
              <w:t>达到国家建设工程质量验收的规范和标准(合格)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1.4.1</w:t>
            </w:r>
          </w:p>
        </w:tc>
        <w:tc>
          <w:tcPr>
            <w:tcW w:w="1854" w:type="dxa"/>
            <w:gridSpan w:val="3"/>
            <w:vAlign w:val="center"/>
          </w:tcPr>
          <w:p>
            <w:pPr>
              <w:autoSpaceDE w:val="0"/>
              <w:autoSpaceDN w:val="0"/>
              <w:adjustRightInd w:val="0"/>
              <w:spacing w:line="320" w:lineRule="exact"/>
              <w:jc w:val="center"/>
              <w:rPr>
                <w:rFonts w:hAnsi="宋体" w:cs="黑体"/>
                <w:sz w:val="24"/>
              </w:rPr>
            </w:pPr>
            <w:r>
              <w:rPr>
                <w:rFonts w:hint="eastAsia" w:hAnsi="宋体" w:cs="黑体"/>
                <w:sz w:val="24"/>
              </w:rPr>
              <w:t>投标人资质条件</w:t>
            </w:r>
          </w:p>
        </w:tc>
        <w:tc>
          <w:tcPr>
            <w:tcW w:w="7017" w:type="dxa"/>
          </w:tcPr>
          <w:p>
            <w:pPr>
              <w:autoSpaceDE w:val="0"/>
              <w:autoSpaceDN w:val="0"/>
              <w:adjustRightInd w:val="0"/>
              <w:spacing w:line="420" w:lineRule="exact"/>
              <w:jc w:val="left"/>
              <w:outlineLvl w:val="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一标段：</w:t>
            </w:r>
          </w:p>
          <w:p>
            <w:pPr>
              <w:autoSpaceDE w:val="0"/>
              <w:autoSpaceDN w:val="0"/>
              <w:adjustRightInd w:val="0"/>
              <w:spacing w:line="420" w:lineRule="exact"/>
              <w:jc w:val="left"/>
              <w:outlineLvl w:val="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1、要求投标人须具备独立的法人资格，具备建设行政主管部门颁发的市政公用工程施工总承包贰级及以上资质，且具备有效的安全生产许可证。</w:t>
            </w:r>
          </w:p>
          <w:p>
            <w:pPr>
              <w:autoSpaceDE w:val="0"/>
              <w:autoSpaceDN w:val="0"/>
              <w:adjustRightInd w:val="0"/>
              <w:spacing w:line="420" w:lineRule="exact"/>
              <w:jc w:val="left"/>
              <w:outlineLvl w:val="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2、拟派项目负责人须具备市政公用工程专业贰级及以上注册建造师资格，且具有有效的安全生产考核合格证，并未承担其他在施建设工程项目的项目负责人。</w:t>
            </w:r>
          </w:p>
          <w:p>
            <w:pPr>
              <w:autoSpaceDE w:val="0"/>
              <w:autoSpaceDN w:val="0"/>
              <w:adjustRightInd w:val="0"/>
              <w:spacing w:line="420" w:lineRule="exact"/>
              <w:jc w:val="left"/>
              <w:outlineLvl w:val="0"/>
              <w:rPr>
                <w:rFonts w:hAnsi="宋体" w:cs="仿宋_GB2312"/>
                <w:kern w:val="2"/>
                <w:sz w:val="24"/>
                <w:szCs w:val="24"/>
                <w:shd w:val="clear" w:color="auto" w:fill="FFFFFF"/>
              </w:rPr>
            </w:pPr>
            <w:r>
              <w:rPr>
                <w:rFonts w:hint="eastAsia" w:hAnsi="宋体" w:cs="宋体"/>
                <w:color w:val="000000" w:themeColor="text1"/>
                <w:sz w:val="24"/>
                <w:szCs w:val="24"/>
                <w14:textFill>
                  <w14:solidFill>
                    <w14:schemeClr w14:val="tx1"/>
                  </w14:solidFill>
                </w14:textFill>
              </w:rPr>
              <w:t>3、</w:t>
            </w:r>
            <w:r>
              <w:rPr>
                <w:rFonts w:hint="eastAsia" w:hAnsi="宋体" w:cs="仿宋_GB2312"/>
                <w:color w:val="000000" w:themeColor="text1"/>
                <w:kern w:val="2"/>
                <w:sz w:val="24"/>
                <w:szCs w:val="24"/>
                <w:shd w:val="clear" w:color="auto" w:fill="FFFFFF"/>
                <w14:textFill>
                  <w14:solidFill>
                    <w14:schemeClr w14:val="tx1"/>
                  </w14:solidFill>
                </w14:textFill>
              </w:rPr>
              <w:t>不接受投标人被“信用中</w:t>
            </w:r>
            <w:r>
              <w:rPr>
                <w:rFonts w:hint="eastAsia" w:hAnsi="宋体" w:cs="仿宋_GB2312"/>
                <w:kern w:val="2"/>
                <w:sz w:val="24"/>
                <w:szCs w:val="24"/>
                <w:shd w:val="clear" w:color="auto" w:fill="FFFFFF"/>
              </w:rPr>
              <w:t>国”和“信用河南”网站信用信息栏列入黑名单，以及被“国家企业信用信息公示系统”列入经营异常名录或严重失信黑名单的投标。</w:t>
            </w:r>
          </w:p>
          <w:p>
            <w:pPr>
              <w:autoSpaceDE w:val="0"/>
              <w:autoSpaceDN w:val="0"/>
              <w:adjustRightInd w:val="0"/>
              <w:spacing w:line="420" w:lineRule="exact"/>
              <w:jc w:val="left"/>
              <w:outlineLvl w:val="0"/>
              <w:rPr>
                <w:rFonts w:hAnsi="宋体" w:cs="宋体"/>
                <w:sz w:val="24"/>
                <w:szCs w:val="24"/>
              </w:rPr>
            </w:pPr>
            <w:r>
              <w:rPr>
                <w:rFonts w:hint="eastAsia" w:hAnsi="宋体" w:cs="宋体"/>
                <w:sz w:val="24"/>
                <w:szCs w:val="24"/>
              </w:rPr>
              <w:t>4、不接受联合体投标。</w:t>
            </w:r>
          </w:p>
          <w:p>
            <w:pPr>
              <w:autoSpaceDE w:val="0"/>
              <w:autoSpaceDN w:val="0"/>
              <w:adjustRightInd w:val="0"/>
              <w:spacing w:line="420" w:lineRule="exact"/>
              <w:jc w:val="left"/>
              <w:outlineLvl w:val="0"/>
              <w:rPr>
                <w:rFonts w:hAnsi="宋体"/>
                <w:b/>
                <w:sz w:val="24"/>
              </w:rPr>
            </w:pPr>
            <w:r>
              <w:rPr>
                <w:rFonts w:hint="eastAsia" w:hAnsi="宋体" w:cs="宋体"/>
                <w:sz w:val="24"/>
                <w:szCs w:val="24"/>
              </w:rPr>
              <w:t>5、本次招标实行资格后审。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1.4.2</w:t>
            </w:r>
          </w:p>
        </w:tc>
        <w:tc>
          <w:tcPr>
            <w:tcW w:w="1854"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是否接受联合体投标</w:t>
            </w:r>
          </w:p>
        </w:tc>
        <w:tc>
          <w:tcPr>
            <w:tcW w:w="7017" w:type="dxa"/>
            <w:vAlign w:val="center"/>
          </w:tcPr>
          <w:p>
            <w:pPr>
              <w:autoSpaceDE w:val="0"/>
              <w:autoSpaceDN w:val="0"/>
              <w:adjustRightInd w:val="0"/>
              <w:spacing w:line="320" w:lineRule="exact"/>
              <w:rPr>
                <w:rFonts w:hAnsi="宋体" w:cs="黑体"/>
                <w:sz w:val="24"/>
              </w:rPr>
            </w:pPr>
            <w:r>
              <w:rPr>
                <w:rFonts w:hint="eastAsia" w:hAnsi="宋体" w:cs="仿宋_GB2312"/>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1854"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踏勘现场</w:t>
            </w:r>
          </w:p>
        </w:tc>
        <w:tc>
          <w:tcPr>
            <w:tcW w:w="7017" w:type="dxa"/>
          </w:tcPr>
          <w:p>
            <w:pPr>
              <w:autoSpaceDE w:val="0"/>
              <w:autoSpaceDN w:val="0"/>
              <w:adjustRightInd w:val="0"/>
              <w:spacing w:line="320" w:lineRule="exact"/>
              <w:jc w:val="left"/>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1854" w:type="dxa"/>
            <w:gridSpan w:val="3"/>
            <w:vAlign w:val="center"/>
          </w:tcPr>
          <w:p>
            <w:pPr>
              <w:autoSpaceDE w:val="0"/>
              <w:autoSpaceDN w:val="0"/>
              <w:adjustRightInd w:val="0"/>
              <w:spacing w:line="320" w:lineRule="exact"/>
              <w:jc w:val="center"/>
              <w:rPr>
                <w:rFonts w:hAnsi="宋体" w:cs="仿宋_GB2312"/>
                <w:sz w:val="24"/>
                <w:szCs w:val="22"/>
              </w:rPr>
            </w:pPr>
            <w:r>
              <w:rPr>
                <w:rFonts w:hint="eastAsia" w:hAnsi="宋体" w:cs="仿宋_GB2312"/>
                <w:sz w:val="24"/>
                <w:szCs w:val="22"/>
              </w:rPr>
              <w:t>投标预备会</w:t>
            </w:r>
          </w:p>
        </w:tc>
        <w:tc>
          <w:tcPr>
            <w:tcW w:w="7017" w:type="dxa"/>
            <w:vAlign w:val="center"/>
          </w:tcPr>
          <w:p>
            <w:pPr>
              <w:autoSpaceDE w:val="0"/>
              <w:autoSpaceDN w:val="0"/>
              <w:adjustRightInd w:val="0"/>
              <w:spacing w:line="320" w:lineRule="exact"/>
              <w:jc w:val="left"/>
              <w:rPr>
                <w:rFonts w:hAnsi="宋体" w:cs="仿宋_GB2312"/>
                <w:sz w:val="24"/>
                <w:szCs w:val="22"/>
              </w:rPr>
            </w:pPr>
            <w:r>
              <w:rPr>
                <w:rFonts w:hint="eastAsia" w:hAnsi="宋体" w:cs="仿宋_GB2312"/>
                <w:sz w:val="24"/>
                <w:szCs w:val="22"/>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投标人提出问题的截止时间</w:t>
            </w:r>
          </w:p>
        </w:tc>
        <w:tc>
          <w:tcPr>
            <w:tcW w:w="7017" w:type="dxa"/>
            <w:vAlign w:val="center"/>
          </w:tcPr>
          <w:p>
            <w:pPr>
              <w:spacing w:line="320" w:lineRule="exact"/>
              <w:rPr>
                <w:rFonts w:hAnsi="宋体"/>
                <w:sz w:val="24"/>
              </w:rPr>
            </w:pPr>
            <w:r>
              <w:rPr>
                <w:rFonts w:hint="eastAsia" w:hAnsi="宋体"/>
                <w:sz w:val="24"/>
              </w:rPr>
              <w:t>投标截止时间10日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sz w:val="24"/>
              </w:rPr>
            </w:pPr>
            <w:r>
              <w:rPr>
                <w:rFonts w:hint="eastAsia" w:hAnsi="宋体"/>
                <w:sz w:val="24"/>
              </w:rPr>
              <w:t>1.10.3</w:t>
            </w:r>
          </w:p>
        </w:tc>
        <w:tc>
          <w:tcPr>
            <w:tcW w:w="1854" w:type="dxa"/>
            <w:gridSpan w:val="3"/>
            <w:vAlign w:val="center"/>
          </w:tcPr>
          <w:p>
            <w:pPr>
              <w:spacing w:line="340" w:lineRule="exact"/>
              <w:jc w:val="center"/>
              <w:rPr>
                <w:rFonts w:hAnsi="宋体"/>
                <w:sz w:val="24"/>
              </w:rPr>
            </w:pPr>
            <w:r>
              <w:rPr>
                <w:rFonts w:hint="eastAsia" w:hAnsi="宋体"/>
                <w:sz w:val="24"/>
              </w:rPr>
              <w:t>招标人澄清的时间</w:t>
            </w:r>
          </w:p>
        </w:tc>
        <w:tc>
          <w:tcPr>
            <w:tcW w:w="7017" w:type="dxa"/>
            <w:vAlign w:val="center"/>
          </w:tcPr>
          <w:p>
            <w:pPr>
              <w:spacing w:line="340" w:lineRule="exact"/>
              <w:rPr>
                <w:rFonts w:hAnsi="宋体"/>
                <w:sz w:val="24"/>
              </w:rPr>
            </w:pPr>
            <w:r>
              <w:rPr>
                <w:rFonts w:hint="eastAsia" w:hAnsi="宋体"/>
                <w:sz w:val="24"/>
              </w:rPr>
              <w:t>投标截止时间15日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分包</w:t>
            </w:r>
          </w:p>
        </w:tc>
        <w:tc>
          <w:tcPr>
            <w:tcW w:w="7017" w:type="dxa"/>
            <w:vAlign w:val="center"/>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2</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偏离</w:t>
            </w:r>
          </w:p>
        </w:tc>
        <w:tc>
          <w:tcPr>
            <w:tcW w:w="7017" w:type="dxa"/>
            <w:vAlign w:val="center"/>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1854" w:type="dxa"/>
            <w:gridSpan w:val="3"/>
            <w:vAlign w:val="center"/>
          </w:tcPr>
          <w:p>
            <w:pPr>
              <w:autoSpaceDE w:val="0"/>
              <w:autoSpaceDN w:val="0"/>
              <w:adjustRightInd w:val="0"/>
              <w:spacing w:line="340" w:lineRule="exact"/>
              <w:jc w:val="center"/>
              <w:rPr>
                <w:rFonts w:hAnsi="宋体" w:cs="仿宋_GB2312"/>
                <w:sz w:val="24"/>
                <w:szCs w:val="22"/>
              </w:rPr>
            </w:pPr>
            <w:r>
              <w:rPr>
                <w:rFonts w:hint="eastAsia" w:hAnsi="宋体" w:cs="仿宋_GB2312"/>
                <w:sz w:val="24"/>
                <w:szCs w:val="22"/>
              </w:rPr>
              <w:t>招标文件的获取</w:t>
            </w:r>
          </w:p>
        </w:tc>
        <w:tc>
          <w:tcPr>
            <w:tcW w:w="7017" w:type="dxa"/>
          </w:tcPr>
          <w:p>
            <w:pPr>
              <w:autoSpaceDE w:val="0"/>
              <w:autoSpaceDN w:val="0"/>
              <w:adjustRightInd w:val="0"/>
              <w:spacing w:line="340" w:lineRule="exact"/>
              <w:rPr>
                <w:rFonts w:hAnsi="宋体" w:cs="仿宋_GB2312"/>
                <w:sz w:val="24"/>
                <w:szCs w:val="22"/>
              </w:rPr>
            </w:pPr>
            <w:r>
              <w:rPr>
                <w:rFonts w:hint="eastAsia" w:hAnsi="宋体" w:cs="仿宋_GB2312"/>
                <w:sz w:val="24"/>
                <w:szCs w:val="22"/>
              </w:rPr>
              <w:t>招标文件</w:t>
            </w:r>
            <w:r>
              <w:rPr>
                <w:rFonts w:hint="eastAsia" w:hAnsi="宋体" w:cs="仿宋_GB2312"/>
                <w:sz w:val="24"/>
                <w:szCs w:val="22"/>
                <w:lang w:eastAsia="zh-CN"/>
              </w:rPr>
              <w:t>、</w:t>
            </w:r>
            <w:r>
              <w:rPr>
                <w:rFonts w:hint="eastAsia" w:hAnsi="宋体" w:cs="仿宋_GB2312"/>
                <w:sz w:val="24"/>
                <w:szCs w:val="22"/>
                <w:lang w:val="en-US" w:eastAsia="zh-CN"/>
              </w:rPr>
              <w:t>图纸</w:t>
            </w:r>
            <w:r>
              <w:rPr>
                <w:rFonts w:hint="eastAsia" w:hAnsi="宋体" w:cs="仿宋_GB2312"/>
                <w:sz w:val="24"/>
                <w:szCs w:val="22"/>
              </w:rPr>
              <w:t>和工程量清单的获取：投标人于投标文件递交截止时间前均可登录《全国公共资源交易平台(河南省▪许昌市)》（</w:t>
            </w:r>
            <w:r>
              <w:rPr>
                <w:rFonts w:hint="eastAsia" w:hAnsi="宋体" w:cs="宋体"/>
                <w:sz w:val="24"/>
                <w:szCs w:val="24"/>
              </w:rPr>
              <w:t>http://ggzy.xuchang.gov.cn/</w:t>
            </w:r>
            <w:r>
              <w:rPr>
                <w:rFonts w:hint="eastAsia" w:hAnsi="宋体" w:cs="仿宋_GB2312"/>
                <w:sz w:val="24"/>
                <w:szCs w:val="22"/>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2.1.1</w:t>
            </w:r>
          </w:p>
        </w:tc>
        <w:tc>
          <w:tcPr>
            <w:tcW w:w="1854" w:type="dxa"/>
            <w:gridSpan w:val="3"/>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构成招标文件的其他材料</w:t>
            </w:r>
          </w:p>
        </w:tc>
        <w:tc>
          <w:tcPr>
            <w:tcW w:w="7017" w:type="dxa"/>
            <w:vAlign w:val="center"/>
          </w:tcPr>
          <w:p>
            <w:pPr>
              <w:autoSpaceDE w:val="0"/>
              <w:autoSpaceDN w:val="0"/>
              <w:adjustRightInd w:val="0"/>
              <w:spacing w:line="340" w:lineRule="exact"/>
              <w:rPr>
                <w:rFonts w:hAnsi="宋体" w:cs="仿宋_GB2312"/>
                <w:sz w:val="24"/>
              </w:rPr>
            </w:pPr>
            <w:r>
              <w:rPr>
                <w:rFonts w:hint="eastAsia" w:hAnsi="宋体" w:cs="仿宋_GB2312"/>
                <w:sz w:val="24"/>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投标人要求澄清招标文件的截止时间</w:t>
            </w:r>
          </w:p>
        </w:tc>
        <w:tc>
          <w:tcPr>
            <w:tcW w:w="7017" w:type="dxa"/>
            <w:vAlign w:val="center"/>
          </w:tcPr>
          <w:p>
            <w:pPr>
              <w:autoSpaceDE w:val="0"/>
              <w:autoSpaceDN w:val="0"/>
              <w:adjustRightInd w:val="0"/>
              <w:spacing w:line="340" w:lineRule="exact"/>
              <w:rPr>
                <w:rFonts w:hAnsi="宋体" w:cs="黑体"/>
                <w:sz w:val="24"/>
              </w:rPr>
            </w:pPr>
            <w:r>
              <w:rPr>
                <w:rFonts w:hint="eastAsia" w:hAnsi="宋体"/>
                <w:bCs/>
                <w:color w:val="000000" w:themeColor="text1"/>
                <w:sz w:val="24"/>
                <w14:textFill>
                  <w14:solidFill>
                    <w14:schemeClr w14:val="tx1"/>
                  </w14:solidFill>
                </w14:textFill>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2.2.2</w:t>
            </w:r>
          </w:p>
        </w:tc>
        <w:tc>
          <w:tcPr>
            <w:tcW w:w="1854" w:type="dxa"/>
            <w:gridSpan w:val="3"/>
            <w:vAlign w:val="center"/>
          </w:tcPr>
          <w:p>
            <w:pPr>
              <w:autoSpaceDE w:val="0"/>
              <w:autoSpaceDN w:val="0"/>
              <w:adjustRightInd w:val="0"/>
              <w:spacing w:line="340" w:lineRule="exact"/>
              <w:jc w:val="center"/>
              <w:rPr>
                <w:rFonts w:hAnsi="宋体"/>
                <w:bCs/>
                <w:color w:val="000000" w:themeColor="text1"/>
                <w:sz w:val="24"/>
                <w:szCs w:val="22"/>
                <w14:textFill>
                  <w14:solidFill>
                    <w14:schemeClr w14:val="tx1"/>
                  </w14:solidFill>
                </w14:textFill>
              </w:rPr>
            </w:pPr>
            <w:r>
              <w:rPr>
                <w:rFonts w:hint="eastAsia" w:hAnsi="宋体"/>
                <w:bCs/>
                <w:color w:val="000000" w:themeColor="text1"/>
                <w:sz w:val="24"/>
                <w:szCs w:val="22"/>
                <w14:textFill>
                  <w14:solidFill>
                    <w14:schemeClr w14:val="tx1"/>
                  </w14:solidFill>
                </w14:textFill>
              </w:rPr>
              <w:t>投标截止时间</w:t>
            </w:r>
          </w:p>
        </w:tc>
        <w:tc>
          <w:tcPr>
            <w:tcW w:w="7017" w:type="dxa"/>
            <w:vAlign w:val="center"/>
          </w:tcPr>
          <w:p>
            <w:pPr>
              <w:autoSpaceDE w:val="0"/>
              <w:autoSpaceDN w:val="0"/>
              <w:adjustRightInd w:val="0"/>
              <w:spacing w:line="340" w:lineRule="exact"/>
              <w:rPr>
                <w:rFonts w:hAnsi="宋体"/>
                <w:bCs/>
                <w:color w:val="000000" w:themeColor="text1"/>
                <w:sz w:val="24"/>
                <w:szCs w:val="22"/>
                <w14:textFill>
                  <w14:solidFill>
                    <w14:schemeClr w14:val="tx1"/>
                  </w14:solidFill>
                </w14:textFill>
              </w:rPr>
            </w:pPr>
            <w:r>
              <w:rPr>
                <w:rFonts w:hint="eastAsia" w:hAnsi="宋体"/>
                <w:bCs/>
                <w:sz w:val="24"/>
                <w:szCs w:val="22"/>
              </w:rPr>
              <w:t>2019年7月</w:t>
            </w:r>
            <w:r>
              <w:rPr>
                <w:rFonts w:hint="eastAsia" w:hAnsi="宋体"/>
                <w:bCs/>
                <w:sz w:val="24"/>
                <w:szCs w:val="22"/>
                <w:lang w:val="en-US" w:eastAsia="zh-CN"/>
              </w:rPr>
              <w:t>4</w:t>
            </w:r>
            <w:r>
              <w:rPr>
                <w:rFonts w:hint="eastAsia" w:hAnsi="宋体"/>
                <w:bCs/>
                <w:sz w:val="24"/>
                <w:szCs w:val="22"/>
              </w:rPr>
              <w:t>日09时30分（北京时间）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2.2.3</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投标人确认收到招标文件澄清的时间</w:t>
            </w:r>
          </w:p>
        </w:tc>
        <w:tc>
          <w:tcPr>
            <w:tcW w:w="7017" w:type="dxa"/>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投标人确认收到招标文件修改的时间</w:t>
            </w:r>
          </w:p>
        </w:tc>
        <w:tc>
          <w:tcPr>
            <w:tcW w:w="7017" w:type="dxa"/>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3.1.1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构成投标文件的其他材料</w:t>
            </w:r>
          </w:p>
        </w:tc>
        <w:tc>
          <w:tcPr>
            <w:tcW w:w="7017" w:type="dxa"/>
          </w:tcPr>
          <w:p>
            <w:pPr>
              <w:autoSpaceDE w:val="0"/>
              <w:autoSpaceDN w:val="0"/>
              <w:adjustRightInd w:val="0"/>
              <w:spacing w:line="340" w:lineRule="exact"/>
              <w:jc w:val="left"/>
              <w:rPr>
                <w:rFonts w:hAnsi="宋体" w:cs="黑体"/>
                <w:sz w:val="24"/>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投标有效期</w:t>
            </w:r>
          </w:p>
        </w:tc>
        <w:tc>
          <w:tcPr>
            <w:tcW w:w="7017" w:type="dxa"/>
          </w:tcPr>
          <w:p>
            <w:pPr>
              <w:autoSpaceDE w:val="0"/>
              <w:autoSpaceDN w:val="0"/>
              <w:adjustRightInd w:val="0"/>
              <w:spacing w:line="340" w:lineRule="exact"/>
              <w:jc w:val="left"/>
              <w:rPr>
                <w:rFonts w:hAnsi="宋体" w:cs="黑体"/>
                <w:sz w:val="24"/>
              </w:rPr>
            </w:pPr>
            <w:r>
              <w:rPr>
                <w:rFonts w:hint="eastAsia" w:hAnsi="宋体" w:cs="仿宋_GB2312"/>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rPr>
                <w:rFonts w:hAnsi="宋体" w:cs="黑体"/>
                <w:sz w:val="24"/>
              </w:rPr>
            </w:pPr>
            <w:bookmarkStart w:id="2" w:name="OLE_LINK4" w:colFirst="0" w:colLast="2"/>
            <w:bookmarkStart w:id="3" w:name="OLE_LINK3" w:colFirst="0" w:colLast="2"/>
            <w:bookmarkStart w:id="4" w:name="_Hlk424659721"/>
            <w:r>
              <w:rPr>
                <w:rFonts w:hAnsi="宋体" w:cs="TimesNewRomanPSMT"/>
                <w:sz w:val="24"/>
              </w:rPr>
              <w:t>3.4.1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投标保证金</w:t>
            </w:r>
          </w:p>
        </w:tc>
        <w:tc>
          <w:tcPr>
            <w:tcW w:w="7017" w:type="dxa"/>
            <w:vAlign w:val="center"/>
          </w:tcPr>
          <w:p>
            <w:pPr>
              <w:spacing w:line="360" w:lineRule="auto"/>
              <w:rPr>
                <w:rFonts w:hAnsi="宋体" w:cs="宋体"/>
                <w:sz w:val="24"/>
                <w:szCs w:val="24"/>
              </w:rPr>
            </w:pPr>
            <w:r>
              <w:rPr>
                <w:rFonts w:hint="eastAsia" w:hAnsi="宋体" w:cs="宋体"/>
                <w:sz w:val="24"/>
                <w:szCs w:val="24"/>
              </w:rPr>
              <w:t>见附表一</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3.5.2</w:t>
            </w:r>
          </w:p>
        </w:tc>
        <w:tc>
          <w:tcPr>
            <w:tcW w:w="1854" w:type="dxa"/>
            <w:gridSpan w:val="3"/>
            <w:vAlign w:val="center"/>
          </w:tcPr>
          <w:p>
            <w:pPr>
              <w:jc w:val="center"/>
              <w:rPr>
                <w:sz w:val="24"/>
              </w:rPr>
            </w:pPr>
            <w:r>
              <w:rPr>
                <w:rFonts w:hint="eastAsia"/>
                <w:sz w:val="24"/>
              </w:rPr>
              <w:t>近年财务状况要求</w:t>
            </w:r>
          </w:p>
        </w:tc>
        <w:tc>
          <w:tcPr>
            <w:tcW w:w="7017" w:type="dxa"/>
            <w:vAlign w:val="center"/>
          </w:tcPr>
          <w:p>
            <w:pPr>
              <w:autoSpaceDE w:val="0"/>
              <w:autoSpaceDN w:val="0"/>
              <w:adjustRightInd w:val="0"/>
              <w:spacing w:line="420" w:lineRule="exact"/>
              <w:jc w:val="left"/>
              <w:rPr>
                <w:rFonts w:hAnsi="宋体" w:cs="仿宋_GB2312"/>
                <w:b/>
                <w:szCs w:val="21"/>
              </w:rPr>
            </w:pPr>
            <w:r>
              <w:rPr>
                <w:rFonts w:hint="eastAsia" w:hAnsi="宋体" w:cs="仿宋_GB2312"/>
                <w:sz w:val="24"/>
              </w:rPr>
              <w:t>近年，指2016、2017、2018年。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3.5.3</w:t>
            </w:r>
          </w:p>
        </w:tc>
        <w:tc>
          <w:tcPr>
            <w:tcW w:w="1854"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近年完成的</w:t>
            </w:r>
          </w:p>
          <w:p>
            <w:pPr>
              <w:autoSpaceDE w:val="0"/>
              <w:autoSpaceDN w:val="0"/>
              <w:adjustRightInd w:val="0"/>
              <w:jc w:val="center"/>
              <w:rPr>
                <w:rFonts w:hAnsi="宋体" w:cs="仿宋_GB2312"/>
                <w:sz w:val="24"/>
              </w:rPr>
            </w:pPr>
            <w:r>
              <w:rPr>
                <w:rFonts w:hint="eastAsia" w:hAnsi="宋体" w:cs="仿宋_GB2312"/>
                <w:sz w:val="24"/>
              </w:rPr>
              <w:t>类似项目</w:t>
            </w:r>
          </w:p>
        </w:tc>
        <w:tc>
          <w:tcPr>
            <w:tcW w:w="7017" w:type="dxa"/>
            <w:vAlign w:val="center"/>
          </w:tcPr>
          <w:p>
            <w:pPr>
              <w:autoSpaceDE w:val="0"/>
              <w:autoSpaceDN w:val="0"/>
              <w:adjustRightInd w:val="0"/>
              <w:rPr>
                <w:rFonts w:hAnsi="宋体" w:cs="TimesNewRomanPSMT"/>
                <w:sz w:val="24"/>
              </w:rPr>
            </w:pPr>
            <w:r>
              <w:rPr>
                <w:rFonts w:hint="eastAsia" w:hAnsi="宋体" w:cs="TimesNewRomanPSMT"/>
                <w:sz w:val="24"/>
              </w:rPr>
              <w:t>近年，指2016年1月1日至今。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jc w:val="center"/>
              <w:rPr>
                <w:rFonts w:hAnsi="宋体" w:cs="仿宋_GB2312"/>
                <w:sz w:val="24"/>
              </w:rPr>
            </w:pPr>
            <w:r>
              <w:rPr>
                <w:rFonts w:hint="eastAsia" w:hAnsi="宋体" w:cs="仿宋_GB2312"/>
                <w:sz w:val="24"/>
              </w:rPr>
              <w:t>3.5.4</w:t>
            </w:r>
          </w:p>
        </w:tc>
        <w:tc>
          <w:tcPr>
            <w:tcW w:w="1854"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近年发生的诉讼及仲裁情况的年份要求</w:t>
            </w:r>
          </w:p>
        </w:tc>
        <w:tc>
          <w:tcPr>
            <w:tcW w:w="7017" w:type="dxa"/>
            <w:vAlign w:val="center"/>
          </w:tcPr>
          <w:p>
            <w:pPr>
              <w:autoSpaceDE w:val="0"/>
              <w:autoSpaceDN w:val="0"/>
              <w:adjustRightInd w:val="0"/>
              <w:rPr>
                <w:rFonts w:hAnsi="宋体" w:cs="仿宋_GB2312"/>
                <w:sz w:val="24"/>
              </w:rPr>
            </w:pPr>
            <w:r>
              <w:rPr>
                <w:rFonts w:hint="eastAsia" w:hAnsi="宋体" w:cs="TimesNewRomanPSMT"/>
                <w:sz w:val="24"/>
              </w:rPr>
              <w:t>2016年1月1日至今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3.6</w:t>
            </w:r>
          </w:p>
        </w:tc>
        <w:tc>
          <w:tcPr>
            <w:tcW w:w="1854" w:type="dxa"/>
            <w:gridSpan w:val="3"/>
            <w:vAlign w:val="center"/>
          </w:tcPr>
          <w:p>
            <w:pPr>
              <w:autoSpaceDE w:val="0"/>
              <w:autoSpaceDN w:val="0"/>
              <w:adjustRightInd w:val="0"/>
              <w:jc w:val="center"/>
              <w:rPr>
                <w:rFonts w:hAnsi="宋体" w:cs="黑体"/>
                <w:sz w:val="24"/>
              </w:rPr>
            </w:pPr>
            <w:r>
              <w:rPr>
                <w:rFonts w:hint="eastAsia" w:hAnsi="宋体" w:cs="仿宋_GB2312"/>
                <w:sz w:val="24"/>
              </w:rPr>
              <w:t>是否允许递交备选投标方案</w:t>
            </w:r>
          </w:p>
        </w:tc>
        <w:tc>
          <w:tcPr>
            <w:tcW w:w="7017" w:type="dxa"/>
            <w:vAlign w:val="center"/>
          </w:tcPr>
          <w:p>
            <w:pPr>
              <w:autoSpaceDE w:val="0"/>
              <w:autoSpaceDN w:val="0"/>
              <w:adjustRightInd w:val="0"/>
              <w:rPr>
                <w:rFonts w:hAnsi="宋体" w:cs="仿宋_GB2312"/>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3.7.3</w:t>
            </w:r>
          </w:p>
        </w:tc>
        <w:tc>
          <w:tcPr>
            <w:tcW w:w="1854" w:type="dxa"/>
            <w:gridSpan w:val="3"/>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签字或盖章</w:t>
            </w:r>
          </w:p>
          <w:p>
            <w:pPr>
              <w:autoSpaceDE w:val="0"/>
              <w:autoSpaceDN w:val="0"/>
              <w:adjustRightInd w:val="0"/>
              <w:spacing w:line="420" w:lineRule="exact"/>
              <w:jc w:val="center"/>
              <w:rPr>
                <w:rFonts w:hAnsi="宋体" w:cs="黑体"/>
                <w:sz w:val="24"/>
              </w:rPr>
            </w:pPr>
            <w:r>
              <w:rPr>
                <w:rFonts w:hint="eastAsia" w:hAnsi="宋体" w:cs="仿宋_GB2312"/>
                <w:sz w:val="24"/>
              </w:rPr>
              <w:t>要求</w:t>
            </w:r>
          </w:p>
        </w:tc>
        <w:tc>
          <w:tcPr>
            <w:tcW w:w="7017" w:type="dxa"/>
            <w:vAlign w:val="center"/>
          </w:tcPr>
          <w:p>
            <w:pPr>
              <w:autoSpaceDE w:val="0"/>
              <w:autoSpaceDN w:val="0"/>
              <w:adjustRightInd w:val="0"/>
              <w:rPr>
                <w:rFonts w:hAnsi="宋体" w:cs="TimesNewRomanPSMT"/>
                <w:sz w:val="24"/>
              </w:rPr>
            </w:pPr>
            <w:r>
              <w:rPr>
                <w:rFonts w:hint="eastAsia" w:hAnsi="宋体" w:cs="TimesNewRomanPSMT"/>
                <w:sz w:val="24"/>
              </w:rPr>
              <w:t>纸质投标文件：正本按招标文件要求签字盖章（无需逐页签字盖章），副本应与正本保持一致（可为正本的复印件）。正本与副本不一致的，以正本为准。</w:t>
            </w:r>
          </w:p>
          <w:p>
            <w:pPr>
              <w:autoSpaceDE w:val="0"/>
              <w:autoSpaceDN w:val="0"/>
              <w:adjustRightInd w:val="0"/>
              <w:rPr>
                <w:rFonts w:hAnsi="宋体" w:cs="仿宋_GB2312"/>
                <w:sz w:val="24"/>
              </w:rPr>
            </w:pPr>
            <w:r>
              <w:rPr>
                <w:rFonts w:hint="eastAsia" w:hAnsi="宋体" w:cs="TimesNewRomanPSMT"/>
                <w:b/>
                <w:bCs/>
                <w:sz w:val="24"/>
              </w:rPr>
              <w:t>电子投标文件：按招标文件要求加盖</w:t>
            </w:r>
            <w:r>
              <w:rPr>
                <w:rFonts w:hint="eastAsia" w:hAnsi="宋体" w:cs="TimesNewRomanPSMT"/>
                <w:b/>
                <w:bCs/>
                <w:sz w:val="24"/>
                <w:lang w:val="zh-CN"/>
              </w:rPr>
              <w:t>电子印章和法人电子印章</w:t>
            </w:r>
            <w:r>
              <w:rPr>
                <w:rFonts w:hint="eastAsia" w:hAnsi="宋体" w:cs="TimesNewRomanPSMT"/>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3.7.4</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投标文件份数</w:t>
            </w:r>
          </w:p>
        </w:tc>
        <w:tc>
          <w:tcPr>
            <w:tcW w:w="7017" w:type="dxa"/>
            <w:vAlign w:val="center"/>
          </w:tcPr>
          <w:p>
            <w:pPr>
              <w:autoSpaceDE w:val="0"/>
              <w:autoSpaceDN w:val="0"/>
              <w:adjustRightInd w:val="0"/>
              <w:spacing w:line="420" w:lineRule="exact"/>
              <w:rPr>
                <w:rFonts w:ascii="新宋体" w:hAnsi="新宋体" w:eastAsia="新宋体"/>
                <w:sz w:val="24"/>
                <w:szCs w:val="22"/>
                <w:lang w:val="zh-CN"/>
              </w:rPr>
            </w:pPr>
            <w:r>
              <w:rPr>
                <w:rFonts w:hint="eastAsia" w:ascii="新宋体" w:hAnsi="新宋体" w:eastAsia="新宋体"/>
                <w:sz w:val="24"/>
                <w:szCs w:val="22"/>
                <w:lang w:val="zh-CN"/>
              </w:rPr>
              <w:t>1、电子投标文件</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（1）成功上传至【全国公共资源交易平台（河南省·许昌市）】公共资源交易系统电子投标文件1份（文件格式为：XX公司XXX项目编号.file）。</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（2）使用电子介质存储的投标文件1份文件格式为：xxx公司XXX（项目编号）.bin）。</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2、纸质投标文件</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商务标：正本1份，副本</w:t>
            </w:r>
            <w:r>
              <w:rPr>
                <w:rFonts w:hint="eastAsia" w:ascii="新宋体" w:hAnsi="新宋体" w:eastAsia="新宋体"/>
                <w:sz w:val="24"/>
                <w:szCs w:val="22"/>
              </w:rPr>
              <w:t>1</w:t>
            </w:r>
            <w:r>
              <w:rPr>
                <w:rFonts w:hint="eastAsia" w:ascii="新宋体" w:hAnsi="新宋体" w:eastAsia="新宋体"/>
                <w:sz w:val="24"/>
                <w:szCs w:val="22"/>
                <w:lang w:val="zh-CN"/>
              </w:rPr>
              <w:t>份；</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综合（信用）标：正本1份，副本</w:t>
            </w:r>
            <w:r>
              <w:rPr>
                <w:rFonts w:hint="eastAsia" w:ascii="新宋体" w:hAnsi="新宋体" w:eastAsia="新宋体"/>
                <w:sz w:val="24"/>
                <w:szCs w:val="22"/>
              </w:rPr>
              <w:t>1</w:t>
            </w:r>
            <w:r>
              <w:rPr>
                <w:rFonts w:hint="eastAsia" w:ascii="新宋体" w:hAnsi="新宋体" w:eastAsia="新宋体"/>
                <w:sz w:val="24"/>
                <w:szCs w:val="22"/>
                <w:lang w:val="zh-CN"/>
              </w:rPr>
              <w:t xml:space="preserve">份； </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技术标：正本1份，副本</w:t>
            </w:r>
            <w:r>
              <w:rPr>
                <w:rFonts w:hint="eastAsia" w:ascii="新宋体" w:hAnsi="新宋体" w:eastAsia="新宋体"/>
                <w:sz w:val="24"/>
                <w:szCs w:val="22"/>
              </w:rPr>
              <w:t>1</w:t>
            </w:r>
            <w:r>
              <w:rPr>
                <w:rFonts w:hint="eastAsia" w:ascii="新宋体" w:hAnsi="新宋体" w:eastAsia="新宋体"/>
                <w:sz w:val="24"/>
                <w:szCs w:val="22"/>
                <w:lang w:val="zh-CN"/>
              </w:rPr>
              <w:t>份。</w:t>
            </w:r>
          </w:p>
          <w:p>
            <w:pPr>
              <w:autoSpaceDE w:val="0"/>
              <w:autoSpaceDN w:val="0"/>
              <w:adjustRightInd w:val="0"/>
              <w:spacing w:line="400" w:lineRule="exact"/>
              <w:rPr>
                <w:rFonts w:ascii="新宋体" w:hAnsi="新宋体" w:eastAsia="新宋体"/>
                <w:sz w:val="24"/>
                <w:szCs w:val="22"/>
              </w:rPr>
            </w:pPr>
            <w:r>
              <w:rPr>
                <w:rFonts w:hint="eastAsia" w:ascii="新宋体" w:hAnsi="新宋体" w:eastAsia="新宋体"/>
                <w:sz w:val="24"/>
                <w:szCs w:val="22"/>
                <w:lang w:val="zh-CN"/>
              </w:rPr>
              <w:t>3、电子投标文件和纸质投标文件的内容、格式、水印码、电子签章应一致。</w:t>
            </w:r>
          </w:p>
          <w:p>
            <w:pPr>
              <w:spacing w:line="460" w:lineRule="exact"/>
              <w:rPr>
                <w:rFonts w:hAnsi="宋体" w:cs="仿宋_GB2312"/>
                <w:sz w:val="24"/>
              </w:rPr>
            </w:pPr>
            <w:r>
              <w:rPr>
                <w:rFonts w:hint="eastAsia" w:ascii="等线" w:hAnsi="等线" w:eastAsia="等线"/>
                <w:b/>
                <w:sz w:val="24"/>
                <w:szCs w:val="24"/>
              </w:rPr>
              <w:t>注:</w:t>
            </w:r>
            <w:r>
              <w:rPr>
                <w:rFonts w:hint="eastAsia" w:hAnsi="宋体"/>
                <w:b/>
                <w:sz w:val="24"/>
                <w:szCs w:val="24"/>
              </w:rPr>
              <w:t>投标人提交的电子投标文件，必须是通过</w:t>
            </w:r>
            <w:r>
              <w:rPr>
                <w:rFonts w:hint="eastAsia" w:ascii="等线" w:hAnsi="等线" w:eastAsia="等线"/>
                <w:b/>
                <w:sz w:val="24"/>
                <w:szCs w:val="24"/>
              </w:rPr>
              <w:t>“</w:t>
            </w:r>
            <w:r>
              <w:rPr>
                <w:rFonts w:hint="eastAsia" w:hAnsi="宋体"/>
                <w:b/>
                <w:color w:val="000000"/>
                <w:sz w:val="24"/>
                <w:szCs w:val="24"/>
              </w:rPr>
              <w:t>许昌投标文件制作系统SEARUNV1.1</w:t>
            </w:r>
            <w:r>
              <w:rPr>
                <w:rFonts w:hint="eastAsia" w:ascii="等线" w:hAnsi="等线" w:eastAsia="等线"/>
                <w:b/>
                <w:color w:val="000000"/>
                <w:sz w:val="24"/>
                <w:szCs w:val="24"/>
              </w:rPr>
              <w:t>”</w:t>
            </w:r>
            <w:r>
              <w:rPr>
                <w:rFonts w:hint="eastAsia" w:hAnsi="宋体"/>
                <w:b/>
                <w:sz w:val="24"/>
                <w:szCs w:val="24"/>
              </w:rPr>
              <w:t>制作，</w:t>
            </w:r>
            <w:r>
              <w:rPr>
                <w:rFonts w:hint="eastAsia" w:ascii="等线" w:hAnsi="等线" w:eastAsia="等线"/>
                <w:b/>
                <w:sz w:val="24"/>
                <w:szCs w:val="24"/>
              </w:rPr>
              <w:t>并</w:t>
            </w:r>
            <w:r>
              <w:rPr>
                <w:rFonts w:hint="eastAsia" w:hAnsi="宋体"/>
                <w:b/>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3.7.5</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装订要求</w:t>
            </w:r>
          </w:p>
        </w:tc>
        <w:tc>
          <w:tcPr>
            <w:tcW w:w="7017" w:type="dxa"/>
            <w:vAlign w:val="center"/>
          </w:tcPr>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按照投标人须知第3.1项规定的投标文件组成内容，投标文件应按以下要求装订：</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共分</w:t>
            </w:r>
            <w:r>
              <w:rPr>
                <w:rFonts w:hint="eastAsia" w:ascii="新宋体" w:hAnsi="新宋体" w:eastAsia="新宋体"/>
                <w:sz w:val="24"/>
                <w:u w:val="single"/>
              </w:rPr>
              <w:t xml:space="preserve"> 三 </w:t>
            </w:r>
            <w:r>
              <w:rPr>
                <w:rFonts w:hint="eastAsia" w:ascii="新宋体" w:hAnsi="新宋体" w:eastAsia="新宋体"/>
                <w:sz w:val="24"/>
              </w:rPr>
              <w:t>种标书，分别为：商务标、技术标和综合（信用）标。</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三种标书均采用</w:t>
            </w:r>
            <w:r>
              <w:rPr>
                <w:rFonts w:hint="eastAsia" w:ascii="新宋体" w:hAnsi="新宋体" w:eastAsia="新宋体"/>
                <w:sz w:val="24"/>
                <w:u w:val="single"/>
              </w:rPr>
              <w:t xml:space="preserve"> 胶装 </w:t>
            </w:r>
            <w:r>
              <w:rPr>
                <w:rFonts w:hint="eastAsia" w:ascii="新宋体" w:hAnsi="新宋体" w:eastAsia="新宋体"/>
                <w:sz w:val="24"/>
              </w:rPr>
              <w:t>方式装订，装订应牢固、不易拆散和换页，不得采用活页装订。</w:t>
            </w:r>
          </w:p>
          <w:p>
            <w:pPr>
              <w:autoSpaceDE w:val="0"/>
              <w:autoSpaceDN w:val="0"/>
              <w:adjustRightInd w:val="0"/>
              <w:spacing w:line="420" w:lineRule="exact"/>
              <w:rPr>
                <w:rFonts w:ascii="新宋体" w:hAnsi="新宋体" w:eastAsia="新宋体"/>
                <w:sz w:val="24"/>
              </w:rPr>
            </w:pPr>
            <w:r>
              <w:rPr>
                <w:rFonts w:hint="eastAsia" w:hAnsi="宋体" w:cs="宋体"/>
                <w:sz w:val="24"/>
              </w:rPr>
              <w:t>使用电子介质存储的投标文件单独密封、盖章，并随纸质投标文件一并提交。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6"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4.1.2</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封套上写明</w:t>
            </w:r>
          </w:p>
        </w:tc>
        <w:tc>
          <w:tcPr>
            <w:tcW w:w="7017" w:type="dxa"/>
          </w:tcPr>
          <w:p>
            <w:pPr>
              <w:autoSpaceDE w:val="0"/>
              <w:autoSpaceDN w:val="0"/>
              <w:adjustRightInd w:val="0"/>
              <w:spacing w:line="420" w:lineRule="exact"/>
              <w:jc w:val="left"/>
              <w:rPr>
                <w:rFonts w:hAnsi="宋体"/>
                <w:sz w:val="24"/>
              </w:rPr>
            </w:pPr>
            <w:r>
              <w:rPr>
                <w:rFonts w:hint="eastAsia" w:hAnsi="宋体" w:cs="仿宋_GB2312"/>
                <w:sz w:val="24"/>
              </w:rPr>
              <w:t>招标人</w:t>
            </w:r>
            <w:r>
              <w:rPr>
                <w:rFonts w:hint="eastAsia"/>
                <w:sz w:val="24"/>
              </w:rPr>
              <w:t>地址：</w:t>
            </w:r>
          </w:p>
          <w:p>
            <w:pPr>
              <w:rPr>
                <w:rFonts w:ascii="楷体_GB2312" w:hAnsi="楷体_GB2312" w:eastAsia="楷体_GB2312" w:cs="楷体_GB2312"/>
                <w:sz w:val="28"/>
                <w:szCs w:val="28"/>
              </w:rPr>
            </w:pPr>
            <w:r>
              <w:rPr>
                <w:rFonts w:hint="eastAsia"/>
                <w:sz w:val="24"/>
              </w:rPr>
              <w:t>招标人名称：</w:t>
            </w:r>
          </w:p>
          <w:p>
            <w:pPr>
              <w:autoSpaceDE w:val="0"/>
              <w:autoSpaceDN w:val="0"/>
              <w:adjustRightInd w:val="0"/>
              <w:spacing w:line="420" w:lineRule="exact"/>
              <w:jc w:val="left"/>
              <w:rPr>
                <w:rFonts w:hAnsi="宋体"/>
                <w:sz w:val="24"/>
              </w:rPr>
            </w:pPr>
            <w:r>
              <w:rPr>
                <w:rFonts w:hint="eastAsia"/>
                <w:sz w:val="24"/>
              </w:rPr>
              <w:t>项目名称：</w:t>
            </w:r>
          </w:p>
          <w:p>
            <w:pPr>
              <w:spacing w:line="288" w:lineRule="auto"/>
              <w:ind w:left="1200" w:hanging="1200" w:hangingChars="500"/>
              <w:rPr>
                <w:rFonts w:hAnsi="宋体" w:cs="仿宋_GB2312"/>
                <w:sz w:val="24"/>
              </w:rPr>
            </w:pPr>
            <w:r>
              <w:rPr>
                <w:rFonts w:hint="eastAsia" w:hAnsi="宋体" w:cs="仿宋_GB2312"/>
                <w:sz w:val="24"/>
              </w:rPr>
              <w:t>投标人名称：（盖章）</w:t>
            </w:r>
          </w:p>
          <w:p>
            <w:pPr>
              <w:autoSpaceDE w:val="0"/>
              <w:autoSpaceDN w:val="0"/>
              <w:adjustRightInd w:val="0"/>
              <w:spacing w:line="420" w:lineRule="exact"/>
              <w:jc w:val="left"/>
              <w:rPr>
                <w:rFonts w:hAnsi="宋体" w:cs="黑体"/>
                <w:sz w:val="24"/>
              </w:rPr>
            </w:pPr>
            <w:r>
              <w:rPr>
                <w:rFonts w:hint="eastAsia"/>
                <w:sz w:val="24"/>
              </w:rPr>
              <w:t>投标文件</w:t>
            </w:r>
            <w:r>
              <w:rPr>
                <w:rFonts w:hint="eastAsia" w:hAnsi="宋体" w:cs="仿宋_GB2312"/>
                <w:sz w:val="24"/>
              </w:rPr>
              <w:t>在2019年7月</w:t>
            </w:r>
            <w:r>
              <w:rPr>
                <w:rFonts w:hint="eastAsia" w:hAnsi="宋体" w:cs="仿宋_GB2312"/>
                <w:sz w:val="24"/>
                <w:lang w:val="en-US" w:eastAsia="zh-CN"/>
              </w:rPr>
              <w:t>4</w:t>
            </w:r>
            <w:r>
              <w:rPr>
                <w:rFonts w:hint="eastAsia" w:hAnsi="宋体" w:cs="仿宋_GB2312"/>
                <w:sz w:val="24"/>
              </w:rPr>
              <w:t>日09时30分前不得开启。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4.2.2</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递交投标文件地点</w:t>
            </w:r>
          </w:p>
        </w:tc>
        <w:tc>
          <w:tcPr>
            <w:tcW w:w="7017" w:type="dxa"/>
            <w:vAlign w:val="center"/>
          </w:tcPr>
          <w:p>
            <w:pPr>
              <w:numPr>
                <w:ilvl w:val="0"/>
                <w:numId w:val="3"/>
              </w:numPr>
              <w:tabs>
                <w:tab w:val="left" w:pos="0"/>
                <w:tab w:val="clear" w:pos="360"/>
              </w:tabs>
              <w:spacing w:line="288" w:lineRule="auto"/>
              <w:ind w:left="0" w:hanging="648"/>
              <w:rPr>
                <w:sz w:val="24"/>
                <w:u w:val="single"/>
              </w:rPr>
            </w:pPr>
            <w:r>
              <w:rPr>
                <w:rFonts w:hint="eastAsia" w:hAnsi="宋体" w:cs="宋体"/>
                <w:sz w:val="24"/>
                <w:szCs w:val="22"/>
              </w:rPr>
              <w:t>许昌市建安区新元大道兴业大厦4楼开标一室。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4.2.3</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是否退还投标文件</w:t>
            </w:r>
          </w:p>
        </w:tc>
        <w:tc>
          <w:tcPr>
            <w:tcW w:w="7017" w:type="dxa"/>
            <w:vAlign w:val="center"/>
          </w:tcPr>
          <w:p>
            <w:pPr>
              <w:autoSpaceDE w:val="0"/>
              <w:autoSpaceDN w:val="0"/>
              <w:adjustRightInd w:val="0"/>
              <w:spacing w:line="420" w:lineRule="exact"/>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5.1</w:t>
            </w:r>
          </w:p>
        </w:tc>
        <w:tc>
          <w:tcPr>
            <w:tcW w:w="1854" w:type="dxa"/>
            <w:gridSpan w:val="3"/>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开标</w:t>
            </w:r>
          </w:p>
          <w:p>
            <w:pPr>
              <w:autoSpaceDE w:val="0"/>
              <w:autoSpaceDN w:val="0"/>
              <w:adjustRightInd w:val="0"/>
              <w:spacing w:line="420" w:lineRule="exact"/>
              <w:jc w:val="center"/>
              <w:rPr>
                <w:rFonts w:hAnsi="宋体" w:cs="黑体"/>
                <w:sz w:val="24"/>
              </w:rPr>
            </w:pPr>
            <w:r>
              <w:rPr>
                <w:rFonts w:hint="eastAsia" w:hAnsi="宋体" w:cs="仿宋_GB2312"/>
                <w:sz w:val="24"/>
              </w:rPr>
              <w:t>时间和地点</w:t>
            </w:r>
          </w:p>
        </w:tc>
        <w:tc>
          <w:tcPr>
            <w:tcW w:w="7017" w:type="dxa"/>
          </w:tcPr>
          <w:p>
            <w:pPr>
              <w:autoSpaceDE w:val="0"/>
              <w:autoSpaceDN w:val="0"/>
              <w:adjustRightInd w:val="0"/>
              <w:spacing w:line="420" w:lineRule="exact"/>
              <w:jc w:val="left"/>
              <w:rPr>
                <w:rFonts w:hAnsi="宋体" w:cs="仿宋_GB2312"/>
                <w:sz w:val="24"/>
              </w:rPr>
            </w:pPr>
            <w:r>
              <w:rPr>
                <w:rFonts w:hint="eastAsia" w:hAnsi="宋体" w:cs="仿宋_GB2312"/>
                <w:sz w:val="24"/>
              </w:rPr>
              <w:t>开标时间：同投标截止时间</w:t>
            </w:r>
          </w:p>
          <w:p>
            <w:pPr>
              <w:autoSpaceDE w:val="0"/>
              <w:autoSpaceDN w:val="0"/>
              <w:adjustRightInd w:val="0"/>
              <w:spacing w:line="420" w:lineRule="exact"/>
              <w:jc w:val="left"/>
              <w:rPr>
                <w:rFonts w:hAnsi="宋体" w:cs="黑体"/>
                <w:sz w:val="24"/>
              </w:rPr>
            </w:pPr>
            <w:r>
              <w:rPr>
                <w:rFonts w:hint="eastAsia" w:hAnsi="宋体" w:cs="仿宋_GB2312"/>
                <w:sz w:val="24"/>
              </w:rPr>
              <w:t>开标地点：</w:t>
            </w:r>
            <w:r>
              <w:rPr>
                <w:rFonts w:hint="eastAsia" w:hAnsi="宋体" w:cs="仿宋_GB2312"/>
                <w:sz w:val="24"/>
                <w:szCs w:val="22"/>
              </w:rPr>
              <w:t>许昌市建安区新元大道兴业大厦4楼开标一室。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开标程序</w:t>
            </w:r>
          </w:p>
        </w:tc>
        <w:tc>
          <w:tcPr>
            <w:tcW w:w="7017" w:type="dxa"/>
          </w:tcPr>
          <w:p>
            <w:pPr>
              <w:autoSpaceDE w:val="0"/>
              <w:autoSpaceDN w:val="0"/>
              <w:adjustRightInd w:val="0"/>
              <w:spacing w:line="420" w:lineRule="exact"/>
              <w:jc w:val="left"/>
              <w:rPr>
                <w:rFonts w:hAnsi="宋体" w:cs="黑体"/>
                <w:sz w:val="24"/>
              </w:rPr>
            </w:pPr>
            <w:r>
              <w:rPr>
                <w:rFonts w:hint="eastAsia" w:hAnsi="宋体" w:cs="仿宋_GB2312"/>
                <w:sz w:val="24"/>
              </w:rPr>
              <w:t>见招标文件第二章投标人须知第5.2条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6.1.</w:t>
            </w:r>
            <w:r>
              <w:rPr>
                <w:rFonts w:hint="eastAsia" w:hAnsi="宋体" w:cs="TimesNewRomanPSMT"/>
                <w:sz w:val="24"/>
              </w:rPr>
              <w:t>1</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评标委员会的组建</w:t>
            </w:r>
          </w:p>
        </w:tc>
        <w:tc>
          <w:tcPr>
            <w:tcW w:w="7017" w:type="dxa"/>
            <w:vAlign w:val="center"/>
          </w:tcPr>
          <w:p>
            <w:pPr>
              <w:spacing w:line="288" w:lineRule="auto"/>
              <w:rPr>
                <w:sz w:val="24"/>
              </w:rPr>
            </w:pPr>
            <w:r>
              <w:rPr>
                <w:rFonts w:hint="eastAsia" w:ascii="新宋体" w:hAnsi="新宋体" w:eastAsia="新宋体"/>
                <w:color w:val="000000" w:themeColor="text1"/>
                <w:sz w:val="24"/>
                <w14:textFill>
                  <w14:solidFill>
                    <w14:schemeClr w14:val="tx1"/>
                  </w14:solidFill>
                </w14:textFill>
              </w:rPr>
              <w:t>评标委员会构成：7人，从河南省综合评标专家库中随机抽取5人和招标人代表2人（其中注册造价工程师不少于2人</w:t>
            </w:r>
            <w:r>
              <w:rPr>
                <w:rFonts w:hint="eastAsia" w:ascii="新宋体" w:hAnsi="新宋体" w:eastAsia="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7.1</w:t>
            </w:r>
          </w:p>
        </w:tc>
        <w:tc>
          <w:tcPr>
            <w:tcW w:w="1854" w:type="dxa"/>
            <w:gridSpan w:val="3"/>
            <w:vAlign w:val="center"/>
          </w:tcPr>
          <w:p>
            <w:pPr>
              <w:autoSpaceDE w:val="0"/>
              <w:autoSpaceDN w:val="0"/>
              <w:adjustRightInd w:val="0"/>
              <w:jc w:val="center"/>
              <w:rPr>
                <w:rFonts w:hAnsi="宋体" w:cs="黑体"/>
                <w:sz w:val="24"/>
              </w:rPr>
            </w:pPr>
            <w:r>
              <w:rPr>
                <w:rFonts w:hint="eastAsia" w:hAnsi="宋体" w:cs="仿宋_GB2312"/>
                <w:sz w:val="24"/>
              </w:rPr>
              <w:t>是否授权评标委员会确定中标人</w:t>
            </w:r>
          </w:p>
        </w:tc>
        <w:tc>
          <w:tcPr>
            <w:tcW w:w="7017" w:type="dxa"/>
            <w:vAlign w:val="center"/>
          </w:tcPr>
          <w:p>
            <w:pPr>
              <w:autoSpaceDE w:val="0"/>
              <w:autoSpaceDN w:val="0"/>
              <w:adjustRightInd w:val="0"/>
              <w:spacing w:line="420" w:lineRule="exact"/>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7.4</w:t>
            </w:r>
          </w:p>
        </w:tc>
        <w:tc>
          <w:tcPr>
            <w:tcW w:w="1854" w:type="dxa"/>
            <w:gridSpan w:val="3"/>
            <w:vAlign w:val="center"/>
          </w:tcPr>
          <w:p>
            <w:pPr>
              <w:autoSpaceDE w:val="0"/>
              <w:autoSpaceDN w:val="0"/>
              <w:adjustRightInd w:val="0"/>
              <w:jc w:val="center"/>
              <w:rPr>
                <w:rFonts w:hAnsi="宋体" w:cs="仿宋_GB2312"/>
                <w:sz w:val="24"/>
              </w:rPr>
            </w:pPr>
            <w:r>
              <w:rPr>
                <w:rFonts w:hint="eastAsia" w:hAnsi="宋体" w:cs="仿宋_GB2312"/>
                <w:sz w:val="24"/>
              </w:rPr>
              <w:t>履约保证金</w:t>
            </w:r>
          </w:p>
        </w:tc>
        <w:tc>
          <w:tcPr>
            <w:tcW w:w="7017" w:type="dxa"/>
            <w:vAlign w:val="center"/>
          </w:tcPr>
          <w:p>
            <w:pPr>
              <w:autoSpaceDE w:val="0"/>
              <w:autoSpaceDN w:val="0"/>
              <w:adjustRightInd w:val="0"/>
              <w:spacing w:line="420" w:lineRule="exact"/>
              <w:rPr>
                <w:rFonts w:hAnsi="宋体" w:cs="仿宋_GB2312"/>
                <w:sz w:val="24"/>
              </w:rPr>
            </w:pPr>
            <w:r>
              <w:rPr>
                <w:rFonts w:hint="eastAsia" w:hAnsi="宋体" w:cs="仿宋_GB2312"/>
                <w:sz w:val="24"/>
                <w:szCs w:val="22"/>
              </w:rPr>
              <w:t>不得超过中标合同金额的10%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74" w:type="dxa"/>
            <w:gridSpan w:val="5"/>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74" w:type="dxa"/>
            <w:gridSpan w:val="5"/>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077" w:type="dxa"/>
            <w:gridSpan w:val="2"/>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10.1.1</w:t>
            </w:r>
          </w:p>
        </w:tc>
        <w:tc>
          <w:tcPr>
            <w:tcW w:w="1571" w:type="dxa"/>
            <w:vAlign w:val="center"/>
          </w:tcPr>
          <w:p>
            <w:pPr>
              <w:autoSpaceDE w:val="0"/>
              <w:autoSpaceDN w:val="0"/>
              <w:adjustRightInd w:val="0"/>
              <w:spacing w:line="420" w:lineRule="exact"/>
              <w:jc w:val="center"/>
              <w:rPr>
                <w:rFonts w:hAnsi="宋体" w:cs="TimesNewRomanPSMT"/>
                <w:sz w:val="24"/>
                <w:highlight w:val="yellow"/>
              </w:rPr>
            </w:pPr>
            <w:r>
              <w:rPr>
                <w:rFonts w:hint="eastAsia" w:hAnsi="宋体" w:cs="TimesNewRomanPSMT"/>
                <w:sz w:val="24"/>
              </w:rPr>
              <w:t>类似工程</w:t>
            </w:r>
          </w:p>
        </w:tc>
        <w:tc>
          <w:tcPr>
            <w:tcW w:w="7226" w:type="dxa"/>
            <w:gridSpan w:val="2"/>
            <w:vAlign w:val="center"/>
          </w:tcPr>
          <w:p>
            <w:pPr>
              <w:autoSpaceDE w:val="0"/>
              <w:autoSpaceDN w:val="0"/>
              <w:adjustRightInd w:val="0"/>
              <w:spacing w:line="420" w:lineRule="exact"/>
              <w:jc w:val="left"/>
              <w:rPr>
                <w:rFonts w:hAnsi="宋体" w:cs="仿宋_GB2312"/>
                <w:sz w:val="24"/>
                <w:highlight w:val="yellow"/>
              </w:rPr>
            </w:pPr>
            <w:r>
              <w:rPr>
                <w:rFonts w:hint="eastAsia" w:hAnsi="宋体" w:cs="仿宋_GB2312"/>
                <w:sz w:val="24"/>
                <w:szCs w:val="22"/>
              </w:rPr>
              <w:t>合同金额不低于本项目的市政工程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9874" w:type="dxa"/>
            <w:gridSpan w:val="5"/>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10.2.1</w:t>
            </w:r>
          </w:p>
        </w:tc>
        <w:tc>
          <w:tcPr>
            <w:tcW w:w="1854" w:type="dxa"/>
            <w:gridSpan w:val="3"/>
            <w:vAlign w:val="center"/>
          </w:tcPr>
          <w:p>
            <w:pPr>
              <w:autoSpaceDE w:val="0"/>
              <w:autoSpaceDN w:val="0"/>
              <w:adjustRightInd w:val="0"/>
              <w:spacing w:line="420" w:lineRule="exact"/>
              <w:jc w:val="center"/>
              <w:rPr>
                <w:rFonts w:hAnsi="宋体" w:cs="TimesNewRomanPSMT"/>
                <w:sz w:val="24"/>
              </w:rPr>
            </w:pPr>
            <w:r>
              <w:rPr>
                <w:rFonts w:hint="eastAsia" w:ascii="新宋体" w:hAnsi="新宋体" w:eastAsia="新宋体"/>
                <w:b/>
                <w:sz w:val="24"/>
              </w:rPr>
              <w:t>招标控制价</w:t>
            </w:r>
          </w:p>
        </w:tc>
        <w:tc>
          <w:tcPr>
            <w:tcW w:w="7017" w:type="dxa"/>
            <w:vAlign w:val="center"/>
          </w:tcPr>
          <w:tbl>
            <w:tblPr>
              <w:tblStyle w:val="29"/>
              <w:tblW w:w="70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7085" w:type="dxa"/>
                  <w:vAlign w:val="center"/>
                </w:tcPr>
                <w:p>
                  <w:pPr>
                    <w:spacing w:line="440" w:lineRule="exact"/>
                    <w:jc w:val="left"/>
                    <w:rPr>
                      <w:rFonts w:hAnsi="宋体" w:cs="宋体"/>
                      <w:b/>
                      <w:bCs/>
                      <w:sz w:val="24"/>
                      <w:szCs w:val="24"/>
                    </w:rPr>
                  </w:pPr>
                  <w:r>
                    <w:rPr>
                      <w:rFonts w:hint="eastAsia" w:hAnsi="宋体" w:cs="宋体"/>
                      <w:b/>
                      <w:bCs/>
                      <w:sz w:val="24"/>
                      <w:szCs w:val="24"/>
                    </w:rPr>
                    <w:t>招标控制价：</w:t>
                  </w:r>
                </w:p>
                <w:p>
                  <w:pPr>
                    <w:spacing w:line="440" w:lineRule="exact"/>
                    <w:jc w:val="left"/>
                    <w:rPr>
                      <w:rFonts w:hAnsi="宋体" w:cs="宋体"/>
                      <w:b/>
                      <w:bCs/>
                      <w:sz w:val="24"/>
                      <w:szCs w:val="24"/>
                    </w:rPr>
                  </w:pPr>
                  <w:r>
                    <w:rPr>
                      <w:rFonts w:hint="eastAsia" w:hAnsi="宋体" w:cs="宋体"/>
                      <w:b/>
                      <w:bCs/>
                      <w:sz w:val="24"/>
                      <w:szCs w:val="24"/>
                    </w:rPr>
                    <w:t>大写：叁仟贰佰肆拾陆万贰仟柒佰伍拾玖元壹角壹分（含规费、税金、安全文明措施费）；</w:t>
                  </w:r>
                </w:p>
                <w:p>
                  <w:pPr>
                    <w:spacing w:line="440" w:lineRule="exact"/>
                    <w:jc w:val="left"/>
                    <w:rPr>
                      <w:rFonts w:hAnsi="宋体" w:cs="宋体"/>
                      <w:b/>
                      <w:bCs/>
                      <w:sz w:val="24"/>
                      <w:szCs w:val="24"/>
                    </w:rPr>
                  </w:pPr>
                  <w:r>
                    <w:rPr>
                      <w:rFonts w:hint="eastAsia" w:hAnsi="宋体" w:cs="宋体"/>
                      <w:b/>
                      <w:bCs/>
                      <w:sz w:val="24"/>
                      <w:szCs w:val="24"/>
                    </w:rPr>
                    <w:t>小写：32462759.11元。</w:t>
                  </w:r>
                </w:p>
                <w:p>
                  <w:pPr>
                    <w:spacing w:line="440" w:lineRule="exact"/>
                    <w:jc w:val="left"/>
                    <w:rPr>
                      <w:rFonts w:hAnsi="宋体" w:cs="宋体"/>
                      <w:sz w:val="24"/>
                      <w:szCs w:val="24"/>
                    </w:rPr>
                  </w:pPr>
                  <w:r>
                    <w:rPr>
                      <w:rFonts w:hint="eastAsia" w:hAnsi="宋体" w:cs="宋体"/>
                      <w:sz w:val="24"/>
                      <w:szCs w:val="24"/>
                    </w:rPr>
                    <w:t>国有资金投资的建设工程采用工程量清单方式招标，必须编制招标控制价。招标控制价（招标控制价的总价、以及各单位工程的分部分项工程费、措施项目费、其他项目费、规费和税金）在招标时公布。</w:t>
                  </w:r>
                </w:p>
                <w:p>
                  <w:pPr>
                    <w:spacing w:line="440" w:lineRule="exact"/>
                    <w:jc w:val="left"/>
                    <w:rPr>
                      <w:rFonts w:hAnsi="宋体" w:cs="宋体"/>
                      <w:sz w:val="24"/>
                      <w:szCs w:val="24"/>
                    </w:rPr>
                  </w:pPr>
                  <w:r>
                    <w:rPr>
                      <w:rFonts w:hint="eastAsia" w:hAnsi="宋体" w:cs="宋体"/>
                      <w:sz w:val="24"/>
                      <w:szCs w:val="24"/>
                    </w:rPr>
                    <w:t>招标控制价由招标人依据国家计价规范、《河南省建设工程工程量清单招标控制价管理规定》、河南省现行计价依据的规定编制。</w:t>
                  </w:r>
                </w:p>
                <w:p>
                  <w:pPr>
                    <w:spacing w:line="440" w:lineRule="exact"/>
                    <w:jc w:val="left"/>
                    <w:rPr>
                      <w:rFonts w:hAnsi="宋体" w:cs="宋体"/>
                      <w:sz w:val="24"/>
                      <w:szCs w:val="24"/>
                    </w:rPr>
                  </w:pPr>
                  <w:r>
                    <w:rPr>
                      <w:rFonts w:hint="eastAsia" w:hAnsi="宋体" w:cs="宋体"/>
                      <w:sz w:val="24"/>
                      <w:szCs w:val="24"/>
                    </w:rPr>
                    <w:t>特别说明：</w:t>
                  </w:r>
                </w:p>
                <w:p>
                  <w:pPr>
                    <w:spacing w:line="440" w:lineRule="exact"/>
                    <w:ind w:firstLine="480" w:firstLineChars="200"/>
                    <w:rPr>
                      <w:rFonts w:hAnsi="宋体" w:cs="宋体"/>
                      <w:b/>
                      <w:bCs/>
                      <w:sz w:val="22"/>
                      <w:szCs w:val="22"/>
                    </w:rPr>
                  </w:pPr>
                  <w:r>
                    <w:rPr>
                      <w:rFonts w:hint="eastAsia" w:hAnsi="宋体" w:cs="宋体"/>
                      <w:b/>
                      <w:bCs/>
                      <w:sz w:val="24"/>
                      <w:szCs w:val="24"/>
                    </w:rPr>
                    <w:t>1、凡投标人的投标报价高于招标控制价（不含等于“招标控制价”）的，该投标人的投标文件应予拒绝。</w:t>
                  </w:r>
                </w:p>
                <w:p>
                  <w:pPr>
                    <w:spacing w:line="440" w:lineRule="exact"/>
                    <w:ind w:firstLine="480" w:firstLineChars="200"/>
                    <w:jc w:val="left"/>
                    <w:rPr>
                      <w:rFonts w:hAnsi="宋体" w:cs="宋体"/>
                      <w:sz w:val="24"/>
                      <w:szCs w:val="24"/>
                    </w:rPr>
                  </w:pPr>
                  <w:r>
                    <w:rPr>
                      <w:rFonts w:hint="eastAsia" w:hAnsi="宋体" w:cs="宋体"/>
                      <w:sz w:val="24"/>
                      <w:szCs w:val="24"/>
                    </w:rPr>
                    <w:t>2、投标人对招标控制价有异议时，应在开标5日前，向招投标监督机构和工程造价管理机构投诉。经投诉受理机关复核，误差超过±3%的，原招标控制价无效，责成招标人修改并重新公布。因复核影响开标的，开标时间顺延。</w:t>
                  </w:r>
                </w:p>
                <w:p>
                  <w:pPr>
                    <w:autoSpaceDE w:val="0"/>
                    <w:autoSpaceDN w:val="0"/>
                    <w:adjustRightInd w:val="0"/>
                    <w:spacing w:line="276" w:lineRule="auto"/>
                    <w:ind w:firstLine="480" w:firstLineChars="200"/>
                    <w:rPr>
                      <w:rFonts w:hAnsi="宋体" w:cs="TimesNewRomanPSMT"/>
                      <w:sz w:val="24"/>
                    </w:rPr>
                  </w:pPr>
                  <w:r>
                    <w:rPr>
                      <w:rFonts w:hint="eastAsia" w:hAnsi="宋体" w:cs="宋体"/>
                      <w:sz w:val="24"/>
                      <w:szCs w:val="24"/>
                    </w:rPr>
                    <w:t>3、潜在投标人应仔细阅读招标文件、工程量清单和图纸，若出现图纸于工程量清单不符（如漏、错项或工程量误差超过±3%等），请在规定时间内在许昌公共资源交易系统平台上提出，招标人修改工程量清单并重新公布。</w:t>
                  </w:r>
                  <w:r>
                    <w:rPr>
                      <w:rFonts w:hint="eastAsia" w:hAnsi="宋体" w:cs="宋体"/>
                      <w:b/>
                      <w:bCs/>
                      <w:sz w:val="24"/>
                      <w:szCs w:val="24"/>
                    </w:rPr>
                    <w:t>若不提出，则视为投标人对招标人公布的工程量清单无异议，中标后因此造成的工程量的增加，由中标人承担。</w:t>
                  </w:r>
                </w:p>
              </w:tc>
            </w:tr>
          </w:tbl>
          <w:p>
            <w:pPr>
              <w:autoSpaceDE w:val="0"/>
              <w:autoSpaceDN w:val="0"/>
              <w:adjustRightInd w:val="0"/>
              <w:spacing w:line="276" w:lineRule="auto"/>
              <w:ind w:firstLine="480" w:firstLineChars="200"/>
              <w:rPr>
                <w:rFonts w:hAnsi="宋体" w:cs="TimesNewRomanPSM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sz w:val="24"/>
              </w:rPr>
            </w:pPr>
            <w:r>
              <w:rPr>
                <w:rFonts w:hint="eastAsia"/>
                <w:sz w:val="24"/>
              </w:rPr>
              <w:t>10.3“</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03" w:type="dxa"/>
            <w:vAlign w:val="center"/>
          </w:tcPr>
          <w:p>
            <w:pPr>
              <w:spacing w:line="312" w:lineRule="auto"/>
              <w:rPr>
                <w:sz w:val="24"/>
              </w:rPr>
            </w:pPr>
          </w:p>
        </w:tc>
        <w:tc>
          <w:tcPr>
            <w:tcW w:w="1854" w:type="dxa"/>
            <w:gridSpan w:val="3"/>
            <w:vAlign w:val="center"/>
          </w:tcPr>
          <w:p>
            <w:pPr>
              <w:spacing w:line="260" w:lineRule="exact"/>
              <w:jc w:val="center"/>
              <w:rPr>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7017" w:type="dxa"/>
            <w:vAlign w:val="center"/>
          </w:tcPr>
          <w:p>
            <w:pPr>
              <w:spacing w:line="312" w:lineRule="auto"/>
              <w:rPr>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ind w:left="240" w:hanging="240" w:hangingChars="100"/>
              <w:rPr>
                <w:sz w:val="24"/>
              </w:rPr>
            </w:pPr>
            <w:r>
              <w:rPr>
                <w:rFonts w:hint="eastAsia"/>
                <w:sz w:val="24"/>
              </w:rPr>
              <w:t>10.4</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03" w:type="dxa"/>
            <w:vAlign w:val="center"/>
          </w:tcPr>
          <w:p>
            <w:pPr>
              <w:spacing w:line="312" w:lineRule="auto"/>
              <w:rPr>
                <w:rFonts w:ascii="新宋体" w:hAnsi="新宋体" w:eastAsia="新宋体"/>
                <w:b/>
                <w:sz w:val="24"/>
              </w:rPr>
            </w:pPr>
          </w:p>
        </w:tc>
        <w:tc>
          <w:tcPr>
            <w:tcW w:w="8871" w:type="dxa"/>
            <w:gridSpan w:val="4"/>
            <w:vAlign w:val="center"/>
          </w:tcPr>
          <w:p>
            <w:pPr>
              <w:spacing w:line="312" w:lineRule="auto"/>
              <w:rPr>
                <w:rFonts w:ascii="新宋体" w:hAnsi="新宋体" w:eastAsia="新宋体"/>
                <w:b/>
                <w:sz w:val="24"/>
              </w:rPr>
            </w:pPr>
            <w:r>
              <w:rPr>
                <w:rFonts w:hint="eastAsia" w:ascii="新宋体" w:hAnsi="新宋体" w:eastAsia="新宋体"/>
                <w:b/>
                <w:sz w:val="24"/>
              </w:rPr>
              <w:t>开标时各投标人的法定代表人或授权委托人持身份证及授权委托书，到开标现场签到，缺席或逾期不到者视为放弃。各投标单位参加会议人数不得多于二人。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rPr>
                <w:sz w:val="24"/>
              </w:rPr>
            </w:pPr>
            <w:r>
              <w:rPr>
                <w:rFonts w:hint="eastAsia"/>
                <w:sz w:val="24"/>
              </w:rPr>
              <w:t>10.5</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03" w:type="dxa"/>
            <w:vAlign w:val="center"/>
          </w:tcPr>
          <w:p>
            <w:pPr>
              <w:spacing w:line="312" w:lineRule="auto"/>
              <w:rPr>
                <w:sz w:val="24"/>
              </w:rPr>
            </w:pPr>
          </w:p>
        </w:tc>
        <w:tc>
          <w:tcPr>
            <w:tcW w:w="8871" w:type="dxa"/>
            <w:gridSpan w:val="4"/>
            <w:vAlign w:val="center"/>
          </w:tcPr>
          <w:p>
            <w:pPr>
              <w:spacing w:line="440" w:lineRule="exact"/>
              <w:rPr>
                <w:rFonts w:hAnsi="宋体" w:cs="仿宋_GB2312"/>
                <w:sz w:val="24"/>
              </w:rPr>
            </w:pPr>
            <w:r>
              <w:rPr>
                <w:rFonts w:hint="eastAsia" w:hAnsi="宋体" w:cs="仿宋_GB2312"/>
                <w:sz w:val="24"/>
              </w:rPr>
              <w:t>1、在中标通知书发出前，招标人将中标候选人的情况在《全国公共资源交易平台(河南省▪许昌市)》、《河南省电子招标投标公共服务平台》予以公示，公示期不少于3日。</w:t>
            </w:r>
          </w:p>
          <w:p>
            <w:pPr>
              <w:spacing w:line="440" w:lineRule="exact"/>
              <w:rPr>
                <w:rFonts w:ascii="新宋体" w:hAnsi="新宋体" w:eastAsia="新宋体"/>
                <w:b/>
                <w:sz w:val="24"/>
              </w:rPr>
            </w:pPr>
            <w:r>
              <w:rPr>
                <w:rFonts w:hint="eastAsia" w:ascii="新宋体" w:hAnsi="新宋体" w:eastAsia="新宋体"/>
                <w:b/>
                <w:sz w:val="24"/>
              </w:rPr>
              <w:t>2、根据</w:t>
            </w:r>
            <w:r>
              <w:rPr>
                <w:rFonts w:hint="eastAsia" w:hAnsi="宋体" w:cs="仿宋_GB2312"/>
                <w:b/>
                <w:sz w:val="24"/>
              </w:rPr>
              <w:t>《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rFonts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sz w:val="24"/>
              </w:rPr>
            </w:pPr>
          </w:p>
        </w:tc>
        <w:tc>
          <w:tcPr>
            <w:tcW w:w="8871" w:type="dxa"/>
            <w:gridSpan w:val="4"/>
            <w:vAlign w:val="center"/>
          </w:tcPr>
          <w:p>
            <w:pPr>
              <w:spacing w:line="312" w:lineRule="auto"/>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sz w:val="24"/>
              </w:rPr>
            </w:pPr>
          </w:p>
        </w:tc>
        <w:tc>
          <w:tcPr>
            <w:tcW w:w="8871" w:type="dxa"/>
            <w:gridSpan w:val="4"/>
            <w:vAlign w:val="center"/>
          </w:tcPr>
          <w:p>
            <w:pPr>
              <w:spacing w:line="312" w:lineRule="auto"/>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9874" w:type="dxa"/>
            <w:gridSpan w:val="5"/>
            <w:vAlign w:val="center"/>
          </w:tcPr>
          <w:p>
            <w:pPr>
              <w:spacing w:line="312" w:lineRule="auto"/>
              <w:rPr>
                <w:rFonts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03" w:type="dxa"/>
            <w:vAlign w:val="center"/>
          </w:tcPr>
          <w:p>
            <w:pPr>
              <w:spacing w:line="312" w:lineRule="auto"/>
              <w:rPr>
                <w:sz w:val="24"/>
              </w:rPr>
            </w:pPr>
          </w:p>
        </w:tc>
        <w:tc>
          <w:tcPr>
            <w:tcW w:w="8871" w:type="dxa"/>
            <w:gridSpan w:val="4"/>
            <w:vAlign w:val="center"/>
          </w:tcPr>
          <w:p>
            <w:pPr>
              <w:spacing w:line="360" w:lineRule="auto"/>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874" w:type="dxa"/>
            <w:gridSpan w:val="5"/>
            <w:vAlign w:val="center"/>
          </w:tcPr>
          <w:p>
            <w:pPr>
              <w:spacing w:line="360" w:lineRule="auto"/>
              <w:rPr>
                <w:rFonts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03" w:type="dxa"/>
            <w:vAlign w:val="center"/>
          </w:tcPr>
          <w:p>
            <w:pPr>
              <w:spacing w:line="312" w:lineRule="auto"/>
              <w:rPr>
                <w:sz w:val="24"/>
              </w:rPr>
            </w:pPr>
          </w:p>
        </w:tc>
        <w:tc>
          <w:tcPr>
            <w:tcW w:w="8871" w:type="dxa"/>
            <w:gridSpan w:val="4"/>
            <w:vAlign w:val="center"/>
          </w:tcPr>
          <w:p>
            <w:pPr>
              <w:spacing w:line="360" w:lineRule="auto"/>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rFonts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adjustRightInd w:val="0"/>
              <w:snapToGrid w:val="0"/>
              <w:spacing w:line="420" w:lineRule="exact"/>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420" w:lineRule="exact"/>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74" w:type="dxa"/>
            <w:gridSpan w:val="5"/>
            <w:vAlign w:val="center"/>
          </w:tcPr>
          <w:p>
            <w:pPr>
              <w:adjustRightInd w:val="0"/>
              <w:snapToGrid w:val="0"/>
              <w:spacing w:line="420" w:lineRule="exact"/>
              <w:rPr>
                <w:rFonts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adjustRightInd w:val="0"/>
              <w:snapToGrid w:val="0"/>
              <w:spacing w:line="420" w:lineRule="exact"/>
              <w:rPr>
                <w:rFonts w:hAnsi="宋体" w:cs="仿宋_GB2312"/>
                <w:sz w:val="24"/>
              </w:rPr>
            </w:pPr>
            <w:bookmarkStart w:id="5" w:name="_Toc225243456"/>
            <w:bookmarkStart w:id="6" w:name="_Toc283559965"/>
            <w:r>
              <w:rPr>
                <w:rFonts w:hint="eastAsia" w:hAnsi="宋体" w:cs="宋体"/>
                <w:sz w:val="24"/>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1、逾期送达的或者未送达指定地点的纸质投标文件；</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2、纸质投标文件、电子介质存储的投标文件未按招标文件要求密封的；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3、未按招标文件要求缴纳投标保证金的；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4、开标时法人或授权委托人（持有效的授权委托书）未携带本人身份证到开标现场并签到的；</w:t>
            </w:r>
          </w:p>
          <w:p>
            <w:pPr>
              <w:adjustRightInd w:val="0"/>
              <w:snapToGrid w:val="0"/>
              <w:spacing w:line="420" w:lineRule="exact"/>
            </w:pPr>
            <w:r>
              <w:rPr>
                <w:rFonts w:hint="eastAsia" w:ascii="新宋体" w:hAnsi="新宋体" w:eastAsia="新宋体"/>
                <w:sz w:val="24"/>
                <w:szCs w:val="22"/>
              </w:rPr>
              <w:t>5、未按照规定支付招标文件费用的。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10.11.2  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tabs>
                <w:tab w:val="left" w:pos="1213"/>
              </w:tabs>
              <w:adjustRightInd w:val="0"/>
              <w:snapToGrid w:val="0"/>
              <w:spacing w:line="420" w:lineRule="exact"/>
              <w:rPr>
                <w:rFonts w:ascii="新宋体" w:hAnsi="新宋体" w:eastAsia="新宋体"/>
                <w:sz w:val="24"/>
                <w:szCs w:val="22"/>
              </w:rPr>
            </w:pPr>
            <w:r>
              <w:rPr>
                <w:rFonts w:hint="eastAsia" w:hAnsi="宋体" w:cs="宋体"/>
                <w:b/>
                <w:bCs/>
                <w:sz w:val="22"/>
                <w:szCs w:val="22"/>
              </w:rPr>
              <w:t>本项目招标代理费由中标人支付，收费标准参照国家计委印发的计价格（2002）1980号文件规定。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autoSpaceDE w:val="0"/>
              <w:autoSpaceDN w:val="0"/>
              <w:adjustRightInd w:val="0"/>
              <w:snapToGrid w:val="0"/>
              <w:spacing w:line="420" w:lineRule="exact"/>
              <w:jc w:val="left"/>
              <w:outlineLvl w:val="0"/>
              <w:rPr>
                <w:rFonts w:hAnsi="宋体" w:cs="仿宋_GB2312"/>
                <w:sz w:val="24"/>
              </w:rPr>
            </w:pPr>
            <w:r>
              <w:rPr>
                <w:rFonts w:hint="eastAsia" w:hAnsi="宋体" w:cs="宋体"/>
                <w:b/>
                <w:bCs/>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autoSpaceDE w:val="0"/>
              <w:autoSpaceDN w:val="0"/>
              <w:spacing w:line="350" w:lineRule="exact"/>
              <w:jc w:val="left"/>
              <w:outlineLvl w:val="0"/>
              <w:rPr>
                <w:rFonts w:hAnsi="宋体" w:cs="宋体"/>
                <w:sz w:val="24"/>
              </w:rPr>
            </w:pPr>
            <w:r>
              <w:rPr>
                <w:rFonts w:hint="eastAsia" w:hAnsi="宋体" w:cs="宋体"/>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350" w:lineRule="exact"/>
              <w:jc w:val="left"/>
              <w:outlineLvl w:val="0"/>
              <w:rPr>
                <w:rFonts w:hAnsi="宋体" w:cs="宋体"/>
                <w:sz w:val="24"/>
              </w:rPr>
            </w:pPr>
            <w:r>
              <w:rPr>
                <w:rFonts w:hint="eastAsia" w:hAnsi="宋体" w:cs="宋体"/>
                <w:sz w:val="24"/>
              </w:rPr>
              <w:t>2、潜在投标人如对招标文件有异议，请在规定时间内在《全国公共资源交易平台（河南省·许昌市）》公共资源交易系统中提出，以其他方式递交的异议不予接受。</w:t>
            </w:r>
          </w:p>
          <w:p>
            <w:pPr>
              <w:autoSpaceDE w:val="0"/>
              <w:autoSpaceDN w:val="0"/>
              <w:spacing w:line="350" w:lineRule="exact"/>
              <w:jc w:val="left"/>
              <w:outlineLvl w:val="0"/>
              <w:rPr>
                <w:rFonts w:hAnsi="宋体" w:cs="宋体"/>
                <w:sz w:val="24"/>
              </w:rPr>
            </w:pPr>
            <w:r>
              <w:rPr>
                <w:rFonts w:hint="eastAsia" w:hAnsi="宋体" w:cs="宋体"/>
                <w:sz w:val="24"/>
              </w:rPr>
              <w:t>3、投标人在投标截止时间前应随时关注《全国公共资源交易平台（河南省·许昌市）》公共资源交易系统发出的有关本项目的答疑、修改等相关内容。</w:t>
            </w:r>
          </w:p>
          <w:p>
            <w:pPr>
              <w:autoSpaceDE w:val="0"/>
              <w:autoSpaceDN w:val="0"/>
              <w:spacing w:line="350" w:lineRule="exact"/>
              <w:jc w:val="left"/>
              <w:outlineLvl w:val="0"/>
              <w:rPr>
                <w:rFonts w:ascii="新宋体" w:hAnsi="新宋体" w:eastAsia="新宋体"/>
                <w:sz w:val="24"/>
              </w:rPr>
            </w:pPr>
            <w:r>
              <w:rPr>
                <w:rFonts w:hint="eastAsia" w:hAnsi="宋体" w:cs="宋体"/>
                <w:sz w:val="24"/>
              </w:rPr>
              <w:t>4、</w:t>
            </w:r>
            <w:r>
              <w:rPr>
                <w:rFonts w:hint="eastAsia" w:ascii="新宋体" w:hAnsi="新宋体" w:eastAsia="新宋体"/>
                <w:sz w:val="24"/>
              </w:rPr>
              <w:t>本项目试行全流程电子化交易，如因交易系统异常情况无法完成，将以人工方式进行。</w:t>
            </w:r>
          </w:p>
          <w:p>
            <w:pPr>
              <w:autoSpaceDE w:val="0"/>
              <w:autoSpaceDN w:val="0"/>
              <w:spacing w:line="350" w:lineRule="exact"/>
              <w:jc w:val="left"/>
              <w:outlineLvl w:val="0"/>
              <w:rPr>
                <w:rFonts w:hAnsi="宋体" w:cs="宋体"/>
                <w:sz w:val="24"/>
              </w:rPr>
            </w:pPr>
            <w:r>
              <w:rPr>
                <w:rFonts w:hint="eastAsia" w:hAnsi="宋体" w:cs="宋体"/>
                <w:sz w:val="24"/>
              </w:rPr>
              <w:t>5、投标文件依据最终的招标文件进行编制。如果招标文件发生变更，投标人应以招标人最终发出的电子招标文件为准，编制投标文件，务请投标人随时关注项目变更信息。</w:t>
            </w:r>
          </w:p>
          <w:p>
            <w:pPr>
              <w:tabs>
                <w:tab w:val="left" w:pos="7095"/>
              </w:tabs>
              <w:spacing w:line="350" w:lineRule="exact"/>
              <w:rPr>
                <w:rFonts w:hAnsi="宋体" w:cs="宋体"/>
                <w:sz w:val="24"/>
              </w:rPr>
            </w:pPr>
            <w:r>
              <w:rPr>
                <w:rFonts w:hint="eastAsia" w:hAnsi="宋体" w:cs="宋体"/>
                <w:sz w:val="24"/>
              </w:rPr>
              <w:t>6、投标人电子投标文件成功提交后，应打印“投标文件提交回执单”，供开标现场备查。</w:t>
            </w:r>
          </w:p>
          <w:p>
            <w:pPr>
              <w:autoSpaceDE w:val="0"/>
              <w:autoSpaceDN w:val="0"/>
              <w:spacing w:line="350" w:lineRule="exact"/>
              <w:jc w:val="left"/>
              <w:outlineLvl w:val="0"/>
              <w:rPr>
                <w:rFonts w:hAnsi="宋体" w:cs="宋体"/>
                <w:sz w:val="24"/>
              </w:rPr>
            </w:pPr>
            <w:r>
              <w:rPr>
                <w:rFonts w:hint="eastAsia" w:hAnsi="宋体" w:cs="宋体"/>
                <w:sz w:val="24"/>
              </w:rPr>
              <w:t>7、商务标投标文件制作注意事项：</w:t>
            </w:r>
          </w:p>
          <w:p>
            <w:pPr>
              <w:autoSpaceDE w:val="0"/>
              <w:autoSpaceDN w:val="0"/>
              <w:spacing w:line="350" w:lineRule="exact"/>
              <w:jc w:val="left"/>
              <w:outlineLvl w:val="0"/>
              <w:rPr>
                <w:rFonts w:hAnsi="宋体" w:cs="宋体"/>
                <w:sz w:val="24"/>
              </w:rPr>
            </w:pPr>
            <w:r>
              <w:rPr>
                <w:rFonts w:hint="eastAsia" w:hAnsi="宋体" w:cs="宋体"/>
                <w:sz w:val="24"/>
              </w:rPr>
              <w:t>7.1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napToGrid w:val="0"/>
              <w:spacing w:line="350" w:lineRule="exact"/>
              <w:jc w:val="left"/>
              <w:outlineLvl w:val="0"/>
              <w:rPr>
                <w:rFonts w:hAnsi="宋体" w:cs="宋体"/>
                <w:sz w:val="24"/>
              </w:rPr>
            </w:pPr>
            <w:r>
              <w:rPr>
                <w:rFonts w:hint="eastAsia" w:hAnsi="宋体" w:cs="宋体"/>
                <w:sz w:val="24"/>
              </w:rPr>
              <w:t>7.2 商务标投标文件制作技术咨询：0374-2961598。</w:t>
            </w:r>
          </w:p>
          <w:p>
            <w:pPr>
              <w:pStyle w:val="2"/>
              <w:ind w:firstLine="0" w:firstLineChars="0"/>
              <w:rPr>
                <w:b/>
                <w:bCs/>
                <w:sz w:val="24"/>
                <w:szCs w:val="24"/>
              </w:rPr>
            </w:pPr>
            <w:r>
              <w:rPr>
                <w:rFonts w:hint="eastAsia"/>
                <w:b/>
                <w:bCs/>
                <w:sz w:val="24"/>
                <w:szCs w:val="24"/>
              </w:rPr>
              <w:t>8</w:t>
            </w:r>
            <w:r>
              <w:rPr>
                <w:rFonts w:hint="eastAsia"/>
                <w:b/>
                <w:bCs/>
                <w:sz w:val="24"/>
                <w:szCs w:val="24"/>
                <w:lang w:eastAsia="zh-CN"/>
              </w:rPr>
              <w:t>、</w:t>
            </w:r>
            <w:r>
              <w:rPr>
                <w:rFonts w:hint="eastAsia" w:hAnsi="宋体" w:cs="宋体"/>
                <w:b/>
                <w:bCs/>
                <w:sz w:val="24"/>
                <w:szCs w:val="24"/>
              </w:rPr>
              <w:t>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pPr>
        <w:autoSpaceDE w:val="0"/>
        <w:autoSpaceDN w:val="0"/>
        <w:spacing w:line="440" w:lineRule="exact"/>
        <w:jc w:val="left"/>
        <w:outlineLvl w:val="0"/>
        <w:rPr>
          <w:rFonts w:hAnsi="宋体" w:cs="宋体"/>
          <w:b/>
          <w:sz w:val="28"/>
          <w:szCs w:val="28"/>
        </w:rPr>
      </w:pPr>
      <w:bookmarkStart w:id="7" w:name="_Toc283559947"/>
      <w:r>
        <w:rPr>
          <w:rFonts w:hint="eastAsia" w:hAnsi="宋体" w:cs="宋体"/>
          <w:b/>
          <w:sz w:val="28"/>
          <w:szCs w:val="28"/>
        </w:rPr>
        <w:t>1. 总则</w:t>
      </w:r>
    </w:p>
    <w:p>
      <w:pPr>
        <w:autoSpaceDE w:val="0"/>
        <w:autoSpaceDN w:val="0"/>
        <w:spacing w:line="44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1.1.1根据《中华人民共和国招标投标法》等有关法律、法规和规章的规定，本招标项目已具备招标条件，现对本工程进行招标。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1.1.2 本招标项目招标人：见投标人须知前附表。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1.1.3 本招标项目地点：见投标人须知前附表。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1.1.4 本标段建设地点：见申请人须知前附表。</w:t>
      </w:r>
    </w:p>
    <w:p>
      <w:pPr>
        <w:autoSpaceDE w:val="0"/>
        <w:autoSpaceDN w:val="0"/>
        <w:spacing w:line="44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1.2.1 本招标项目的资金来源：见投标人须知前附表。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 本招标项目的出资比例：见投标人须知前附表。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1.2.2本招标项目的资金落实情况：见投标人须知前附表。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1.3 招标范围、工期和质量要求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1.3.1 本招标项目的招标范围：见投标人须知前附表。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1.3.2 本招标项目的工期要求：见投标人须知前附表。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1.3.3 本招标项目的质量要求：见投标人须知前附表。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1.4 投标人及项目负责人资格要求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1.4.1投标人、</w:t>
      </w:r>
      <w:r>
        <w:rPr>
          <w:rFonts w:hint="eastAsia"/>
          <w:sz w:val="24"/>
        </w:rPr>
        <w:t>项目负责人</w:t>
      </w:r>
      <w:r>
        <w:rPr>
          <w:rFonts w:hint="eastAsia" w:hAnsi="宋体" w:cs="仿宋_GB2312"/>
          <w:sz w:val="24"/>
        </w:rPr>
        <w:t>资格要求：见投标人须知前附表。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1.4.2 投标人资格要求（详见投标人须知前附表）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投标人不得存在下列情形之一：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（3）为本标段的监理人；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（4）为本标段的代建人；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（5）为本标段提供招标代理服务的；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（9）被责令停业的；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（10）被暂停或取消投标资格的；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（11）财产被接管或冻结的；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（12）在最近三年内有骗取中标或严重违约或重大工程质量问题的。</w:t>
      </w:r>
    </w:p>
    <w:p>
      <w:pPr>
        <w:autoSpaceDE w:val="0"/>
        <w:autoSpaceDN w:val="0"/>
        <w:spacing w:line="440" w:lineRule="exact"/>
        <w:jc w:val="left"/>
        <w:outlineLvl w:val="0"/>
        <w:rPr>
          <w:rFonts w:hAnsi="宋体" w:cs="宋体"/>
          <w:b/>
          <w:sz w:val="24"/>
        </w:rPr>
      </w:pPr>
      <w:bookmarkStart w:id="8" w:name="_Toc152042311"/>
      <w:bookmarkStart w:id="9" w:name="_Toc144974503"/>
      <w:bookmarkStart w:id="10" w:name="_Toc179632552"/>
      <w:bookmarkStart w:id="11" w:name="_Toc152045535"/>
      <w:r>
        <w:rPr>
          <w:rFonts w:hint="eastAsia" w:hAnsi="宋体" w:cs="宋体"/>
          <w:b/>
          <w:sz w:val="24"/>
        </w:rPr>
        <w:t>1.5 费用承担</w:t>
      </w:r>
      <w:bookmarkEnd w:id="8"/>
      <w:bookmarkEnd w:id="9"/>
      <w:bookmarkEnd w:id="10"/>
      <w:bookmarkEnd w:id="1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outlineLvl w:val="0"/>
        <w:rPr>
          <w:rFonts w:hAnsi="宋体" w:cs="宋体"/>
          <w:b/>
          <w:sz w:val="24"/>
        </w:rPr>
      </w:pPr>
      <w:bookmarkStart w:id="12" w:name="_Toc152045536"/>
      <w:bookmarkStart w:id="13" w:name="_Toc179632553"/>
      <w:bookmarkStart w:id="14" w:name="_Toc144974504"/>
      <w:bookmarkStart w:id="15" w:name="_Toc152042312"/>
      <w:r>
        <w:rPr>
          <w:rFonts w:hint="eastAsia" w:hAnsi="宋体" w:cs="宋体"/>
          <w:b/>
          <w:sz w:val="24"/>
        </w:rPr>
        <w:t>1.6 保密</w:t>
      </w:r>
      <w:bookmarkEnd w:id="12"/>
      <w:bookmarkEnd w:id="13"/>
      <w:bookmarkEnd w:id="14"/>
      <w:bookmarkEnd w:id="1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sz w:val="24"/>
        </w:rPr>
      </w:pPr>
      <w:bookmarkStart w:id="16" w:name="_Toc144974505"/>
      <w:bookmarkStart w:id="17" w:name="_Toc152045537"/>
      <w:bookmarkStart w:id="18" w:name="_Toc152042313"/>
      <w:bookmarkStart w:id="19" w:name="_Toc179632554"/>
      <w:r>
        <w:rPr>
          <w:rFonts w:hint="eastAsia" w:hAnsi="宋体" w:cs="宋体"/>
          <w:b/>
          <w:sz w:val="24"/>
        </w:rPr>
        <w:t>1.7 语言</w:t>
      </w:r>
      <w:bookmarkEnd w:id="16"/>
      <w:r>
        <w:rPr>
          <w:rFonts w:hint="eastAsia" w:hAnsi="宋体" w:cs="宋体"/>
          <w:b/>
          <w:sz w:val="24"/>
        </w:rPr>
        <w:t>文字</w:t>
      </w:r>
      <w:bookmarkEnd w:id="17"/>
      <w:bookmarkEnd w:id="18"/>
      <w:bookmarkEnd w:id="1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sz w:val="24"/>
        </w:rPr>
      </w:pPr>
      <w:bookmarkStart w:id="20" w:name="_Toc179632555"/>
      <w:bookmarkStart w:id="21" w:name="_Toc152045538"/>
      <w:bookmarkStart w:id="22" w:name="_Toc152042314"/>
      <w:bookmarkStart w:id="23" w:name="_Toc144974506"/>
      <w:r>
        <w:rPr>
          <w:rFonts w:hint="eastAsia" w:hAnsi="宋体" w:cs="宋体"/>
          <w:b/>
          <w:sz w:val="24"/>
        </w:rPr>
        <w:t>1.8 计量单位</w:t>
      </w:r>
      <w:bookmarkEnd w:id="20"/>
      <w:bookmarkEnd w:id="21"/>
      <w:bookmarkEnd w:id="22"/>
      <w:bookmarkEnd w:id="23"/>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outlineLvl w:val="0"/>
        <w:rPr>
          <w:rFonts w:hAnsi="宋体" w:cs="宋体"/>
          <w:b/>
          <w:sz w:val="24"/>
        </w:rPr>
      </w:pPr>
      <w:r>
        <w:rPr>
          <w:rFonts w:hAnsi="宋体" w:cs="宋体"/>
          <w:b/>
          <w:sz w:val="24"/>
        </w:rPr>
        <w:t xml:space="preserve">1.9 </w:t>
      </w:r>
      <w:r>
        <w:rPr>
          <w:rFonts w:hint="eastAsia" w:hAnsi="宋体" w:cs="宋体"/>
          <w:b/>
          <w:sz w:val="24"/>
        </w:rPr>
        <w:t>踏勘现场</w:t>
      </w:r>
      <w:bookmarkEnd w:id="7"/>
    </w:p>
    <w:p>
      <w:pPr>
        <w:autoSpaceDE w:val="0"/>
        <w:autoSpaceDN w:val="0"/>
        <w:spacing w:line="440" w:lineRule="exact"/>
        <w:ind w:firstLine="480" w:firstLineChars="200"/>
        <w:jc w:val="left"/>
        <w:outlineLvl w:val="0"/>
        <w:rPr>
          <w:rFonts w:hAnsi="宋体" w:cs="仿宋_GB2312"/>
          <w:sz w:val="24"/>
        </w:rPr>
      </w:pPr>
      <w:r>
        <w:rPr>
          <w:rFonts w:hAnsi="宋体" w:cs="宋体"/>
          <w:sz w:val="24"/>
        </w:rPr>
        <w:t xml:space="preserve">1.9.1 </w:t>
      </w:r>
      <w:r>
        <w:rPr>
          <w:rFonts w:hint="eastAsia" w:hAnsi="宋体" w:cs="宋体"/>
          <w:sz w:val="24"/>
        </w:rPr>
        <w:t>不</w:t>
      </w:r>
      <w:r>
        <w:rPr>
          <w:rFonts w:hint="eastAsia" w:hAnsi="宋体" w:cs="仿宋_GB2312"/>
          <w:sz w:val="24"/>
        </w:rPr>
        <w:t xml:space="preserve">组织。          </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1.9.2 </w:t>
      </w:r>
      <w:r>
        <w:rPr>
          <w:rFonts w:hint="eastAsia" w:hAnsi="宋体" w:cs="宋体"/>
          <w:sz w:val="24"/>
        </w:rPr>
        <w:t>投标人踏勘现场发生的费用自理。</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1.9.3 </w:t>
      </w:r>
      <w:r>
        <w:rPr>
          <w:rFonts w:hint="eastAsia" w:hAnsi="宋体" w:cs="宋体"/>
          <w:sz w:val="24"/>
        </w:rPr>
        <w:t>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sz w:val="24"/>
        </w:rPr>
      </w:pPr>
      <w:bookmarkStart w:id="24" w:name="_Toc283559948"/>
      <w:r>
        <w:rPr>
          <w:rFonts w:hAnsi="宋体" w:cs="宋体"/>
          <w:b/>
          <w:sz w:val="24"/>
        </w:rPr>
        <w:t xml:space="preserve">1.10 </w:t>
      </w:r>
      <w:r>
        <w:rPr>
          <w:rFonts w:hint="eastAsia" w:hAnsi="宋体" w:cs="宋体"/>
          <w:b/>
          <w:sz w:val="24"/>
        </w:rPr>
        <w:t>投标预备会</w:t>
      </w:r>
      <w:bookmarkEnd w:id="24"/>
    </w:p>
    <w:p>
      <w:pPr>
        <w:autoSpaceDE w:val="0"/>
        <w:autoSpaceDN w:val="0"/>
        <w:spacing w:line="450" w:lineRule="exact"/>
        <w:ind w:firstLine="480" w:firstLineChars="200"/>
        <w:jc w:val="left"/>
        <w:outlineLvl w:val="0"/>
        <w:rPr>
          <w:rFonts w:hAnsi="宋体" w:cs="宋体"/>
          <w:b/>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1 招标人不召开投标预备会。</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2 投标人应在投标人须知前附表规定的时间前，将问题在</w:t>
      </w:r>
      <w:r>
        <w:rPr>
          <w:rFonts w:hint="eastAsia" w:ascii="新宋体" w:hAnsi="新宋体" w:eastAsia="新宋体" w:cs="仿宋_GB2312"/>
          <w:sz w:val="24"/>
        </w:rPr>
        <w:t>公共资源交易系统电子平台</w:t>
      </w:r>
      <w:r>
        <w:rPr>
          <w:rFonts w:hint="eastAsia" w:hAnsi="宋体" w:cs="宋体"/>
          <w:sz w:val="24"/>
        </w:rPr>
        <w:t>上提出。</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.3</w:t>
      </w:r>
      <w:r>
        <w:rPr>
          <w:rFonts w:hint="eastAsia" w:hAnsi="宋体" w:cs="宋体"/>
          <w:sz w:val="24"/>
        </w:rPr>
        <w:t xml:space="preserve"> 招标人在投标人须知前附表规定的时间内，将对投标人所提问题的澄清，在</w:t>
      </w:r>
      <w:r>
        <w:rPr>
          <w:rFonts w:hint="eastAsia" w:ascii="新宋体" w:hAnsi="新宋体" w:eastAsia="新宋体" w:cs="仿宋_GB2312"/>
          <w:sz w:val="24"/>
        </w:rPr>
        <w:t>公共资源交易系统电子平台</w:t>
      </w:r>
      <w:r>
        <w:rPr>
          <w:rFonts w:hint="eastAsia" w:hAnsi="宋体" w:cs="宋体"/>
          <w:sz w:val="24"/>
        </w:rPr>
        <w:t>上予以澄清。该澄清内容为招标文件的组成部分。</w:t>
      </w:r>
    </w:p>
    <w:p>
      <w:pPr>
        <w:autoSpaceDE w:val="0"/>
        <w:autoSpaceDN w:val="0"/>
        <w:spacing w:line="450" w:lineRule="exact"/>
        <w:jc w:val="left"/>
        <w:outlineLvl w:val="0"/>
        <w:rPr>
          <w:rFonts w:hAnsi="宋体" w:cs="宋体"/>
          <w:b/>
          <w:sz w:val="24"/>
        </w:rPr>
      </w:pPr>
      <w:bookmarkStart w:id="25" w:name="_Toc283559949"/>
      <w:r>
        <w:rPr>
          <w:rFonts w:hAnsi="宋体" w:cs="宋体"/>
          <w:b/>
          <w:sz w:val="24"/>
        </w:rPr>
        <w:t xml:space="preserve">1.11 </w:t>
      </w:r>
      <w:r>
        <w:rPr>
          <w:rFonts w:hint="eastAsia" w:hAnsi="宋体" w:cs="宋体"/>
          <w:b/>
          <w:sz w:val="24"/>
        </w:rPr>
        <w:t>分包</w:t>
      </w:r>
      <w:bookmarkEnd w:id="25"/>
    </w:p>
    <w:p>
      <w:pPr>
        <w:autoSpaceDE w:val="0"/>
        <w:autoSpaceDN w:val="0"/>
        <w:spacing w:line="450" w:lineRule="exact"/>
        <w:ind w:firstLine="480" w:firstLineChars="200"/>
        <w:jc w:val="left"/>
        <w:outlineLvl w:val="0"/>
        <w:rPr>
          <w:rFonts w:hAnsi="宋体" w:cs="宋体"/>
          <w:b/>
          <w:sz w:val="24"/>
        </w:rPr>
      </w:pPr>
      <w:r>
        <w:rPr>
          <w:rFonts w:hint="eastAsia" w:hAnsi="宋体" w:cs="仿宋_GB2312"/>
          <w:sz w:val="24"/>
        </w:rPr>
        <w:t>不允许</w:t>
      </w:r>
      <w:r>
        <w:rPr>
          <w:rFonts w:hint="eastAsia"/>
          <w:sz w:val="24"/>
        </w:rPr>
        <w:t>。</w:t>
      </w:r>
    </w:p>
    <w:p>
      <w:pPr>
        <w:autoSpaceDE w:val="0"/>
        <w:autoSpaceDN w:val="0"/>
        <w:adjustRightInd w:val="0"/>
        <w:spacing w:line="450" w:lineRule="exact"/>
        <w:jc w:val="left"/>
        <w:outlineLvl w:val="0"/>
        <w:rPr>
          <w:rFonts w:hAnsi="宋体" w:cs="宋体"/>
          <w:b/>
          <w:sz w:val="24"/>
        </w:rPr>
      </w:pPr>
      <w:bookmarkStart w:id="26" w:name="_Toc283559950"/>
      <w:r>
        <w:rPr>
          <w:rFonts w:hAnsi="宋体" w:cs="宋体"/>
          <w:b/>
          <w:sz w:val="24"/>
        </w:rPr>
        <w:t xml:space="preserve">1.12 </w:t>
      </w:r>
      <w:r>
        <w:rPr>
          <w:rFonts w:hint="eastAsia" w:hAnsi="宋体" w:cs="宋体"/>
          <w:b/>
          <w:sz w:val="24"/>
        </w:rPr>
        <w:t>偏离</w:t>
      </w:r>
      <w:bookmarkEnd w:id="26"/>
    </w:p>
    <w:p>
      <w:pPr>
        <w:autoSpaceDE w:val="0"/>
        <w:autoSpaceDN w:val="0"/>
        <w:adjustRightInd w:val="0"/>
        <w:spacing w:line="450" w:lineRule="exact"/>
        <w:ind w:firstLine="480" w:firstLineChars="20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pPr>
        <w:pStyle w:val="67"/>
        <w:spacing w:line="450" w:lineRule="exact"/>
        <w:jc w:val="both"/>
        <w:outlineLvl w:val="0"/>
        <w:rPr>
          <w:rFonts w:hAnsi="宋体"/>
          <w:b/>
          <w:color w:val="auto"/>
        </w:rPr>
      </w:pPr>
      <w:bookmarkStart w:id="27" w:name="_Toc283559951"/>
      <w:r>
        <w:rPr>
          <w:rFonts w:hAnsi="宋体"/>
          <w:b/>
          <w:color w:val="auto"/>
        </w:rPr>
        <w:t xml:space="preserve">2. </w:t>
      </w:r>
      <w:r>
        <w:rPr>
          <w:rFonts w:hint="eastAsia" w:hAnsi="宋体"/>
          <w:b/>
          <w:color w:val="auto"/>
        </w:rPr>
        <w:t>招标文件</w:t>
      </w:r>
      <w:bookmarkEnd w:id="27"/>
    </w:p>
    <w:p>
      <w:pPr>
        <w:autoSpaceDE w:val="0"/>
        <w:autoSpaceDN w:val="0"/>
        <w:spacing w:line="450" w:lineRule="exact"/>
        <w:jc w:val="left"/>
        <w:outlineLvl w:val="0"/>
        <w:rPr>
          <w:rFonts w:hAnsi="宋体" w:cs="宋体"/>
          <w:b/>
          <w:sz w:val="24"/>
        </w:rPr>
      </w:pPr>
      <w:bookmarkStart w:id="28" w:name="_Toc283559952"/>
      <w:r>
        <w:rPr>
          <w:rFonts w:hAnsi="宋体" w:cs="宋体"/>
          <w:b/>
          <w:sz w:val="24"/>
        </w:rPr>
        <w:t xml:space="preserve">2.1 </w:t>
      </w:r>
      <w:r>
        <w:rPr>
          <w:rFonts w:hint="eastAsia" w:hAnsi="宋体" w:cs="宋体"/>
          <w:b/>
          <w:sz w:val="24"/>
        </w:rPr>
        <w:t>招标文件的组成</w:t>
      </w:r>
      <w:bookmarkEnd w:id="28"/>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本招标文件包括：</w:t>
      </w:r>
    </w:p>
    <w:p>
      <w:pPr>
        <w:spacing w:line="450" w:lineRule="exact"/>
        <w:ind w:firstLine="410" w:firstLineChars="171"/>
        <w:rPr>
          <w:sz w:val="24"/>
        </w:rPr>
      </w:pPr>
      <w:r>
        <w:rPr>
          <w:rFonts w:hint="eastAsia"/>
          <w:sz w:val="24"/>
        </w:rPr>
        <w:t>（1）招标公告；</w:t>
      </w:r>
    </w:p>
    <w:p>
      <w:pPr>
        <w:spacing w:line="450" w:lineRule="exact"/>
        <w:ind w:firstLine="410" w:firstLineChars="171"/>
        <w:rPr>
          <w:sz w:val="24"/>
        </w:rPr>
      </w:pPr>
      <w:r>
        <w:rPr>
          <w:rFonts w:hint="eastAsia"/>
          <w:sz w:val="24"/>
        </w:rPr>
        <w:t>（2）投标人须知；</w:t>
      </w:r>
    </w:p>
    <w:p>
      <w:pPr>
        <w:spacing w:line="450" w:lineRule="exact"/>
        <w:ind w:firstLine="410" w:firstLineChars="171"/>
        <w:rPr>
          <w:sz w:val="24"/>
        </w:rPr>
      </w:pPr>
      <w:r>
        <w:rPr>
          <w:rFonts w:hint="eastAsia"/>
          <w:sz w:val="24"/>
        </w:rPr>
        <w:t>（3）评标办法；</w:t>
      </w:r>
    </w:p>
    <w:p>
      <w:pPr>
        <w:spacing w:line="450" w:lineRule="exact"/>
        <w:ind w:firstLine="410" w:firstLineChars="171"/>
        <w:rPr>
          <w:sz w:val="24"/>
        </w:rPr>
      </w:pPr>
      <w:r>
        <w:rPr>
          <w:rFonts w:hint="eastAsia"/>
          <w:sz w:val="24"/>
        </w:rPr>
        <w:t>（4）合同条款及格式；</w:t>
      </w:r>
    </w:p>
    <w:p>
      <w:pPr>
        <w:spacing w:line="450" w:lineRule="exact"/>
        <w:ind w:firstLine="410" w:firstLineChars="171"/>
        <w:rPr>
          <w:sz w:val="24"/>
        </w:rPr>
      </w:pPr>
      <w:r>
        <w:rPr>
          <w:rFonts w:hint="eastAsia"/>
          <w:sz w:val="24"/>
        </w:rPr>
        <w:t xml:space="preserve">（5）工程量清单； </w:t>
      </w:r>
    </w:p>
    <w:p>
      <w:pPr>
        <w:spacing w:line="450" w:lineRule="exact"/>
        <w:ind w:firstLine="410" w:firstLineChars="171"/>
        <w:rPr>
          <w:sz w:val="24"/>
        </w:rPr>
      </w:pPr>
      <w:r>
        <w:rPr>
          <w:rFonts w:hint="eastAsia"/>
          <w:sz w:val="24"/>
        </w:rPr>
        <w:t>（6）技术标准和要求；</w:t>
      </w:r>
    </w:p>
    <w:p>
      <w:pPr>
        <w:spacing w:line="450" w:lineRule="exact"/>
        <w:ind w:firstLine="410" w:firstLineChars="171"/>
        <w:rPr>
          <w:sz w:val="24"/>
        </w:rPr>
      </w:pPr>
      <w:r>
        <w:rPr>
          <w:rFonts w:hint="eastAsia"/>
          <w:sz w:val="24"/>
        </w:rPr>
        <w:t>（7）投标文件格式；</w:t>
      </w:r>
    </w:p>
    <w:p>
      <w:pPr>
        <w:spacing w:line="450" w:lineRule="exact"/>
        <w:ind w:firstLine="410" w:firstLineChars="171"/>
        <w:rPr>
          <w:sz w:val="24"/>
        </w:rPr>
      </w:pPr>
      <w:r>
        <w:rPr>
          <w:rFonts w:hint="eastAsia"/>
          <w:sz w:val="24"/>
        </w:rPr>
        <w:t>（8）投标人须知前附表规定的其他材料；</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根据本章第</w:t>
      </w:r>
      <w:r>
        <w:rPr>
          <w:rFonts w:hAnsi="宋体" w:cs="宋体"/>
          <w:sz w:val="24"/>
        </w:rPr>
        <w:t xml:space="preserve">2.2 </w:t>
      </w:r>
      <w:r>
        <w:rPr>
          <w:rFonts w:hint="eastAsia" w:hAnsi="宋体" w:cs="宋体"/>
          <w:sz w:val="24"/>
        </w:rPr>
        <w:t>款和第</w:t>
      </w:r>
      <w:r>
        <w:rPr>
          <w:rFonts w:hAnsi="宋体" w:cs="宋体"/>
          <w:sz w:val="24"/>
        </w:rPr>
        <w:t xml:space="preserve">2.3 </w:t>
      </w:r>
      <w:r>
        <w:rPr>
          <w:rFonts w:hint="eastAsia" w:hAnsi="宋体" w:cs="宋体"/>
          <w:sz w:val="24"/>
        </w:rPr>
        <w:t>款对招标文件所作的澄清、修改，构成招标文件的组成部分。</w:t>
      </w:r>
    </w:p>
    <w:p>
      <w:pPr>
        <w:autoSpaceDE w:val="0"/>
        <w:autoSpaceDN w:val="0"/>
        <w:spacing w:line="450" w:lineRule="exact"/>
        <w:jc w:val="left"/>
        <w:outlineLvl w:val="0"/>
        <w:rPr>
          <w:rFonts w:hAnsi="宋体" w:cs="宋体"/>
          <w:b/>
          <w:sz w:val="24"/>
        </w:rPr>
      </w:pPr>
      <w:bookmarkStart w:id="29" w:name="_Toc283559953"/>
      <w:r>
        <w:rPr>
          <w:rFonts w:hAnsi="宋体" w:cs="宋体"/>
          <w:b/>
          <w:sz w:val="24"/>
        </w:rPr>
        <w:t xml:space="preserve">2.2 </w:t>
      </w:r>
      <w:r>
        <w:rPr>
          <w:rFonts w:hint="eastAsia" w:hAnsi="宋体" w:cs="宋体"/>
          <w:b/>
          <w:sz w:val="24"/>
        </w:rPr>
        <w:t>招标文件的澄清</w:t>
      </w:r>
      <w:bookmarkEnd w:id="29"/>
    </w:p>
    <w:p>
      <w:pPr>
        <w:spacing w:line="450" w:lineRule="exact"/>
        <w:ind w:firstLine="410" w:firstLineChars="171"/>
        <w:rPr>
          <w:sz w:val="24"/>
        </w:rPr>
      </w:pPr>
      <w:bookmarkStart w:id="30"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pPr>
        <w:spacing w:line="450" w:lineRule="exact"/>
        <w:ind w:firstLine="410" w:firstLineChars="171"/>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spacing w:line="450" w:lineRule="exact"/>
        <w:ind w:firstLine="410" w:firstLineChars="171"/>
        <w:rPr>
          <w:sz w:val="24"/>
        </w:rPr>
      </w:pPr>
      <w:r>
        <w:rPr>
          <w:rFonts w:hint="eastAsia"/>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sz w:val="24"/>
        </w:rPr>
      </w:pPr>
      <w:r>
        <w:rPr>
          <w:rFonts w:hAnsi="宋体" w:cs="宋体"/>
          <w:b/>
          <w:sz w:val="24"/>
        </w:rPr>
        <w:t xml:space="preserve">2.3 </w:t>
      </w:r>
      <w:r>
        <w:rPr>
          <w:rFonts w:hint="eastAsia" w:hAnsi="宋体" w:cs="宋体"/>
          <w:b/>
          <w:sz w:val="24"/>
        </w:rPr>
        <w:t>招标文件的修改</w:t>
      </w:r>
      <w:bookmarkEnd w:id="30"/>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天前，招标人可以通过公共资源交易系统电子平台修改招标文件，如果修改招标文件的时间距投标截止时间不足</w:t>
      </w:r>
      <w:r>
        <w:rPr>
          <w:rFonts w:hAnsi="宋体" w:cs="宋体"/>
          <w:sz w:val="24"/>
        </w:rPr>
        <w:t xml:space="preserve">15 </w:t>
      </w:r>
      <w:r>
        <w:rPr>
          <w:rFonts w:hint="eastAsia" w:hAnsi="宋体" w:cs="宋体"/>
          <w:sz w:val="24"/>
        </w:rPr>
        <w:t>天，相应延长投标截止时间。</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31" w:name="_Toc179632564"/>
      <w:bookmarkStart w:id="32" w:name="_Toc152045546"/>
      <w:bookmarkStart w:id="33" w:name="_Toc144974514"/>
      <w:bookmarkStart w:id="34" w:name="_Toc152042322"/>
      <w:r>
        <w:rPr>
          <w:rFonts w:hint="eastAsia" w:hAnsi="宋体" w:cs="宋体"/>
          <w:b/>
          <w:sz w:val="24"/>
        </w:rPr>
        <w:t>3. 投标文件</w:t>
      </w:r>
      <w:bookmarkEnd w:id="31"/>
      <w:bookmarkEnd w:id="32"/>
      <w:bookmarkEnd w:id="33"/>
      <w:bookmarkEnd w:id="34"/>
    </w:p>
    <w:p>
      <w:pPr>
        <w:autoSpaceDE w:val="0"/>
        <w:autoSpaceDN w:val="0"/>
        <w:spacing w:line="420" w:lineRule="exact"/>
        <w:jc w:val="left"/>
        <w:outlineLvl w:val="0"/>
        <w:rPr>
          <w:rFonts w:hAnsi="宋体" w:cs="宋体"/>
          <w:b/>
          <w:sz w:val="24"/>
        </w:rPr>
      </w:pPr>
      <w:bookmarkStart w:id="35"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 综合（信用）标组成：</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（1）投标函；</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（2）投标函附录；</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（3）法定代表人身份证明、授权委托书；</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（4）投标保证金；</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（5）项目管理机构配备情况；</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（6）投标单位基本信息表；</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（7）资格证明文件；</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（8）正在施工的和新承接的项目情况；</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（9）其它材料。</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（1）内容完整性和编制水平；</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（2）施工方案和技术措施；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（3）质量管理体系与措施；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（4）安全管理体系与措施；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（5）环境保护管理体系与措施；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（6）工程进度计划与措施；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（7）拟投入资源配备计划；</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（8）施工进度表或施工网络图；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（9）施工总平面布置图；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（10）在节能减排、绿色施工（含扬尘治理）、工艺创新方面针对本工程有具体措施或企业自有创新技术；</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（11）新工艺、新技术、新设备、新材料的采用程度，其在确保质量、降低成本、缩短工期、减轻劳动强度、提高工效等方面的作用；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（12）企业具备信息化管理平台，能够使工程管理者对现场实施监控和数据处理。</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sz w:val="24"/>
          <w:szCs w:val="24"/>
        </w:rPr>
      </w:pPr>
      <w:bookmarkStart w:id="36" w:name="OLE_LINK21"/>
      <w:r>
        <w:rPr>
          <w:rFonts w:hint="eastAsia" w:hAnsi="宋体" w:cs="宋体"/>
          <w:b/>
          <w:sz w:val="24"/>
          <w:szCs w:val="24"/>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3.2.4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bookmarkEnd w:id="36"/>
    <w:p>
      <w:pPr>
        <w:autoSpaceDE w:val="0"/>
        <w:autoSpaceDN w:val="0"/>
        <w:spacing w:line="420" w:lineRule="exact"/>
        <w:jc w:val="left"/>
        <w:outlineLvl w:val="0"/>
        <w:rPr>
          <w:rFonts w:hAnsi="宋体" w:cs="宋体"/>
          <w:b/>
          <w:bCs/>
          <w:sz w:val="24"/>
        </w:rPr>
      </w:pPr>
      <w:r>
        <w:rPr>
          <w:rFonts w:hint="eastAsia" w:hAnsi="宋体" w:cs="宋体"/>
          <w:b/>
          <w:bCs/>
          <w:sz w:val="24"/>
        </w:rPr>
        <w:t>3.3 投标有效期</w:t>
      </w:r>
      <w:bookmarkEnd w:id="35"/>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3.3.1</w:t>
      </w:r>
      <w:r>
        <w:rPr>
          <w:rFonts w:hint="eastAsia" w:ascii="新宋体" w:hAnsi="新宋体" w:eastAsia="新宋体" w:cs="仿宋_GB2312"/>
          <w:sz w:val="24"/>
        </w:rPr>
        <w:t xml:space="preserve"> 在投标人须知前附表规定的投标有效期内，投标人不得要求撤销或修改其投标文件。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3.3.2</w:t>
      </w:r>
      <w:r>
        <w:rPr>
          <w:rFonts w:hint="eastAsia" w:ascii="新宋体" w:hAnsi="新宋体" w:eastAsia="新宋体" w:cs="仿宋_GB2312"/>
          <w:sz w:val="24"/>
        </w:rPr>
        <w:t xml:space="preserve"> 出现特殊情况需要延长投标有效期的，</w:t>
      </w:r>
      <w:r>
        <w:rPr>
          <w:rFonts w:hint="eastAsia" w:ascii="新宋体" w:hAnsi="新宋体" w:eastAsia="新宋体"/>
          <w:sz w:val="24"/>
        </w:rPr>
        <w:t>招标人在公共资源交易系统电子平台发出延长投标有效期的通知</w:t>
      </w:r>
      <w:r>
        <w:rPr>
          <w:rFonts w:hint="eastAsia" w:ascii="新宋体" w:hAnsi="新宋体" w:eastAsia="新宋体" w:cs="仿宋_GB2312"/>
          <w:sz w:val="24"/>
        </w:rPr>
        <w:t>。投标人同意延长的，应相应延长其投标保证金的有效期，但不得要求或被允许修改或撤销其投标文件；投标人拒绝延长的，其投标失效，但投标人有权收回其投标保证金。</w:t>
      </w:r>
    </w:p>
    <w:p>
      <w:pPr>
        <w:widowControl/>
        <w:autoSpaceDE w:val="0"/>
        <w:autoSpaceDN w:val="0"/>
        <w:adjustRightInd w:val="0"/>
        <w:spacing w:line="400" w:lineRule="exact"/>
        <w:jc w:val="left"/>
        <w:outlineLvl w:val="0"/>
        <w:rPr>
          <w:rFonts w:hAnsi="宋体" w:cs="宋体"/>
          <w:b/>
          <w:bCs/>
          <w:sz w:val="24"/>
        </w:rPr>
      </w:pPr>
      <w:r>
        <w:rPr>
          <w:rFonts w:hint="eastAsia" w:hAnsi="宋体" w:cs="宋体"/>
          <w:b/>
          <w:bCs/>
          <w:sz w:val="24"/>
        </w:rPr>
        <w:t>3.4 投标保证金</w:t>
      </w:r>
      <w:r>
        <w:rPr>
          <w:rFonts w:hint="eastAsia" w:hAnsi="宋体" w:cs="宋体"/>
          <w:b/>
          <w:bCs/>
          <w:sz w:val="24"/>
          <w:szCs w:val="22"/>
        </w:rPr>
        <w:t>（见附表）</w:t>
      </w:r>
    </w:p>
    <w:p>
      <w:pPr>
        <w:spacing w:line="380" w:lineRule="exact"/>
        <w:ind w:firstLine="480" w:firstLineChars="200"/>
        <w:rPr>
          <w:rFonts w:hAnsi="宋体" w:cs="宋体"/>
          <w:sz w:val="24"/>
        </w:rPr>
      </w:pPr>
      <w:bookmarkStart w:id="37" w:name="_Toc283559960"/>
      <w:r>
        <w:rPr>
          <w:rFonts w:hint="eastAsia" w:hAnsi="宋体" w:cs="宋体"/>
          <w:sz w:val="24"/>
        </w:rPr>
        <w:t>1、 投标保证金的退还：</w:t>
      </w:r>
    </w:p>
    <w:p>
      <w:pPr>
        <w:spacing w:line="380" w:lineRule="exact"/>
        <w:ind w:firstLine="480" w:firstLineChars="200"/>
        <w:rPr>
          <w:rFonts w:hAnsi="宋体" w:cs="宋体"/>
          <w:sz w:val="24"/>
        </w:rPr>
      </w:pPr>
      <w:r>
        <w:rPr>
          <w:rFonts w:hint="eastAsia" w:hAnsi="宋体" w:cs="宋体"/>
          <w:sz w:val="24"/>
        </w:rPr>
        <w:t>（1）中标公告发出后，5个工作日内退还非中标候选人投标保证金及银行同期活期存款利息。</w:t>
      </w:r>
    </w:p>
    <w:p>
      <w:pPr>
        <w:spacing w:line="380" w:lineRule="exact"/>
        <w:ind w:firstLine="480" w:firstLineChars="200"/>
        <w:rPr>
          <w:rFonts w:hAnsi="宋体" w:cs="宋体"/>
          <w:sz w:val="24"/>
        </w:rPr>
      </w:pPr>
      <w:r>
        <w:rPr>
          <w:rFonts w:hint="eastAsia" w:hAnsi="宋体" w:cs="宋体"/>
          <w:sz w:val="24"/>
        </w:rPr>
        <w:t>（2）在法定期限内签订书面合同，中标人执投标保证金退还申请表（单位加盖行政公章）及合同原件、履约保证金转帐凭证到中心业务部室办理退款手续，中心在5个工作日内向中标人和其他中标候选人退还投标保证金及银行同期活期存款利息。</w:t>
      </w:r>
    </w:p>
    <w:p>
      <w:pPr>
        <w:spacing w:line="380" w:lineRule="exact"/>
        <w:ind w:firstLine="480" w:firstLineChars="200"/>
        <w:rPr>
          <w:rFonts w:hAnsi="宋体" w:cs="宋体"/>
          <w:sz w:val="24"/>
        </w:rPr>
      </w:pPr>
      <w:r>
        <w:rPr>
          <w:rFonts w:hint="eastAsia" w:hAnsi="宋体" w:cs="宋体"/>
          <w:sz w:val="24"/>
        </w:rPr>
        <w:t>（3）项目废标或招标人终止招标的，在此后5个工作日内退还投标保证金及银行同期活期存利息。</w:t>
      </w:r>
    </w:p>
    <w:p>
      <w:pPr>
        <w:spacing w:line="380" w:lineRule="exact"/>
        <w:ind w:firstLine="480" w:firstLineChars="200"/>
        <w:rPr>
          <w:rFonts w:hAnsi="宋体" w:cs="宋体"/>
          <w:sz w:val="24"/>
        </w:rPr>
      </w:pPr>
      <w:r>
        <w:rPr>
          <w:rFonts w:hint="eastAsia" w:hAnsi="宋体" w:cs="宋体"/>
          <w:sz w:val="24"/>
        </w:rPr>
        <w:t>（4）投标活动中出现质疑、投诉的，中标候选人、质疑人和被质疑人、投诉人和被投诉人的投标保证金暂停退还。</w:t>
      </w:r>
    </w:p>
    <w:p>
      <w:pPr>
        <w:spacing w:line="380" w:lineRule="exact"/>
        <w:ind w:firstLine="480" w:firstLineChars="200"/>
        <w:rPr>
          <w:rFonts w:hAnsi="宋体" w:cs="宋体"/>
          <w:sz w:val="24"/>
        </w:rPr>
      </w:pPr>
      <w:r>
        <w:rPr>
          <w:rFonts w:hint="eastAsia" w:hAnsi="宋体" w:cs="宋体"/>
          <w:sz w:val="24"/>
        </w:rPr>
        <w:t>（5）相关投标人有违法违规行为的项目，其投标保证金暂不退还，待行政监督部门对相关情况处置后，按照有关规定办理。</w:t>
      </w:r>
    </w:p>
    <w:p>
      <w:pPr>
        <w:spacing w:line="380" w:lineRule="exact"/>
        <w:ind w:firstLine="480" w:firstLineChars="200"/>
        <w:rPr>
          <w:rFonts w:hAnsi="宋体" w:cs="宋体"/>
          <w:sz w:val="24"/>
        </w:rPr>
      </w:pPr>
      <w:r>
        <w:rPr>
          <w:rFonts w:hint="eastAsia" w:hAnsi="宋体" w:cs="宋体"/>
          <w:sz w:val="24"/>
        </w:rPr>
        <w:t>（6）退还投标保证金，除另有规定外，一般以转账方式一次性退还至投标保证金的原提交账户。</w:t>
      </w:r>
    </w:p>
    <w:p>
      <w:pPr>
        <w:spacing w:line="380" w:lineRule="exact"/>
        <w:ind w:firstLine="480" w:firstLineChars="200"/>
        <w:rPr>
          <w:rFonts w:hAnsi="宋体" w:cs="宋体"/>
          <w:sz w:val="24"/>
        </w:rPr>
      </w:pPr>
      <w:r>
        <w:rPr>
          <w:rFonts w:hint="eastAsia" w:hAnsi="宋体" w:cs="宋体"/>
          <w:sz w:val="24"/>
        </w:rPr>
        <w:t>2、投标人有下列情形之一的，不予退还投标保证金：</w:t>
      </w:r>
    </w:p>
    <w:p>
      <w:pPr>
        <w:spacing w:line="380" w:lineRule="exact"/>
        <w:ind w:firstLine="480" w:firstLineChars="200"/>
        <w:rPr>
          <w:rFonts w:hAnsi="宋体" w:cs="宋体"/>
          <w:sz w:val="24"/>
        </w:rPr>
      </w:pPr>
      <w:r>
        <w:rPr>
          <w:rFonts w:hint="eastAsia" w:hAnsi="宋体" w:cs="宋体"/>
          <w:sz w:val="24"/>
        </w:rPr>
        <w:t xml:space="preserve">（一）在招标文件要求提交投标文件的截止时间后至投标文件有效期满前撤回投标的； </w:t>
      </w:r>
    </w:p>
    <w:p>
      <w:pPr>
        <w:spacing w:line="380" w:lineRule="exact"/>
        <w:ind w:firstLine="480" w:firstLineChars="200"/>
        <w:rPr>
          <w:rFonts w:hAnsi="宋体" w:cs="宋体"/>
          <w:sz w:val="24"/>
        </w:rPr>
      </w:pPr>
      <w:r>
        <w:rPr>
          <w:rFonts w:hint="eastAsia" w:hAnsi="宋体" w:cs="宋体"/>
          <w:sz w:val="24"/>
        </w:rPr>
        <w:t xml:space="preserve">（二）中标通知书发出后，中标人无故放弃中标项目或无正当理由在规定时间内不与招标人签订合同或未按招标文件规定提交履约担保的； </w:t>
      </w:r>
    </w:p>
    <w:p>
      <w:pPr>
        <w:spacing w:line="380" w:lineRule="exact"/>
        <w:ind w:firstLine="480" w:firstLineChars="200"/>
        <w:rPr>
          <w:rFonts w:hAnsi="宋体" w:cs="宋体"/>
          <w:sz w:val="24"/>
        </w:rPr>
      </w:pPr>
      <w:r>
        <w:rPr>
          <w:rFonts w:hint="eastAsia" w:hAnsi="宋体" w:cs="宋体"/>
          <w:sz w:val="24"/>
        </w:rPr>
        <w:t xml:space="preserve">（三）将中标项目转让给他人，或者在投标文件中未说明，且未经招标人同意，将中标项目分包给他人的； </w:t>
      </w:r>
    </w:p>
    <w:p>
      <w:pPr>
        <w:spacing w:line="380" w:lineRule="exact"/>
        <w:ind w:firstLine="480" w:firstLineChars="200"/>
        <w:rPr>
          <w:rFonts w:hAnsi="宋体" w:cs="宋体"/>
          <w:sz w:val="24"/>
        </w:rPr>
      </w:pPr>
      <w:r>
        <w:rPr>
          <w:rFonts w:hint="eastAsia" w:hAnsi="宋体" w:cs="宋体"/>
          <w:sz w:val="24"/>
        </w:rPr>
        <w:t xml:space="preserve">（四）投标人在招投标活动中弄虚作假、围标串标，骗取中标并经招投标行政监督部门调查核实的； </w:t>
      </w:r>
    </w:p>
    <w:p>
      <w:pPr>
        <w:spacing w:line="380" w:lineRule="exact"/>
        <w:ind w:firstLine="480" w:firstLineChars="200"/>
        <w:rPr>
          <w:rFonts w:hAnsi="宋体" w:cs="宋体"/>
          <w:sz w:val="24"/>
        </w:rPr>
      </w:pPr>
      <w:r>
        <w:rPr>
          <w:rFonts w:hint="eastAsia" w:hAnsi="宋体" w:cs="宋体"/>
          <w:sz w:val="24"/>
        </w:rPr>
        <w:t>（五）拒绝履行合同义务的；</w:t>
      </w:r>
    </w:p>
    <w:p>
      <w:pPr>
        <w:spacing w:line="380" w:lineRule="exact"/>
        <w:ind w:firstLine="480" w:firstLineChars="200"/>
        <w:rPr>
          <w:rFonts w:hAnsi="宋体" w:cs="宋体"/>
          <w:sz w:val="24"/>
        </w:rPr>
      </w:pPr>
      <w:r>
        <w:rPr>
          <w:rFonts w:hint="eastAsia" w:hAnsi="宋体" w:cs="宋体"/>
          <w:sz w:val="24"/>
        </w:rPr>
        <w:t>（六）相关法律、法规规定不予退还的其它情形。</w:t>
      </w:r>
    </w:p>
    <w:p>
      <w:pPr>
        <w:spacing w:line="380" w:lineRule="exact"/>
        <w:ind w:firstLine="480" w:firstLineChars="200"/>
        <w:rPr>
          <w:rFonts w:hAnsi="宋体" w:cs="宋体"/>
          <w:sz w:val="24"/>
        </w:rPr>
      </w:pPr>
      <w:r>
        <w:rPr>
          <w:rFonts w:hint="eastAsia" w:hAnsi="宋体" w:cs="宋体"/>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tabs>
          <w:tab w:val="left" w:pos="1260"/>
        </w:tabs>
        <w:autoSpaceDE w:val="0"/>
        <w:autoSpaceDN w:val="0"/>
        <w:adjustRightInd w:val="0"/>
        <w:spacing w:line="460" w:lineRule="exact"/>
        <w:jc w:val="left"/>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3.5.1 “投标人基本情况表”应附投标人营业执照副本等材料的原件扫描件。</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3.5.2 “近年财务状况表”应附经会计师事务所或审计机构审计的财务会计报表，包括资产负债表、现金流量表、利润表和财务情况说明书的原件扫描件，具体年份要求见投标人须知前附表。</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 xml:space="preserve"> 3.5.4 “正在施工和新承接的项目情况表”应附合同协议书的原件扫描件。每张表格只填写一个项目，并标明序号。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hAnsi="宋体" w:cs="宋体"/>
          <w:sz w:val="24"/>
          <w:lang w:val="zh-CN"/>
        </w:rPr>
        <w:t xml:space="preserve"> 3.5.5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38" w:name="_Toc144974521"/>
      <w:bookmarkStart w:id="39" w:name="_Toc152042329"/>
      <w:bookmarkStart w:id="40" w:name="_Toc152045553"/>
      <w:bookmarkStart w:id="41" w:name="_Toc179632571"/>
      <w:r>
        <w:rPr>
          <w:rFonts w:hint="eastAsia" w:hAnsi="宋体" w:cs="宋体"/>
          <w:b/>
          <w:sz w:val="24"/>
        </w:rPr>
        <w:t>备选投标方案</w:t>
      </w:r>
    </w:p>
    <w:bookmarkEnd w:id="38"/>
    <w:bookmarkEnd w:id="39"/>
    <w:bookmarkEnd w:id="40"/>
    <w:bookmarkEnd w:id="41"/>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bookmarkEnd w:id="37"/>
    <w:p>
      <w:pPr>
        <w:autoSpaceDE w:val="0"/>
        <w:autoSpaceDN w:val="0"/>
        <w:spacing w:line="440" w:lineRule="exact"/>
        <w:jc w:val="left"/>
        <w:rPr>
          <w:rFonts w:hAnsi="宋体" w:cs="宋体"/>
          <w:b/>
          <w:sz w:val="24"/>
        </w:rPr>
      </w:pPr>
      <w:bookmarkStart w:id="42" w:name="_Toc283559961"/>
      <w:r>
        <w:rPr>
          <w:rFonts w:hint="eastAsia" w:hAnsi="宋体" w:cs="宋体"/>
          <w:b/>
          <w:sz w:val="24"/>
        </w:rPr>
        <w:t>3.7 投标文件的编制</w:t>
      </w:r>
    </w:p>
    <w:p>
      <w:pPr>
        <w:spacing w:line="400" w:lineRule="exact"/>
        <w:ind w:firstLine="480" w:firstLineChars="200"/>
        <w:rPr>
          <w:rFonts w:hAnsi="宋体" w:cs="宋体"/>
          <w:sz w:val="24"/>
        </w:rPr>
      </w:pPr>
      <w:r>
        <w:rPr>
          <w:rFonts w:hint="eastAsia" w:hAnsi="宋体" w:cs="宋体"/>
          <w:sz w:val="24"/>
        </w:rPr>
        <w:t>3.7.1 投标文件应按第七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投标人编制的投标文件应分为商务标、综合（信用）标和技术标。</w:t>
      </w:r>
    </w:p>
    <w:p>
      <w:pPr>
        <w:tabs>
          <w:tab w:val="left" w:pos="7095"/>
        </w:tabs>
        <w:spacing w:line="360" w:lineRule="auto"/>
        <w:ind w:firstLine="480" w:firstLineChars="200"/>
        <w:rPr>
          <w:rFonts w:hAnsi="宋体"/>
          <w:color w:val="000000"/>
          <w:sz w:val="24"/>
          <w:szCs w:val="24"/>
        </w:rPr>
      </w:pPr>
      <w:r>
        <w:rPr>
          <w:rFonts w:hint="eastAsia" w:hAnsi="宋体" w:cs="宋体"/>
          <w:sz w:val="24"/>
        </w:rPr>
        <w:t xml:space="preserve">3.7.4 </w:t>
      </w:r>
      <w:r>
        <w:rPr>
          <w:rFonts w:hint="eastAsia" w:hAnsi="宋体"/>
          <w:color w:val="000000"/>
          <w:sz w:val="24"/>
          <w:szCs w:val="24"/>
        </w:rPr>
        <w:t>投标人登录许昌公共资源交易系统下载“许昌投标文件制作系统SEARUN V1.1”，按招标文件要求制作电子投标文件（包括含工程量清单的商务标投标文件）。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3.7.5 使用电子介质存储的备份文件1份。</w:t>
      </w:r>
    </w:p>
    <w:p>
      <w:pPr>
        <w:autoSpaceDE w:val="0"/>
        <w:autoSpaceDN w:val="0"/>
        <w:spacing w:line="440" w:lineRule="exact"/>
        <w:ind w:firstLine="480" w:firstLineChars="200"/>
        <w:jc w:val="left"/>
        <w:outlineLvl w:val="0"/>
        <w:rPr>
          <w:rFonts w:hAnsi="宋体" w:cs="宋体"/>
          <w:b/>
          <w:sz w:val="24"/>
        </w:rPr>
      </w:pPr>
      <w:r>
        <w:rPr>
          <w:rFonts w:hint="eastAsia" w:hAnsi="宋体" w:cs="宋体"/>
          <w:sz w:val="24"/>
        </w:rPr>
        <w:t>3.7.6 同时生成与电子投标文件内容、水印码、</w:t>
      </w:r>
      <w:r>
        <w:rPr>
          <w:rFonts w:hint="eastAsia" w:hAnsi="宋体" w:cs="宋体"/>
          <w:b/>
          <w:sz w:val="24"/>
        </w:rPr>
        <w:t>电子签章</w:t>
      </w:r>
      <w:r>
        <w:rPr>
          <w:rFonts w:hint="eastAsia" w:hAnsi="宋体" w:cs="宋体"/>
          <w:sz w:val="24"/>
        </w:rPr>
        <w:t>一致的PDF文件,用于打印纸质文件。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3.7.7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w:t>
      </w:r>
      <w:r>
        <w:rPr>
          <w:rFonts w:hint="eastAsia" w:hAnsi="宋体" w:cs="宋体"/>
          <w:b/>
          <w:bCs/>
          <w:sz w:val="24"/>
        </w:rPr>
        <w:t>改动之处应加盖单位公章或由投标人的法定代表人或其授权的代理人签字确认。</w:t>
      </w:r>
      <w:r>
        <w:rPr>
          <w:rFonts w:hint="eastAsia" w:hAnsi="宋体" w:cs="宋体"/>
          <w:sz w:val="24"/>
        </w:rPr>
        <w:t>签字或盖章的具体要求见投标人须知前附表。</w:t>
      </w:r>
    </w:p>
    <w:p>
      <w:pPr>
        <w:autoSpaceDE w:val="0"/>
        <w:autoSpaceDN w:val="0"/>
        <w:adjustRightInd w:val="0"/>
        <w:spacing w:line="360" w:lineRule="auto"/>
        <w:ind w:firstLine="480"/>
        <w:rPr>
          <w:rFonts w:hAnsi="宋体" w:cs="宋体"/>
          <w:bCs/>
          <w:sz w:val="24"/>
        </w:rPr>
      </w:pPr>
      <w:r>
        <w:rPr>
          <w:rFonts w:hint="eastAsia" w:hAnsi="宋体" w:cs="宋体"/>
          <w:sz w:val="24"/>
        </w:rPr>
        <w:t>3.7.8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3.7.9 纸质投标文件的正本与副本应分别装订成册，并编制目录，具体装订要求见投标人须知前附表规定。</w:t>
      </w:r>
    </w:p>
    <w:p>
      <w:pPr>
        <w:autoSpaceDE w:val="0"/>
        <w:autoSpaceDN w:val="0"/>
        <w:spacing w:line="440" w:lineRule="exact"/>
        <w:jc w:val="left"/>
        <w:rPr>
          <w:rFonts w:hAnsi="宋体" w:cs="宋体"/>
          <w:b/>
          <w:sz w:val="24"/>
        </w:rPr>
      </w:pPr>
      <w:r>
        <w:rPr>
          <w:rFonts w:hint="eastAsia" w:hAnsi="宋体" w:cs="宋体"/>
          <w:b/>
          <w:sz w:val="24"/>
        </w:rPr>
        <w:t xml:space="preserve">    3.7.10 商务标投标文件制作注意事项：</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3.7.10.1 投标人登录【全国公共资源交易平台（河南省·许昌市）】公共资源交易系统下载“许昌投标文件制作系统SEARUN V1.1” 和操作手册（工程项目），按招标文件要求制作商务标投标文件。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3.7.10.2 商务标投标文件制作技术咨询：0374-2961598。</w:t>
      </w:r>
    </w:p>
    <w:p>
      <w:pPr>
        <w:pStyle w:val="67"/>
        <w:spacing w:line="480" w:lineRule="exact"/>
        <w:jc w:val="both"/>
        <w:outlineLvl w:val="0"/>
        <w:rPr>
          <w:rFonts w:hAnsi="宋体"/>
          <w:b/>
          <w:color w:val="auto"/>
        </w:rPr>
      </w:pPr>
      <w:r>
        <w:rPr>
          <w:rFonts w:hAnsi="宋体"/>
          <w:b/>
          <w:color w:val="auto"/>
        </w:rPr>
        <w:t xml:space="preserve">4. </w:t>
      </w:r>
      <w:r>
        <w:rPr>
          <w:rFonts w:hint="eastAsia" w:hAnsi="宋体"/>
          <w:b/>
          <w:color w:val="auto"/>
        </w:rPr>
        <w:t>投标</w:t>
      </w:r>
      <w:bookmarkEnd w:id="42"/>
    </w:p>
    <w:p>
      <w:pPr>
        <w:autoSpaceDE w:val="0"/>
        <w:autoSpaceDN w:val="0"/>
        <w:adjustRightInd w:val="0"/>
        <w:spacing w:line="440" w:lineRule="exact"/>
        <w:jc w:val="left"/>
        <w:outlineLvl w:val="0"/>
        <w:rPr>
          <w:rFonts w:hAnsi="宋体" w:cs="宋体"/>
          <w:b/>
          <w:sz w:val="24"/>
        </w:rPr>
      </w:pPr>
      <w:bookmarkStart w:id="43" w:name="_Toc283559962"/>
      <w:r>
        <w:rPr>
          <w:rFonts w:hAnsi="宋体" w:cs="宋体"/>
          <w:b/>
          <w:sz w:val="24"/>
        </w:rPr>
        <w:t xml:space="preserve">4.1 </w:t>
      </w:r>
      <w:r>
        <w:rPr>
          <w:rFonts w:hint="eastAsia" w:hAnsi="宋体" w:cs="宋体"/>
          <w:b/>
          <w:sz w:val="24"/>
        </w:rPr>
        <w:t>投标文件的密封和标记</w:t>
      </w:r>
      <w:bookmarkEnd w:id="43"/>
    </w:p>
    <w:p>
      <w:pPr>
        <w:autoSpaceDE w:val="0"/>
        <w:autoSpaceDN w:val="0"/>
        <w:spacing w:line="440" w:lineRule="exact"/>
        <w:ind w:firstLine="480" w:firstLineChars="200"/>
        <w:jc w:val="left"/>
        <w:outlineLvl w:val="0"/>
        <w:rPr>
          <w:rFonts w:hAnsi="宋体" w:cs="宋体"/>
          <w:sz w:val="24"/>
        </w:rPr>
      </w:pPr>
      <w:bookmarkStart w:id="44" w:name="_Toc283559963"/>
      <w:r>
        <w:rPr>
          <w:rFonts w:hint="eastAsia" w:hAnsi="宋体" w:cs="宋体"/>
          <w:sz w:val="24"/>
        </w:rPr>
        <w:t>4.1.1 纸质投标文件的正本、副本应分开包装，最后把包装好的正本与副本包装在一个包装内，加贴封条，并在封套的封口处加盖投标人公章，</w:t>
      </w:r>
      <w:r>
        <w:rPr>
          <w:rFonts w:hint="eastAsia" w:hAnsi="宋体" w:cs="宋体"/>
          <w:sz w:val="24"/>
          <w:szCs w:val="22"/>
        </w:rPr>
        <w:t>法定代表人或委托代理人签名,</w:t>
      </w:r>
      <w:r>
        <w:rPr>
          <w:rFonts w:hint="eastAsia" w:hAnsi="宋体" w:cs="宋体"/>
          <w:sz w:val="24"/>
        </w:rPr>
        <w:t>密封不符合要求的不予受理。</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4.1.2 投标文件的封套上应写明的其他内容见投标人须知前附表。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4.1.3 使用电子介质存储的投标文件应单独密封，封套上写明“投标人名称、项目名称、标段，在  年  月  日  时  分前不得开启”，并加盖单位公章，法定代表人或委托代理人签名，在投标截止时间前随纸质投标文件一并递交。</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4.1.4 未按本章第4.1.1项、第4.1.2项、第4.1.3项要求密封和加写标记的投标文件，招标人不予受理。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4.2 </w:t>
      </w:r>
      <w:r>
        <w:rPr>
          <w:rFonts w:hint="eastAsia" w:hAnsi="宋体" w:cs="宋体"/>
          <w:b/>
          <w:sz w:val="24"/>
        </w:rPr>
        <w:t>投标文件的提交</w:t>
      </w:r>
      <w:bookmarkEnd w:id="44"/>
    </w:p>
    <w:p>
      <w:pPr>
        <w:autoSpaceDE w:val="0"/>
        <w:autoSpaceDN w:val="0"/>
        <w:spacing w:line="440" w:lineRule="exact"/>
        <w:ind w:firstLine="480" w:firstLineChars="200"/>
        <w:jc w:val="left"/>
        <w:outlineLvl w:val="0"/>
        <w:rPr>
          <w:rFonts w:hAnsi="宋体" w:cs="宋体"/>
          <w:sz w:val="24"/>
        </w:rPr>
      </w:pPr>
      <w:bookmarkStart w:id="45" w:name="_Toc283559964"/>
      <w:r>
        <w:rPr>
          <w:rFonts w:hint="eastAsia" w:hAnsi="宋体" w:cs="宋体"/>
          <w:sz w:val="24"/>
        </w:rPr>
        <w:t>4.2.1 投标人应在投标人须知前附表中规定的投标截止时间前成功上传电子投标文件和现场提交纸质投标文件、电子介质存储的投标文件。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4.2.2 投标人提交纸质投标文件及电子介质存储的投标文件地点：见投标人须知前附表。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4.2.3 除投标人须知前附表另有规定外，投标人所提交的电子投标文件、纸质投标文件及电子介质存储的投标文件不予退还。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4.2.4 逾期送达的或者未送达指定地点的纸质投标文件、电子介质存储的投标文件，招标人不予受理。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4.3 </w:t>
      </w:r>
      <w:r>
        <w:rPr>
          <w:rFonts w:hint="eastAsia" w:hAnsi="宋体" w:cs="宋体"/>
          <w:b/>
          <w:sz w:val="24"/>
        </w:rPr>
        <w:t>投标文件的修改与撤回</w:t>
      </w:r>
      <w:bookmarkEnd w:id="4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4.3.1 在本章第2.2.2 项规定的投标截止时间前，投标人可以修改或撤回已提交的投标文件，纸质投标文件的修改或撤回应以书面形式通知招标人。</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4.3.2 投标人修改或撤回已提交纸质投标文件的书面通知应按照投标人须知前附表第3.7.3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4.3.3 修改的内容为投标文件的组成部分。修改的纸质投标文件应按照本章第3条、第4条规定进行编制、密封、标记和提交，并标明“修改”字样。</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pStyle w:val="67"/>
        <w:spacing w:line="440" w:lineRule="exact"/>
        <w:jc w:val="both"/>
        <w:outlineLvl w:val="0"/>
        <w:rPr>
          <w:rFonts w:hAnsi="宋体"/>
          <w:b/>
          <w:color w:val="auto"/>
        </w:rPr>
      </w:pPr>
      <w:bookmarkStart w:id="46" w:name="_Toc283559967"/>
      <w:r>
        <w:rPr>
          <w:rFonts w:hAnsi="宋体"/>
          <w:b/>
          <w:color w:val="auto"/>
        </w:rPr>
        <w:t xml:space="preserve">5. </w:t>
      </w:r>
      <w:r>
        <w:rPr>
          <w:rFonts w:hint="eastAsia" w:hAnsi="宋体"/>
          <w:b/>
          <w:color w:val="auto"/>
        </w:rPr>
        <w:t>开标</w:t>
      </w:r>
      <w:bookmarkEnd w:id="46"/>
    </w:p>
    <w:p>
      <w:pPr>
        <w:autoSpaceDE w:val="0"/>
        <w:autoSpaceDN w:val="0"/>
        <w:adjustRightInd w:val="0"/>
        <w:spacing w:line="440" w:lineRule="exact"/>
        <w:jc w:val="left"/>
        <w:outlineLvl w:val="0"/>
        <w:rPr>
          <w:rFonts w:hAnsi="宋体" w:cs="宋体"/>
          <w:b/>
          <w:sz w:val="24"/>
        </w:rPr>
      </w:pPr>
      <w:bookmarkStart w:id="47" w:name="_Toc283559968"/>
      <w:r>
        <w:rPr>
          <w:rFonts w:hAnsi="宋体" w:cs="宋体"/>
          <w:b/>
          <w:sz w:val="24"/>
        </w:rPr>
        <w:t xml:space="preserve">5.1 </w:t>
      </w:r>
      <w:r>
        <w:rPr>
          <w:rFonts w:hint="eastAsia" w:hAnsi="宋体" w:cs="宋体"/>
          <w:b/>
          <w:sz w:val="24"/>
        </w:rPr>
        <w:t>开标时间和地点</w:t>
      </w:r>
      <w:bookmarkEnd w:id="47"/>
    </w:p>
    <w:p>
      <w:pPr>
        <w:spacing w:line="400" w:lineRule="exact"/>
        <w:ind w:firstLine="480" w:firstLineChars="200"/>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招标人在投标人须知前附表第2.2.2项规定的投标截止时间（开标时间）和投标人须知前附表规定的地点公开开标，并邀请所有投标人的法定代表人或授权委托人准时参加。</w:t>
      </w:r>
    </w:p>
    <w:p>
      <w:pPr>
        <w:autoSpaceDE w:val="0"/>
        <w:autoSpaceDN w:val="0"/>
        <w:adjustRightInd w:val="0"/>
        <w:spacing w:line="440" w:lineRule="exact"/>
        <w:jc w:val="left"/>
        <w:rPr>
          <w:rFonts w:hAnsi="宋体" w:cs="宋体"/>
          <w:b/>
          <w:sz w:val="24"/>
        </w:rPr>
      </w:pPr>
      <w:bookmarkStart w:id="48" w:name="_Toc283559970"/>
      <w:r>
        <w:rPr>
          <w:rFonts w:hint="eastAsia" w:hAnsi="宋体" w:cs="宋体"/>
          <w:b/>
          <w:sz w:val="24"/>
        </w:rPr>
        <w:t>5.2 开标、解密、唱标程序</w:t>
      </w:r>
    </w:p>
    <w:p>
      <w:pPr>
        <w:spacing w:line="400" w:lineRule="exact"/>
        <w:ind w:firstLine="480" w:firstLineChars="200"/>
        <w:rPr>
          <w:rFonts w:hAnsi="宋体" w:cs="宋体"/>
          <w:sz w:val="24"/>
        </w:rPr>
      </w:pPr>
      <w:r>
        <w:rPr>
          <w:rFonts w:hint="eastAsia" w:hAnsi="宋体" w:cs="宋体"/>
          <w:sz w:val="24"/>
        </w:rPr>
        <w:t>5.2.1主持人按下列程序进行开标：</w:t>
      </w:r>
    </w:p>
    <w:p>
      <w:pPr>
        <w:spacing w:line="40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（4）电子投标文件解密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400" w:lineRule="exact"/>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）因电子交易系统异常无法解密电子投标文件的，使用纸质投标文件，以人工方式进行。</w:t>
      </w:r>
    </w:p>
    <w:p>
      <w:pPr>
        <w:spacing w:line="360" w:lineRule="auto"/>
        <w:ind w:firstLine="480" w:firstLineChars="200"/>
        <w:rPr>
          <w:rFonts w:hAnsi="宋体"/>
          <w:sz w:val="24"/>
          <w:szCs w:val="24"/>
        </w:rPr>
      </w:pPr>
      <w:r>
        <w:rPr>
          <w:rFonts w:hint="eastAsia" w:hAnsi="宋体"/>
          <w:sz w:val="24"/>
          <w:szCs w:val="24"/>
        </w:rPr>
        <w:t>（2）因投标人原因电子投标文件解密失败的，</w:t>
      </w:r>
      <w:r>
        <w:rPr>
          <w:rFonts w:hint="eastAsia" w:hAnsi="宋体" w:cs="宋体"/>
          <w:sz w:val="24"/>
        </w:rPr>
        <w:t>由系统技术人员协助投标人将备份文件（电子介质储存）导入系统。若备份文件（电子介质存储）无法导入系统或导入系统仍无法解密的，视为</w:t>
      </w:r>
      <w:r>
        <w:rPr>
          <w:rFonts w:hint="eastAsia" w:hAnsi="宋体"/>
          <w:sz w:val="24"/>
          <w:szCs w:val="24"/>
        </w:rPr>
        <w:t>投标人撤销其投标文件。</w:t>
      </w:r>
    </w:p>
    <w:p>
      <w:pPr>
        <w:pStyle w:val="67"/>
        <w:spacing w:line="440" w:lineRule="exact"/>
        <w:jc w:val="both"/>
        <w:outlineLvl w:val="0"/>
        <w:rPr>
          <w:rFonts w:hAnsi="宋体"/>
          <w:b/>
          <w:color w:val="auto"/>
        </w:rPr>
      </w:pPr>
      <w:r>
        <w:rPr>
          <w:rFonts w:hAnsi="宋体"/>
          <w:b/>
          <w:color w:val="auto"/>
        </w:rPr>
        <w:t xml:space="preserve">6. </w:t>
      </w:r>
      <w:r>
        <w:rPr>
          <w:rFonts w:hint="eastAsia" w:hAnsi="宋体"/>
          <w:b/>
          <w:color w:val="auto"/>
        </w:rPr>
        <w:t>评标</w:t>
      </w:r>
      <w:bookmarkEnd w:id="48"/>
    </w:p>
    <w:p>
      <w:pPr>
        <w:autoSpaceDE w:val="0"/>
        <w:autoSpaceDN w:val="0"/>
        <w:adjustRightInd w:val="0"/>
        <w:spacing w:line="440" w:lineRule="exact"/>
        <w:jc w:val="left"/>
        <w:outlineLvl w:val="0"/>
        <w:rPr>
          <w:rFonts w:hAnsi="宋体" w:cs="宋体"/>
          <w:b/>
          <w:sz w:val="24"/>
        </w:rPr>
      </w:pPr>
      <w:bookmarkStart w:id="49" w:name="_Toc283559971"/>
      <w:r>
        <w:rPr>
          <w:rFonts w:hAnsi="宋体" w:cs="宋体"/>
          <w:b/>
          <w:sz w:val="24"/>
        </w:rPr>
        <w:t xml:space="preserve">6.1 </w:t>
      </w:r>
      <w:r>
        <w:rPr>
          <w:rFonts w:hint="eastAsia" w:hAnsi="宋体" w:cs="宋体"/>
          <w:b/>
          <w:sz w:val="24"/>
        </w:rPr>
        <w:t>评标委员会</w:t>
      </w:r>
      <w:bookmarkEnd w:id="49"/>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6.1.1 </w:t>
      </w:r>
      <w:r>
        <w:rPr>
          <w:rFonts w:hint="eastAsia" w:hAnsi="宋体" w:cs="宋体"/>
          <w:sz w:val="24"/>
        </w:rPr>
        <w:t>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）招标人或投标人的主要负责人的近亲属；</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autoSpaceDE w:val="0"/>
        <w:autoSpaceDN w:val="0"/>
        <w:spacing w:line="440" w:lineRule="exact"/>
        <w:ind w:firstLine="480" w:firstLineChars="200"/>
        <w:jc w:val="left"/>
        <w:outlineLvl w:val="0"/>
        <w:rPr>
          <w:rFonts w:hAnsi="宋体" w:cs="宋体"/>
          <w:color w:val="0000FF"/>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autoSpaceDE w:val="0"/>
        <w:autoSpaceDN w:val="0"/>
        <w:spacing w:line="440" w:lineRule="exact"/>
        <w:jc w:val="left"/>
        <w:outlineLvl w:val="0"/>
        <w:rPr>
          <w:rFonts w:hAnsi="宋体" w:cs="宋体"/>
          <w:b/>
          <w:sz w:val="24"/>
        </w:rPr>
      </w:pPr>
      <w:bookmarkStart w:id="50" w:name="_Toc283559972"/>
      <w:r>
        <w:rPr>
          <w:rFonts w:hAnsi="宋体" w:cs="宋体"/>
          <w:b/>
          <w:sz w:val="24"/>
        </w:rPr>
        <w:t xml:space="preserve">6.2 </w:t>
      </w:r>
      <w:r>
        <w:rPr>
          <w:rFonts w:hint="eastAsia" w:hAnsi="宋体" w:cs="宋体"/>
          <w:b/>
          <w:sz w:val="24"/>
        </w:rPr>
        <w:t>评标原则</w:t>
      </w:r>
      <w:bookmarkEnd w:id="50"/>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outlineLvl w:val="0"/>
        <w:rPr>
          <w:rFonts w:hAnsi="宋体" w:cs="宋体"/>
          <w:b/>
          <w:sz w:val="24"/>
        </w:rPr>
      </w:pPr>
      <w:bookmarkStart w:id="51" w:name="_Toc283559973"/>
      <w:r>
        <w:rPr>
          <w:rFonts w:hAnsi="宋体" w:cs="宋体"/>
          <w:b/>
          <w:sz w:val="24"/>
        </w:rPr>
        <w:t xml:space="preserve">6.3 </w:t>
      </w:r>
      <w:r>
        <w:rPr>
          <w:rFonts w:hint="eastAsia" w:hAnsi="宋体" w:cs="宋体"/>
          <w:b/>
          <w:sz w:val="24"/>
        </w:rPr>
        <w:t>评标</w:t>
      </w:r>
      <w:bookmarkEnd w:id="5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67"/>
        <w:spacing w:line="440" w:lineRule="exact"/>
        <w:jc w:val="both"/>
        <w:outlineLvl w:val="0"/>
        <w:rPr>
          <w:rFonts w:hAnsi="宋体"/>
          <w:b/>
          <w:color w:val="auto"/>
        </w:rPr>
      </w:pPr>
      <w:bookmarkStart w:id="52" w:name="_Toc283559974"/>
      <w:r>
        <w:rPr>
          <w:rFonts w:hAnsi="宋体"/>
          <w:b/>
          <w:color w:val="auto"/>
        </w:rPr>
        <w:t xml:space="preserve">7. </w:t>
      </w:r>
      <w:r>
        <w:rPr>
          <w:rFonts w:hint="eastAsia" w:hAnsi="宋体"/>
          <w:b/>
          <w:color w:val="auto"/>
        </w:rPr>
        <w:t>合同授予</w:t>
      </w:r>
      <w:bookmarkEnd w:id="52"/>
    </w:p>
    <w:p>
      <w:pPr>
        <w:autoSpaceDE w:val="0"/>
        <w:autoSpaceDN w:val="0"/>
        <w:spacing w:line="440" w:lineRule="exact"/>
        <w:jc w:val="left"/>
        <w:outlineLvl w:val="0"/>
        <w:rPr>
          <w:rFonts w:hAnsi="宋体" w:cs="宋体"/>
          <w:b/>
          <w:sz w:val="24"/>
        </w:rPr>
      </w:pPr>
      <w:bookmarkStart w:id="53" w:name="_Toc283559975"/>
      <w:r>
        <w:rPr>
          <w:rFonts w:hAnsi="宋体" w:cs="宋体"/>
          <w:b/>
          <w:sz w:val="24"/>
        </w:rPr>
        <w:t xml:space="preserve">7.1 </w:t>
      </w:r>
      <w:r>
        <w:rPr>
          <w:rFonts w:hint="eastAsia" w:hAnsi="宋体" w:cs="宋体"/>
          <w:b/>
          <w:sz w:val="24"/>
        </w:rPr>
        <w:t>定标方式</w:t>
      </w:r>
      <w:bookmarkEnd w:id="53"/>
    </w:p>
    <w:p>
      <w:pPr>
        <w:spacing w:line="400" w:lineRule="exact"/>
        <w:ind w:firstLine="480" w:firstLineChars="20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sz w:val="24"/>
        </w:rPr>
      </w:pPr>
      <w:bookmarkStart w:id="54" w:name="_Toc283559976"/>
      <w:r>
        <w:rPr>
          <w:rFonts w:hAnsi="宋体" w:cs="宋体"/>
          <w:b/>
          <w:sz w:val="24"/>
        </w:rPr>
        <w:t>7.</w:t>
      </w:r>
      <w:r>
        <w:rPr>
          <w:rFonts w:hint="eastAsia" w:hAnsi="宋体" w:cs="宋体"/>
          <w:b/>
          <w:sz w:val="24"/>
        </w:rPr>
        <w:t>2中标通知</w:t>
      </w:r>
      <w:bookmarkEnd w:id="54"/>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在本章第</w:t>
      </w:r>
      <w:r>
        <w:rPr>
          <w:rFonts w:hAnsi="宋体" w:cs="宋体"/>
          <w:sz w:val="24"/>
        </w:rPr>
        <w:t xml:space="preserve">3.3 </w:t>
      </w:r>
      <w:r>
        <w:rPr>
          <w:rFonts w:hint="eastAsia" w:hAnsi="宋体" w:cs="宋体"/>
          <w:sz w:val="24"/>
        </w:rPr>
        <w:t>款规定的投标有效期内，招标人以书面形式向中标人发出中标通知书，同时将中标结果通知未中标的投标人。</w:t>
      </w:r>
      <w:bookmarkStart w:id="55" w:name="_Toc152045569"/>
      <w:bookmarkStart w:id="56" w:name="_Toc152042345"/>
      <w:bookmarkStart w:id="57" w:name="_Toc144974537"/>
      <w:bookmarkStart w:id="58" w:name="_Toc179632587"/>
    </w:p>
    <w:bookmarkEnd w:id="55"/>
    <w:bookmarkEnd w:id="56"/>
    <w:bookmarkEnd w:id="57"/>
    <w:bookmarkEnd w:id="58"/>
    <w:p>
      <w:pPr>
        <w:autoSpaceDE w:val="0"/>
        <w:autoSpaceDN w:val="0"/>
        <w:spacing w:line="440" w:lineRule="exact"/>
        <w:jc w:val="left"/>
        <w:outlineLvl w:val="0"/>
        <w:rPr>
          <w:rFonts w:hAnsi="宋体" w:cs="宋体"/>
          <w:b/>
          <w:sz w:val="24"/>
        </w:rPr>
      </w:pPr>
      <w:r>
        <w:rPr>
          <w:rFonts w:hint="eastAsia" w:hAnsi="宋体" w:cs="宋体"/>
          <w:b/>
          <w:sz w:val="24"/>
        </w:rPr>
        <w:t>7.3 签订合同</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sz w:val="24"/>
        </w:rPr>
      </w:pPr>
      <w:bookmarkStart w:id="59" w:name="_Toc283559978"/>
      <w:r>
        <w:rPr>
          <w:rFonts w:hint="eastAsia" w:hAnsi="宋体" w:cs="宋体"/>
          <w:b/>
          <w:sz w:val="24"/>
        </w:rPr>
        <w:t>7.4履约保证金</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 xml:space="preserve">7.4.1履约保证金提交方式 </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 xml:space="preserve">1、以网银、银行转账支票、银行电汇方式提交。  </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 xml:space="preserve">2、现金支票和现金不得作为履约保证金提交方式。  </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3、中标人必须通过其公司账户按照规定的方式提交，其名称应与中标单位的名称一致。</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4、中标人在缴纳履约保证金时必须在附言、备注和用途栏注明“项目编号及标段”，否则可能造成延迟退还。</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 xml:space="preserve">7.4.2履约保证金提交比例和数额 </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履约保证金数额不得超过中标合同金额的10%。</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 xml:space="preserve">7.4.3履约保证金的退还 </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 xml:space="preserve">1、项目完工后，由招标人出具《履约保证金退还通知单》，中心财务凭《履约保证金退还通知单》在五个工作日内退还履约保证金及银行同期活期存款利息至中标人账户。  </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2、中标人因发生质疑、投诉、举报或有关部门立案调查的，中心依据相关行政监督部门的意见暂停退还或没收其履约保证金，待行政监督部门对相关情况处置后，按照有关规定办理。</w:t>
      </w:r>
      <w:r>
        <w:rPr>
          <w:rFonts w:ascii="Arial" w:hAnsi="Arial" w:cs="Arial"/>
          <w:color w:val="000000"/>
          <w:szCs w:val="21"/>
        </w:rPr>
        <w:t xml:space="preserve"> </w:t>
      </w:r>
    </w:p>
    <w:p>
      <w:pPr>
        <w:autoSpaceDE w:val="0"/>
        <w:autoSpaceDN w:val="0"/>
        <w:spacing w:line="440" w:lineRule="exact"/>
        <w:jc w:val="left"/>
        <w:outlineLvl w:val="0"/>
        <w:rPr>
          <w:rFonts w:hAnsi="宋体" w:cs="宋体"/>
          <w:b/>
          <w:sz w:val="24"/>
        </w:rPr>
      </w:pPr>
      <w:r>
        <w:rPr>
          <w:rFonts w:hAnsi="宋体" w:cs="宋体"/>
          <w:b/>
          <w:sz w:val="24"/>
        </w:rPr>
        <w:t xml:space="preserve">8. </w:t>
      </w:r>
      <w:r>
        <w:rPr>
          <w:rFonts w:hint="eastAsia" w:hAnsi="宋体" w:cs="宋体"/>
          <w:b/>
          <w:sz w:val="24"/>
        </w:rPr>
        <w:t>重新招标和不再招标</w:t>
      </w:r>
      <w:bookmarkEnd w:id="59"/>
    </w:p>
    <w:p>
      <w:pPr>
        <w:autoSpaceDE w:val="0"/>
        <w:autoSpaceDN w:val="0"/>
        <w:adjustRightInd w:val="0"/>
        <w:spacing w:line="440" w:lineRule="exact"/>
        <w:jc w:val="left"/>
        <w:outlineLvl w:val="0"/>
        <w:rPr>
          <w:rFonts w:hAnsi="宋体" w:cs="宋体"/>
          <w:b/>
          <w:sz w:val="24"/>
        </w:rPr>
      </w:pPr>
      <w:bookmarkStart w:id="60" w:name="_Toc283559979"/>
      <w:r>
        <w:rPr>
          <w:rFonts w:hAnsi="宋体" w:cs="宋体"/>
          <w:b/>
          <w:sz w:val="24"/>
        </w:rPr>
        <w:t xml:space="preserve">8.1 </w:t>
      </w:r>
      <w:r>
        <w:rPr>
          <w:rFonts w:hint="eastAsia" w:hAnsi="宋体" w:cs="宋体"/>
          <w:b/>
          <w:sz w:val="24"/>
        </w:rPr>
        <w:t>重新招标</w:t>
      </w:r>
      <w:bookmarkEnd w:id="60"/>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3</w:t>
      </w:r>
      <w:r>
        <w:rPr>
          <w:rFonts w:hint="eastAsia" w:hAnsi="宋体" w:cs="宋体"/>
          <w:sz w:val="24"/>
        </w:rPr>
        <w:t>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autoSpaceDE w:val="0"/>
        <w:autoSpaceDN w:val="0"/>
        <w:adjustRightInd w:val="0"/>
        <w:spacing w:line="440" w:lineRule="exact"/>
        <w:jc w:val="left"/>
        <w:outlineLvl w:val="0"/>
        <w:rPr>
          <w:rFonts w:hAnsi="宋体" w:cs="宋体"/>
          <w:b/>
          <w:sz w:val="24"/>
        </w:rPr>
      </w:pPr>
      <w:bookmarkStart w:id="61" w:name="_Toc283559980"/>
      <w:r>
        <w:rPr>
          <w:rFonts w:hAnsi="宋体" w:cs="宋体"/>
          <w:b/>
          <w:sz w:val="24"/>
        </w:rPr>
        <w:t xml:space="preserve">8.2 </w:t>
      </w:r>
      <w:r>
        <w:rPr>
          <w:rFonts w:hint="eastAsia" w:hAnsi="宋体" w:cs="宋体"/>
          <w:b/>
          <w:sz w:val="24"/>
        </w:rPr>
        <w:t>不再招标</w:t>
      </w:r>
      <w:bookmarkEnd w:id="61"/>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67"/>
        <w:spacing w:line="440" w:lineRule="exact"/>
        <w:jc w:val="both"/>
        <w:outlineLvl w:val="0"/>
        <w:rPr>
          <w:rFonts w:hAnsi="宋体"/>
          <w:b/>
          <w:color w:val="auto"/>
        </w:rPr>
      </w:pPr>
      <w:bookmarkStart w:id="62" w:name="_Toc283559981"/>
      <w:r>
        <w:rPr>
          <w:rFonts w:hAnsi="宋体"/>
          <w:b/>
          <w:color w:val="auto"/>
        </w:rPr>
        <w:t xml:space="preserve">9. </w:t>
      </w:r>
      <w:r>
        <w:rPr>
          <w:rFonts w:hint="eastAsia" w:hAnsi="宋体"/>
          <w:b/>
          <w:color w:val="auto"/>
        </w:rPr>
        <w:t>纪律和监督</w:t>
      </w:r>
      <w:bookmarkEnd w:id="62"/>
    </w:p>
    <w:p>
      <w:pPr>
        <w:autoSpaceDE w:val="0"/>
        <w:autoSpaceDN w:val="0"/>
        <w:adjustRightInd w:val="0"/>
        <w:spacing w:line="440" w:lineRule="exact"/>
        <w:jc w:val="left"/>
        <w:outlineLvl w:val="0"/>
        <w:rPr>
          <w:rFonts w:hAnsi="宋体" w:cs="宋体"/>
          <w:b/>
          <w:sz w:val="24"/>
        </w:rPr>
      </w:pPr>
      <w:bookmarkStart w:id="63" w:name="_Toc283559982"/>
      <w:r>
        <w:rPr>
          <w:rFonts w:hAnsi="宋体" w:cs="宋体"/>
          <w:b/>
          <w:sz w:val="24"/>
        </w:rPr>
        <w:t xml:space="preserve">9.1 </w:t>
      </w:r>
      <w:r>
        <w:rPr>
          <w:rFonts w:hint="eastAsia" w:hAnsi="宋体" w:cs="宋体"/>
          <w:b/>
          <w:sz w:val="24"/>
        </w:rPr>
        <w:t>对招标人的纪律要求</w:t>
      </w:r>
      <w:bookmarkEnd w:id="63"/>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autoSpaceDE w:val="0"/>
        <w:autoSpaceDN w:val="0"/>
        <w:adjustRightInd w:val="0"/>
        <w:spacing w:line="440" w:lineRule="exact"/>
        <w:jc w:val="left"/>
        <w:outlineLvl w:val="0"/>
        <w:rPr>
          <w:rFonts w:hAnsi="宋体" w:cs="宋体"/>
          <w:b/>
          <w:sz w:val="24"/>
        </w:rPr>
      </w:pPr>
      <w:bookmarkStart w:id="64" w:name="_Toc283559983"/>
      <w:r>
        <w:rPr>
          <w:rFonts w:hAnsi="宋体" w:cs="宋体"/>
          <w:b/>
          <w:sz w:val="24"/>
        </w:rPr>
        <w:t xml:space="preserve">9.2 </w:t>
      </w:r>
      <w:r>
        <w:rPr>
          <w:rFonts w:hint="eastAsia" w:hAnsi="宋体" w:cs="宋体"/>
          <w:b/>
          <w:sz w:val="24"/>
        </w:rPr>
        <w:t>对投标人的纪律要求</w:t>
      </w:r>
      <w:bookmarkEnd w:id="6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sz w:val="24"/>
        </w:rPr>
      </w:pPr>
      <w:bookmarkStart w:id="65" w:name="_Toc283559984"/>
      <w:r>
        <w:rPr>
          <w:rFonts w:hAnsi="宋体" w:cs="宋体"/>
          <w:b/>
          <w:sz w:val="24"/>
        </w:rPr>
        <w:t xml:space="preserve">9.3 </w:t>
      </w:r>
      <w:r>
        <w:rPr>
          <w:rFonts w:hint="eastAsia" w:hAnsi="宋体" w:cs="宋体"/>
          <w:b/>
          <w:sz w:val="24"/>
        </w:rPr>
        <w:t>对评标委员会成员的纪律要求</w:t>
      </w:r>
      <w:bookmarkEnd w:id="65"/>
    </w:p>
    <w:p>
      <w:pPr>
        <w:autoSpaceDE w:val="0"/>
        <w:autoSpaceDN w:val="0"/>
        <w:adjustRightInd w:val="0"/>
        <w:spacing w:line="40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sz w:val="24"/>
        </w:rPr>
      </w:pPr>
      <w:bookmarkStart w:id="66" w:name="_Toc283559985"/>
      <w:r>
        <w:rPr>
          <w:rFonts w:hAnsi="宋体" w:cs="宋体"/>
          <w:b/>
          <w:sz w:val="24"/>
        </w:rPr>
        <w:t xml:space="preserve">9.4 </w:t>
      </w:r>
      <w:r>
        <w:rPr>
          <w:rFonts w:hint="eastAsia" w:hAnsi="宋体" w:cs="宋体"/>
          <w:b/>
          <w:sz w:val="24"/>
        </w:rPr>
        <w:t>对与评标活动有关的工作人员的纪律要求</w:t>
      </w:r>
      <w:bookmarkEnd w:id="66"/>
    </w:p>
    <w:p>
      <w:pPr>
        <w:autoSpaceDE w:val="0"/>
        <w:autoSpaceDN w:val="0"/>
        <w:adjustRightInd w:val="0"/>
        <w:spacing w:line="400" w:lineRule="exact"/>
        <w:ind w:firstLine="480" w:firstLineChars="200"/>
        <w:jc w:val="left"/>
        <w:rPr>
          <w:rFonts w:hAnsi="宋体" w:cs="宋体"/>
          <w:sz w:val="24"/>
          <w:szCs w:val="22"/>
        </w:rPr>
      </w:pPr>
      <w:r>
        <w:rPr>
          <w:rFonts w:hint="eastAsia" w:hAnsi="宋体" w:cs="宋体"/>
          <w:sz w:val="24"/>
          <w:szCs w:val="22"/>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sz w:val="24"/>
        </w:rPr>
      </w:pPr>
      <w:bookmarkStart w:id="67" w:name="_Toc283559986"/>
      <w:r>
        <w:rPr>
          <w:rFonts w:hAnsi="宋体" w:cs="宋体"/>
          <w:b/>
          <w:sz w:val="24"/>
        </w:rPr>
        <w:t xml:space="preserve">9.5 </w:t>
      </w:r>
      <w:r>
        <w:rPr>
          <w:rFonts w:hint="eastAsia" w:hAnsi="宋体" w:cs="宋体"/>
          <w:b/>
          <w:sz w:val="24"/>
        </w:rPr>
        <w:t>投诉</w:t>
      </w:r>
      <w:bookmarkEnd w:id="67"/>
    </w:p>
    <w:p>
      <w:pPr>
        <w:autoSpaceDE w:val="0"/>
        <w:autoSpaceDN w:val="0"/>
        <w:adjustRightInd w:val="0"/>
        <w:spacing w:line="400" w:lineRule="exact"/>
        <w:ind w:firstLine="480" w:firstLineChars="200"/>
        <w:jc w:val="left"/>
        <w:rPr>
          <w:rFonts w:hAnsi="宋体" w:cs="宋体"/>
          <w:sz w:val="24"/>
          <w:szCs w:val="22"/>
        </w:rPr>
      </w:pPr>
      <w:r>
        <w:rPr>
          <w:rFonts w:hint="eastAsia" w:hAnsi="宋体" w:cs="宋体"/>
          <w:sz w:val="24"/>
          <w:szCs w:val="22"/>
        </w:rPr>
        <w:t>投标人和其他利害关系人认为本次招标活动违反法律、法规和规章规定的，有权向有关行政监督部门投诉。</w:t>
      </w:r>
    </w:p>
    <w:p>
      <w:pPr>
        <w:pStyle w:val="67"/>
        <w:spacing w:line="440" w:lineRule="exact"/>
        <w:jc w:val="both"/>
        <w:outlineLvl w:val="0"/>
        <w:rPr>
          <w:rFonts w:hAnsi="宋体"/>
          <w:b/>
          <w:color w:val="auto"/>
        </w:rPr>
      </w:pPr>
      <w:bookmarkStart w:id="68" w:name="_Toc283559987"/>
      <w:r>
        <w:rPr>
          <w:rFonts w:hAnsi="宋体"/>
          <w:b/>
          <w:color w:val="auto"/>
        </w:rPr>
        <w:t xml:space="preserve">10. </w:t>
      </w:r>
      <w:r>
        <w:rPr>
          <w:rFonts w:hint="eastAsia" w:hAnsi="宋体"/>
          <w:b/>
          <w:color w:val="auto"/>
        </w:rPr>
        <w:t>需要补充的其他内容</w:t>
      </w:r>
      <w:bookmarkEnd w:id="68"/>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需要补充的其他内容：见投标人须知前附表。</w:t>
      </w:r>
      <w:bookmarkStart w:id="69" w:name="_Toc283559990"/>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r>
        <w:rPr>
          <w:rFonts w:hint="eastAsia" w:hAnsi="宋体" w:cs="宋体"/>
          <w:b/>
          <w:bCs/>
          <w:sz w:val="24"/>
        </w:rPr>
        <w:t>附表一：</w:t>
      </w:r>
    </w:p>
    <w:p>
      <w:pPr>
        <w:spacing w:before="312" w:beforeLines="100" w:after="312"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ind w:firstLine="480" w:firstLineChars="200"/>
        <w:rPr>
          <w:rFonts w:hAnsi="宋体" w:cs="宋体"/>
          <w:sz w:val="24"/>
        </w:rPr>
      </w:pP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请将上述问题的澄清、说明或者补正于年月日时前密封递交至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color w:val="000000"/>
          <w:sz w:val="24"/>
        </w:rPr>
      </w:pPr>
      <w:r>
        <w:rPr>
          <w:rFonts w:hint="eastAsia"/>
          <w:color w:val="000000"/>
          <w:sz w:val="24"/>
        </w:rPr>
        <w:t xml:space="preserve"> （项目名称）</w:t>
      </w:r>
      <w:r>
        <w:rPr>
          <w:rFonts w:hint="eastAsia" w:hAnsi="宋体" w:cs="宋体"/>
          <w:color w:val="000000"/>
          <w:sz w:val="24"/>
        </w:rPr>
        <w:t>招标评标委员会</w:t>
      </w:r>
    </w:p>
    <w:p>
      <w:pPr>
        <w:spacing w:line="480" w:lineRule="exact"/>
        <w:ind w:firstLine="2880" w:firstLineChars="1200"/>
        <w:rPr>
          <w:color w:val="000000"/>
          <w:sz w:val="24"/>
        </w:rPr>
      </w:pPr>
      <w:r>
        <w:rPr>
          <w:rFonts w:hint="eastAsia"/>
          <w:color w:val="000000"/>
          <w:sz w:val="24"/>
        </w:rPr>
        <w:t>（经评标委员会授权的招标人代表签字或招标人加盖单位章）</w:t>
      </w:r>
    </w:p>
    <w:p>
      <w:pPr>
        <w:spacing w:line="480" w:lineRule="exact"/>
        <w:ind w:firstLine="5280" w:firstLineChars="2200"/>
        <w:jc w:val="right"/>
        <w:rPr>
          <w:rFonts w:hAnsi="宋体" w:cs="宋体"/>
          <w:sz w:val="24"/>
        </w:rPr>
      </w:pPr>
      <w:r>
        <w:rPr>
          <w:rFonts w:hint="eastAsia"/>
          <w:color w:val="000000"/>
          <w:sz w:val="24"/>
        </w:rPr>
        <w:t>年月日</w:t>
      </w: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pStyle w:val="2"/>
        <w:ind w:firstLine="0" w:firstLineChars="0"/>
      </w:pPr>
    </w:p>
    <w:p>
      <w:pPr>
        <w:spacing w:line="400" w:lineRule="exact"/>
        <w:ind w:firstLine="480" w:firstLineChars="200"/>
        <w:rPr>
          <w:rFonts w:hAnsi="宋体" w:cs="宋体"/>
          <w:b/>
          <w:bCs/>
          <w:sz w:val="24"/>
        </w:rPr>
      </w:pPr>
    </w:p>
    <w:p>
      <w:pPr>
        <w:spacing w:line="400" w:lineRule="exact"/>
        <w:ind w:firstLine="480" w:firstLineChars="200"/>
        <w:rPr>
          <w:rFonts w:hAnsi="宋体" w:cs="宋体"/>
          <w:b/>
          <w:bCs/>
          <w:sz w:val="24"/>
        </w:rPr>
      </w:pPr>
      <w:r>
        <w:rPr>
          <w:rFonts w:hint="eastAsia" w:hAnsi="宋体" w:cs="宋体"/>
          <w:b/>
          <w:bCs/>
          <w:sz w:val="24"/>
        </w:rPr>
        <w:t>附表二：问题的澄清</w:t>
      </w:r>
    </w:p>
    <w:p>
      <w:pPr>
        <w:spacing w:before="312" w:beforeLines="100" w:after="312"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rPr>
          <w:rFonts w:hAnsi="宋体" w:cs="宋体"/>
          <w:sz w:val="24"/>
        </w:rPr>
      </w:pP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 xml:space="preserve">投标人：（盖单位章） </w:t>
      </w:r>
    </w:p>
    <w:p>
      <w:pPr>
        <w:wordWrap w:val="0"/>
        <w:spacing w:before="156" w:beforeLines="50" w:after="156" w:afterLines="50" w:line="480" w:lineRule="exact"/>
        <w:ind w:right="210"/>
        <w:jc w:val="right"/>
        <w:rPr>
          <w:rFonts w:hAnsi="宋体" w:cs="宋体"/>
          <w:sz w:val="24"/>
        </w:rPr>
      </w:pPr>
      <w:r>
        <w:rPr>
          <w:rFonts w:hint="eastAsia" w:hAnsi="宋体" w:cs="宋体"/>
          <w:sz w:val="24"/>
        </w:rPr>
        <w:t xml:space="preserve">法定代表人或其委托代理人：（签字） </w:t>
      </w:r>
    </w:p>
    <w:p>
      <w:pPr>
        <w:spacing w:line="480" w:lineRule="exact"/>
        <w:ind w:firstLine="7200" w:firstLineChars="3000"/>
        <w:rPr>
          <w:rFonts w:hAnsi="宋体" w:cs="宋体"/>
          <w:sz w:val="24"/>
        </w:rPr>
      </w:pPr>
      <w:r>
        <w:rPr>
          <w:rFonts w:hint="eastAsia" w:hAnsi="宋体" w:cs="宋体"/>
          <w:sz w:val="24"/>
        </w:rPr>
        <w:t>年月日</w:t>
      </w:r>
    </w:p>
    <w:p>
      <w:pPr>
        <w:spacing w:line="480" w:lineRule="exact"/>
        <w:rPr>
          <w:sz w:val="24"/>
        </w:rPr>
      </w:pPr>
    </w:p>
    <w:p>
      <w:pPr>
        <w:spacing w:line="480" w:lineRule="exact"/>
        <w:rPr>
          <w:sz w:val="24"/>
        </w:rPr>
      </w:pPr>
    </w:p>
    <w:p>
      <w:pPr>
        <w:spacing w:line="480" w:lineRule="exact"/>
        <w:rPr>
          <w:sz w:val="24"/>
        </w:rPr>
      </w:pPr>
    </w:p>
    <w:p>
      <w:pPr>
        <w:spacing w:line="480" w:lineRule="exact"/>
        <w:rPr>
          <w:sz w:val="24"/>
        </w:rPr>
      </w:pPr>
    </w:p>
    <w:p>
      <w:pPr>
        <w:pStyle w:val="2"/>
        <w:ind w:firstLine="340"/>
      </w:pPr>
    </w:p>
    <w:p>
      <w:pPr>
        <w:spacing w:line="420" w:lineRule="exact"/>
        <w:rPr>
          <w:rFonts w:hAnsi="宋体"/>
          <w:b/>
          <w:sz w:val="36"/>
          <w:szCs w:val="36"/>
        </w:rPr>
      </w:pPr>
    </w:p>
    <w:p>
      <w:pPr>
        <w:spacing w:line="420" w:lineRule="exact"/>
        <w:ind w:firstLine="2160" w:firstLineChars="600"/>
        <w:rPr>
          <w:rFonts w:hAnsi="宋体"/>
          <w:b/>
          <w:sz w:val="36"/>
          <w:szCs w:val="36"/>
        </w:rPr>
      </w:pPr>
    </w:p>
    <w:p>
      <w:pPr>
        <w:spacing w:line="420" w:lineRule="exact"/>
        <w:ind w:firstLine="2160" w:firstLineChars="600"/>
        <w:rPr>
          <w:rFonts w:hAnsi="宋体"/>
          <w:b/>
          <w:sz w:val="36"/>
          <w:szCs w:val="36"/>
        </w:rPr>
      </w:pPr>
    </w:p>
    <w:p>
      <w:pPr>
        <w:spacing w:line="420" w:lineRule="exact"/>
        <w:ind w:firstLine="2160" w:firstLineChars="600"/>
        <w:rPr>
          <w:rFonts w:hAnsi="宋体"/>
          <w:b/>
          <w:sz w:val="36"/>
          <w:szCs w:val="36"/>
        </w:rPr>
      </w:pPr>
    </w:p>
    <w:p>
      <w:pPr>
        <w:spacing w:line="420" w:lineRule="exact"/>
        <w:ind w:firstLine="2160" w:firstLineChars="600"/>
        <w:rPr>
          <w:rFonts w:hAnsi="宋体"/>
          <w:b/>
          <w:sz w:val="36"/>
          <w:szCs w:val="36"/>
        </w:rPr>
      </w:pPr>
    </w:p>
    <w:p>
      <w:pPr>
        <w:spacing w:line="420" w:lineRule="exact"/>
        <w:ind w:firstLine="2160" w:firstLineChars="600"/>
        <w:rPr>
          <w:rFonts w:ascii="新宋体" w:hAnsi="新宋体" w:eastAsia="新宋体" w:cs="新宋体"/>
          <w:b/>
          <w:bCs/>
          <w:sz w:val="36"/>
          <w:szCs w:val="36"/>
        </w:rPr>
      </w:pPr>
      <w:r>
        <w:rPr>
          <w:rFonts w:hint="eastAsia" w:hAnsi="宋体"/>
          <w:b/>
          <w:sz w:val="36"/>
          <w:szCs w:val="36"/>
        </w:rPr>
        <w:t>第三章   评标办法</w:t>
      </w:r>
      <w:r>
        <w:rPr>
          <w:rFonts w:hint="eastAsia" w:ascii="新宋体" w:hAnsi="新宋体" w:eastAsia="新宋体" w:cs="新宋体"/>
          <w:b/>
          <w:bCs/>
          <w:sz w:val="36"/>
          <w:szCs w:val="36"/>
        </w:rPr>
        <w:t>（综合计分法）</w:t>
      </w:r>
    </w:p>
    <w:p>
      <w:pPr>
        <w:snapToGrid w:val="0"/>
        <w:spacing w:line="420" w:lineRule="exact"/>
        <w:rPr>
          <w:rFonts w:hAnsi="宋体"/>
          <w:b/>
          <w:sz w:val="18"/>
          <w:szCs w:val="18"/>
        </w:rPr>
      </w:pPr>
      <w:r>
        <w:rPr>
          <w:rFonts w:hint="eastAsia" w:ascii="新宋体" w:hAnsi="新宋体" w:eastAsia="新宋体" w:cs="新宋体"/>
          <w:b/>
          <w:bCs/>
          <w:sz w:val="24"/>
        </w:rPr>
        <w:t>评标依据：《许昌市建设工程工程量清单招标评标办法（试行）》（许公管委[2016]1号）。</w:t>
      </w:r>
    </w:p>
    <w:p>
      <w:pPr>
        <w:spacing w:line="360" w:lineRule="auto"/>
        <w:ind w:firstLine="480" w:firstLineChars="200"/>
        <w:rPr>
          <w:rFonts w:ascii="新宋体" w:hAnsi="新宋体" w:eastAsia="新宋体"/>
          <w:sz w:val="24"/>
        </w:rPr>
      </w:pPr>
      <w:r>
        <w:rPr>
          <w:rFonts w:hint="eastAsia" w:ascii="新宋体" w:hAnsi="新宋体" w:eastAsia="新宋体"/>
          <w:sz w:val="24"/>
        </w:rPr>
        <w:t>一、评标应遵循公正、公平、择优的原则严格按照招标文件进行。</w:t>
      </w:r>
    </w:p>
    <w:p>
      <w:pPr>
        <w:spacing w:line="360" w:lineRule="auto"/>
        <w:ind w:firstLine="480" w:firstLineChars="200"/>
        <w:rPr>
          <w:rFonts w:ascii="新宋体" w:hAnsi="新宋体" w:eastAsia="新宋体"/>
          <w:sz w:val="24"/>
        </w:rPr>
      </w:pPr>
      <w:r>
        <w:rPr>
          <w:rFonts w:hint="eastAsia" w:ascii="新宋体" w:hAnsi="新宋体" w:eastAsia="新宋体"/>
          <w:sz w:val="24"/>
        </w:rPr>
        <w:t>二、评标委员会构成：7人，从河南省综合评标专家库中随机抽取5人和招标人代表2人（其中注册造价工程师不少于2人）。</w:t>
      </w:r>
    </w:p>
    <w:p>
      <w:pPr>
        <w:spacing w:line="360" w:lineRule="auto"/>
        <w:ind w:firstLine="480" w:firstLineChars="200"/>
        <w:rPr>
          <w:rFonts w:ascii="新宋体" w:hAnsi="新宋体" w:eastAsia="新宋体"/>
          <w:sz w:val="24"/>
        </w:rPr>
      </w:pPr>
      <w:r>
        <w:rPr>
          <w:rFonts w:hint="eastAsia" w:ascii="新宋体" w:hAnsi="新宋体" w:eastAsia="新宋体"/>
          <w:sz w:val="24"/>
        </w:rPr>
        <w:t>三、评标采用综合计分法，是指评标委员会根据招标文件要求，应从技术标、商务标、综合（信用）标三部分进行综合评审。</w:t>
      </w:r>
    </w:p>
    <w:p>
      <w:pPr>
        <w:spacing w:line="360" w:lineRule="auto"/>
        <w:ind w:firstLine="480" w:firstLineChars="200"/>
        <w:rPr>
          <w:rFonts w:ascii="新宋体" w:hAnsi="新宋体" w:eastAsia="新宋体"/>
          <w:sz w:val="24"/>
        </w:rPr>
      </w:pPr>
      <w:r>
        <w:rPr>
          <w:rFonts w:hint="eastAsia" w:ascii="新宋体" w:hAnsi="新宋体" w:eastAsia="新宋体"/>
          <w:sz w:val="24"/>
        </w:rPr>
        <w:t>四、评标程序为：</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（一）清标；</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（二）初步评审；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（三）详细评审；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（四）问题的澄清、说明或补正；</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（五）推荐中标候选人；</w:t>
      </w:r>
    </w:p>
    <w:p>
      <w:pPr>
        <w:spacing w:line="360" w:lineRule="auto"/>
        <w:ind w:firstLine="480" w:firstLineChars="200"/>
        <w:rPr>
          <w:rFonts w:ascii="新宋体" w:hAnsi="新宋体" w:eastAsia="新宋体"/>
          <w:sz w:val="24"/>
        </w:rPr>
      </w:pPr>
      <w:r>
        <w:rPr>
          <w:rFonts w:hint="eastAsia" w:ascii="新宋体" w:hAnsi="新宋体" w:eastAsia="新宋体"/>
          <w:sz w:val="24"/>
        </w:rPr>
        <w:t>（六）评标现场宣布中标候选人确定结果并在指定媒体上进行公示。</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五、清标</w:t>
      </w:r>
    </w:p>
    <w:p>
      <w:pPr>
        <w:spacing w:line="360" w:lineRule="auto"/>
        <w:ind w:firstLine="480" w:firstLineChars="200"/>
        <w:rPr>
          <w:rFonts w:ascii="新宋体" w:hAnsi="新宋体" w:eastAsia="新宋体"/>
          <w:b/>
          <w:color w:val="000000"/>
          <w:sz w:val="24"/>
        </w:rPr>
      </w:pPr>
      <w:r>
        <w:rPr>
          <w:rFonts w:hint="eastAsia" w:ascii="新宋体" w:hAnsi="新宋体" w:eastAsia="新宋体"/>
          <w:b/>
          <w:color w:val="000000"/>
          <w:sz w:val="24"/>
        </w:rPr>
        <w:t>先由评标委员会在商务标清标系统的辅助下对投标文件进行基础性数据分析和整理（清标内容见下表），形成清标成果。”</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投标文件存在下列情形之一的，按废标处理：</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（3）规费和税金、安全文明施工措施费违背工程造价管理规定的；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pacing w:line="360" w:lineRule="auto"/>
        <w:ind w:firstLine="480" w:firstLineChars="200"/>
        <w:rPr>
          <w:rFonts w:ascii="新宋体" w:hAnsi="新宋体" w:eastAsia="新宋体"/>
          <w:b/>
          <w:sz w:val="24"/>
        </w:rPr>
      </w:pPr>
      <w:r>
        <w:rPr>
          <w:rFonts w:hint="eastAsia" w:ascii="新宋体" w:hAnsi="新宋体" w:eastAsia="新宋体"/>
          <w:bCs/>
          <w:sz w:val="24"/>
        </w:rPr>
        <w:t>（5）未按照暂列金额或者暂估价编制投标报价的。</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29"/>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是否等于各分部分项清单费之和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分部分项及单价措施项目工程数量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分部分项工程费及单价措施费清单单价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综合单价=人工费+材料费+机械费+管理费+利润之和；</w:t>
            </w:r>
          </w:p>
          <w:p>
            <w:pPr>
              <w:jc w:val="center"/>
              <w:rPr>
                <w:rFonts w:ascii="新宋体" w:hAnsi="新宋体" w:eastAsia="新宋体" w:cs="新宋体"/>
                <w:b/>
                <w:sz w:val="21"/>
                <w:szCs w:val="21"/>
              </w:rPr>
            </w:pPr>
            <w:r>
              <w:rPr>
                <w:rFonts w:hint="eastAsia" w:ascii="新宋体" w:hAnsi="新宋体" w:eastAsia="新宋体" w:cs="新宋体"/>
                <w:b/>
                <w:sz w:val="21"/>
                <w:szCs w:val="21"/>
              </w:rPr>
              <w:t>偏差不大于招标控制价相应项目单价的±12％</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材料表中的单价与组成清单单价中的单价必须一致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安全文明费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总价措施项目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必须等于各组成部分之和（暂列金额+专业暂估价+计日工费+总承包服务费）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专业暂估价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税金</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bl>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ascii="新宋体" w:hAnsi="新宋体" w:eastAsia="新宋体"/>
          <w:b/>
          <w:sz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0" w:firstLineChars="200"/>
        <w:rPr>
          <w:rFonts w:ascii="新宋体" w:hAnsi="新宋体" w:eastAsia="新宋体"/>
          <w:b/>
          <w:sz w:val="24"/>
        </w:rPr>
      </w:pPr>
      <w:r>
        <w:rPr>
          <w:rFonts w:hint="eastAsia" w:ascii="新宋体" w:hAnsi="新宋体" w:eastAsia="新宋体"/>
          <w:b/>
          <w:sz w:val="24"/>
        </w:rPr>
        <w:t>六、初步评审</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360" w:lineRule="auto"/>
        <w:ind w:firstLine="480" w:firstLineChars="200"/>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（3）投标人是否符合国家或者招标文件规定的资格条件；</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（6）投标范围、工期、工程质量、投标有效期是否符合招标文件规定；</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（7）投标人是否有串通投标、弄虚作假、行贿等违法行为。</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
          <w:bCs w:val="0"/>
          <w:sz w:val="24"/>
          <w:lang w:val="en-US" w:eastAsia="zh-CN"/>
        </w:rPr>
        <w:t>备注：</w:t>
      </w:r>
      <w:r>
        <w:rPr>
          <w:rFonts w:hint="eastAsia" w:ascii="新宋体" w:hAnsi="新宋体" w:eastAsia="新宋体" w:cs="宋体"/>
          <w:b/>
          <w:bCs w:val="0"/>
          <w:sz w:val="24"/>
        </w:rPr>
        <w:t>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pPr>
        <w:spacing w:line="360" w:lineRule="auto"/>
        <w:ind w:firstLine="480" w:firstLineChars="200"/>
        <w:rPr>
          <w:rFonts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pacing w:line="400" w:lineRule="exact"/>
        <w:ind w:firstLine="480" w:firstLineChars="200"/>
        <w:rPr>
          <w:rFonts w:ascii="新宋体" w:hAnsi="新宋体" w:eastAsia="新宋体" w:cs="宋体"/>
          <w:b/>
          <w:sz w:val="24"/>
        </w:rPr>
      </w:pPr>
      <w:r>
        <w:rPr>
          <w:rFonts w:hint="eastAsia" w:ascii="新宋体" w:hAnsi="新宋体" w:eastAsia="新宋体" w:cs="宋体"/>
          <w:b/>
          <w:sz w:val="24"/>
        </w:rPr>
        <w:t>七、详细评审</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评标委员会根据招标文件要求应从技术标、商务标、综合（信用）标三部分进行综合评审。技术标的权重占20%，商务标的权重占60%，综合（信用）标的权重占20%。</w:t>
      </w:r>
    </w:p>
    <w:p>
      <w:pPr>
        <w:spacing w:line="440" w:lineRule="exact"/>
        <w:rPr>
          <w:rFonts w:hAnsi="宋体" w:cs="宋体"/>
          <w:b/>
          <w:bCs/>
          <w:sz w:val="24"/>
          <w:szCs w:val="24"/>
        </w:rPr>
      </w:pPr>
      <w:r>
        <w:rPr>
          <w:rFonts w:hint="eastAsia" w:hAnsi="宋体" w:cs="宋体"/>
          <w:b/>
          <w:bCs/>
          <w:sz w:val="24"/>
          <w:szCs w:val="24"/>
        </w:rPr>
        <w:t>（一）工程量清单总报价评标基准价按下列公式确定：</w:t>
      </w:r>
    </w:p>
    <w:p>
      <w:pPr>
        <w:spacing w:line="440" w:lineRule="exact"/>
        <w:ind w:firstLine="480" w:firstLineChars="200"/>
        <w:rPr>
          <w:rFonts w:ascii="新宋体" w:hAnsi="新宋体" w:eastAsia="新宋体"/>
          <w:sz w:val="24"/>
        </w:rPr>
      </w:pPr>
      <w:bookmarkStart w:id="70" w:name="_Toc5078"/>
      <w:r>
        <w:rPr>
          <w:rFonts w:hint="eastAsia" w:ascii="新宋体" w:hAnsi="新宋体" w:eastAsia="新宋体"/>
          <w:sz w:val="24"/>
        </w:rPr>
        <w:t>评标基准价＝招标控制价×K+投标总报价×（1－K）</w:t>
      </w:r>
    </w:p>
    <w:p>
      <w:pPr>
        <w:spacing w:line="440" w:lineRule="exact"/>
        <w:ind w:firstLine="480" w:firstLineChars="200"/>
        <w:rPr>
          <w:rFonts w:ascii="新宋体" w:hAnsi="新宋体" w:eastAsia="新宋体"/>
          <w:sz w:val="24"/>
        </w:rPr>
      </w:pPr>
      <w:r>
        <w:rPr>
          <w:rFonts w:hint="eastAsia" w:ascii="新宋体" w:hAnsi="新宋体" w:eastAsia="新宋体"/>
          <w:sz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pacing w:line="440" w:lineRule="exact"/>
        <w:ind w:firstLine="480" w:firstLineChars="200"/>
        <w:rPr>
          <w:rFonts w:ascii="新宋体" w:hAnsi="新宋体" w:eastAsia="新宋体"/>
          <w:sz w:val="24"/>
        </w:rPr>
      </w:pPr>
      <w:r>
        <w:rPr>
          <w:rFonts w:hint="eastAsia" w:ascii="新宋体" w:hAnsi="新宋体" w:eastAsia="新宋体"/>
          <w:sz w:val="24"/>
        </w:rPr>
        <w:t>注：①有效投标人指通过清标和初步评审的投标人；</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    ②K为招标控制价权重系数，0.1≤K≤0.5（K的取值：0.1、0.2、0.3、0.4、0.5），在开标现场随机抽取。</w:t>
      </w:r>
    </w:p>
    <w:bookmarkEnd w:id="70"/>
    <w:p>
      <w:pPr>
        <w:snapToGrid w:val="0"/>
        <w:spacing w:line="360" w:lineRule="auto"/>
        <w:rPr>
          <w:rFonts w:hAnsi="宋体" w:cs="宋体"/>
          <w:b/>
          <w:sz w:val="24"/>
        </w:rPr>
      </w:pPr>
      <w:r>
        <w:rPr>
          <w:rFonts w:hint="eastAsia" w:hAnsi="宋体" w:cs="宋体"/>
          <w:b/>
          <w:sz w:val="24"/>
        </w:rPr>
        <w:t>（二）技术标（20分）</w:t>
      </w:r>
    </w:p>
    <w:tbl>
      <w:tblPr>
        <w:tblStyle w:val="29"/>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6"/>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bookmarkStart w:id="71" w:name="_Toc273546398"/>
            <w:bookmarkStart w:id="72" w:name="_Toc272833453"/>
            <w:bookmarkStart w:id="73" w:name="_Toc295572535"/>
            <w:bookmarkStart w:id="74" w:name="_Toc270931534"/>
            <w:r>
              <w:rPr>
                <w:rFonts w:ascii="新宋体" w:hAnsi="新宋体" w:eastAsia="新宋体"/>
                <w:sz w:val="24"/>
              </w:rPr>
              <w:t> 评审内容</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（1）内容完整性和编制水平；</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（2）施工方案和技术措施；</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（3）质量管理体系与措施；              </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（4）安全管理体系与措施；              </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（5）环境保护管理体系与措施；</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（6）工程进度计划与措施；</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（7）拟投入资源配备计划……；</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（8）施工进度表或施工网络图；    </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（9）</w:t>
            </w:r>
            <w:r>
              <w:rPr>
                <w:rFonts w:hint="eastAsia" w:ascii="新宋体" w:hAnsi="新宋体" w:eastAsia="新宋体"/>
                <w:sz w:val="24"/>
              </w:rPr>
              <w:t>施工总平面布置图</w:t>
            </w:r>
            <w:r>
              <w:rPr>
                <w:rFonts w:ascii="新宋体" w:hAnsi="新宋体" w:eastAsia="新宋体"/>
                <w:sz w:val="24"/>
              </w:rPr>
              <w:t>；</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w:t>
            </w:r>
            <w:r>
              <w:rPr>
                <w:rFonts w:hint="eastAsia" w:ascii="新宋体" w:hAnsi="新宋体" w:eastAsia="新宋体"/>
                <w:sz w:val="24"/>
              </w:rPr>
              <w:t>1</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（10）在节能减排、绿色施工（含扬尘治理）、工艺创新方面针对本工程有具体措施或企业自有创新技术；</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（11）新工艺、新技术、新设备、新材料的采用程度，其在确保质量、降低成本、缩短工期、减轻劳动强度、提高工效等方面的作用；</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（12）企业具备信息化管理平台，能够使工程管理者对现场实施监控和数据处理。</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bl>
    <w:p>
      <w:pPr>
        <w:snapToGrid w:val="0"/>
        <w:spacing w:line="360" w:lineRule="auto"/>
        <w:ind w:firstLine="481"/>
        <w:rPr>
          <w:rFonts w:hAnsi="宋体" w:cs="宋体"/>
          <w:sz w:val="24"/>
          <w:szCs w:val="24"/>
        </w:rPr>
      </w:pPr>
      <w:r>
        <w:rPr>
          <w:rFonts w:hint="eastAsia" w:hAnsi="宋体" w:cs="宋体"/>
          <w:sz w:val="24"/>
          <w:szCs w:val="24"/>
        </w:rPr>
        <w:t>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（三）商务标（60分）</w:t>
      </w:r>
    </w:p>
    <w:p>
      <w:pPr>
        <w:snapToGrid w:val="0"/>
        <w:spacing w:line="360" w:lineRule="auto"/>
        <w:rPr>
          <w:rFonts w:hAnsi="宋体" w:cs="宋体"/>
          <w:b/>
          <w:bCs/>
          <w:sz w:val="24"/>
          <w:szCs w:val="24"/>
        </w:rPr>
      </w:pPr>
      <w:r>
        <w:rPr>
          <w:rFonts w:hint="eastAsia" w:hAnsi="宋体" w:cs="宋体"/>
          <w:b/>
          <w:bCs/>
          <w:sz w:val="24"/>
          <w:szCs w:val="24"/>
        </w:rPr>
        <w:t xml:space="preserve">    1、投标报价（30分） </w:t>
      </w:r>
    </w:p>
    <w:p>
      <w:pPr>
        <w:snapToGrid w:val="0"/>
        <w:spacing w:line="360" w:lineRule="auto"/>
        <w:ind w:firstLine="481"/>
        <w:rPr>
          <w:rFonts w:hAnsi="宋体" w:cs="宋体"/>
          <w:sz w:val="24"/>
          <w:szCs w:val="24"/>
        </w:rPr>
      </w:pPr>
      <w:r>
        <w:rPr>
          <w:rFonts w:hint="eastAsia" w:hAnsi="宋体" w:cs="宋体"/>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4"/>
        </w:numPr>
        <w:snapToGrid w:val="0"/>
        <w:spacing w:line="360" w:lineRule="auto"/>
        <w:ind w:firstLine="481"/>
        <w:rPr>
          <w:rFonts w:hAnsi="宋体" w:cs="宋体"/>
          <w:b/>
          <w:bCs/>
          <w:sz w:val="24"/>
          <w:szCs w:val="24"/>
        </w:rPr>
      </w:pPr>
      <w:r>
        <w:rPr>
          <w:rFonts w:hint="eastAsia" w:hAnsi="宋体" w:cs="宋体"/>
          <w:b/>
          <w:bCs/>
          <w:sz w:val="24"/>
          <w:szCs w:val="24"/>
        </w:rPr>
        <w:t>分部分项工程项目综合单价（15分）</w:t>
      </w:r>
    </w:p>
    <w:p>
      <w:pPr>
        <w:snapToGrid w:val="0"/>
        <w:spacing w:line="360" w:lineRule="auto"/>
        <w:ind w:firstLine="484"/>
        <w:rPr>
          <w:rFonts w:hAnsi="宋体" w:cs="宋体"/>
          <w:sz w:val="24"/>
          <w:szCs w:val="24"/>
        </w:rPr>
      </w:pPr>
      <w:r>
        <w:rPr>
          <w:rFonts w:hint="eastAsia" w:hAnsi="宋体" w:cs="宋体"/>
          <w:sz w:val="24"/>
          <w:szCs w:val="24"/>
        </w:rPr>
        <w:t>分部分项工程项目综合单价随机选择15项清单项目。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3、措施项目（5分）</w:t>
      </w:r>
    </w:p>
    <w:p>
      <w:pPr>
        <w:snapToGrid w:val="0"/>
        <w:spacing w:line="360" w:lineRule="auto"/>
        <w:ind w:firstLine="484"/>
        <w:rPr>
          <w:rFonts w:hAnsi="宋体" w:cs="宋体"/>
          <w:sz w:val="24"/>
          <w:szCs w:val="24"/>
        </w:rPr>
      </w:pPr>
      <w:r>
        <w:rPr>
          <w:rFonts w:hint="eastAsia" w:hAnsi="宋体" w:cs="宋体"/>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5"/>
        </w:numPr>
        <w:snapToGrid w:val="0"/>
        <w:spacing w:line="360" w:lineRule="auto"/>
        <w:ind w:firstLine="484"/>
        <w:rPr>
          <w:rFonts w:hAnsi="宋体" w:cs="宋体"/>
          <w:b/>
          <w:bCs/>
          <w:sz w:val="24"/>
          <w:szCs w:val="24"/>
        </w:rPr>
      </w:pPr>
      <w:r>
        <w:rPr>
          <w:rFonts w:hint="eastAsia" w:hAnsi="宋体" w:cs="宋体"/>
          <w:b/>
          <w:bCs/>
          <w:sz w:val="24"/>
          <w:szCs w:val="24"/>
        </w:rPr>
        <w:t>主要材料单价（10分）</w:t>
      </w:r>
    </w:p>
    <w:p>
      <w:pPr>
        <w:snapToGrid w:val="0"/>
        <w:spacing w:line="360" w:lineRule="auto"/>
        <w:ind w:firstLine="484"/>
        <w:rPr>
          <w:rFonts w:hAnsi="宋体" w:cs="宋体"/>
          <w:sz w:val="24"/>
          <w:szCs w:val="24"/>
        </w:rPr>
      </w:pPr>
      <w:r>
        <w:rPr>
          <w:rFonts w:hint="eastAsia" w:hAnsi="宋体" w:cs="宋体"/>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bookmarkEnd w:id="71"/>
    <w:bookmarkEnd w:id="72"/>
    <w:bookmarkEnd w:id="73"/>
    <w:bookmarkEnd w:id="74"/>
    <w:p>
      <w:pPr>
        <w:numPr>
          <w:ilvl w:val="0"/>
          <w:numId w:val="6"/>
        </w:numPr>
        <w:spacing w:line="360" w:lineRule="auto"/>
        <w:rPr>
          <w:b/>
          <w:bCs/>
          <w:sz w:val="24"/>
          <w:szCs w:val="24"/>
        </w:rPr>
      </w:pPr>
      <w:r>
        <w:rPr>
          <w:rFonts w:hint="eastAsia" w:cs="宋体"/>
          <w:b/>
          <w:bCs/>
          <w:sz w:val="24"/>
          <w:szCs w:val="24"/>
        </w:rPr>
        <w:t>综合（信用）标的评标分值（20分）</w:t>
      </w:r>
      <w:r>
        <w:rPr>
          <w:rFonts w:hint="eastAsia"/>
          <w:b/>
          <w:bCs/>
          <w:sz w:val="24"/>
          <w:szCs w:val="24"/>
        </w:rPr>
        <w:t xml:space="preserve"> </w:t>
      </w:r>
    </w:p>
    <w:p>
      <w:pPr>
        <w:spacing w:line="360" w:lineRule="auto"/>
        <w:ind w:firstLine="480" w:firstLineChars="200"/>
        <w:rPr>
          <w:rFonts w:cs="宋体"/>
          <w:b/>
          <w:bCs/>
          <w:sz w:val="24"/>
          <w:szCs w:val="24"/>
        </w:rPr>
      </w:pPr>
      <w:r>
        <w:rPr>
          <w:rFonts w:hint="eastAsia"/>
          <w:b/>
          <w:bCs/>
          <w:sz w:val="24"/>
          <w:szCs w:val="24"/>
        </w:rPr>
        <w:t>1、项目班子配备0-4分</w:t>
      </w:r>
    </w:p>
    <w:p>
      <w:pPr>
        <w:spacing w:line="360" w:lineRule="auto"/>
        <w:rPr>
          <w:sz w:val="24"/>
          <w:szCs w:val="24"/>
        </w:rPr>
      </w:pPr>
      <w:r>
        <w:rPr>
          <w:rFonts w:hint="eastAsia"/>
          <w:sz w:val="24"/>
          <w:szCs w:val="24"/>
        </w:rPr>
        <w:t xml:space="preserve">     1.1拟派技术负责人为中级及以上职称者得2分，最高得2分。（</w:t>
      </w:r>
      <w:r>
        <w:rPr>
          <w:rFonts w:hint="eastAsia" w:ascii="新宋体" w:hAnsi="新宋体" w:eastAsia="新宋体"/>
          <w:sz w:val="24"/>
        </w:rPr>
        <w:t>以相关部门颁发职称证为准，</w:t>
      </w:r>
      <w:r>
        <w:rPr>
          <w:rFonts w:hint="eastAsia"/>
          <w:sz w:val="24"/>
          <w:szCs w:val="24"/>
        </w:rPr>
        <w:t>附社保三个月网上查询截图或当地社保部门出具的个人明细表）</w:t>
      </w:r>
    </w:p>
    <w:p>
      <w:pPr>
        <w:spacing w:line="360" w:lineRule="auto"/>
        <w:rPr>
          <w:sz w:val="24"/>
          <w:szCs w:val="24"/>
        </w:rPr>
      </w:pPr>
      <w:r>
        <w:rPr>
          <w:rFonts w:hint="eastAsia"/>
          <w:sz w:val="24"/>
          <w:szCs w:val="24"/>
        </w:rPr>
        <w:t xml:space="preserve">    1.2</w:t>
      </w:r>
      <w:r>
        <w:rPr>
          <w:rFonts w:hint="eastAsia" w:ascii="新宋体" w:hAnsi="新宋体" w:eastAsia="新宋体"/>
          <w:sz w:val="24"/>
        </w:rPr>
        <w:t>拟派项目班子中施工员、质量员、安全员、材料员、测量员、试验员配备齐全得2分，缺任何1项，本项得0分。</w:t>
      </w:r>
      <w:r>
        <w:rPr>
          <w:rFonts w:hint="eastAsia"/>
          <w:sz w:val="24"/>
          <w:szCs w:val="24"/>
        </w:rPr>
        <w:t>（</w:t>
      </w:r>
      <w:r>
        <w:rPr>
          <w:rFonts w:hint="eastAsia" w:ascii="新宋体" w:hAnsi="新宋体" w:eastAsia="新宋体"/>
          <w:sz w:val="24"/>
        </w:rPr>
        <w:t>以上岗证证书为准，</w:t>
      </w:r>
      <w:r>
        <w:rPr>
          <w:rFonts w:hint="eastAsia"/>
          <w:sz w:val="24"/>
          <w:szCs w:val="24"/>
        </w:rPr>
        <w:t>附社保三个月网上查询截图或当地社保部门出具的个人明细表）</w:t>
      </w:r>
    </w:p>
    <w:p>
      <w:pPr>
        <w:spacing w:line="360" w:lineRule="auto"/>
        <w:ind w:firstLine="480" w:firstLineChars="200"/>
        <w:rPr>
          <w:b/>
          <w:bCs/>
          <w:sz w:val="24"/>
          <w:szCs w:val="24"/>
        </w:rPr>
      </w:pPr>
      <w:r>
        <w:rPr>
          <w:rFonts w:hint="eastAsia"/>
          <w:b/>
          <w:bCs/>
          <w:sz w:val="24"/>
          <w:szCs w:val="24"/>
        </w:rPr>
        <w:t>2、企业综合信用0-8</w:t>
      </w:r>
      <w:r>
        <w:rPr>
          <w:rFonts w:hint="eastAsia" w:hAnsi="宋体"/>
          <w:b/>
          <w:bCs/>
          <w:sz w:val="24"/>
          <w:szCs w:val="24"/>
        </w:rPr>
        <w:t>分</w:t>
      </w:r>
    </w:p>
    <w:p>
      <w:pPr>
        <w:spacing w:line="360" w:lineRule="auto"/>
        <w:ind w:firstLine="480" w:firstLineChars="200"/>
        <w:rPr>
          <w:rFonts w:ascii="新宋体" w:hAnsi="新宋体" w:eastAsia="新宋体"/>
          <w:sz w:val="24"/>
        </w:rPr>
      </w:pPr>
      <w:r>
        <w:rPr>
          <w:rFonts w:hint="eastAsia" w:ascii="新宋体" w:hAnsi="新宋体" w:eastAsia="新宋体"/>
          <w:sz w:val="24"/>
        </w:rPr>
        <w:t>2.1 近年来企业有类似业绩的，每项得1分，最高得2分。（</w:t>
      </w:r>
      <w:r>
        <w:rPr>
          <w:rFonts w:hint="eastAsia"/>
          <w:sz w:val="24"/>
          <w:szCs w:val="24"/>
        </w:rPr>
        <w:t>以中标公示截图和中标通知书和施工合同为准，缺一不得分</w:t>
      </w:r>
      <w:r>
        <w:rPr>
          <w:rFonts w:hint="eastAsia" w:ascii="新宋体" w:hAnsi="新宋体" w:eastAsia="新宋体"/>
          <w:sz w:val="24"/>
        </w:rPr>
        <w:t>）</w:t>
      </w:r>
    </w:p>
    <w:p>
      <w:pPr>
        <w:spacing w:line="360" w:lineRule="auto"/>
        <w:ind w:firstLine="480" w:firstLineChars="200"/>
        <w:rPr>
          <w:rFonts w:ascii="新宋体" w:hAnsi="新宋体" w:eastAsia="新宋体"/>
          <w:sz w:val="24"/>
        </w:rPr>
      </w:pPr>
      <w:r>
        <w:rPr>
          <w:rFonts w:hint="eastAsia" w:ascii="新宋体" w:hAnsi="新宋体" w:eastAsia="新宋体"/>
          <w:sz w:val="24"/>
        </w:rPr>
        <w:t>2.2 企业承建的类似项目近年来荣获省级以上（含省级）市政优良工程或省级以上（含省级）市政工程安全文明工地荣誉称号的每个项目得2分，最高得6分。（以证书发证时间和合同及中标通知书确定金额为准）</w:t>
      </w:r>
    </w:p>
    <w:p>
      <w:pPr>
        <w:spacing w:line="360" w:lineRule="auto"/>
        <w:ind w:firstLine="480" w:firstLineChars="200"/>
        <w:rPr>
          <w:b/>
          <w:bCs/>
          <w:sz w:val="24"/>
          <w:szCs w:val="24"/>
        </w:rPr>
      </w:pPr>
      <w:r>
        <w:rPr>
          <w:rFonts w:hint="eastAsia"/>
          <w:b/>
          <w:bCs/>
          <w:sz w:val="24"/>
          <w:szCs w:val="24"/>
        </w:rPr>
        <w:t>3、项目负责人业绩及信用0-4分</w:t>
      </w:r>
    </w:p>
    <w:p>
      <w:pPr>
        <w:spacing w:line="360" w:lineRule="auto"/>
        <w:ind w:firstLine="480" w:firstLineChars="200"/>
        <w:rPr>
          <w:rFonts w:hint="eastAsia" w:ascii="新宋体" w:hAnsi="新宋体" w:eastAsia="新宋体"/>
          <w:sz w:val="24"/>
          <w:szCs w:val="22"/>
        </w:rPr>
      </w:pPr>
      <w:r>
        <w:rPr>
          <w:rFonts w:hint="eastAsia" w:ascii="新宋体" w:hAnsi="新宋体" w:eastAsia="新宋体"/>
          <w:sz w:val="24"/>
          <w:szCs w:val="22"/>
        </w:rPr>
        <w:t>3.1近年来项目负责人有类似业绩的，每份得0.5分，最高得1分。（以施工合同和中标通知书为准，若上述资料不显示项目负责人姓名，还须同时提供相关证明文件</w:t>
      </w:r>
      <w:r>
        <w:rPr>
          <w:rFonts w:hint="eastAsia" w:ascii="新宋体" w:hAnsi="新宋体" w:eastAsia="新宋体"/>
          <w:sz w:val="24"/>
          <w:szCs w:val="22"/>
        </w:rPr>
        <w:t>）；</w:t>
      </w:r>
    </w:p>
    <w:p>
      <w:pPr>
        <w:spacing w:line="360" w:lineRule="auto"/>
        <w:ind w:firstLine="480" w:firstLineChars="200"/>
        <w:rPr>
          <w:rFonts w:hint="default" w:ascii="新宋体" w:hAnsi="新宋体" w:eastAsia="新宋体"/>
          <w:sz w:val="24"/>
          <w:szCs w:val="22"/>
          <w:lang w:val="en-US" w:eastAsia="zh-CN"/>
        </w:rPr>
      </w:pPr>
      <w:r>
        <w:rPr>
          <w:rFonts w:hint="eastAsia" w:ascii="新宋体" w:hAnsi="新宋体" w:eastAsia="新宋体"/>
          <w:sz w:val="24"/>
          <w:szCs w:val="22"/>
        </w:rPr>
        <w:t>3.2近年来项目负责人荣获省级以上</w:t>
      </w:r>
      <w:r>
        <w:rPr>
          <w:rFonts w:hint="eastAsia" w:ascii="新宋体" w:hAnsi="新宋体" w:eastAsia="新宋体"/>
          <w:sz w:val="24"/>
        </w:rPr>
        <w:t>（含省级）</w:t>
      </w:r>
      <w:r>
        <w:rPr>
          <w:rFonts w:hint="eastAsia" w:ascii="新宋体" w:hAnsi="新宋体" w:eastAsia="新宋体"/>
          <w:sz w:val="24"/>
          <w:szCs w:val="22"/>
        </w:rPr>
        <w:t>优秀项目负责人或省级以上</w:t>
      </w:r>
      <w:r>
        <w:rPr>
          <w:rFonts w:hint="eastAsia" w:ascii="新宋体" w:hAnsi="新宋体" w:eastAsia="新宋体"/>
          <w:sz w:val="24"/>
        </w:rPr>
        <w:t>（含省级）</w:t>
      </w:r>
      <w:r>
        <w:rPr>
          <w:rFonts w:hint="eastAsia" w:ascii="新宋体" w:hAnsi="新宋体" w:eastAsia="新宋体"/>
          <w:sz w:val="24"/>
          <w:szCs w:val="22"/>
        </w:rPr>
        <w:t>质量管理先进个人或省级以上</w:t>
      </w:r>
      <w:r>
        <w:rPr>
          <w:rFonts w:hint="eastAsia" w:ascii="新宋体" w:hAnsi="新宋体" w:eastAsia="新宋体"/>
          <w:sz w:val="24"/>
        </w:rPr>
        <w:t>（含省级）</w:t>
      </w:r>
      <w:r>
        <w:rPr>
          <w:rFonts w:hint="eastAsia" w:ascii="新宋体" w:hAnsi="新宋体" w:eastAsia="新宋体"/>
          <w:sz w:val="24"/>
          <w:szCs w:val="22"/>
        </w:rPr>
        <w:t>安全管理先进个人荣誉称号的得3分</w:t>
      </w:r>
      <w:r>
        <w:rPr>
          <w:rFonts w:hint="eastAsia" w:ascii="新宋体" w:hAnsi="新宋体" w:eastAsia="新宋体"/>
          <w:sz w:val="24"/>
          <w:szCs w:val="22"/>
          <w:lang w:eastAsia="zh-CN"/>
        </w:rPr>
        <w:t>，</w:t>
      </w:r>
      <w:r>
        <w:rPr>
          <w:rFonts w:hint="eastAsia" w:ascii="新宋体" w:hAnsi="新宋体" w:eastAsia="新宋体"/>
          <w:sz w:val="24"/>
          <w:szCs w:val="22"/>
          <w:lang w:val="en-US" w:eastAsia="zh-CN"/>
        </w:rPr>
        <w:t>最高得3分。</w:t>
      </w:r>
      <w:r>
        <w:rPr>
          <w:rFonts w:hint="eastAsia" w:ascii="新宋体" w:hAnsi="新宋体" w:eastAsia="新宋体"/>
          <w:sz w:val="24"/>
        </w:rPr>
        <w:t>（以证书发证时间为准）</w:t>
      </w:r>
    </w:p>
    <w:p>
      <w:pPr>
        <w:snapToGrid w:val="0"/>
        <w:spacing w:line="360" w:lineRule="auto"/>
        <w:ind w:firstLine="480" w:firstLineChars="200"/>
        <w:rPr>
          <w:rFonts w:cs="宋体"/>
          <w:b/>
          <w:bCs/>
          <w:color w:val="FF0000"/>
          <w:sz w:val="24"/>
          <w:szCs w:val="24"/>
        </w:rPr>
      </w:pPr>
      <w:r>
        <w:rPr>
          <w:rFonts w:hint="eastAsia"/>
          <w:b/>
          <w:bCs/>
          <w:sz w:val="24"/>
          <w:szCs w:val="24"/>
        </w:rPr>
        <w:t>4、</w:t>
      </w:r>
      <w:r>
        <w:rPr>
          <w:rFonts w:hint="eastAsia" w:cs="宋体"/>
          <w:b/>
          <w:bCs/>
          <w:sz w:val="24"/>
          <w:szCs w:val="24"/>
        </w:rPr>
        <w:t>服务承诺（含不拖欠农民工工资承诺、扬尘治理等内容）0-4分</w:t>
      </w:r>
    </w:p>
    <w:p>
      <w:pPr>
        <w:spacing w:line="360" w:lineRule="auto"/>
        <w:ind w:firstLine="720" w:firstLineChars="300"/>
        <w:rPr>
          <w:rFonts w:ascii="新宋体" w:hAnsi="新宋体" w:eastAsia="新宋体"/>
          <w:sz w:val="24"/>
        </w:rPr>
      </w:pPr>
      <w:r>
        <w:rPr>
          <w:rFonts w:hint="eastAsia" w:ascii="新宋体" w:hAnsi="新宋体" w:eastAsia="新宋体"/>
          <w:sz w:val="24"/>
        </w:rPr>
        <w:t>投标人针对招标项目的特点和要求，结合自身条件和潜力做出优惠和服务承诺，得0-4分；服务承诺由评委根据投标文件表述的具体内容酌情打分，缺项者该项不得分。</w:t>
      </w:r>
    </w:p>
    <w:p>
      <w:pPr>
        <w:spacing w:line="360" w:lineRule="auto"/>
        <w:ind w:firstLine="480" w:firstLineChars="200"/>
        <w:rPr>
          <w:rFonts w:ascii="新宋体" w:hAnsi="新宋体" w:eastAsia="新宋体"/>
          <w:b/>
          <w:bCs/>
          <w:sz w:val="24"/>
        </w:rPr>
      </w:pPr>
      <w:r>
        <w:rPr>
          <w:rFonts w:hint="eastAsia" w:ascii="新宋体" w:hAnsi="新宋体" w:eastAsia="新宋体"/>
          <w:b/>
          <w:bCs/>
          <w:sz w:val="24"/>
        </w:rPr>
        <w:t>注：1）近年年份要求：2016年1月1日以来；以证书发证时间为准。</w:t>
      </w:r>
    </w:p>
    <w:p>
      <w:pPr>
        <w:spacing w:line="360" w:lineRule="auto"/>
        <w:ind w:firstLine="960" w:firstLineChars="400"/>
        <w:rPr>
          <w:rFonts w:hAnsi="宋体" w:cs="宋体"/>
          <w:b/>
          <w:bCs/>
          <w:sz w:val="24"/>
          <w:szCs w:val="24"/>
        </w:rPr>
      </w:pPr>
      <w:r>
        <w:rPr>
          <w:rFonts w:hint="eastAsia" w:hAnsi="宋体" w:cs="宋体"/>
          <w:b/>
          <w:bCs/>
          <w:sz w:val="24"/>
          <w:szCs w:val="24"/>
        </w:rPr>
        <w:t>2）类似工程：指合同金额不低于本项目的市政工程。</w:t>
      </w:r>
    </w:p>
    <w:p>
      <w:pPr>
        <w:adjustRightInd w:val="0"/>
        <w:snapToGrid w:val="0"/>
        <w:spacing w:line="440" w:lineRule="exact"/>
        <w:ind w:firstLine="480"/>
        <w:rPr>
          <w:rFonts w:hAnsi="宋体" w:cs="宋体"/>
          <w:sz w:val="24"/>
          <w:szCs w:val="24"/>
        </w:rPr>
      </w:pPr>
      <w:r>
        <w:rPr>
          <w:rFonts w:hint="eastAsia" w:hAnsi="宋体" w:cs="宋体"/>
          <w:b/>
          <w:bCs/>
          <w:sz w:val="24"/>
          <w:szCs w:val="24"/>
        </w:rPr>
        <w:t xml:space="preserve">    3）凡评标办法里涉及到的证书、证件及业绩材料等，不再提供原件，均以投标文件中所附原件扫描件进行评审，否则该项得分应作0分处理。</w:t>
      </w:r>
    </w:p>
    <w:p>
      <w:pPr>
        <w:adjustRightInd w:val="0"/>
        <w:snapToGrid w:val="0"/>
        <w:spacing w:line="440" w:lineRule="exact"/>
        <w:ind w:firstLine="480"/>
        <w:rPr>
          <w:rFonts w:hAnsi="宋体" w:cs="宋体"/>
          <w:sz w:val="24"/>
          <w:szCs w:val="24"/>
        </w:rPr>
      </w:pPr>
      <w:r>
        <w:rPr>
          <w:rFonts w:hint="eastAsia" w:hAnsi="宋体" w:cs="宋体"/>
          <w:sz w:val="24"/>
          <w:szCs w:val="24"/>
        </w:rPr>
        <w:t>（五）投标人综合得分按下列公式计算：</w:t>
      </w:r>
    </w:p>
    <w:p>
      <w:pPr>
        <w:adjustRightInd w:val="0"/>
        <w:snapToGrid w:val="0"/>
        <w:spacing w:line="440" w:lineRule="exact"/>
        <w:ind w:firstLine="480"/>
        <w:rPr>
          <w:rFonts w:hAnsi="宋体" w:cs="宋体"/>
          <w:sz w:val="24"/>
          <w:szCs w:val="24"/>
        </w:rPr>
      </w:pPr>
      <w:r>
        <w:rPr>
          <w:rFonts w:hint="eastAsia" w:hAnsi="宋体" w:cs="宋体"/>
          <w:sz w:val="24"/>
          <w:szCs w:val="24"/>
        </w:rPr>
        <w:t>投标人综合得分＝技术标得分＋商务标得分＋综合（信用）标得分。</w:t>
      </w:r>
    </w:p>
    <w:p>
      <w:pPr>
        <w:adjustRightInd w:val="0"/>
        <w:snapToGrid w:val="0"/>
        <w:spacing w:line="440" w:lineRule="exact"/>
        <w:ind w:firstLine="480"/>
        <w:rPr>
          <w:rFonts w:hAnsi="宋体" w:cs="宋体"/>
          <w:sz w:val="24"/>
          <w:szCs w:val="24"/>
        </w:rPr>
      </w:pPr>
      <w:r>
        <w:rPr>
          <w:rFonts w:hint="eastAsia" w:hAnsi="宋体" w:cs="宋体"/>
          <w:sz w:val="24"/>
          <w:szCs w:val="24"/>
        </w:rPr>
        <w:t>（六）投标人的最终得分及中标候选人排序</w:t>
      </w:r>
    </w:p>
    <w:p>
      <w:pPr>
        <w:adjustRightInd w:val="0"/>
        <w:snapToGrid w:val="0"/>
        <w:spacing w:line="440" w:lineRule="exact"/>
        <w:ind w:firstLine="480"/>
        <w:rPr>
          <w:rFonts w:hAnsi="宋体" w:cs="宋体"/>
          <w:sz w:val="24"/>
          <w:szCs w:val="24"/>
        </w:rPr>
      </w:pPr>
      <w:r>
        <w:rPr>
          <w:rFonts w:hint="eastAsia" w:hAnsi="宋体" w:cs="宋体"/>
          <w:sz w:val="24"/>
          <w:szCs w:val="24"/>
        </w:rPr>
        <w:t>1.评标委员会完成对技术标、商务标和综合（信用）标的汇总后，从中去掉一个最高分和一个最低分，取平均值作为该投标人的最终得分。计算分值均保留两位小数。</w:t>
      </w:r>
    </w:p>
    <w:p>
      <w:pPr>
        <w:adjustRightInd w:val="0"/>
        <w:snapToGrid w:val="0"/>
        <w:spacing w:line="440" w:lineRule="exact"/>
        <w:ind w:firstLine="480"/>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adjustRightInd w:val="0"/>
        <w:snapToGrid w:val="0"/>
        <w:spacing w:line="440" w:lineRule="exact"/>
        <w:ind w:firstLine="480"/>
        <w:rPr>
          <w:rFonts w:cs="宋体"/>
          <w:sz w:val="24"/>
          <w:szCs w:val="24"/>
        </w:rPr>
      </w:pPr>
      <w:r>
        <w:rPr>
          <w:rFonts w:hint="eastAsia" w:hAnsi="宋体" w:cs="宋体"/>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pPr>
        <w:snapToGrid w:val="0"/>
        <w:spacing w:line="360" w:lineRule="auto"/>
        <w:ind w:firstLine="480" w:firstLineChars="200"/>
        <w:rPr>
          <w:rFonts w:ascii="新宋体" w:eastAsia="新宋体" w:cs="宋体"/>
          <w:b/>
          <w:sz w:val="24"/>
        </w:rPr>
      </w:pPr>
      <w:r>
        <w:rPr>
          <w:rFonts w:hint="eastAsia" w:ascii="新宋体" w:eastAsia="新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napToGrid w:val="0"/>
        <w:spacing w:line="360" w:lineRule="auto"/>
        <w:ind w:firstLine="480" w:firstLineChars="200"/>
        <w:rPr>
          <w:rFonts w:ascii="新宋体" w:eastAsia="新宋体" w:cs="宋体"/>
          <w:b/>
          <w:sz w:val="24"/>
        </w:rPr>
      </w:pPr>
      <w:r>
        <w:rPr>
          <w:rFonts w:hint="eastAsia" w:ascii="新宋体" w:eastAsia="新宋体" w:cs="宋体"/>
          <w:b/>
          <w:sz w:val="24"/>
        </w:rPr>
        <w:t>八、定标</w:t>
      </w:r>
    </w:p>
    <w:p>
      <w:pPr>
        <w:snapToGrid w:val="0"/>
        <w:spacing w:line="360" w:lineRule="auto"/>
        <w:ind w:firstLine="480" w:firstLineChars="200"/>
        <w:rPr>
          <w:rFonts w:ascii="新宋体" w:eastAsia="新宋体"/>
          <w:b/>
          <w:sz w:val="24"/>
        </w:rPr>
      </w:pPr>
      <w:r>
        <w:rPr>
          <w:rFonts w:hint="eastAsia" w:asci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66"/>
        <w:keepNext w:val="0"/>
        <w:keepLines w:val="0"/>
        <w:snapToGrid w:val="0"/>
        <w:spacing w:line="360" w:lineRule="auto"/>
        <w:ind w:firstLine="480" w:firstLineChars="200"/>
        <w:outlineLvl w:val="9"/>
        <w:rPr>
          <w:rFonts w:ascii="新宋体" w:eastAsia="新宋体"/>
          <w:b/>
          <w:szCs w:val="24"/>
        </w:rPr>
      </w:pPr>
      <w:bookmarkStart w:id="75" w:name="_Toc23277"/>
      <w:r>
        <w:rPr>
          <w:rFonts w:hint="eastAsia" w:ascii="新宋体" w:eastAsia="新宋体"/>
          <w:b/>
          <w:szCs w:val="24"/>
        </w:rPr>
        <w:t>九、评标报告</w:t>
      </w:r>
      <w:bookmarkEnd w:id="75"/>
    </w:p>
    <w:p>
      <w:pPr>
        <w:snapToGrid w:val="0"/>
        <w:spacing w:line="360" w:lineRule="auto"/>
        <w:ind w:firstLine="480" w:firstLineChars="200"/>
        <w:rPr>
          <w:rFonts w:ascii="新宋体" w:eastAsia="新宋体"/>
          <w:sz w:val="24"/>
        </w:rPr>
      </w:pPr>
      <w:r>
        <w:rPr>
          <w:rFonts w:hint="eastAsia" w:ascii="新宋体" w:eastAsia="新宋体"/>
          <w:sz w:val="24"/>
        </w:rPr>
        <w:t>评标委员会根据投标人须知前附表7.1条的规定向招标人提交评标报告。评标报告应当由全体评标委员会成员签字，并于评标结束时抄送有关行政监督部门。</w:t>
      </w:r>
    </w:p>
    <w:p>
      <w:pPr>
        <w:pStyle w:val="66"/>
        <w:keepNext w:val="0"/>
        <w:keepLines w:val="0"/>
        <w:snapToGrid w:val="0"/>
        <w:spacing w:line="360" w:lineRule="auto"/>
        <w:ind w:firstLine="480" w:firstLineChars="200"/>
        <w:outlineLvl w:val="9"/>
        <w:rPr>
          <w:rFonts w:ascii="新宋体" w:eastAsia="新宋体"/>
          <w:b/>
          <w:szCs w:val="24"/>
        </w:rPr>
      </w:pPr>
      <w:bookmarkStart w:id="76" w:name="_Toc8686"/>
      <w:r>
        <w:rPr>
          <w:rFonts w:hint="eastAsia" w:ascii="新宋体" w:eastAsia="新宋体"/>
          <w:b/>
        </w:rPr>
        <w:t>十、</w:t>
      </w:r>
      <w:r>
        <w:rPr>
          <w:rFonts w:hint="eastAsia" w:ascii="新宋体" w:eastAsia="新宋体"/>
          <w:b/>
          <w:szCs w:val="24"/>
        </w:rPr>
        <w:t>公示</w:t>
      </w:r>
      <w:bookmarkEnd w:id="76"/>
    </w:p>
    <w:p>
      <w:pPr>
        <w:snapToGrid w:val="0"/>
        <w:spacing w:line="360" w:lineRule="auto"/>
        <w:ind w:firstLine="480" w:firstLineChars="200"/>
        <w:rPr>
          <w:rFonts w:ascii="新宋体" w:eastAsia="新宋体"/>
          <w:sz w:val="24"/>
        </w:rPr>
      </w:pPr>
      <w:r>
        <w:rPr>
          <w:rFonts w:hint="eastAsia" w:ascii="新宋体" w:eastAsia="新宋体"/>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snapToGrid w:val="0"/>
        <w:spacing w:line="360" w:lineRule="auto"/>
        <w:ind w:firstLine="480" w:firstLineChars="200"/>
        <w:rPr>
          <w:rFonts w:ascii="新宋体" w:eastAsia="新宋体"/>
          <w:b/>
          <w:sz w:val="24"/>
        </w:rPr>
      </w:pPr>
      <w:r>
        <w:rPr>
          <w:rFonts w:hint="eastAsia" w:ascii="新宋体" w:eastAsia="新宋体"/>
          <w:b/>
          <w:sz w:val="24"/>
        </w:rPr>
        <w:t>十一、特殊情况的处置程序</w:t>
      </w:r>
    </w:p>
    <w:p>
      <w:pPr>
        <w:snapToGrid w:val="0"/>
        <w:spacing w:line="360" w:lineRule="auto"/>
        <w:ind w:firstLine="480" w:firstLineChars="200"/>
        <w:rPr>
          <w:rFonts w:ascii="新宋体" w:eastAsia="新宋体"/>
          <w:b/>
          <w:sz w:val="24"/>
        </w:rPr>
      </w:pPr>
      <w:r>
        <w:rPr>
          <w:rFonts w:hint="eastAsia" w:ascii="新宋体" w:eastAsia="新宋体"/>
          <w:b/>
          <w:sz w:val="24"/>
        </w:rPr>
        <w:t>11.1关于澄清、说明或补正</w:t>
      </w:r>
    </w:p>
    <w:p>
      <w:pPr>
        <w:snapToGrid w:val="0"/>
        <w:spacing w:line="360" w:lineRule="auto"/>
        <w:ind w:firstLine="480" w:firstLineChars="200"/>
        <w:rPr>
          <w:rFonts w:ascii="新宋体" w:eastAsia="新宋体"/>
          <w:sz w:val="24"/>
        </w:rPr>
      </w:pPr>
      <w:r>
        <w:rPr>
          <w:rFonts w:hint="eastAsia" w:asci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napToGrid w:val="0"/>
        <w:spacing w:line="360" w:lineRule="auto"/>
        <w:ind w:firstLine="480" w:firstLineChars="200"/>
        <w:rPr>
          <w:rFonts w:ascii="新宋体" w:eastAsia="新宋体"/>
          <w:b/>
          <w:sz w:val="24"/>
        </w:rPr>
      </w:pPr>
      <w:r>
        <w:rPr>
          <w:rFonts w:hint="eastAsia" w:ascii="新宋体" w:eastAsia="新宋体"/>
          <w:b/>
          <w:sz w:val="24"/>
        </w:rPr>
        <w:t>11.2关于评标活动暂停</w:t>
      </w:r>
    </w:p>
    <w:p>
      <w:pPr>
        <w:snapToGrid w:val="0"/>
        <w:spacing w:line="360" w:lineRule="auto"/>
        <w:ind w:firstLine="480" w:firstLineChars="200"/>
        <w:rPr>
          <w:rFonts w:ascii="新宋体" w:eastAsia="新宋体"/>
          <w:sz w:val="24"/>
        </w:rPr>
      </w:pPr>
      <w:r>
        <w:rPr>
          <w:rFonts w:hint="eastAsia" w:ascii="新宋体" w:eastAsia="新宋体"/>
          <w:sz w:val="24"/>
        </w:rPr>
        <w:t>11.2.1评标委员会应当执行连续评标的原则，按评标办法中规定的程序、内容、方法、标准完成全部评标工作。只有发生不可抗力导致评标工作无法继续时，评标活动方可暂停。</w:t>
      </w:r>
    </w:p>
    <w:p>
      <w:pPr>
        <w:snapToGrid w:val="0"/>
        <w:spacing w:line="360" w:lineRule="auto"/>
        <w:ind w:firstLine="480" w:firstLineChars="200"/>
        <w:rPr>
          <w:rFonts w:ascii="新宋体" w:eastAsia="新宋体"/>
          <w:sz w:val="24"/>
        </w:rPr>
      </w:pPr>
      <w:r>
        <w:rPr>
          <w:rFonts w:hint="eastAsia" w:ascii="新宋体" w:eastAsia="新宋体"/>
          <w:sz w:val="24"/>
        </w:rPr>
        <w:t>11.2.2发生评标暂停情况时，评标委员会应当封存全部投标文件和评标记录，待不可抗力的影响结束且具备继续评标的条件时，由原评标委员会继续评标。</w:t>
      </w:r>
    </w:p>
    <w:p>
      <w:pPr>
        <w:snapToGrid w:val="0"/>
        <w:spacing w:line="360" w:lineRule="auto"/>
        <w:ind w:firstLine="480" w:firstLineChars="200"/>
        <w:rPr>
          <w:rFonts w:ascii="新宋体" w:eastAsia="新宋体"/>
          <w:b/>
          <w:sz w:val="24"/>
        </w:rPr>
      </w:pPr>
      <w:r>
        <w:rPr>
          <w:rFonts w:hint="eastAsia" w:ascii="新宋体" w:eastAsia="新宋体"/>
          <w:b/>
          <w:sz w:val="24"/>
        </w:rPr>
        <w:t>11.3关于评标中途更换评标委员会成员</w:t>
      </w:r>
    </w:p>
    <w:p>
      <w:pPr>
        <w:snapToGrid w:val="0"/>
        <w:spacing w:line="360" w:lineRule="auto"/>
        <w:ind w:firstLine="480" w:firstLineChars="200"/>
        <w:rPr>
          <w:rFonts w:ascii="新宋体" w:eastAsia="新宋体"/>
          <w:sz w:val="24"/>
        </w:rPr>
      </w:pPr>
      <w:r>
        <w:rPr>
          <w:rFonts w:hint="eastAsia" w:ascii="新宋体" w:eastAsia="新宋体"/>
          <w:sz w:val="24"/>
        </w:rPr>
        <w:t>11.3.1除非发生下列情况之一，评标委员会成员不得在评标中途更换：</w:t>
      </w:r>
    </w:p>
    <w:p>
      <w:pPr>
        <w:snapToGrid w:val="0"/>
        <w:spacing w:line="360" w:lineRule="auto"/>
        <w:ind w:firstLine="480" w:firstLineChars="200"/>
        <w:rPr>
          <w:rFonts w:ascii="新宋体" w:eastAsia="新宋体"/>
          <w:sz w:val="24"/>
        </w:rPr>
      </w:pPr>
      <w:r>
        <w:rPr>
          <w:rFonts w:hint="eastAsia" w:ascii="新宋体" w:eastAsia="新宋体"/>
          <w:sz w:val="24"/>
        </w:rPr>
        <w:t>（1）因不可抗拒的客观原因，不能到场或需在评标中途退出评标活动。</w:t>
      </w:r>
    </w:p>
    <w:p>
      <w:pPr>
        <w:snapToGrid w:val="0"/>
        <w:spacing w:line="360" w:lineRule="auto"/>
        <w:ind w:firstLine="480" w:firstLineChars="200"/>
        <w:rPr>
          <w:rFonts w:ascii="新宋体" w:eastAsia="新宋体"/>
          <w:sz w:val="24"/>
        </w:rPr>
      </w:pPr>
      <w:r>
        <w:rPr>
          <w:rFonts w:hint="eastAsia" w:ascii="新宋体" w:eastAsia="新宋体"/>
          <w:sz w:val="24"/>
        </w:rPr>
        <w:t>（2）根据法律法规规定，某个或某几个评标委员会成员需要回避。</w:t>
      </w:r>
    </w:p>
    <w:p>
      <w:pPr>
        <w:snapToGrid w:val="0"/>
        <w:spacing w:line="360" w:lineRule="auto"/>
        <w:ind w:firstLine="480" w:firstLineChars="200"/>
        <w:rPr>
          <w:rFonts w:ascii="新宋体" w:eastAsia="新宋体"/>
          <w:sz w:val="24"/>
        </w:rPr>
      </w:pPr>
      <w:r>
        <w:rPr>
          <w:rFonts w:hint="eastAsia" w:ascii="新宋体" w:eastAsia="新宋体"/>
          <w:sz w:val="24"/>
        </w:rPr>
        <w:t>11.3.2退出评标的评标委员会成员，其已完成的评标行为无效。由招标人根据本招标文件规定的评标委员会成员产生方式另行确定替代者进行评标。</w:t>
      </w:r>
    </w:p>
    <w:p>
      <w:pPr>
        <w:snapToGrid w:val="0"/>
        <w:spacing w:line="360" w:lineRule="auto"/>
        <w:ind w:firstLine="480" w:firstLineChars="200"/>
        <w:rPr>
          <w:rFonts w:ascii="新宋体" w:eastAsia="新宋体"/>
          <w:b/>
          <w:sz w:val="24"/>
        </w:rPr>
      </w:pPr>
      <w:r>
        <w:rPr>
          <w:rFonts w:hint="eastAsia" w:ascii="新宋体" w:eastAsia="新宋体"/>
          <w:b/>
          <w:sz w:val="24"/>
        </w:rPr>
        <w:t>11.4记名投票</w:t>
      </w:r>
    </w:p>
    <w:p>
      <w:pPr>
        <w:snapToGrid w:val="0"/>
        <w:spacing w:line="360" w:lineRule="auto"/>
        <w:ind w:firstLine="480" w:firstLineChars="200"/>
        <w:rPr>
          <w:rFonts w:ascii="新宋体" w:eastAsia="新宋体"/>
          <w:sz w:val="24"/>
        </w:rPr>
      </w:pPr>
      <w:r>
        <w:rPr>
          <w:rFonts w:hint="eastAsia" w:ascii="新宋体" w:eastAsia="新宋体"/>
          <w:sz w:val="24"/>
        </w:rPr>
        <w:t>在任何评标环节中，需评标委员会就某项定性的评审结论做出表决的，由评标委员会全体成员按照少数服从多数的原则，以记名投票方式表决。</w:t>
      </w:r>
    </w:p>
    <w:p>
      <w:pPr>
        <w:snapToGrid w:val="0"/>
        <w:spacing w:line="360" w:lineRule="auto"/>
        <w:ind w:firstLine="480" w:firstLineChars="200"/>
        <w:rPr>
          <w:b/>
          <w:sz w:val="24"/>
        </w:rPr>
      </w:pPr>
      <w:r>
        <w:rPr>
          <w:rFonts w:hint="eastAsia"/>
          <w:b/>
          <w:sz w:val="24"/>
        </w:rPr>
        <w:t>11.5评标委员会对评标结果有异议的</w:t>
      </w:r>
    </w:p>
    <w:p>
      <w:pPr>
        <w:snapToGrid w:val="0"/>
        <w:spacing w:line="360" w:lineRule="auto"/>
        <w:ind w:firstLine="468" w:firstLineChars="200"/>
        <w:jc w:val="left"/>
        <w:rPr>
          <w:rFonts w:hAnsi="宋体" w:cs="黑体"/>
          <w:b/>
          <w:sz w:val="36"/>
          <w:szCs w:val="36"/>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napToGrid w:val="0"/>
        <w:spacing w:line="400" w:lineRule="exact"/>
        <w:rPr>
          <w:rFonts w:ascii="方正小标宋简体" w:hAnsi="黑体" w:eastAsia="方正小标宋简体"/>
          <w:b/>
          <w:bCs/>
          <w:sz w:val="32"/>
          <w:szCs w:val="32"/>
        </w:rPr>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snapToGrid w:val="0"/>
        <w:spacing w:line="400" w:lineRule="exact"/>
        <w:rPr>
          <w:rFonts w:ascii="方正小标宋简体" w:hAnsi="黑体" w:eastAsia="方正小标宋简体"/>
          <w:b/>
          <w:bCs/>
          <w:sz w:val="32"/>
          <w:szCs w:val="32"/>
        </w:rPr>
      </w:pPr>
      <w:r>
        <w:rPr>
          <w:rFonts w:hint="eastAsia" w:ascii="方正小标宋简体" w:hAnsi="黑体" w:eastAsia="方正小标宋简体"/>
          <w:b/>
          <w:bCs/>
          <w:sz w:val="32"/>
          <w:szCs w:val="32"/>
        </w:rPr>
        <w:t>附表一：投标保证金</w:t>
      </w:r>
    </w:p>
    <w:tbl>
      <w:tblPr>
        <w:tblStyle w:val="29"/>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rPr>
                <w:rFonts w:ascii="仿宋_GB2312" w:hAnsi="宋体" w:eastAsia="仿宋_GB2312" w:cs="宋体"/>
                <w:sz w:val="24"/>
                <w:szCs w:val="22"/>
              </w:rPr>
            </w:pPr>
            <w:r>
              <w:rPr>
                <w:rFonts w:hint="eastAsia" w:ascii="仿宋_GB2312" w:hAnsi="宋体" w:eastAsia="仿宋_GB2312" w:cs="宋体"/>
                <w:sz w:val="24"/>
                <w:szCs w:val="22"/>
              </w:rPr>
              <w:t>建安建工公字〔2019〕100号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项目名称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rPr>
                <w:rFonts w:ascii="仿宋_GB2312" w:hAnsi="宋体" w:eastAsia="仿宋_GB2312" w:cs="宋体"/>
                <w:sz w:val="24"/>
              </w:rPr>
            </w:pPr>
            <w:r>
              <w:rPr>
                <w:rFonts w:hint="eastAsia" w:ascii="仿宋_GB2312" w:hAnsi="宋体" w:eastAsia="仿宋_GB2312" w:cs="宋体"/>
                <w:sz w:val="24"/>
                <w:szCs w:val="22"/>
              </w:rPr>
              <w:t>昌盛路西延（京广铁路引线-河苏路）拓宽改造工程（施工标）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标段名称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rPr>
                <w:rFonts w:ascii="仿宋_GB2312" w:hAnsi="宋体" w:eastAsia="仿宋_GB2312" w:cs="宋体"/>
                <w:sz w:val="24"/>
                <w:szCs w:val="22"/>
              </w:rPr>
            </w:pPr>
            <w:r>
              <w:rPr>
                <w:rFonts w:hint="eastAsia" w:ascii="仿宋_GB2312" w:hAnsi="宋体" w:eastAsia="仿宋_GB2312" w:cs="宋体"/>
                <w:sz w:val="24"/>
                <w:szCs w:val="22"/>
              </w:rPr>
              <w:t>一标段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投标保证金</w:t>
            </w:r>
          </w:p>
          <w:p>
            <w:pPr>
              <w:spacing w:line="500" w:lineRule="exact"/>
              <w:jc w:val="center"/>
              <w:rPr>
                <w:rFonts w:ascii="仿宋_GB2312" w:hAnsi="宋体" w:eastAsia="仿宋_GB2312" w:cs="宋体"/>
                <w:sz w:val="24"/>
              </w:rPr>
            </w:pPr>
            <w:r>
              <w:rPr>
                <w:rFonts w:hint="eastAsia" w:ascii="仿宋_GB2312" w:hAnsi="宋体" w:eastAsia="仿宋_GB2312" w:cs="宋体"/>
                <w:sz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rPr>
                <w:rFonts w:ascii="仿宋_GB2312" w:hAnsi="宋体" w:eastAsia="仿宋_GB2312" w:cs="宋体"/>
                <w:sz w:val="24"/>
              </w:rPr>
            </w:pPr>
            <w:r>
              <w:rPr>
                <w:rFonts w:hint="eastAsia" w:ascii="仿宋_GB2312" w:hAnsi="宋体" w:eastAsia="仿宋_GB2312" w:cs="宋体"/>
                <w:sz w:val="24"/>
                <w:szCs w:val="22"/>
              </w:rPr>
              <w:t>金额：人民币：陆拾万元整（600000.00元）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ascii="仿宋_GB2312" w:hAnsi="宋体" w:eastAsia="仿宋_GB2312" w:cs="宋体"/>
                <w:sz w:val="24"/>
              </w:rPr>
            </w:pPr>
            <w:r>
              <w:rPr>
                <w:rFonts w:hint="eastAsia" w:ascii="仿宋_GB2312" w:hAnsi="宋体" w:eastAsia="仿宋_GB2312" w:cs="宋体"/>
                <w:sz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2、投标保证金缴纳方式：</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2.1投标人网上报名后，登录</w:t>
            </w:r>
            <w:r>
              <w:fldChar w:fldCharType="begin"/>
            </w:r>
            <w:r>
              <w:instrText xml:space="preserve"> HYPERLINK "http://221.14.6.70:8088/ggzy" </w:instrText>
            </w:r>
            <w:r>
              <w:fldChar w:fldCharType="separate"/>
            </w:r>
            <w:r>
              <w:rPr>
                <w:rStyle w:val="35"/>
                <w:rFonts w:hint="eastAsia" w:ascii="仿宋_GB2312" w:hAnsi="宋体" w:eastAsia="仿宋_GB2312" w:cs="宋体"/>
                <w:sz w:val="24"/>
              </w:rPr>
              <w:t>http://221.14.6.70:8088/ggzy</w:t>
            </w:r>
            <w:r>
              <w:rPr>
                <w:rStyle w:val="35"/>
                <w:rFonts w:hint="eastAsia" w:ascii="仿宋_GB2312" w:hAnsi="宋体" w:eastAsia="仿宋_GB2312" w:cs="宋体"/>
                <w:sz w:val="24"/>
              </w:rPr>
              <w:fldChar w:fldCharType="end"/>
            </w:r>
            <w:r>
              <w:rPr>
                <w:rFonts w:hint="eastAsia" w:ascii="仿宋_GB2312" w:hAnsi="宋体" w:eastAsia="仿宋_GB2312" w:cs="宋体"/>
                <w:sz w:val="24"/>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2.2成功缴纳后重新登录前述系统，依次点击“会员向导”→“参与投标”→“保证金绑定”→“绑定”进行投标保证金绑定。</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2.4 每个投标人每个项目每个标段只有唯一缴纳账号，切勿重复缴纳或错误缴纳。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3、未按上述规定操作引起的无效投标，由投标人自行负责。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4、汇款凭证无须备注项目编号和项目名称。</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5、出现以下情形造成的投标保证金无效，由投标人自行负责。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(1)投标保证金未从投标人的基本账户转出；</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(2)投标保证金未按照招标文件划分的标段依次转账。</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6、《保证金缴纳绑定操作指南》获取方法：</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登录</w:t>
            </w:r>
            <w:r>
              <w:rPr>
                <w:rFonts w:hint="eastAsia" w:ascii="仿宋_GB2312" w:hAnsi="宋体" w:eastAsia="仿宋_GB2312" w:cs="宋体"/>
                <w:bCs/>
                <w:sz w:val="24"/>
              </w:rPr>
              <w:t>全国公共资源交易平台（河南省</w:t>
            </w:r>
            <w:r>
              <w:rPr>
                <w:rFonts w:hint="eastAsia" w:ascii="仿宋_GB2312" w:hAnsi="MS Mincho" w:eastAsia="MS Mincho" w:cs="MS Mincho"/>
                <w:bCs/>
                <w:sz w:val="24"/>
              </w:rPr>
              <w:t>▪</w:t>
            </w:r>
            <w:r>
              <w:rPr>
                <w:rFonts w:hint="eastAsia" w:ascii="仿宋_GB2312" w:hAnsi="宋体" w:eastAsia="仿宋_GB2312" w:cs="宋体"/>
                <w:bCs/>
                <w:sz w:val="24"/>
              </w:rPr>
              <w:t>许昌市）</w:t>
            </w:r>
            <w:r>
              <w:rPr>
                <w:rFonts w:hint="eastAsia" w:ascii="仿宋_GB2312" w:hAnsi="宋体" w:eastAsia="仿宋_GB2312" w:cs="宋体"/>
                <w:sz w:val="24"/>
              </w:rPr>
              <w:t>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1、因投标人的原因无法及时退还投标（竞买）保证金、滞留三年以上的，投标（竞买）保证金上缴财政。</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4、特殊情况处理</w:t>
            </w:r>
          </w:p>
          <w:p>
            <w:pPr>
              <w:adjustRightInd w:val="0"/>
              <w:spacing w:line="360" w:lineRule="exact"/>
              <w:ind w:firstLine="470" w:firstLineChars="196"/>
              <w:rPr>
                <w:rFonts w:ascii="仿宋_GB2312" w:hAnsi="宋体" w:eastAsia="仿宋_GB2312" w:cs="仿宋_GB2312"/>
                <w:sz w:val="24"/>
              </w:rPr>
            </w:pPr>
            <w:r>
              <w:rPr>
                <w:rFonts w:hint="eastAsia" w:ascii="仿宋_GB2312" w:hAnsi="宋体" w:eastAsia="仿宋_GB2312" w:cs="宋体"/>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rPr>
          <w:rFonts w:ascii="仿宋_GB2312" w:hAnsi="新宋体" w:eastAsia="仿宋_GB2312"/>
          <w:b/>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sz w:val="36"/>
          <w:szCs w:val="36"/>
        </w:rPr>
      </w:pPr>
      <w:r>
        <w:rPr>
          <w:rFonts w:hint="eastAsia" w:ascii="方正小标宋简体" w:hAnsi="宋体" w:eastAsia="方正小标宋简体" w:cs="宋体"/>
          <w:sz w:val="36"/>
          <w:szCs w:val="36"/>
        </w:rPr>
        <w:t>投标保证金退还申请表</w:t>
      </w:r>
    </w:p>
    <w:tbl>
      <w:tblPr>
        <w:tblStyle w:val="29"/>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ascii="仿宋_GB2312" w:hAnsi="华文中宋" w:eastAsia="仿宋_GB2312"/>
                <w:sz w:val="24"/>
              </w:rPr>
            </w:pPr>
            <w:r>
              <w:rPr>
                <w:rFonts w:hint="eastAsia" w:ascii="仿宋_GB2312" w:hAnsi="新宋体" w:eastAsia="仿宋_GB2312" w:cs="新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 xml:space="preserve">大写：                                    </w:t>
            </w:r>
            <w:r>
              <w:rPr>
                <w:rFonts w:hint="eastAsia" w:ascii="新宋体" w:hAnsi="新宋体" w:eastAsia="仿宋_GB2312" w:cs="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tcPr>
          <w:p>
            <w:pPr>
              <w:wordWrap w:val="0"/>
              <w:jc w:val="right"/>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华文中宋" w:eastAsia="仿宋_GB2312"/>
                <w:sz w:val="24"/>
              </w:rPr>
            </w:pPr>
            <w:r>
              <w:rPr>
                <w:rFonts w:hint="eastAsia" w:ascii="仿宋_GB2312" w:hAnsi="新宋体" w:eastAsia="仿宋_GB2312" w:cs="新宋体"/>
                <w:sz w:val="24"/>
              </w:rPr>
              <w:t>年   月   日</w:t>
            </w:r>
          </w:p>
        </w:tc>
      </w:tr>
    </w:tbl>
    <w:p>
      <w:pPr>
        <w:rPr>
          <w:rFonts w:ascii="华文中宋" w:hAnsi="华文中宋" w:eastAsia="华文中宋"/>
          <w:b/>
          <w:bCs/>
          <w:sz w:val="32"/>
          <w:szCs w:val="32"/>
        </w:rPr>
      </w:pPr>
      <w:r>
        <w:rPr>
          <w:rFonts w:hint="eastAsia" w:ascii="仿宋_GB2312" w:hAnsi="宋体" w:eastAsia="仿宋_GB2312"/>
          <w:sz w:val="24"/>
        </w:rPr>
        <w:t>备注：中标单位使用此表退还保证金时，此表格大小及格式不得改变</w:t>
      </w:r>
      <w:r>
        <w:rPr>
          <w:rFonts w:hint="eastAsia" w:ascii="仿宋_GB2312" w:hAnsi="宋体" w:eastAsia="仿宋_GB2312"/>
          <w:sz w:val="28"/>
          <w:szCs w:val="28"/>
        </w:rPr>
        <w:t>。</w:t>
      </w:r>
    </w:p>
    <w:p>
      <w:pPr>
        <w:jc w:val="left"/>
        <w:rPr>
          <w:rFonts w:ascii="华文中宋" w:hAnsi="华文中宋" w:eastAsia="华文中宋"/>
          <w:b/>
          <w:bCs/>
          <w:sz w:val="32"/>
          <w:szCs w:val="32"/>
        </w:rPr>
      </w:pPr>
    </w:p>
    <w:p>
      <w:pPr>
        <w:ind w:firstLine="2880" w:firstLineChars="800"/>
        <w:rPr>
          <w:rFonts w:hAnsi="宋体"/>
          <w:sz w:val="36"/>
          <w:szCs w:val="36"/>
        </w:rPr>
      </w:pPr>
      <w:r>
        <w:rPr>
          <w:rFonts w:hint="eastAsia" w:hAnsi="宋体"/>
          <w:sz w:val="36"/>
          <w:szCs w:val="36"/>
        </w:rPr>
        <w:t>履约保证金退还通知单</w:t>
      </w:r>
    </w:p>
    <w:tbl>
      <w:tblPr>
        <w:tblStyle w:val="29"/>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exact"/>
        </w:trPr>
        <w:tc>
          <w:tcPr>
            <w:tcW w:w="2086" w:type="dxa"/>
            <w:vAlign w:val="center"/>
          </w:tcPr>
          <w:p>
            <w:pPr>
              <w:spacing w:line="360" w:lineRule="exact"/>
              <w:jc w:val="center"/>
              <w:rPr>
                <w:rFonts w:hAnsi="宋体"/>
                <w:sz w:val="24"/>
              </w:rPr>
            </w:pPr>
            <w:r>
              <w:rPr>
                <w:rFonts w:hint="eastAsia" w:hAnsi="宋体"/>
                <w:sz w:val="24"/>
              </w:rPr>
              <w:t>项目编号</w:t>
            </w:r>
          </w:p>
        </w:tc>
        <w:tc>
          <w:tcPr>
            <w:tcW w:w="4140" w:type="dxa"/>
            <w:gridSpan w:val="2"/>
            <w:vAlign w:val="center"/>
          </w:tcPr>
          <w:p>
            <w:pPr>
              <w:spacing w:line="360" w:lineRule="exact"/>
              <w:jc w:val="center"/>
              <w:rPr>
                <w:rFonts w:hAnsi="宋体"/>
                <w:sz w:val="24"/>
              </w:rPr>
            </w:pPr>
          </w:p>
        </w:tc>
        <w:tc>
          <w:tcPr>
            <w:tcW w:w="1440" w:type="dxa"/>
            <w:gridSpan w:val="2"/>
            <w:vAlign w:val="center"/>
          </w:tcPr>
          <w:p>
            <w:pPr>
              <w:spacing w:line="360" w:lineRule="exact"/>
              <w:jc w:val="center"/>
              <w:rPr>
                <w:rFonts w:hAnsi="宋体"/>
                <w:sz w:val="24"/>
              </w:rPr>
            </w:pPr>
            <w:r>
              <w:rPr>
                <w:rFonts w:hint="eastAsia" w:hAnsi="宋体"/>
                <w:sz w:val="24"/>
              </w:rPr>
              <w:t>是否完工</w:t>
            </w:r>
          </w:p>
        </w:tc>
        <w:tc>
          <w:tcPr>
            <w:tcW w:w="2162" w:type="dxa"/>
            <w:vAlign w:val="center"/>
          </w:tcPr>
          <w:p>
            <w:pPr>
              <w:spacing w:line="360" w:lineRule="exact"/>
              <w:ind w:firstLine="240" w:firstLineChars="100"/>
              <w:rPr>
                <w:rFonts w:hAnsi="宋体"/>
                <w:sz w:val="24"/>
              </w:rPr>
            </w:pPr>
            <w:r>
              <w:rPr>
                <w:rFonts w:hint="eastAsia" w:hAnsi="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086" w:type="dxa"/>
            <w:vAlign w:val="center"/>
          </w:tcPr>
          <w:p>
            <w:pPr>
              <w:spacing w:line="360" w:lineRule="exact"/>
              <w:jc w:val="center"/>
              <w:rPr>
                <w:rFonts w:hAnsi="宋体"/>
                <w:sz w:val="24"/>
              </w:rPr>
            </w:pPr>
            <w:r>
              <w:rPr>
                <w:rFonts w:hint="eastAsia" w:hAnsi="宋体"/>
                <w:sz w:val="24"/>
              </w:rPr>
              <w:t>中标企业名称</w:t>
            </w:r>
          </w:p>
        </w:tc>
        <w:tc>
          <w:tcPr>
            <w:tcW w:w="7742" w:type="dxa"/>
            <w:gridSpan w:val="5"/>
            <w:vAlign w:val="center"/>
          </w:tcPr>
          <w:p>
            <w:pPr>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exact"/>
        </w:trPr>
        <w:tc>
          <w:tcPr>
            <w:tcW w:w="2086" w:type="dxa"/>
            <w:vAlign w:val="center"/>
          </w:tcPr>
          <w:p>
            <w:pPr>
              <w:spacing w:line="360" w:lineRule="exact"/>
              <w:ind w:firstLine="480" w:firstLineChars="200"/>
              <w:rPr>
                <w:rFonts w:hAnsi="宋体"/>
                <w:sz w:val="24"/>
              </w:rPr>
            </w:pPr>
            <w:r>
              <w:rPr>
                <w:rFonts w:hint="eastAsia" w:hAnsi="宋体"/>
                <w:sz w:val="24"/>
              </w:rPr>
              <w:t>开户银行</w:t>
            </w:r>
          </w:p>
        </w:tc>
        <w:tc>
          <w:tcPr>
            <w:tcW w:w="3780" w:type="dxa"/>
            <w:vAlign w:val="center"/>
          </w:tcPr>
          <w:p>
            <w:pPr>
              <w:rPr>
                <w:rFonts w:hAnsi="宋体"/>
                <w:sz w:val="24"/>
              </w:rPr>
            </w:pPr>
          </w:p>
        </w:tc>
        <w:tc>
          <w:tcPr>
            <w:tcW w:w="722" w:type="dxa"/>
            <w:gridSpan w:val="2"/>
            <w:vAlign w:val="center"/>
          </w:tcPr>
          <w:p>
            <w:pPr>
              <w:spacing w:line="360" w:lineRule="exact"/>
              <w:rPr>
                <w:rFonts w:hAnsi="宋体"/>
                <w:sz w:val="24"/>
              </w:rPr>
            </w:pPr>
            <w:r>
              <w:rPr>
                <w:rFonts w:hint="eastAsia" w:hAnsi="宋体"/>
                <w:sz w:val="24"/>
              </w:rPr>
              <w:t>账号</w:t>
            </w:r>
          </w:p>
        </w:tc>
        <w:tc>
          <w:tcPr>
            <w:tcW w:w="3240" w:type="dxa"/>
            <w:gridSpan w:val="2"/>
            <w:vAlign w:val="center"/>
          </w:tcPr>
          <w:p>
            <w:pP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086" w:type="dxa"/>
            <w:tcBorders>
              <w:bottom w:val="single" w:color="auto" w:sz="4" w:space="0"/>
            </w:tcBorders>
            <w:vAlign w:val="center"/>
          </w:tcPr>
          <w:p>
            <w:pPr>
              <w:spacing w:line="360" w:lineRule="exact"/>
              <w:ind w:firstLine="480" w:firstLineChars="200"/>
              <w:rPr>
                <w:rFonts w:hAnsi="宋体"/>
                <w:sz w:val="24"/>
              </w:rPr>
            </w:pPr>
            <w:r>
              <w:rPr>
                <w:rFonts w:hint="eastAsia" w:hAnsi="宋体"/>
                <w:sz w:val="24"/>
              </w:rPr>
              <w:t>金额</w:t>
            </w:r>
          </w:p>
        </w:tc>
        <w:tc>
          <w:tcPr>
            <w:tcW w:w="7742" w:type="dxa"/>
            <w:gridSpan w:val="5"/>
            <w:vAlign w:val="center"/>
          </w:tcPr>
          <w:p>
            <w:pPr>
              <w:spacing w:line="360" w:lineRule="exact"/>
              <w:rPr>
                <w:rFonts w:hAnsi="宋体"/>
                <w:sz w:val="24"/>
              </w:rPr>
            </w:pPr>
            <w:r>
              <w:rPr>
                <w:rFonts w:hint="eastAsia" w:hAnsi="宋体"/>
                <w:sz w:val="24"/>
              </w:rPr>
              <w:t xml:space="preserve">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828" w:type="dxa"/>
            <w:gridSpan w:val="6"/>
            <w:tcBorders>
              <w:top w:val="nil"/>
            </w:tcBorders>
            <w:vAlign w:val="center"/>
          </w:tcPr>
          <w:p>
            <w:pPr>
              <w:spacing w:line="360" w:lineRule="exact"/>
              <w:jc w:val="center"/>
              <w:rPr>
                <w:rFonts w:hAnsi="宋体"/>
                <w:sz w:val="24"/>
              </w:rPr>
            </w:pPr>
            <w:r>
              <w:rPr>
                <w:rFonts w:hint="eastAsia" w:hAnsi="宋体"/>
                <w:sz w:val="24"/>
              </w:rPr>
              <w:t>招标人（采购人）意见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trPr>
        <w:tc>
          <w:tcPr>
            <w:tcW w:w="9828" w:type="dxa"/>
            <w:gridSpan w:val="6"/>
          </w:tcPr>
          <w:p>
            <w:pPr>
              <w:jc w:val="center"/>
              <w:rPr>
                <w:rFonts w:hAnsi="宋体"/>
                <w:sz w:val="24"/>
              </w:rPr>
            </w:pPr>
          </w:p>
          <w:p>
            <w:pPr>
              <w:jc w:val="center"/>
              <w:rPr>
                <w:rFonts w:hAnsi="宋体"/>
                <w:sz w:val="24"/>
              </w:rPr>
            </w:pPr>
            <w:r>
              <w:rPr>
                <w:rFonts w:hint="eastAsia" w:hAnsi="宋体"/>
                <w:sz w:val="24"/>
              </w:rPr>
              <w:t xml:space="preserve">                            </w:t>
            </w:r>
          </w:p>
          <w:p>
            <w:pPr>
              <w:ind w:firstLine="840" w:firstLineChars="350"/>
              <w:rPr>
                <w:rFonts w:hAnsi="宋体"/>
                <w:sz w:val="24"/>
              </w:rPr>
            </w:pPr>
            <w:r>
              <w:rPr>
                <w:rFonts w:hint="eastAsia" w:hAnsi="宋体"/>
                <w:sz w:val="24"/>
              </w:rPr>
              <w:t>主要负责人签字 ：                           盖  章：</w:t>
            </w:r>
          </w:p>
          <w:p>
            <w:pPr>
              <w:jc w:val="center"/>
              <w:rPr>
                <w:rFonts w:hAnsi="宋体"/>
                <w:sz w:val="24"/>
              </w:rPr>
            </w:pPr>
          </w:p>
          <w:p>
            <w:pPr>
              <w:ind w:right="480" w:firstLine="5880" w:firstLineChars="2450"/>
              <w:rPr>
                <w:rFonts w:hAnsi="宋体"/>
                <w:sz w:val="24"/>
              </w:rPr>
            </w:pPr>
            <w:r>
              <w:rPr>
                <w:rFonts w:hint="eastAsia" w:hAnsi="宋体"/>
                <w:sz w:val="24"/>
              </w:rPr>
              <w:t>年   月   日</w:t>
            </w:r>
          </w:p>
        </w:tc>
      </w:tr>
    </w:tbl>
    <w:p>
      <w:pPr>
        <w:widowControl/>
        <w:spacing w:line="520" w:lineRule="exact"/>
        <w:rPr>
          <w:rFonts w:ascii="仿宋_GB2312" w:hAnsi="Arial" w:eastAsia="仿宋_GB2312" w:cs="Arial"/>
          <w:b/>
          <w:bCs/>
          <w:color w:val="000000"/>
          <w:sz w:val="40"/>
          <w:szCs w:val="40"/>
        </w:rPr>
      </w:pPr>
    </w:p>
    <w:p>
      <w:pPr>
        <w:widowControl/>
        <w:spacing w:line="520" w:lineRule="exact"/>
        <w:rPr>
          <w:rFonts w:ascii="仿宋_GB2312" w:hAnsi="Arial" w:eastAsia="仿宋_GB2312" w:cs="Arial"/>
          <w:b/>
          <w:bCs/>
          <w:color w:val="000000"/>
          <w:sz w:val="40"/>
          <w:szCs w:val="40"/>
        </w:rPr>
      </w:pPr>
    </w:p>
    <w:p>
      <w:pPr>
        <w:widowControl/>
        <w:spacing w:line="520" w:lineRule="exact"/>
        <w:rPr>
          <w:rFonts w:ascii="仿宋_GB2312" w:hAnsi="Arial" w:eastAsia="仿宋_GB2312" w:cs="Arial"/>
          <w:b/>
          <w:bCs/>
          <w:color w:val="000000"/>
          <w:sz w:val="40"/>
          <w:szCs w:val="40"/>
        </w:rPr>
      </w:pPr>
    </w:p>
    <w:p>
      <w:pPr>
        <w:snapToGrid w:val="0"/>
        <w:spacing w:line="360" w:lineRule="auto"/>
        <w:rPr>
          <w:rFonts w:hAnsi="宋体" w:cs="黑体"/>
          <w:b/>
          <w:sz w:val="36"/>
          <w:szCs w:val="36"/>
        </w:rPr>
      </w:pPr>
    </w:p>
    <w:p>
      <w:pPr>
        <w:snapToGrid w:val="0"/>
        <w:spacing w:line="360" w:lineRule="auto"/>
        <w:jc w:val="center"/>
        <w:rPr>
          <w:rFonts w:hAnsi="宋体" w:cs="黑体"/>
          <w:b/>
          <w:sz w:val="36"/>
          <w:szCs w:val="36"/>
        </w:rPr>
      </w:pPr>
      <w:r>
        <w:rPr>
          <w:rFonts w:hint="eastAsia" w:hAnsi="宋体" w:cs="黑体"/>
          <w:b/>
          <w:sz w:val="36"/>
          <w:szCs w:val="36"/>
        </w:rPr>
        <w:t>第四章合同条款及格式</w:t>
      </w:r>
      <w:bookmarkEnd w:id="69"/>
    </w:p>
    <w:p>
      <w:pPr>
        <w:tabs>
          <w:tab w:val="left" w:pos="5000"/>
        </w:tabs>
        <w:spacing w:line="360" w:lineRule="auto"/>
        <w:ind w:firstLine="490"/>
        <w:rPr>
          <w:rFonts w:hAnsi="宋体" w:cs="黑体"/>
          <w:b/>
          <w:sz w:val="32"/>
          <w:szCs w:val="32"/>
        </w:rPr>
      </w:pPr>
      <w:bookmarkStart w:id="77" w:name="_Toc278443514"/>
      <w:r>
        <w:rPr>
          <w:rFonts w:hint="eastAsia" w:hAnsi="宋体" w:cs="黑体"/>
          <w:b/>
          <w:sz w:val="32"/>
          <w:szCs w:val="32"/>
        </w:rPr>
        <w:t xml:space="preserve"> 采用由中华人民共和国住房和城乡建设部与国家工商行政管理局联合制定的《建设工程施工合同示范文本》（GF-2017-0201）签订合</w:t>
      </w:r>
      <w:bookmarkEnd w:id="77"/>
      <w:bookmarkStart w:id="78" w:name="_Toc278443518"/>
      <w:r>
        <w:rPr>
          <w:rFonts w:hint="eastAsia" w:hAnsi="宋体" w:cs="黑体"/>
          <w:b/>
          <w:sz w:val="32"/>
          <w:szCs w:val="32"/>
        </w:rPr>
        <w:t>同。</w:t>
      </w: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Ansi="宋体" w:cs="黑体"/>
          <w:b/>
          <w:sz w:val="36"/>
          <w:szCs w:val="36"/>
        </w:rPr>
        <w:br w:type="page"/>
      </w:r>
    </w:p>
    <w:p>
      <w:pPr>
        <w:pStyle w:val="6"/>
        <w:jc w:val="center"/>
        <w:rPr>
          <w:rFonts w:ascii="Times New Roman" w:eastAsia="华文中宋"/>
          <w:b w:val="0"/>
          <w:color w:val="000000"/>
          <w:sz w:val="44"/>
          <w:szCs w:val="44"/>
        </w:rPr>
      </w:pPr>
      <w:r>
        <w:rPr>
          <w:rFonts w:ascii="华文中宋" w:hAnsi="华文中宋" w:eastAsia="华文中宋"/>
          <w:sz w:val="44"/>
          <w:szCs w:val="44"/>
        </w:rPr>
        <w:t>第一部分 合同协议书</w:t>
      </w:r>
    </w:p>
    <w:p>
      <w:pPr>
        <w:spacing w:line="480" w:lineRule="exact"/>
        <w:rPr>
          <w:rFonts w:ascii="Times New Roman" w:eastAsia="仿宋_GB2312"/>
          <w:b/>
          <w:color w:val="000000"/>
          <w:sz w:val="24"/>
          <w:szCs w:val="24"/>
          <w:u w:val="single"/>
        </w:rPr>
      </w:pPr>
      <w:r>
        <w:rPr>
          <w:rFonts w:ascii="Times New Roman" w:eastAsia="仿宋_GB2312"/>
          <w:b/>
          <w:color w:val="000000"/>
          <w:sz w:val="24"/>
          <w:szCs w:val="24"/>
        </w:rPr>
        <w:t>发包人（全称）：</w:t>
      </w:r>
      <w:r>
        <w:rPr>
          <w:rFonts w:ascii="Times New Roman" w:eastAsia="仿宋_GB2312"/>
          <w:b/>
          <w:color w:val="000000"/>
          <w:sz w:val="24"/>
          <w:szCs w:val="24"/>
          <w:u w:val="single"/>
        </w:rPr>
        <w:t xml:space="preserve">      </w:t>
      </w:r>
      <w:r>
        <w:rPr>
          <w:rFonts w:hint="eastAsia" w:ascii="Times New Roman" w:eastAsia="仿宋_GB2312"/>
          <w:b/>
          <w:color w:val="000000"/>
          <w:sz w:val="24"/>
          <w:szCs w:val="24"/>
          <w:u w:val="single"/>
        </w:rPr>
        <w:t xml:space="preserve"> </w:t>
      </w:r>
      <w:r>
        <w:rPr>
          <w:rFonts w:ascii="Times New Roman" w:eastAsia="仿宋_GB2312"/>
          <w:b/>
          <w:color w:val="000000"/>
          <w:sz w:val="24"/>
          <w:szCs w:val="24"/>
          <w:u w:val="single"/>
        </w:rPr>
        <w:t xml:space="preserve">    </w:t>
      </w:r>
      <w:r>
        <w:rPr>
          <w:rFonts w:hint="eastAsia" w:ascii="Times New Roman" w:eastAsia="仿宋_GB2312"/>
          <w:b/>
          <w:color w:val="000000"/>
          <w:sz w:val="24"/>
          <w:szCs w:val="24"/>
          <w:u w:val="single"/>
        </w:rPr>
        <w:t xml:space="preserve"> </w:t>
      </w:r>
      <w:r>
        <w:rPr>
          <w:rFonts w:ascii="Times New Roman" w:eastAsia="仿宋_GB2312"/>
          <w:b/>
          <w:color w:val="000000"/>
          <w:sz w:val="24"/>
          <w:szCs w:val="24"/>
          <w:u w:val="single"/>
        </w:rPr>
        <w:t xml:space="preserve">   </w:t>
      </w:r>
      <w:r>
        <w:rPr>
          <w:rFonts w:hint="eastAsia" w:ascii="Times New Roman" w:eastAsia="仿宋_GB2312"/>
          <w:b/>
          <w:color w:val="000000"/>
          <w:sz w:val="24"/>
          <w:szCs w:val="24"/>
          <w:u w:val="single"/>
        </w:rPr>
        <w:t xml:space="preserve">      </w:t>
      </w:r>
      <w:r>
        <w:rPr>
          <w:rFonts w:ascii="Times New Roman" w:eastAsia="仿宋_GB2312"/>
          <w:b/>
          <w:color w:val="000000"/>
          <w:sz w:val="24"/>
          <w:szCs w:val="24"/>
          <w:u w:val="single"/>
        </w:rPr>
        <w:t></w:t>
      </w:r>
      <w:r>
        <w:rPr>
          <w:rFonts w:hint="eastAsia" w:ascii="Times New Roman" w:eastAsia="仿宋_GB2312"/>
          <w:b/>
          <w:color w:val="000000"/>
          <w:sz w:val="24"/>
          <w:szCs w:val="24"/>
          <w:u w:val="single"/>
        </w:rPr>
        <w:t xml:space="preserve"> </w:t>
      </w:r>
      <w:r>
        <w:rPr>
          <w:rFonts w:ascii="Times New Roman" w:eastAsia="仿宋_GB2312"/>
          <w:b/>
          <w:color w:val="000000"/>
          <w:sz w:val="24"/>
          <w:szCs w:val="24"/>
          <w:u w:val="single"/>
        </w:rPr>
        <w:t></w:t>
      </w:r>
      <w:r>
        <w:rPr>
          <w:rFonts w:hint="eastAsia" w:ascii="Times New Roman" w:eastAsia="仿宋_GB2312"/>
          <w:b/>
          <w:color w:val="000000"/>
          <w:sz w:val="24"/>
          <w:szCs w:val="24"/>
          <w:u w:val="single"/>
        </w:rPr>
        <w:t xml:space="preserve"> </w:t>
      </w:r>
      <w:r>
        <w:rPr>
          <w:rFonts w:ascii="Times New Roman" w:eastAsia="仿宋_GB2312"/>
          <w:b/>
          <w:color w:val="000000"/>
          <w:sz w:val="24"/>
          <w:szCs w:val="24"/>
          <w:u w:val="single"/>
        </w:rPr>
        <w:t></w:t>
      </w:r>
    </w:p>
    <w:p>
      <w:pPr>
        <w:spacing w:line="480" w:lineRule="exact"/>
        <w:rPr>
          <w:rFonts w:ascii="Times New Roman" w:eastAsia="仿宋_GB2312"/>
          <w:b/>
          <w:color w:val="000000"/>
          <w:sz w:val="24"/>
          <w:szCs w:val="24"/>
          <w:u w:val="single"/>
        </w:rPr>
      </w:pPr>
      <w:r>
        <w:rPr>
          <w:rFonts w:ascii="Times New Roman" w:eastAsia="仿宋_GB2312"/>
          <w:b/>
          <w:color w:val="000000"/>
          <w:sz w:val="24"/>
          <w:szCs w:val="24"/>
        </w:rPr>
        <w:t>承包人（全称）：</w:t>
      </w:r>
      <w:r>
        <w:rPr>
          <w:rFonts w:ascii="Times New Roman" w:eastAsia="仿宋_GB2312"/>
          <w:b/>
          <w:color w:val="000000"/>
          <w:sz w:val="24"/>
          <w:szCs w:val="24"/>
          <w:u w:val="single"/>
        </w:rPr>
        <w:t xml:space="preserve">  </w:t>
      </w:r>
      <w:r>
        <w:rPr>
          <w:rFonts w:hint="eastAsia" w:ascii="Times New Roman" w:eastAsia="仿宋_GB2312"/>
          <w:b/>
          <w:color w:val="000000"/>
          <w:sz w:val="24"/>
          <w:szCs w:val="24"/>
          <w:u w:val="single"/>
        </w:rPr>
        <w:t xml:space="preserve"> </w:t>
      </w:r>
      <w:r>
        <w:rPr>
          <w:rFonts w:ascii="Times New Roman" w:eastAsia="仿宋_GB2312"/>
          <w:b/>
          <w:color w:val="000000"/>
          <w:sz w:val="24"/>
          <w:szCs w:val="24"/>
          <w:u w:val="single"/>
        </w:rPr>
        <w:t xml:space="preserve">       </w:t>
      </w:r>
      <w:r>
        <w:rPr>
          <w:rFonts w:hint="eastAsia" w:ascii="Times New Roman" w:eastAsia="仿宋_GB2312"/>
          <w:b/>
          <w:color w:val="000000"/>
          <w:sz w:val="24"/>
          <w:szCs w:val="24"/>
          <w:u w:val="single"/>
        </w:rPr>
        <w:t xml:space="preserve"> </w:t>
      </w:r>
      <w:r>
        <w:rPr>
          <w:rFonts w:ascii="Times New Roman" w:eastAsia="仿宋_GB2312"/>
          <w:b/>
          <w:color w:val="000000"/>
          <w:sz w:val="24"/>
          <w:szCs w:val="24"/>
          <w:u w:val="single"/>
        </w:rPr>
        <w:t xml:space="preserve">   </w:t>
      </w:r>
      <w:r>
        <w:rPr>
          <w:rFonts w:hint="eastAsia" w:ascii="Times New Roman" w:eastAsia="仿宋_GB2312"/>
          <w:b/>
          <w:color w:val="000000"/>
          <w:sz w:val="24"/>
          <w:szCs w:val="24"/>
          <w:u w:val="single"/>
        </w:rPr>
        <w:t xml:space="preserve">   </w:t>
      </w:r>
      <w:r>
        <w:rPr>
          <w:rFonts w:ascii="Times New Roman" w:eastAsia="仿宋_GB2312"/>
          <w:b/>
          <w:color w:val="000000"/>
          <w:sz w:val="24"/>
          <w:szCs w:val="24"/>
          <w:u w:val="single"/>
        </w:rPr>
        <w:t xml:space="preserve"> </w:t>
      </w:r>
      <w:r>
        <w:rPr>
          <w:rFonts w:hint="eastAsia" w:ascii="Times New Roman" w:eastAsia="仿宋_GB2312"/>
          <w:b/>
          <w:color w:val="000000"/>
          <w:sz w:val="24"/>
          <w:szCs w:val="24"/>
          <w:u w:val="single"/>
        </w:rPr>
        <w:t xml:space="preserve">  </w:t>
      </w:r>
      <w:r>
        <w:rPr>
          <w:rFonts w:ascii="Times New Roman" w:eastAsia="仿宋_GB2312"/>
          <w:b/>
          <w:color w:val="000000"/>
          <w:sz w:val="24"/>
          <w:szCs w:val="24"/>
          <w:u w:val="single"/>
        </w:rPr>
        <w:t></w:t>
      </w:r>
      <w:r>
        <w:rPr>
          <w:rFonts w:hint="eastAsia" w:ascii="Times New Roman" w:eastAsia="仿宋_GB2312"/>
          <w:b/>
          <w:color w:val="000000"/>
          <w:sz w:val="24"/>
          <w:szCs w:val="24"/>
          <w:u w:val="single"/>
        </w:rPr>
        <w:t xml:space="preserve">  </w:t>
      </w:r>
      <w:r>
        <w:rPr>
          <w:rFonts w:ascii="Times New Roman" w:eastAsia="仿宋_GB2312"/>
          <w:b/>
          <w:color w:val="000000"/>
          <w:sz w:val="24"/>
          <w:szCs w:val="24"/>
          <w:u w:val="single"/>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根据《中华人民共和国合同法》、《中华人民共和国建筑法》及有关法律规定，遵循平等、自愿、公平和诚实信用的原则，双方就</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xml:space="preserve">                       </w:t>
      </w:r>
      <w:r>
        <w:rPr>
          <w:rFonts w:ascii="Times New Roman" w:eastAsia="仿宋_GB2312"/>
          <w:color w:val="000000"/>
          <w:sz w:val="24"/>
          <w:szCs w:val="24"/>
        </w:rPr>
        <w:t>工程施工及有关事项协商一致</w:t>
      </w:r>
      <w:r>
        <w:rPr>
          <w:rFonts w:hint="eastAsia" w:ascii="Times New Roman" w:eastAsia="仿宋_GB2312"/>
          <w:color w:val="000000"/>
          <w:sz w:val="24"/>
          <w:szCs w:val="24"/>
        </w:rPr>
        <w:t>，</w:t>
      </w:r>
      <w:r>
        <w:rPr>
          <w:rFonts w:ascii="Times New Roman" w:eastAsia="仿宋_GB2312"/>
          <w:color w:val="000000"/>
          <w:sz w:val="24"/>
          <w:szCs w:val="24"/>
        </w:rPr>
        <w:t>共同达成如下协议：</w:t>
      </w:r>
    </w:p>
    <w:p>
      <w:pPr>
        <w:pStyle w:val="7"/>
        <w:spacing w:line="480" w:lineRule="exact"/>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r>
        <w:rPr>
          <w:rFonts w:ascii="Times New Roman" w:hAnsi="Times New Roman" w:eastAsia="黑体"/>
          <w:b w:val="0"/>
          <w:color w:val="000000"/>
          <w:sz w:val="24"/>
          <w:szCs w:val="24"/>
        </w:rPr>
        <w:t xml:space="preserve"> </w:t>
      </w:r>
      <w:bookmarkStart w:id="79" w:name="_Toc351203481"/>
      <w:r>
        <w:rPr>
          <w:rFonts w:ascii="Times New Roman" w:hAnsi="Times New Roman" w:eastAsia="黑体"/>
          <w:b w:val="0"/>
          <w:color w:val="000000"/>
          <w:sz w:val="24"/>
          <w:szCs w:val="24"/>
        </w:rPr>
        <w:t>一、工程概况</w:t>
      </w:r>
      <w:bookmarkEnd w:id="79"/>
    </w:p>
    <w:p>
      <w:pPr>
        <w:spacing w:line="480" w:lineRule="exact"/>
        <w:ind w:firstLine="470" w:firstLineChars="196"/>
        <w:rPr>
          <w:rFonts w:ascii="Times New Roman" w:eastAsia="仿宋_GB2312"/>
          <w:color w:val="000000"/>
          <w:sz w:val="24"/>
          <w:szCs w:val="24"/>
          <w:u w:val="single"/>
        </w:rPr>
      </w:pPr>
      <w:r>
        <w:rPr>
          <w:rFonts w:ascii="Times New Roman" w:eastAsia="仿宋_GB2312"/>
          <w:bCs/>
          <w:color w:val="000000"/>
          <w:sz w:val="24"/>
          <w:szCs w:val="24"/>
        </w:rPr>
        <w:t>1.工程名称</w:t>
      </w:r>
      <w:r>
        <w:rPr>
          <w:rFonts w:ascii="Times New Roman" w:eastAsia="仿宋_GB2312"/>
          <w:color w:val="000000"/>
          <w:sz w:val="24"/>
          <w:szCs w:val="24"/>
        </w:rPr>
        <w:t>：</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70" w:firstLineChars="196"/>
        <w:rPr>
          <w:rFonts w:ascii="Times New Roman" w:eastAsia="仿宋_GB2312"/>
          <w:bCs/>
          <w:color w:val="000000"/>
          <w:sz w:val="24"/>
          <w:szCs w:val="24"/>
        </w:rPr>
      </w:pPr>
      <w:r>
        <w:rPr>
          <w:rFonts w:ascii="Times New Roman" w:eastAsia="仿宋_GB2312"/>
          <w:bCs/>
          <w:color w:val="000000"/>
          <w:sz w:val="24"/>
          <w:szCs w:val="24"/>
        </w:rPr>
        <w:t>2.工程地点：</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70" w:firstLineChars="196"/>
        <w:rPr>
          <w:rFonts w:ascii="Times New Roman" w:eastAsia="仿宋_GB2312"/>
          <w:bCs/>
          <w:color w:val="000000"/>
          <w:sz w:val="24"/>
          <w:szCs w:val="24"/>
        </w:rPr>
      </w:pPr>
      <w:r>
        <w:rPr>
          <w:rFonts w:ascii="Times New Roman" w:eastAsia="仿宋_GB2312"/>
          <w:bCs/>
          <w:color w:val="000000"/>
          <w:sz w:val="24"/>
          <w:szCs w:val="24"/>
        </w:rPr>
        <w:t>3.工程立项批准文号：</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bCs/>
          <w:color w:val="000000"/>
          <w:sz w:val="24"/>
          <w:szCs w:val="24"/>
        </w:rPr>
        <w:t>。</w:t>
      </w:r>
    </w:p>
    <w:p>
      <w:pPr>
        <w:spacing w:line="480" w:lineRule="exact"/>
        <w:ind w:firstLine="470" w:firstLineChars="196"/>
        <w:rPr>
          <w:rFonts w:ascii="Times New Roman" w:eastAsia="仿宋_GB2312"/>
          <w:bCs/>
          <w:color w:val="000000"/>
          <w:sz w:val="24"/>
          <w:szCs w:val="24"/>
        </w:rPr>
      </w:pPr>
      <w:r>
        <w:rPr>
          <w:rFonts w:ascii="Times New Roman" w:eastAsia="仿宋_GB2312"/>
          <w:bCs/>
          <w:color w:val="000000"/>
          <w:sz w:val="24"/>
          <w:szCs w:val="24"/>
        </w:rPr>
        <w:t>4.资金来源：</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bCs/>
          <w:color w:val="000000"/>
          <w:sz w:val="24"/>
          <w:szCs w:val="24"/>
        </w:rPr>
        <w:t>。</w:t>
      </w:r>
    </w:p>
    <w:p>
      <w:pPr>
        <w:spacing w:line="480" w:lineRule="exact"/>
        <w:ind w:firstLine="470" w:firstLineChars="196"/>
        <w:rPr>
          <w:rFonts w:ascii="Times New Roman" w:eastAsia="仿宋_GB2312"/>
          <w:bCs/>
          <w:color w:val="000000"/>
          <w:sz w:val="24"/>
          <w:szCs w:val="24"/>
        </w:rPr>
      </w:pPr>
      <w:r>
        <w:rPr>
          <w:rFonts w:hint="eastAsia" w:ascii="Times New Roman" w:eastAsia="仿宋_GB2312"/>
          <w:bCs/>
          <w:color w:val="000000"/>
          <w:sz w:val="24"/>
          <w:szCs w:val="24"/>
        </w:rPr>
        <w:t>5.工程内容：</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bCs/>
          <w:color w:val="000000"/>
          <w:sz w:val="24"/>
          <w:szCs w:val="24"/>
        </w:rPr>
        <w:t>。</w:t>
      </w:r>
    </w:p>
    <w:p>
      <w:pPr>
        <w:spacing w:line="480" w:lineRule="exact"/>
        <w:ind w:firstLine="470" w:firstLineChars="196"/>
        <w:rPr>
          <w:rFonts w:ascii="Times New Roman" w:eastAsia="仿宋_GB2312"/>
          <w:bCs/>
          <w:color w:val="000000"/>
          <w:sz w:val="24"/>
          <w:szCs w:val="24"/>
        </w:rPr>
      </w:pPr>
      <w:r>
        <w:rPr>
          <w:rFonts w:hint="eastAsia" w:ascii="Times New Roman" w:eastAsia="仿宋_GB2312"/>
          <w:color w:val="000000"/>
          <w:sz w:val="24"/>
          <w:szCs w:val="24"/>
        </w:rPr>
        <w:t>群体工程应附《</w:t>
      </w:r>
      <w:r>
        <w:rPr>
          <w:rFonts w:ascii="Times New Roman" w:eastAsia="仿宋_GB2312"/>
          <w:color w:val="000000"/>
          <w:sz w:val="24"/>
          <w:szCs w:val="24"/>
        </w:rPr>
        <w:t>承包人承揽工程项目一览表</w:t>
      </w:r>
      <w:r>
        <w:rPr>
          <w:rFonts w:hint="eastAsia" w:ascii="Times New Roman" w:eastAsia="仿宋_GB2312"/>
          <w:color w:val="000000"/>
          <w:sz w:val="24"/>
          <w:szCs w:val="24"/>
        </w:rPr>
        <w:t>》（附件1）。</w:t>
      </w:r>
    </w:p>
    <w:p>
      <w:pPr>
        <w:spacing w:line="480" w:lineRule="exact"/>
        <w:ind w:firstLine="470" w:firstLineChars="196"/>
        <w:rPr>
          <w:rFonts w:ascii="Times New Roman" w:eastAsia="仿宋_GB2312"/>
          <w:bCs/>
          <w:color w:val="000000"/>
          <w:sz w:val="24"/>
          <w:szCs w:val="24"/>
        </w:rPr>
      </w:pPr>
      <w:r>
        <w:rPr>
          <w:rFonts w:hint="eastAsia" w:ascii="Times New Roman" w:eastAsia="仿宋_GB2312"/>
          <w:bCs/>
          <w:color w:val="000000"/>
          <w:sz w:val="24"/>
          <w:szCs w:val="24"/>
        </w:rPr>
        <w:t>6</w:t>
      </w:r>
      <w:r>
        <w:rPr>
          <w:rFonts w:ascii="Times New Roman" w:eastAsia="仿宋_GB2312"/>
          <w:bCs/>
          <w:color w:val="000000"/>
          <w:sz w:val="24"/>
          <w:szCs w:val="24"/>
        </w:rPr>
        <w:t>.工程承包范围：</w:t>
      </w:r>
    </w:p>
    <w:p>
      <w:pPr>
        <w:spacing w:line="480" w:lineRule="exact"/>
        <w:ind w:firstLine="463" w:firstLineChars="193"/>
        <w:rPr>
          <w:rFonts w:ascii="Times New Roman" w:eastAsia="仿宋_GB2312"/>
          <w:color w:val="000000"/>
          <w:sz w:val="24"/>
          <w:szCs w:val="24"/>
        </w:rPr>
      </w:pP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pStyle w:val="7"/>
        <w:spacing w:line="480" w:lineRule="exact"/>
        <w:rPr>
          <w:rFonts w:ascii="Times New Roman" w:hAnsi="Times New Roman" w:eastAsia="黑体"/>
          <w:b w:val="0"/>
          <w:color w:val="000000"/>
          <w:sz w:val="24"/>
          <w:szCs w:val="24"/>
        </w:rPr>
      </w:pPr>
      <w:r>
        <w:rPr>
          <w:rFonts w:ascii="Times New Roman" w:hAnsi="Times New Roman" w:eastAsia="黑体"/>
          <w:b w:val="0"/>
          <w:color w:val="000000"/>
          <w:sz w:val="24"/>
          <w:szCs w:val="24"/>
        </w:rPr>
        <w:t xml:space="preserve">   </w:t>
      </w:r>
      <w:bookmarkStart w:id="80" w:name="_Toc351203482"/>
      <w:r>
        <w:rPr>
          <w:rFonts w:ascii="Times New Roman" w:hAnsi="Times New Roman" w:eastAsia="黑体"/>
          <w:b w:val="0"/>
          <w:color w:val="000000"/>
          <w:sz w:val="24"/>
          <w:szCs w:val="24"/>
        </w:rPr>
        <w:t>二、合同工期</w:t>
      </w:r>
      <w:bookmarkEnd w:id="80"/>
    </w:p>
    <w:p>
      <w:pPr>
        <w:spacing w:line="480" w:lineRule="exact"/>
        <w:ind w:firstLine="459"/>
        <w:rPr>
          <w:rFonts w:ascii="Times New Roman" w:eastAsia="仿宋_GB2312"/>
          <w:color w:val="000000"/>
          <w:sz w:val="24"/>
          <w:szCs w:val="24"/>
        </w:rPr>
      </w:pPr>
      <w:r>
        <w:rPr>
          <w:rFonts w:ascii="Times New Roman" w:eastAsia="仿宋_GB2312"/>
          <w:color w:val="000000"/>
          <w:sz w:val="24"/>
          <w:szCs w:val="24"/>
        </w:rPr>
        <w:t>计划开工日期：</w:t>
      </w:r>
      <w:r>
        <w:rPr>
          <w:rFonts w:ascii="Times New Roman" w:eastAsia="仿宋_GB2312"/>
          <w:color w:val="000000"/>
          <w:sz w:val="24"/>
          <w:szCs w:val="24"/>
          <w:u w:val="single"/>
        </w:rPr>
        <w:t></w:t>
      </w:r>
      <w:r>
        <w:rPr>
          <w:rFonts w:ascii="Times New Roman" w:eastAsia="仿宋_GB2312"/>
          <w:color w:val="000000"/>
          <w:sz w:val="24"/>
          <w:szCs w:val="24"/>
        </w:rPr>
        <w:t>年</w:t>
      </w:r>
      <w:r>
        <w:rPr>
          <w:rFonts w:ascii="Times New Roman" w:eastAsia="仿宋_GB2312"/>
          <w:color w:val="000000"/>
          <w:sz w:val="24"/>
          <w:szCs w:val="24"/>
          <w:u w:val="single"/>
        </w:rPr>
        <w:t></w:t>
      </w:r>
      <w:r>
        <w:rPr>
          <w:rFonts w:ascii="Times New Roman" w:eastAsia="仿宋_GB2312"/>
          <w:color w:val="000000"/>
          <w:sz w:val="24"/>
          <w:szCs w:val="24"/>
        </w:rPr>
        <w:t>月</w:t>
      </w:r>
      <w:r>
        <w:rPr>
          <w:rFonts w:ascii="Times New Roman" w:eastAsia="仿宋_GB2312"/>
          <w:color w:val="000000"/>
          <w:sz w:val="24"/>
          <w:szCs w:val="24"/>
          <w:u w:val="single"/>
        </w:rPr>
        <w:t></w:t>
      </w:r>
      <w:r>
        <w:rPr>
          <w:rFonts w:ascii="Times New Roman" w:eastAsia="仿宋_GB2312"/>
          <w:color w:val="000000"/>
          <w:sz w:val="24"/>
          <w:szCs w:val="24"/>
        </w:rPr>
        <w:t>日。</w:t>
      </w:r>
    </w:p>
    <w:p>
      <w:pPr>
        <w:spacing w:line="480" w:lineRule="exact"/>
        <w:ind w:firstLine="459"/>
        <w:rPr>
          <w:rFonts w:ascii="Times New Roman" w:eastAsia="仿宋_GB2312"/>
          <w:color w:val="000000"/>
          <w:sz w:val="24"/>
          <w:szCs w:val="24"/>
        </w:rPr>
      </w:pPr>
      <w:r>
        <w:rPr>
          <w:rFonts w:ascii="Times New Roman" w:eastAsia="仿宋_GB2312"/>
          <w:color w:val="000000"/>
          <w:sz w:val="24"/>
          <w:szCs w:val="24"/>
        </w:rPr>
        <w:t>计划竣工日期：</w:t>
      </w:r>
      <w:r>
        <w:rPr>
          <w:rFonts w:ascii="Times New Roman" w:eastAsia="仿宋_GB2312"/>
          <w:color w:val="000000"/>
          <w:sz w:val="24"/>
          <w:szCs w:val="24"/>
          <w:u w:val="single"/>
        </w:rPr>
        <w:t></w:t>
      </w:r>
      <w:r>
        <w:rPr>
          <w:rFonts w:ascii="Times New Roman" w:eastAsia="仿宋_GB2312"/>
          <w:color w:val="000000"/>
          <w:sz w:val="24"/>
          <w:szCs w:val="24"/>
        </w:rPr>
        <w:t>年</w:t>
      </w:r>
      <w:r>
        <w:rPr>
          <w:rFonts w:ascii="Times New Roman" w:eastAsia="仿宋_GB2312"/>
          <w:color w:val="000000"/>
          <w:sz w:val="24"/>
          <w:szCs w:val="24"/>
          <w:u w:val="single"/>
        </w:rPr>
        <w:t></w:t>
      </w:r>
      <w:r>
        <w:rPr>
          <w:rFonts w:ascii="Times New Roman" w:eastAsia="仿宋_GB2312"/>
          <w:color w:val="000000"/>
          <w:sz w:val="24"/>
          <w:szCs w:val="24"/>
        </w:rPr>
        <w:t>月</w:t>
      </w:r>
      <w:r>
        <w:rPr>
          <w:rFonts w:ascii="Times New Roman" w:eastAsia="仿宋_GB2312"/>
          <w:color w:val="000000"/>
          <w:sz w:val="24"/>
          <w:szCs w:val="24"/>
          <w:u w:val="single"/>
        </w:rPr>
        <w:t></w:t>
      </w:r>
      <w:r>
        <w:rPr>
          <w:rFonts w:ascii="Times New Roman" w:eastAsia="仿宋_GB2312"/>
          <w:color w:val="000000"/>
          <w:sz w:val="24"/>
          <w:szCs w:val="24"/>
        </w:rPr>
        <w:t>日。</w:t>
      </w:r>
    </w:p>
    <w:p>
      <w:pPr>
        <w:spacing w:line="480" w:lineRule="exact"/>
        <w:ind w:firstLine="459"/>
        <w:rPr>
          <w:rFonts w:ascii="Times New Roman" w:eastAsia="仿宋_GB2312"/>
          <w:color w:val="000000"/>
          <w:sz w:val="24"/>
          <w:szCs w:val="24"/>
        </w:rPr>
      </w:pPr>
      <w:r>
        <w:rPr>
          <w:rFonts w:ascii="Times New Roman" w:eastAsia="仿宋_GB2312"/>
          <w:color w:val="000000"/>
          <w:sz w:val="24"/>
          <w:szCs w:val="24"/>
        </w:rPr>
        <w:t>工期总日历天数：</w:t>
      </w:r>
      <w:r>
        <w:rPr>
          <w:rFonts w:ascii="Times New Roman" w:eastAsia="仿宋_GB2312"/>
          <w:color w:val="000000"/>
          <w:sz w:val="24"/>
          <w:szCs w:val="24"/>
          <w:u w:val="single"/>
        </w:rPr>
        <w:t></w:t>
      </w:r>
      <w:r>
        <w:rPr>
          <w:rFonts w:ascii="Times New Roman" w:eastAsia="仿宋_GB2312"/>
          <w:color w:val="000000"/>
          <w:sz w:val="24"/>
          <w:szCs w:val="24"/>
        </w:rPr>
        <w:t>天。工期总日历天数与根据前述计划开竣工日期计算的工期天数不一致的，以工期总日历天数为准。</w:t>
      </w:r>
    </w:p>
    <w:p>
      <w:pPr>
        <w:pStyle w:val="7"/>
        <w:spacing w:line="480" w:lineRule="exact"/>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bookmarkStart w:id="81" w:name="_Toc351203483"/>
      <w:r>
        <w:rPr>
          <w:rFonts w:ascii="Times New Roman" w:hAnsi="Times New Roman" w:eastAsia="黑体"/>
          <w:b w:val="0"/>
          <w:color w:val="000000"/>
          <w:sz w:val="24"/>
          <w:szCs w:val="24"/>
        </w:rPr>
        <w:t>三、质量标准</w:t>
      </w:r>
      <w:bookmarkEnd w:id="81"/>
    </w:p>
    <w:p>
      <w:pPr>
        <w:spacing w:line="480" w:lineRule="exact"/>
        <w:ind w:firstLine="459"/>
        <w:rPr>
          <w:rFonts w:ascii="Times New Roman" w:eastAsia="仿宋_GB2312"/>
          <w:color w:val="000000"/>
          <w:sz w:val="24"/>
          <w:szCs w:val="24"/>
        </w:rPr>
      </w:pPr>
      <w:r>
        <w:rPr>
          <w:rFonts w:ascii="Times New Roman" w:eastAsia="仿宋_GB2312"/>
          <w:color w:val="000000"/>
          <w:sz w:val="24"/>
          <w:szCs w:val="24"/>
        </w:rPr>
        <w:t>工程质量符合</w:t>
      </w:r>
      <w:r>
        <w:rPr>
          <w:rFonts w:ascii="Times New Roman" w:eastAsia="仿宋_GB2312"/>
          <w:color w:val="000000"/>
          <w:sz w:val="24"/>
          <w:szCs w:val="24"/>
          <w:u w:val="single"/>
        </w:rPr>
        <w:t></w:t>
      </w:r>
      <w:r>
        <w:rPr>
          <w:rFonts w:ascii="Times New Roman" w:eastAsia="仿宋_GB2312"/>
          <w:color w:val="000000"/>
          <w:sz w:val="24"/>
          <w:szCs w:val="24"/>
        </w:rPr>
        <w:t>标准。</w:t>
      </w:r>
    </w:p>
    <w:p>
      <w:pPr>
        <w:pStyle w:val="7"/>
        <w:spacing w:line="480" w:lineRule="exact"/>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r>
        <w:rPr>
          <w:rFonts w:ascii="Times New Roman" w:hAnsi="Times New Roman" w:eastAsia="黑体"/>
          <w:b w:val="0"/>
          <w:color w:val="000000"/>
          <w:sz w:val="24"/>
          <w:szCs w:val="24"/>
        </w:rPr>
        <w:t xml:space="preserve"> </w:t>
      </w:r>
      <w:bookmarkStart w:id="82" w:name="_Toc351203484"/>
      <w:r>
        <w:rPr>
          <w:rFonts w:ascii="Times New Roman" w:hAnsi="Times New Roman" w:eastAsia="黑体"/>
          <w:b w:val="0"/>
          <w:color w:val="000000"/>
          <w:sz w:val="24"/>
          <w:szCs w:val="24"/>
        </w:rPr>
        <w:t>四、签约合同价与合同价格形式</w:t>
      </w:r>
      <w:bookmarkEnd w:id="82"/>
      <w:r>
        <w:rPr>
          <w:rFonts w:ascii="Times New Roman" w:hAnsi="Times New Roman" w:eastAsia="黑体"/>
          <w:b w:val="0"/>
          <w:color w:val="000000"/>
          <w:sz w:val="24"/>
          <w:szCs w:val="24"/>
        </w:rPr>
        <w:tab/>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1.签约合同价为：</w:t>
      </w:r>
    </w:p>
    <w:p>
      <w:pPr>
        <w:spacing w:line="480" w:lineRule="exact"/>
        <w:ind w:firstLine="600" w:firstLineChars="250"/>
        <w:rPr>
          <w:rFonts w:ascii="Times New Roman" w:eastAsia="仿宋_GB2312"/>
          <w:color w:val="000000"/>
          <w:sz w:val="24"/>
          <w:szCs w:val="24"/>
        </w:rPr>
      </w:pPr>
      <w:r>
        <w:rPr>
          <w:rFonts w:ascii="Times New Roman" w:eastAsia="仿宋_GB2312"/>
          <w:color w:val="000000"/>
          <w:sz w:val="24"/>
          <w:szCs w:val="24"/>
        </w:rPr>
        <w:t>人民币（大写）</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其中：</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（1）安全文明施工费：</w:t>
      </w:r>
    </w:p>
    <w:p>
      <w:pPr>
        <w:spacing w:line="480" w:lineRule="exact"/>
        <w:ind w:firstLine="1080" w:firstLineChars="450"/>
        <w:rPr>
          <w:rFonts w:ascii="Times New Roman" w:eastAsia="仿宋_GB2312"/>
          <w:color w:val="000000"/>
          <w:sz w:val="24"/>
          <w:szCs w:val="24"/>
        </w:rPr>
      </w:pPr>
      <w:r>
        <w:rPr>
          <w:rFonts w:ascii="Times New Roman" w:eastAsia="仿宋_GB2312"/>
          <w:color w:val="000000"/>
          <w:sz w:val="24"/>
          <w:szCs w:val="24"/>
        </w:rPr>
        <w:t>人民币（大写）</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rPr>
        <w:t>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（2）材料和工程设备暂估价金额：</w:t>
      </w:r>
    </w:p>
    <w:p>
      <w:pPr>
        <w:spacing w:line="480" w:lineRule="exact"/>
        <w:ind w:firstLine="1080" w:firstLineChars="450"/>
        <w:rPr>
          <w:rFonts w:ascii="Times New Roman" w:eastAsia="仿宋_GB2312"/>
          <w:color w:val="000000"/>
          <w:sz w:val="24"/>
          <w:szCs w:val="24"/>
        </w:rPr>
      </w:pPr>
      <w:r>
        <w:rPr>
          <w:rFonts w:ascii="Times New Roman" w:eastAsia="仿宋_GB2312"/>
          <w:color w:val="000000"/>
          <w:sz w:val="24"/>
          <w:szCs w:val="24"/>
        </w:rPr>
        <w:t>人民币（大写）</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（3）专业工程暂估价金额：</w:t>
      </w:r>
    </w:p>
    <w:p>
      <w:pPr>
        <w:spacing w:line="480" w:lineRule="exact"/>
        <w:ind w:firstLine="1080" w:firstLineChars="450"/>
        <w:rPr>
          <w:rFonts w:ascii="Times New Roman" w:eastAsia="仿宋_GB2312"/>
          <w:color w:val="000000"/>
          <w:sz w:val="24"/>
          <w:szCs w:val="24"/>
        </w:rPr>
      </w:pPr>
      <w:r>
        <w:rPr>
          <w:rFonts w:ascii="Times New Roman" w:eastAsia="仿宋_GB2312"/>
          <w:color w:val="000000"/>
          <w:sz w:val="24"/>
          <w:szCs w:val="24"/>
        </w:rPr>
        <w:t>人民币（大写）</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（4）暂列金额：</w:t>
      </w:r>
    </w:p>
    <w:p>
      <w:pPr>
        <w:spacing w:line="480" w:lineRule="exact"/>
        <w:ind w:firstLine="1080" w:firstLineChars="450"/>
        <w:rPr>
          <w:rFonts w:ascii="Times New Roman" w:eastAsia="仿宋_GB2312"/>
          <w:color w:val="000000"/>
          <w:sz w:val="24"/>
          <w:szCs w:val="24"/>
        </w:rPr>
      </w:pPr>
      <w:r>
        <w:rPr>
          <w:rFonts w:ascii="Times New Roman" w:eastAsia="仿宋_GB2312"/>
          <w:color w:val="000000"/>
          <w:sz w:val="24"/>
          <w:szCs w:val="24"/>
        </w:rPr>
        <w:t>人民币（大写）</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2.合同价格形式：</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pStyle w:val="7"/>
        <w:spacing w:line="480" w:lineRule="exact"/>
        <w:rPr>
          <w:rFonts w:ascii="Times New Roman" w:hAnsi="Times New Roman" w:eastAsia="黑体"/>
          <w:b w:val="0"/>
          <w:color w:val="000000"/>
          <w:sz w:val="24"/>
          <w:szCs w:val="24"/>
        </w:rPr>
      </w:pPr>
      <w:r>
        <w:rPr>
          <w:rFonts w:ascii="Times New Roman" w:hAnsi="Times New Roman" w:eastAsia="黑体"/>
          <w:bCs w:val="0"/>
          <w:color w:val="000000"/>
          <w:sz w:val="24"/>
          <w:szCs w:val="24"/>
        </w:rPr>
        <w:t xml:space="preserve">   </w:t>
      </w:r>
      <w:r>
        <w:rPr>
          <w:rFonts w:ascii="Times New Roman" w:hAnsi="Times New Roman" w:eastAsia="黑体"/>
          <w:b w:val="0"/>
          <w:color w:val="000000"/>
          <w:sz w:val="24"/>
          <w:szCs w:val="24"/>
        </w:rPr>
        <w:t xml:space="preserve"> </w:t>
      </w:r>
      <w:bookmarkStart w:id="83" w:name="_Toc351203485"/>
      <w:r>
        <w:rPr>
          <w:rFonts w:ascii="Times New Roman" w:hAnsi="Times New Roman" w:eastAsia="黑体"/>
          <w:b w:val="0"/>
          <w:color w:val="000000"/>
          <w:sz w:val="24"/>
          <w:szCs w:val="24"/>
        </w:rPr>
        <w:t>五、</w:t>
      </w:r>
      <w:bookmarkEnd w:id="83"/>
      <w:r>
        <w:rPr>
          <w:rFonts w:ascii="Times New Roman" w:hAnsi="Times New Roman" w:eastAsia="黑体"/>
          <w:b w:val="0"/>
          <w:color w:val="000000"/>
          <w:sz w:val="24"/>
          <w:szCs w:val="24"/>
        </w:rPr>
        <w:t>项目负责人</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承包人项目负责人：</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w:t>
      </w:r>
      <w:r>
        <w:rPr>
          <w:rFonts w:ascii="Times New Roman" w:eastAsia="仿宋_GB2312"/>
          <w:color w:val="000000"/>
          <w:sz w:val="24"/>
          <w:szCs w:val="24"/>
        </w:rPr>
        <w:t>。</w:t>
      </w:r>
    </w:p>
    <w:p>
      <w:pPr>
        <w:pStyle w:val="7"/>
        <w:spacing w:line="480" w:lineRule="exact"/>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r>
        <w:rPr>
          <w:rFonts w:ascii="Times New Roman" w:hAnsi="Times New Roman" w:eastAsia="黑体"/>
          <w:b w:val="0"/>
          <w:color w:val="000000"/>
          <w:sz w:val="24"/>
          <w:szCs w:val="24"/>
        </w:rPr>
        <w:t xml:space="preserve"> </w:t>
      </w:r>
      <w:bookmarkStart w:id="84" w:name="_Toc351203486"/>
      <w:r>
        <w:rPr>
          <w:rFonts w:ascii="Times New Roman" w:hAnsi="Times New Roman" w:eastAsia="黑体"/>
          <w:b w:val="0"/>
          <w:color w:val="000000"/>
          <w:sz w:val="24"/>
          <w:szCs w:val="24"/>
        </w:rPr>
        <w:t>六、合同文件构成</w:t>
      </w:r>
      <w:bookmarkEnd w:id="84"/>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本协议书与下列文件一起构成合同文件：</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（1）中标通知书（如果有）；</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 xml:space="preserve">（2）投标函及其附录（如果有）； </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（3）专用合同条款及其附件；</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（4）通用合同条款；</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（5）技术标准和要求；</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（6）图纸；</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（7）已标价工程量清单或预算书；</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（8）其他合同文件。</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在合同订立及履行过程中形成的与合同有关的文件均构成合同文件组成部分。</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上述各项合同文件包括合同当事人就该项合同文件所作出的补充和修改，属于同一类内容的文件，应以最新签署的为准。</w:t>
      </w:r>
      <w:r>
        <w:rPr>
          <w:rFonts w:hint="eastAsia" w:ascii="Times New Roman" w:eastAsia="仿宋_GB2312"/>
          <w:color w:val="000000"/>
          <w:sz w:val="24"/>
          <w:szCs w:val="24"/>
        </w:rPr>
        <w:t>专用合同条款及其附件须经合同当事人签字或盖章。</w:t>
      </w:r>
    </w:p>
    <w:p>
      <w:pPr>
        <w:pStyle w:val="7"/>
        <w:spacing w:line="480" w:lineRule="exact"/>
        <w:rPr>
          <w:rFonts w:ascii="Times New Roman" w:hAnsi="Times New Roman" w:eastAsia="黑体"/>
          <w:b w:val="0"/>
          <w:bCs w:val="0"/>
          <w:color w:val="000000"/>
          <w:sz w:val="24"/>
          <w:szCs w:val="24"/>
        </w:rPr>
      </w:pPr>
      <w:r>
        <w:rPr>
          <w:rFonts w:ascii="Times New Roman" w:hAnsi="Times New Roman" w:eastAsia="黑体"/>
          <w:b w:val="0"/>
          <w:bCs w:val="0"/>
          <w:color w:val="000000"/>
          <w:sz w:val="24"/>
          <w:szCs w:val="24"/>
        </w:rPr>
        <w:t xml:space="preserve">   </w:t>
      </w:r>
      <w:r>
        <w:rPr>
          <w:rFonts w:ascii="Times New Roman" w:hAnsi="Times New Roman" w:eastAsia="黑体"/>
          <w:b w:val="0"/>
          <w:color w:val="000000"/>
          <w:sz w:val="24"/>
          <w:szCs w:val="24"/>
        </w:rPr>
        <w:t xml:space="preserve"> </w:t>
      </w:r>
      <w:bookmarkStart w:id="85" w:name="_Toc351203487"/>
      <w:r>
        <w:rPr>
          <w:rFonts w:ascii="Times New Roman" w:hAnsi="Times New Roman" w:eastAsia="黑体"/>
          <w:b w:val="0"/>
          <w:color w:val="000000"/>
          <w:sz w:val="24"/>
          <w:szCs w:val="24"/>
        </w:rPr>
        <w:t>七、承诺</w:t>
      </w:r>
      <w:bookmarkEnd w:id="85"/>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1.发包人承诺按照法律规定履行项目审批手续、筹集工程建设资金并按照合同约定的期限和方式支付合同价款。</w:t>
      </w:r>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2.承包人承诺按照法律规定及合同约定组织完成工程施工，确保工程质量和安全，不进行转包及违法分包，并在缺陷责任期及保修期内承担相应的工程维修责任。</w:t>
      </w:r>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3.发包人和承包人通过招投标形式签订合同的，双方理解并</w:t>
      </w:r>
      <w:r>
        <w:rPr>
          <w:rFonts w:hint="eastAsia" w:ascii="Times New Roman" w:eastAsia="仿宋_GB2312"/>
          <w:bCs/>
          <w:color w:val="000000"/>
          <w:sz w:val="24"/>
          <w:szCs w:val="24"/>
        </w:rPr>
        <w:t>承诺</w:t>
      </w:r>
      <w:r>
        <w:rPr>
          <w:rFonts w:ascii="Times New Roman" w:eastAsia="仿宋_GB2312"/>
          <w:bCs/>
          <w:color w:val="000000"/>
          <w:sz w:val="24"/>
          <w:szCs w:val="24"/>
        </w:rPr>
        <w:t>不再就同一工程另行签订与合同实质性内容相背离的协议。</w:t>
      </w:r>
    </w:p>
    <w:p>
      <w:pPr>
        <w:spacing w:line="480" w:lineRule="exact"/>
        <w:rPr>
          <w:rFonts w:ascii="Times New Roman" w:eastAsia="黑体"/>
          <w:bCs/>
          <w:color w:val="000000"/>
          <w:sz w:val="24"/>
          <w:szCs w:val="24"/>
        </w:rPr>
      </w:pPr>
      <w:bookmarkStart w:id="86" w:name="_Toc351203488"/>
      <w:r>
        <w:rPr>
          <w:rFonts w:hint="eastAsia" w:ascii="Times New Roman" w:eastAsia="黑体"/>
          <w:b/>
          <w:color w:val="000000"/>
          <w:sz w:val="24"/>
          <w:szCs w:val="24"/>
        </w:rPr>
        <w:t xml:space="preserve">    </w:t>
      </w:r>
      <w:r>
        <w:rPr>
          <w:rFonts w:ascii="Times New Roman" w:eastAsia="黑体"/>
          <w:b/>
          <w:color w:val="000000"/>
          <w:sz w:val="24"/>
          <w:szCs w:val="24"/>
        </w:rPr>
        <w:t>八、词语含义</w:t>
      </w:r>
      <w:bookmarkEnd w:id="86"/>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本协议书中词语含义与第二部分通用合同条款中赋予的含义相同。</w:t>
      </w:r>
    </w:p>
    <w:p>
      <w:pPr>
        <w:pStyle w:val="7"/>
        <w:spacing w:line="480" w:lineRule="exact"/>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r>
        <w:rPr>
          <w:rFonts w:ascii="Times New Roman" w:hAnsi="Times New Roman" w:eastAsia="黑体"/>
          <w:b w:val="0"/>
          <w:color w:val="000000"/>
          <w:sz w:val="24"/>
          <w:szCs w:val="24"/>
        </w:rPr>
        <w:t xml:space="preserve">  </w:t>
      </w:r>
      <w:bookmarkStart w:id="87" w:name="_Toc351203489"/>
      <w:r>
        <w:rPr>
          <w:rFonts w:ascii="Times New Roman" w:hAnsi="Times New Roman" w:eastAsia="黑体"/>
          <w:b w:val="0"/>
          <w:color w:val="000000"/>
          <w:sz w:val="24"/>
          <w:szCs w:val="24"/>
        </w:rPr>
        <w:t>九、签订时间</w:t>
      </w:r>
      <w:bookmarkEnd w:id="87"/>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本合同于</w:t>
      </w:r>
      <w:r>
        <w:rPr>
          <w:rFonts w:ascii="Times New Roman" w:eastAsia="仿宋_GB2312"/>
          <w:bCs/>
          <w:color w:val="000000"/>
          <w:sz w:val="24"/>
          <w:szCs w:val="24"/>
          <w:u w:val="single"/>
        </w:rPr>
        <w:t xml:space="preserve">         </w:t>
      </w:r>
      <w:r>
        <w:rPr>
          <w:rFonts w:ascii="Times New Roman" w:eastAsia="仿宋_GB2312"/>
          <w:bCs/>
          <w:color w:val="000000"/>
          <w:sz w:val="24"/>
          <w:szCs w:val="24"/>
        </w:rPr>
        <w:t>年</w:t>
      </w:r>
      <w:r>
        <w:rPr>
          <w:rFonts w:ascii="Times New Roman" w:eastAsia="仿宋_GB2312"/>
          <w:bCs/>
          <w:color w:val="000000"/>
          <w:sz w:val="24"/>
          <w:szCs w:val="24"/>
          <w:u w:val="single"/>
        </w:rPr>
        <w:t xml:space="preserve">    </w:t>
      </w:r>
      <w:r>
        <w:rPr>
          <w:rFonts w:ascii="Times New Roman" w:eastAsia="仿宋_GB2312"/>
          <w:bCs/>
          <w:color w:val="000000"/>
          <w:sz w:val="24"/>
          <w:szCs w:val="24"/>
        </w:rPr>
        <w:t>月</w:t>
      </w:r>
      <w:r>
        <w:rPr>
          <w:rFonts w:ascii="Times New Roman" w:eastAsia="仿宋_GB2312"/>
          <w:bCs/>
          <w:color w:val="000000"/>
          <w:sz w:val="24"/>
          <w:szCs w:val="24"/>
          <w:u w:val="single"/>
        </w:rPr>
        <w:t xml:space="preserve">    </w:t>
      </w:r>
      <w:r>
        <w:rPr>
          <w:rFonts w:ascii="Times New Roman" w:eastAsia="仿宋_GB2312"/>
          <w:bCs/>
          <w:color w:val="000000"/>
          <w:sz w:val="24"/>
          <w:szCs w:val="24"/>
        </w:rPr>
        <w:t>日签订。</w:t>
      </w:r>
    </w:p>
    <w:p>
      <w:pPr>
        <w:pStyle w:val="7"/>
        <w:spacing w:line="480" w:lineRule="exact"/>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bookmarkStart w:id="88" w:name="_Toc351203490"/>
      <w:r>
        <w:rPr>
          <w:rFonts w:ascii="Times New Roman" w:hAnsi="Times New Roman" w:eastAsia="黑体"/>
          <w:b w:val="0"/>
          <w:color w:val="000000"/>
          <w:sz w:val="24"/>
          <w:szCs w:val="24"/>
        </w:rPr>
        <w:t>十、签订地点</w:t>
      </w:r>
      <w:bookmarkEnd w:id="88"/>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本合同在</w:t>
      </w:r>
      <w:r>
        <w:rPr>
          <w:rFonts w:ascii="Times New Roman" w:eastAsia="仿宋_GB2312"/>
          <w:bCs/>
          <w:color w:val="000000"/>
          <w:sz w:val="24"/>
          <w:szCs w:val="24"/>
          <w:u w:val="single"/>
        </w:rPr>
        <w:t xml:space="preserve">                                    </w:t>
      </w:r>
      <w:r>
        <w:rPr>
          <w:rFonts w:ascii="Times New Roman" w:eastAsia="仿宋_GB2312"/>
          <w:bCs/>
          <w:color w:val="000000"/>
          <w:sz w:val="24"/>
          <w:szCs w:val="24"/>
        </w:rPr>
        <w:t>签订。</w:t>
      </w:r>
    </w:p>
    <w:p>
      <w:pPr>
        <w:pStyle w:val="7"/>
        <w:spacing w:line="480" w:lineRule="exact"/>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bookmarkStart w:id="89" w:name="_Toc351203491"/>
      <w:r>
        <w:rPr>
          <w:rFonts w:ascii="Times New Roman" w:hAnsi="Times New Roman" w:eastAsia="黑体"/>
          <w:b w:val="0"/>
          <w:color w:val="000000"/>
          <w:sz w:val="24"/>
          <w:szCs w:val="24"/>
        </w:rPr>
        <w:t>十一、补充协议</w:t>
      </w:r>
      <w:bookmarkEnd w:id="89"/>
    </w:p>
    <w:p>
      <w:pPr>
        <w:spacing w:line="480" w:lineRule="exact"/>
        <w:ind w:firstLine="480" w:firstLineChars="200"/>
        <w:rPr>
          <w:rFonts w:ascii="Times New Roman" w:eastAsia="仿宋_GB2312"/>
          <w:b/>
          <w:bCs/>
          <w:color w:val="000000"/>
          <w:sz w:val="24"/>
          <w:szCs w:val="24"/>
        </w:rPr>
      </w:pPr>
      <w:r>
        <w:rPr>
          <w:rFonts w:ascii="Times New Roman" w:eastAsia="仿宋_GB2312"/>
          <w:bCs/>
          <w:color w:val="000000"/>
          <w:sz w:val="24"/>
          <w:szCs w:val="24"/>
        </w:rPr>
        <w:t>合同未尽事宜，合同当事人另行签订补充协议</w:t>
      </w:r>
      <w:r>
        <w:rPr>
          <w:rFonts w:hint="eastAsia" w:ascii="Times New Roman" w:eastAsia="仿宋_GB2312"/>
          <w:bCs/>
          <w:color w:val="000000"/>
          <w:sz w:val="24"/>
          <w:szCs w:val="24"/>
        </w:rPr>
        <w:t>，</w:t>
      </w:r>
      <w:r>
        <w:rPr>
          <w:rFonts w:ascii="Times New Roman" w:eastAsia="仿宋_GB2312"/>
          <w:bCs/>
          <w:color w:val="000000"/>
          <w:sz w:val="24"/>
          <w:szCs w:val="24"/>
        </w:rPr>
        <w:t>补充协议是合同的组成部分。</w:t>
      </w:r>
    </w:p>
    <w:p>
      <w:pPr>
        <w:pStyle w:val="7"/>
        <w:spacing w:line="480" w:lineRule="exact"/>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bookmarkStart w:id="90" w:name="_Toc351203492"/>
      <w:r>
        <w:rPr>
          <w:rFonts w:ascii="Times New Roman" w:hAnsi="Times New Roman" w:eastAsia="黑体"/>
          <w:b w:val="0"/>
          <w:color w:val="000000"/>
          <w:sz w:val="24"/>
          <w:szCs w:val="24"/>
        </w:rPr>
        <w:t>十二、合同生效</w:t>
      </w:r>
      <w:bookmarkEnd w:id="90"/>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本合同自</w:t>
      </w:r>
      <w:r>
        <w:rPr>
          <w:rFonts w:ascii="Times New Roman" w:eastAsia="仿宋_GB2312"/>
          <w:bCs/>
          <w:color w:val="000000"/>
          <w:sz w:val="24"/>
          <w:szCs w:val="24"/>
          <w:u w:val="single"/>
        </w:rPr>
        <w:t xml:space="preserve">                                   </w:t>
      </w:r>
      <w:r>
        <w:rPr>
          <w:rFonts w:ascii="Times New Roman" w:eastAsia="仿宋_GB2312"/>
          <w:bCs/>
          <w:color w:val="000000"/>
          <w:sz w:val="24"/>
          <w:szCs w:val="24"/>
        </w:rPr>
        <w:t>生效。</w:t>
      </w:r>
    </w:p>
    <w:p>
      <w:pPr>
        <w:pStyle w:val="7"/>
        <w:spacing w:line="480" w:lineRule="exact"/>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bookmarkStart w:id="91" w:name="_Toc351203493"/>
      <w:r>
        <w:rPr>
          <w:rFonts w:ascii="Times New Roman" w:hAnsi="Times New Roman" w:eastAsia="黑体"/>
          <w:b w:val="0"/>
          <w:color w:val="000000"/>
          <w:sz w:val="24"/>
          <w:szCs w:val="24"/>
        </w:rPr>
        <w:t>十三、合同份数</w:t>
      </w:r>
      <w:bookmarkEnd w:id="91"/>
    </w:p>
    <w:p>
      <w:pPr>
        <w:spacing w:line="480" w:lineRule="exact"/>
        <w:ind w:firstLine="480" w:firstLineChars="200"/>
        <w:rPr>
          <w:rFonts w:ascii="Times New Roman" w:eastAsia="仿宋_GB2312"/>
          <w:color w:val="000000"/>
          <w:sz w:val="24"/>
          <w:szCs w:val="24"/>
        </w:rPr>
      </w:pPr>
      <w:r>
        <w:rPr>
          <w:rFonts w:ascii="Times New Roman" w:eastAsia="仿宋_GB2312"/>
          <w:bCs/>
          <w:color w:val="000000"/>
          <w:sz w:val="24"/>
          <w:szCs w:val="24"/>
        </w:rPr>
        <w:t>本合同一式</w:t>
      </w:r>
      <w:r>
        <w:rPr>
          <w:rFonts w:ascii="Times New Roman" w:eastAsia="仿宋_GB2312"/>
          <w:bCs/>
          <w:color w:val="000000"/>
          <w:sz w:val="24"/>
          <w:szCs w:val="24"/>
          <w:u w:val="single"/>
        </w:rPr>
        <w:t xml:space="preserve">  </w:t>
      </w:r>
      <w:r>
        <w:rPr>
          <w:rFonts w:hint="eastAsia" w:ascii="Times New Roman" w:eastAsia="仿宋_GB2312"/>
          <w:bCs/>
          <w:color w:val="000000"/>
          <w:sz w:val="24"/>
          <w:szCs w:val="24"/>
          <w:u w:val="single"/>
        </w:rPr>
        <w:t xml:space="preserve"> </w:t>
      </w:r>
      <w:r>
        <w:rPr>
          <w:rFonts w:ascii="Times New Roman" w:eastAsia="仿宋_GB2312"/>
          <w:bCs/>
          <w:color w:val="000000"/>
          <w:sz w:val="24"/>
          <w:szCs w:val="24"/>
          <w:u w:val="single"/>
        </w:rPr>
        <w:t xml:space="preserve"> </w:t>
      </w:r>
      <w:r>
        <w:rPr>
          <w:rFonts w:ascii="Times New Roman" w:eastAsia="仿宋_GB2312"/>
          <w:bCs/>
          <w:color w:val="000000"/>
          <w:sz w:val="24"/>
          <w:szCs w:val="24"/>
        </w:rPr>
        <w:t>份，均具有同等法律效力，发包人执</w:t>
      </w:r>
      <w:r>
        <w:rPr>
          <w:rFonts w:ascii="Times New Roman" w:eastAsia="仿宋_GB2312"/>
          <w:bCs/>
          <w:color w:val="000000"/>
          <w:sz w:val="24"/>
          <w:szCs w:val="24"/>
          <w:u w:val="single"/>
        </w:rPr>
        <w:t xml:space="preserve">  </w:t>
      </w:r>
      <w:r>
        <w:rPr>
          <w:rFonts w:hint="eastAsia" w:ascii="Times New Roman" w:eastAsia="仿宋_GB2312"/>
          <w:bCs/>
          <w:color w:val="000000"/>
          <w:sz w:val="24"/>
          <w:szCs w:val="24"/>
          <w:u w:val="single"/>
        </w:rPr>
        <w:t xml:space="preserve"> </w:t>
      </w:r>
      <w:r>
        <w:rPr>
          <w:rFonts w:ascii="Times New Roman" w:eastAsia="仿宋_GB2312"/>
          <w:bCs/>
          <w:color w:val="000000"/>
          <w:sz w:val="24"/>
          <w:szCs w:val="24"/>
          <w:u w:val="single"/>
        </w:rPr>
        <w:t xml:space="preserve"> </w:t>
      </w:r>
      <w:r>
        <w:rPr>
          <w:rFonts w:ascii="Times New Roman" w:eastAsia="仿宋_GB2312"/>
          <w:bCs/>
          <w:color w:val="000000"/>
          <w:sz w:val="24"/>
          <w:szCs w:val="24"/>
        </w:rPr>
        <w:t>份，承包人执</w:t>
      </w:r>
      <w:r>
        <w:rPr>
          <w:rFonts w:ascii="Times New Roman" w:eastAsia="仿宋_GB2312"/>
          <w:bCs/>
          <w:color w:val="000000"/>
          <w:sz w:val="24"/>
          <w:szCs w:val="24"/>
          <w:u w:val="single"/>
        </w:rPr>
        <w:t xml:space="preserve">  </w:t>
      </w:r>
      <w:r>
        <w:rPr>
          <w:rFonts w:hint="eastAsia" w:ascii="Times New Roman" w:eastAsia="仿宋_GB2312"/>
          <w:bCs/>
          <w:color w:val="000000"/>
          <w:sz w:val="24"/>
          <w:szCs w:val="24"/>
          <w:u w:val="single"/>
        </w:rPr>
        <w:t xml:space="preserve"> </w:t>
      </w:r>
      <w:r>
        <w:rPr>
          <w:rFonts w:ascii="Times New Roman" w:eastAsia="仿宋_GB2312"/>
          <w:bCs/>
          <w:color w:val="000000"/>
          <w:sz w:val="24"/>
          <w:szCs w:val="24"/>
          <w:u w:val="single"/>
        </w:rPr>
        <w:t xml:space="preserve"> </w:t>
      </w:r>
      <w:r>
        <w:rPr>
          <w:rFonts w:ascii="Times New Roman" w:eastAsia="仿宋_GB2312"/>
          <w:bCs/>
          <w:color w:val="000000"/>
          <w:sz w:val="24"/>
          <w:szCs w:val="24"/>
        </w:rPr>
        <w:t>份。</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发包人</w:t>
      </w:r>
      <w:r>
        <w:rPr>
          <w:rFonts w:hint="eastAsia" w:ascii="Times New Roman" w:eastAsia="仿宋_GB2312"/>
          <w:color w:val="000000"/>
          <w:sz w:val="24"/>
          <w:szCs w:val="24"/>
        </w:rPr>
        <w:t xml:space="preserve">：  </w:t>
      </w:r>
      <w:r>
        <w:rPr>
          <w:rFonts w:ascii="Times New Roman" w:eastAsia="仿宋_GB2312"/>
          <w:color w:val="000000"/>
          <w:sz w:val="24"/>
          <w:szCs w:val="24"/>
        </w:rPr>
        <w:t>(公章)</w:t>
      </w:r>
      <w:r>
        <w:rPr>
          <w:rFonts w:hint="eastAsia" w:ascii="Times New Roman" w:eastAsia="仿宋_GB2312"/>
          <w:color w:val="000000"/>
          <w:sz w:val="24"/>
          <w:szCs w:val="24"/>
        </w:rPr>
        <w:t xml:space="preserve">             </w:t>
      </w:r>
      <w:r>
        <w:rPr>
          <w:rFonts w:ascii="Times New Roman" w:eastAsia="仿宋_GB2312"/>
          <w:color w:val="000000"/>
          <w:sz w:val="24"/>
          <w:szCs w:val="24"/>
        </w:rPr>
        <w:t>承包人</w:t>
      </w:r>
      <w:r>
        <w:rPr>
          <w:rFonts w:hint="eastAsia" w:ascii="Times New Roman" w:eastAsia="仿宋_GB2312"/>
          <w:color w:val="000000"/>
          <w:sz w:val="24"/>
          <w:szCs w:val="24"/>
        </w:rPr>
        <w:t xml:space="preserve">：  </w:t>
      </w:r>
      <w:r>
        <w:rPr>
          <w:rFonts w:ascii="Times New Roman" w:eastAsia="仿宋_GB2312"/>
          <w:color w:val="000000"/>
          <w:sz w:val="24"/>
          <w:szCs w:val="24"/>
        </w:rPr>
        <w:t>(公章)</w:t>
      </w:r>
      <w:r>
        <w:rPr>
          <w:rFonts w:hint="eastAsia" w:ascii="Times New Roman" w:eastAsia="仿宋_GB2312"/>
          <w:color w:val="000000"/>
          <w:sz w:val="24"/>
          <w:szCs w:val="24"/>
        </w:rPr>
        <w:t xml:space="preserve">                                 </w:t>
      </w:r>
    </w:p>
    <w:p>
      <w:pPr>
        <w:spacing w:line="480" w:lineRule="exact"/>
        <w:ind w:firstLine="480" w:firstLineChars="200"/>
        <w:rPr>
          <w:rFonts w:ascii="Times New Roman" w:eastAsia="仿宋_GB2312"/>
          <w:color w:val="000000"/>
          <w:sz w:val="24"/>
          <w:szCs w:val="24"/>
        </w:rPr>
      </w:pPr>
      <w:r>
        <w:rPr>
          <w:rFonts w:hint="eastAsia" w:ascii="Times New Roman" w:eastAsia="仿宋_GB2312"/>
          <w:color w:val="000000"/>
          <w:sz w:val="24"/>
          <w:szCs w:val="24"/>
        </w:rPr>
        <w:t>法定代表人或其委托代理人：  法定代表人或其委托代理人：</w:t>
      </w:r>
    </w:p>
    <w:p>
      <w:pPr>
        <w:spacing w:line="480" w:lineRule="exact"/>
        <w:ind w:firstLine="480" w:firstLineChars="200"/>
        <w:rPr>
          <w:rFonts w:ascii="Times New Roman" w:eastAsia="仿宋_GB2312"/>
          <w:color w:val="000000"/>
          <w:sz w:val="24"/>
          <w:szCs w:val="24"/>
          <w:u w:val="single"/>
        </w:rPr>
      </w:pPr>
      <w:r>
        <w:rPr>
          <w:rFonts w:hint="eastAsia" w:ascii="Times New Roman" w:eastAsia="仿宋_GB2312"/>
          <w:color w:val="000000"/>
          <w:sz w:val="24"/>
          <w:szCs w:val="24"/>
        </w:rPr>
        <w:t>（签字）                    （签字）</w:t>
      </w:r>
    </w:p>
    <w:p>
      <w:pPr>
        <w:tabs>
          <w:tab w:val="left" w:pos="4410"/>
        </w:tabs>
        <w:spacing w:line="480" w:lineRule="exact"/>
        <w:ind w:firstLine="480" w:firstLineChars="200"/>
        <w:rPr>
          <w:rFonts w:ascii="Times New Roman" w:eastAsia="仿宋_GB2312"/>
          <w:color w:val="000000"/>
          <w:sz w:val="24"/>
          <w:szCs w:val="24"/>
        </w:rPr>
      </w:pPr>
      <w:r>
        <w:rPr>
          <w:rFonts w:hint="eastAsia" w:ascii="Times New Roman" w:eastAsia="仿宋_GB2312"/>
          <w:color w:val="000000"/>
          <w:sz w:val="24"/>
          <w:szCs w:val="24"/>
        </w:rPr>
        <w:t>组织机构代码：</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r>
        <w:rPr>
          <w:rFonts w:hint="eastAsia" w:ascii="Times New Roman" w:eastAsia="仿宋_GB2312"/>
          <w:color w:val="000000"/>
          <w:sz w:val="24"/>
          <w:szCs w:val="24"/>
        </w:rPr>
        <w:t xml:space="preserve"> 组织机构代码：</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地  址：</w:t>
      </w:r>
      <w:r>
        <w:rPr>
          <w:rFonts w:ascii="Times New Roman" w:eastAsia="仿宋_GB2312"/>
          <w:color w:val="000000"/>
          <w:sz w:val="24"/>
          <w:szCs w:val="24"/>
          <w:u w:val="single"/>
        </w:rPr>
        <w:t xml:space="preserve">     </w:t>
      </w:r>
      <w:r>
        <w:rPr>
          <w:rFonts w:hint="eastAsia" w:ascii="Times New Roman" w:eastAsia="仿宋_GB2312"/>
          <w:color w:val="000000"/>
          <w:sz w:val="24"/>
          <w:szCs w:val="24"/>
        </w:rPr>
        <w:t xml:space="preserve">  </w:t>
      </w:r>
      <w:r>
        <w:rPr>
          <w:rFonts w:ascii="Times New Roman" w:eastAsia="仿宋_GB2312"/>
          <w:color w:val="000000"/>
          <w:sz w:val="24"/>
          <w:szCs w:val="24"/>
        </w:rPr>
        <w:t>地  址：</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邮政编码：</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r>
        <w:rPr>
          <w:rFonts w:hint="eastAsia" w:ascii="Times New Roman" w:eastAsia="仿宋_GB2312"/>
          <w:color w:val="000000"/>
          <w:sz w:val="24"/>
          <w:szCs w:val="24"/>
        </w:rPr>
        <w:t xml:space="preserve"> </w:t>
      </w:r>
      <w:r>
        <w:rPr>
          <w:rFonts w:ascii="Times New Roman" w:eastAsia="仿宋_GB2312"/>
          <w:color w:val="000000"/>
          <w:sz w:val="24"/>
          <w:szCs w:val="24"/>
        </w:rPr>
        <w:t>邮政编码：</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法定代表人：</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r>
        <w:rPr>
          <w:rFonts w:hint="eastAsia" w:ascii="Times New Roman" w:eastAsia="仿宋_GB2312"/>
          <w:color w:val="000000"/>
          <w:sz w:val="24"/>
          <w:szCs w:val="24"/>
        </w:rPr>
        <w:t xml:space="preserve"> </w:t>
      </w:r>
      <w:r>
        <w:rPr>
          <w:rFonts w:ascii="Times New Roman" w:eastAsia="仿宋_GB2312"/>
          <w:color w:val="000000"/>
          <w:sz w:val="24"/>
          <w:szCs w:val="24"/>
        </w:rPr>
        <w:t>法定代表人：</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委托代理人：</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r>
        <w:rPr>
          <w:rFonts w:hint="eastAsia" w:ascii="Times New Roman" w:eastAsia="仿宋_GB2312"/>
          <w:color w:val="000000"/>
          <w:sz w:val="24"/>
          <w:szCs w:val="24"/>
        </w:rPr>
        <w:t xml:space="preserve"> </w:t>
      </w:r>
      <w:r>
        <w:rPr>
          <w:rFonts w:ascii="Times New Roman" w:eastAsia="仿宋_GB2312"/>
          <w:color w:val="000000"/>
          <w:sz w:val="24"/>
          <w:szCs w:val="24"/>
        </w:rPr>
        <w:t>委托代理人：</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  话：</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r>
        <w:rPr>
          <w:rFonts w:hint="eastAsia" w:ascii="Times New Roman" w:eastAsia="仿宋_GB2312"/>
          <w:color w:val="000000"/>
          <w:sz w:val="24"/>
          <w:szCs w:val="24"/>
        </w:rPr>
        <w:t xml:space="preserve"> </w:t>
      </w:r>
      <w:r>
        <w:rPr>
          <w:rFonts w:ascii="Times New Roman" w:eastAsia="仿宋_GB2312"/>
          <w:color w:val="000000"/>
          <w:sz w:val="24"/>
          <w:szCs w:val="24"/>
        </w:rPr>
        <w:t>电  话：</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传  真：</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r>
        <w:rPr>
          <w:rFonts w:hint="eastAsia" w:ascii="Times New Roman" w:eastAsia="仿宋_GB2312"/>
          <w:color w:val="000000"/>
          <w:sz w:val="24"/>
          <w:szCs w:val="24"/>
        </w:rPr>
        <w:t xml:space="preserve"> </w:t>
      </w:r>
      <w:r>
        <w:rPr>
          <w:rFonts w:ascii="Times New Roman" w:eastAsia="仿宋_GB2312"/>
          <w:color w:val="000000"/>
          <w:sz w:val="24"/>
          <w:szCs w:val="24"/>
        </w:rPr>
        <w:t>传  真：</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r>
        <w:rPr>
          <w:rFonts w:hint="eastAsia" w:ascii="Times New Roman" w:eastAsia="仿宋_GB2312"/>
          <w:color w:val="000000"/>
          <w:sz w:val="24"/>
          <w:szCs w:val="24"/>
        </w:rPr>
        <w:t xml:space="preserve"> </w:t>
      </w:r>
      <w:r>
        <w:rPr>
          <w:rFonts w:ascii="Times New Roman" w:eastAsia="仿宋_GB2312"/>
          <w:color w:val="000000"/>
          <w:sz w:val="24"/>
          <w:szCs w:val="24"/>
        </w:rPr>
        <w:t>电子信箱：</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开户银行：</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r>
        <w:rPr>
          <w:rFonts w:hint="eastAsia" w:ascii="Times New Roman" w:eastAsia="仿宋_GB2312"/>
          <w:color w:val="000000"/>
          <w:sz w:val="24"/>
          <w:szCs w:val="24"/>
        </w:rPr>
        <w:t xml:space="preserve"> </w:t>
      </w:r>
      <w:r>
        <w:rPr>
          <w:rFonts w:ascii="Times New Roman" w:eastAsia="仿宋_GB2312"/>
          <w:color w:val="000000"/>
          <w:sz w:val="24"/>
          <w:szCs w:val="24"/>
        </w:rPr>
        <w:t>开户银行：</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8"/>
          <w:szCs w:val="28"/>
        </w:rPr>
      </w:pPr>
      <w:r>
        <w:rPr>
          <w:rFonts w:ascii="Times New Roman" w:eastAsia="仿宋_GB2312"/>
          <w:color w:val="000000"/>
          <w:sz w:val="24"/>
          <w:szCs w:val="24"/>
        </w:rPr>
        <w:t>账  号：</w:t>
      </w:r>
      <w:r>
        <w:rPr>
          <w:rFonts w:ascii="Times New Roman" w:eastAsia="仿宋_GB2312"/>
          <w:color w:val="000000"/>
          <w:sz w:val="24"/>
          <w:szCs w:val="24"/>
          <w:u w:val="single"/>
        </w:rPr>
        <w:t xml:space="preserve">       </w:t>
      </w:r>
      <w:r>
        <w:rPr>
          <w:rFonts w:hint="eastAsia" w:ascii="Times New Roman" w:eastAsia="仿宋_GB2312"/>
          <w:color w:val="000000"/>
          <w:sz w:val="24"/>
          <w:szCs w:val="24"/>
        </w:rPr>
        <w:t xml:space="preserve">   </w:t>
      </w:r>
      <w:r>
        <w:rPr>
          <w:rFonts w:ascii="Times New Roman" w:eastAsia="仿宋_GB2312"/>
          <w:color w:val="000000"/>
          <w:sz w:val="24"/>
          <w:szCs w:val="24"/>
        </w:rPr>
        <w:t>账</w:t>
      </w:r>
      <w:r>
        <w:rPr>
          <w:rFonts w:hint="eastAsia" w:ascii="Times New Roman" w:eastAsia="仿宋_GB2312"/>
          <w:color w:val="000000"/>
          <w:sz w:val="24"/>
          <w:szCs w:val="24"/>
        </w:rPr>
        <w:t xml:space="preserve"> </w:t>
      </w:r>
      <w:r>
        <w:rPr>
          <w:rFonts w:ascii="Times New Roman" w:eastAsia="仿宋_GB2312"/>
          <w:color w:val="000000"/>
          <w:sz w:val="24"/>
          <w:szCs w:val="24"/>
        </w:rPr>
        <w:t xml:space="preserve"> 号：</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p>
    <w:p>
      <w:pPr>
        <w:pStyle w:val="6"/>
        <w:jc w:val="center"/>
        <w:rPr>
          <w:rFonts w:ascii="华文中宋" w:hAnsi="华文中宋" w:eastAsia="华文中宋"/>
          <w:sz w:val="44"/>
          <w:szCs w:val="44"/>
        </w:rPr>
      </w:pPr>
      <w:r>
        <w:rPr>
          <w:rFonts w:eastAsia="仿宋_GB2312"/>
        </w:rPr>
        <w:br w:type="page"/>
      </w:r>
      <w:bookmarkStart w:id="92" w:name="_Toc351203494"/>
      <w:r>
        <w:rPr>
          <w:rFonts w:ascii="华文中宋" w:hAnsi="华文中宋" w:eastAsia="华文中宋"/>
          <w:sz w:val="44"/>
          <w:szCs w:val="44"/>
        </w:rPr>
        <w:t>第二部分 通用合同条款</w:t>
      </w:r>
      <w:bookmarkEnd w:id="92"/>
      <w:r>
        <w:rPr>
          <w:rFonts w:hint="eastAsia" w:ascii="华文中宋" w:hAnsi="华文中宋" w:eastAsia="华文中宋"/>
          <w:sz w:val="44"/>
          <w:szCs w:val="44"/>
        </w:rPr>
        <w:t>（略）</w:t>
      </w:r>
    </w:p>
    <w:p>
      <w:pPr>
        <w:pStyle w:val="6"/>
        <w:ind w:firstLine="2640" w:firstLineChars="600"/>
        <w:rPr>
          <w:rFonts w:ascii="华文中宋" w:hAnsi="华文中宋" w:eastAsia="华文中宋"/>
          <w:sz w:val="44"/>
          <w:szCs w:val="44"/>
        </w:rPr>
      </w:pPr>
    </w:p>
    <w:p>
      <w:pPr>
        <w:pStyle w:val="6"/>
        <w:ind w:firstLine="2640" w:firstLineChars="600"/>
        <w:rPr>
          <w:rFonts w:ascii="华文中宋" w:hAnsi="华文中宋" w:eastAsia="华文中宋"/>
          <w:sz w:val="44"/>
          <w:szCs w:val="44"/>
        </w:rPr>
      </w:pPr>
    </w:p>
    <w:p>
      <w:pPr>
        <w:pStyle w:val="6"/>
        <w:ind w:firstLine="2640" w:firstLineChars="600"/>
        <w:rPr>
          <w:rFonts w:ascii="华文中宋" w:hAnsi="华文中宋" w:eastAsia="华文中宋"/>
          <w:sz w:val="44"/>
          <w:szCs w:val="44"/>
        </w:rPr>
      </w:pPr>
    </w:p>
    <w:p>
      <w:pPr>
        <w:pStyle w:val="6"/>
        <w:ind w:firstLine="2640" w:firstLineChars="600"/>
        <w:rPr>
          <w:rFonts w:ascii="华文中宋" w:hAnsi="华文中宋" w:eastAsia="华文中宋"/>
          <w:sz w:val="44"/>
          <w:szCs w:val="44"/>
        </w:rPr>
      </w:pPr>
    </w:p>
    <w:p>
      <w:pPr>
        <w:pStyle w:val="6"/>
        <w:ind w:firstLine="2640" w:firstLineChars="600"/>
        <w:rPr>
          <w:rFonts w:ascii="华文中宋" w:hAnsi="华文中宋" w:eastAsia="华文中宋"/>
          <w:sz w:val="44"/>
          <w:szCs w:val="44"/>
        </w:rPr>
      </w:pPr>
    </w:p>
    <w:p>
      <w:pPr>
        <w:pStyle w:val="6"/>
        <w:ind w:firstLine="2640" w:firstLineChars="600"/>
        <w:rPr>
          <w:rFonts w:ascii="华文中宋" w:hAnsi="华文中宋" w:eastAsia="华文中宋"/>
          <w:sz w:val="44"/>
          <w:szCs w:val="44"/>
        </w:rPr>
      </w:pPr>
    </w:p>
    <w:p>
      <w:pPr>
        <w:pStyle w:val="6"/>
        <w:ind w:firstLine="2640" w:firstLineChars="600"/>
        <w:rPr>
          <w:rFonts w:ascii="华文中宋" w:hAnsi="华文中宋" w:eastAsia="华文中宋"/>
          <w:sz w:val="44"/>
          <w:szCs w:val="44"/>
        </w:rPr>
      </w:pPr>
    </w:p>
    <w:p>
      <w:pPr>
        <w:pStyle w:val="6"/>
        <w:ind w:firstLine="2640" w:firstLineChars="600"/>
        <w:rPr>
          <w:rFonts w:ascii="华文中宋" w:hAnsi="华文中宋" w:eastAsia="华文中宋"/>
          <w:sz w:val="44"/>
          <w:szCs w:val="44"/>
        </w:rPr>
      </w:pPr>
    </w:p>
    <w:p>
      <w:pPr>
        <w:pStyle w:val="6"/>
        <w:ind w:firstLine="2640" w:firstLineChars="600"/>
        <w:rPr>
          <w:rFonts w:ascii="华文中宋" w:hAnsi="华文中宋" w:eastAsia="华文中宋"/>
          <w:sz w:val="44"/>
          <w:szCs w:val="44"/>
        </w:rPr>
      </w:pPr>
    </w:p>
    <w:p>
      <w:pPr>
        <w:pStyle w:val="6"/>
        <w:ind w:firstLine="2640" w:firstLineChars="600"/>
        <w:rPr>
          <w:rFonts w:ascii="华文中宋" w:hAnsi="华文中宋" w:eastAsia="华文中宋"/>
          <w:sz w:val="44"/>
          <w:szCs w:val="44"/>
        </w:rPr>
      </w:pPr>
    </w:p>
    <w:p>
      <w:pPr>
        <w:pStyle w:val="6"/>
        <w:ind w:firstLine="2640" w:firstLineChars="600"/>
        <w:rPr>
          <w:rFonts w:ascii="华文中宋" w:hAnsi="华文中宋" w:eastAsia="华文中宋"/>
          <w:sz w:val="44"/>
          <w:szCs w:val="44"/>
        </w:rPr>
      </w:pPr>
    </w:p>
    <w:p>
      <w:pPr>
        <w:pStyle w:val="6"/>
        <w:ind w:firstLine="2640" w:firstLineChars="600"/>
        <w:rPr>
          <w:rFonts w:ascii="华文中宋" w:hAnsi="华文中宋" w:eastAsia="华文中宋"/>
          <w:sz w:val="44"/>
          <w:szCs w:val="44"/>
        </w:rPr>
      </w:pPr>
      <w:r>
        <w:rPr>
          <w:rFonts w:ascii="华文中宋" w:hAnsi="华文中宋" w:eastAsia="华文中宋"/>
          <w:sz w:val="44"/>
          <w:szCs w:val="44"/>
        </w:rPr>
        <w:t xml:space="preserve">第三部分 </w:t>
      </w:r>
      <w:r>
        <w:rPr>
          <w:rFonts w:hint="eastAsia" w:ascii="华文中宋" w:hAnsi="华文中宋" w:eastAsia="华文中宋"/>
          <w:sz w:val="44"/>
          <w:szCs w:val="44"/>
        </w:rPr>
        <w:t>专用合同条款</w:t>
      </w:r>
    </w:p>
    <w:p>
      <w:pPr>
        <w:pStyle w:val="7"/>
        <w:spacing w:line="480" w:lineRule="exact"/>
        <w:rPr>
          <w:rFonts w:ascii="Times New Roman" w:hAnsi="Times New Roman" w:eastAsia="黑体"/>
          <w:b w:val="0"/>
          <w:color w:val="000000"/>
          <w:sz w:val="24"/>
          <w:szCs w:val="24"/>
        </w:rPr>
      </w:pPr>
      <w:bookmarkStart w:id="93" w:name="_Toc351203633"/>
      <w:r>
        <w:rPr>
          <w:rFonts w:ascii="Times New Roman" w:hAnsi="Times New Roman" w:eastAsia="黑体"/>
          <w:b w:val="0"/>
          <w:color w:val="000000"/>
          <w:sz w:val="24"/>
          <w:szCs w:val="24"/>
        </w:rPr>
        <w:t>1</w:t>
      </w:r>
      <w:bookmarkStart w:id="94" w:name="_Toc292559361"/>
      <w:bookmarkStart w:id="95" w:name="_Toc297120456"/>
      <w:bookmarkStart w:id="96" w:name="_Toc292559866"/>
      <w:bookmarkStart w:id="97" w:name="_Toc296503156"/>
      <w:bookmarkStart w:id="98" w:name="_Toc296891196"/>
      <w:bookmarkStart w:id="99" w:name="_Toc296944495"/>
      <w:bookmarkStart w:id="100" w:name="_Toc296890984"/>
      <w:bookmarkStart w:id="101" w:name="_Toc297048342"/>
      <w:bookmarkStart w:id="102" w:name="_Toc296347155"/>
      <w:bookmarkStart w:id="103" w:name="_Toc296346657"/>
      <w:r>
        <w:rPr>
          <w:rFonts w:ascii="Times New Roman" w:hAnsi="Times New Roman" w:eastAsia="黑体"/>
          <w:b w:val="0"/>
          <w:color w:val="000000"/>
          <w:sz w:val="24"/>
          <w:szCs w:val="24"/>
        </w:rPr>
        <w:t>. 一般约定</w:t>
      </w:r>
      <w:bookmarkEnd w:id="93"/>
    </w:p>
    <w:bookmarkEnd w:id="94"/>
    <w:bookmarkEnd w:id="95"/>
    <w:bookmarkEnd w:id="96"/>
    <w:bookmarkEnd w:id="97"/>
    <w:bookmarkEnd w:id="98"/>
    <w:bookmarkEnd w:id="99"/>
    <w:bookmarkEnd w:id="100"/>
    <w:bookmarkEnd w:id="101"/>
    <w:bookmarkEnd w:id="102"/>
    <w:bookmarkEnd w:id="103"/>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1.1 词语定义</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1.1.1合同</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1.1.1.10其他合同文件包括：</w:t>
      </w:r>
      <w:r>
        <w:rPr>
          <w:rFonts w:ascii="Times New Roman" w:eastAsia="仿宋_GB2312"/>
          <w:color w:val="000000"/>
          <w:sz w:val="24"/>
          <w:szCs w:val="24"/>
          <w:u w:val="single"/>
        </w:rPr>
        <w:t xml:space="preserve">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4"/>
          <w:szCs w:val="24"/>
        </w:rPr>
      </w:pPr>
      <w:r>
        <w:rPr>
          <w:rFonts w:hint="eastAsia"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1.1.2 合同当事人及其他相关方</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1.1.2.4监理人：</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名    称：</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资质类别和等级：</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1.1.2.5 设计人：</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名    称：</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资质类别和等级：</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1.1.3 工程和设备</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1.1.3.7 作为施工现场组成部分的其他场所包括：</w:t>
      </w:r>
      <w:r>
        <w:rPr>
          <w:rFonts w:hint="eastAsia" w:ascii="Times New Roman" w:eastAsia="仿宋_GB2312"/>
          <w:color w:val="000000"/>
          <w:sz w:val="24"/>
          <w:szCs w:val="24"/>
          <w:u w:val="single"/>
        </w:rPr>
        <w:t xml:space="preserve">           </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1.1.3.9 永久占地包括：</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1.1.3.10 临时占地包括：</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 xml:space="preserve">1.3法律 </w:t>
      </w:r>
    </w:p>
    <w:p>
      <w:pPr>
        <w:autoSpaceDE w:val="0"/>
        <w:autoSpaceDN w:val="0"/>
        <w:adjustRightInd w:val="0"/>
        <w:spacing w:line="480" w:lineRule="exact"/>
        <w:ind w:left="965" w:leftChars="284"/>
        <w:jc w:val="left"/>
        <w:rPr>
          <w:rFonts w:ascii="Times New Roman" w:eastAsia="仿宋_GB2312"/>
          <w:color w:val="000000"/>
          <w:sz w:val="24"/>
          <w:szCs w:val="24"/>
          <w:u w:val="single"/>
        </w:rPr>
      </w:pPr>
      <w:r>
        <w:rPr>
          <w:rFonts w:ascii="Times New Roman" w:eastAsia="仿宋_GB2312"/>
          <w:color w:val="000000"/>
          <w:sz w:val="24"/>
          <w:szCs w:val="24"/>
        </w:rPr>
        <w:t>适用于合同的其他规范性文件：</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p>
    <w:p>
      <w:pPr>
        <w:autoSpaceDE w:val="0"/>
        <w:autoSpaceDN w:val="0"/>
        <w:adjustRightInd w:val="0"/>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1.4 标准和规范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1.4.1适用于工程的标准规范包括：</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 xml:space="preserve"> </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outlineLvl w:val="0"/>
        <w:rPr>
          <w:rFonts w:ascii="Times New Roman" w:eastAsia="仿宋_GB2312"/>
          <w:color w:val="000000"/>
          <w:sz w:val="24"/>
          <w:szCs w:val="24"/>
          <w:u w:val="single"/>
        </w:rPr>
      </w:pPr>
      <w:r>
        <w:rPr>
          <w:rFonts w:ascii="Times New Roman" w:eastAsia="仿宋_GB2312"/>
          <w:color w:val="000000"/>
          <w:sz w:val="24"/>
          <w:szCs w:val="24"/>
        </w:rPr>
        <w:t>1.4.2 发包人提供国外标准、规范的名称：</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发包人提供国外标准、规范的份数：</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发包人提供国外标准、规范的名称：</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1.4.3发包人对工程的技术标准和功能要求的特殊要求：</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xml:space="preserve">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after="120"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1.5 合同文件的优先顺序</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合同文件组成及优先顺序为：</w:t>
      </w:r>
      <w:r>
        <w:rPr>
          <w:rFonts w:ascii="Times New Roman" w:eastAsia="仿宋_GB2312"/>
          <w:color w:val="000000"/>
          <w:sz w:val="24"/>
          <w:szCs w:val="24"/>
          <w:u w:val="single"/>
        </w:rPr>
        <w:t></w:t>
      </w:r>
      <w:r>
        <w:rPr>
          <w:rFonts w:ascii="Times New Roman" w:eastAsia="仿宋_GB2312"/>
          <w:color w:val="000000"/>
          <w:sz w:val="24"/>
          <w:szCs w:val="24"/>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1.6 图纸和承包人文件</w:t>
      </w:r>
      <w:r>
        <w:rPr>
          <w:rFonts w:ascii="Times New Roman" w:eastAsia="黑体"/>
          <w:color w:val="000000"/>
          <w:sz w:val="24"/>
          <w:szCs w:val="24"/>
        </w:rPr>
        <w:tab/>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1.6.1 图纸的提供</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发包人向承包人提供图纸的期限：</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发包人向承包人提供图纸的数量：</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发包人向承包人提供图纸的内容：</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1.6.4 承包人文件</w:t>
      </w:r>
    </w:p>
    <w:p>
      <w:pPr>
        <w:spacing w:line="480" w:lineRule="exact"/>
        <w:ind w:left="965" w:leftChars="284"/>
        <w:jc w:val="left"/>
        <w:rPr>
          <w:rFonts w:ascii="Times New Roman" w:eastAsia="仿宋_GB2312"/>
          <w:color w:val="000000"/>
          <w:sz w:val="24"/>
          <w:szCs w:val="24"/>
          <w:u w:val="single"/>
        </w:rPr>
      </w:pPr>
      <w:r>
        <w:rPr>
          <w:rFonts w:ascii="Times New Roman" w:eastAsia="仿宋_GB2312"/>
          <w:color w:val="000000"/>
          <w:sz w:val="24"/>
          <w:szCs w:val="24"/>
        </w:rPr>
        <w:t>需要由承包人提供的文件，包括：</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p>
    <w:p>
      <w:pPr>
        <w:spacing w:line="480" w:lineRule="exact"/>
        <w:ind w:left="965" w:leftChars="284"/>
        <w:jc w:val="left"/>
        <w:rPr>
          <w:rFonts w:ascii="Times New Roman" w:eastAsia="仿宋_GB2312"/>
          <w:color w:val="000000"/>
          <w:sz w:val="24"/>
          <w:szCs w:val="24"/>
        </w:rPr>
      </w:pP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承包人提供的文件的期限为：</w:t>
      </w:r>
      <w:r>
        <w:rPr>
          <w:rFonts w:ascii="Times New Roman" w:eastAsia="仿宋_GB2312"/>
          <w:color w:val="000000"/>
          <w:sz w:val="24"/>
          <w:szCs w:val="24"/>
          <w:u w:val="single"/>
        </w:rPr>
        <w:t>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承包人提供的文件的数量为：</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承包人提供的文件的形式为：</w:t>
      </w:r>
      <w:r>
        <w:rPr>
          <w:rFonts w:ascii="Times New Roman" w:eastAsia="仿宋_GB2312"/>
          <w:color w:val="000000"/>
          <w:sz w:val="24"/>
          <w:szCs w:val="24"/>
          <w:u w:val="single"/>
        </w:rPr>
        <w:t>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w:t>
      </w:r>
      <w:r>
        <w:rPr>
          <w:rFonts w:hint="eastAsia" w:ascii="Times New Roman" w:eastAsia="仿宋_GB2312"/>
          <w:color w:val="000000"/>
          <w:sz w:val="24"/>
          <w:szCs w:val="24"/>
        </w:rPr>
        <w:t>审批</w:t>
      </w:r>
      <w:r>
        <w:rPr>
          <w:rFonts w:ascii="Times New Roman" w:eastAsia="仿宋_GB2312"/>
          <w:color w:val="000000"/>
          <w:sz w:val="24"/>
          <w:szCs w:val="24"/>
        </w:rPr>
        <w:t>承包人文件的期限：</w:t>
      </w:r>
      <w:r>
        <w:rPr>
          <w:rFonts w:ascii="Times New Roman" w:eastAsia="仿宋_GB2312"/>
          <w:color w:val="000000"/>
          <w:sz w:val="24"/>
          <w:szCs w:val="24"/>
          <w:u w:val="single"/>
        </w:rPr>
        <w:t>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1.6.5 现场图纸准备</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关于现场图纸准备的约定：</w:t>
      </w:r>
      <w:r>
        <w:rPr>
          <w:rFonts w:ascii="Times New Roman" w:eastAsia="仿宋_GB2312"/>
          <w:color w:val="000000"/>
          <w:sz w:val="24"/>
          <w:szCs w:val="24"/>
          <w:u w:val="single"/>
        </w:rPr>
        <w:t>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1.7 联络</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1.7.1发包人和承包人应当在</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天内将与合同有关的通知、批准、证明、证书、指示、指令、要求、请求、同意、意见、确定和决定等书面函件送达对方当事人</w:t>
      </w:r>
      <w:r>
        <w:rPr>
          <w:rFonts w:hint="eastAsia"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1.7.2 发包人接收文件的地点：</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发包人指定的接收人为：</w:t>
      </w:r>
      <w:r>
        <w:rPr>
          <w:rFonts w:ascii="Times New Roman" w:eastAsia="仿宋_GB2312"/>
          <w:color w:val="000000"/>
          <w:sz w:val="24"/>
          <w:szCs w:val="24"/>
          <w:u w:val="single"/>
        </w:rPr>
        <w:t>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承包人接收文件的地点：</w:t>
      </w:r>
      <w:r>
        <w:rPr>
          <w:rFonts w:ascii="Times New Roman" w:eastAsia="仿宋_GB2312"/>
          <w:color w:val="000000"/>
          <w:sz w:val="24"/>
          <w:szCs w:val="24"/>
          <w:u w:val="single"/>
        </w:rPr>
        <w:t>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承包人指定的接收人为：</w:t>
      </w:r>
      <w:r>
        <w:rPr>
          <w:rFonts w:ascii="Times New Roman" w:eastAsia="仿宋_GB2312"/>
          <w:color w:val="000000"/>
          <w:sz w:val="24"/>
          <w:szCs w:val="24"/>
          <w:u w:val="single"/>
        </w:rPr>
        <w:t>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监理人接收文件的地点：</w:t>
      </w:r>
      <w:r>
        <w:rPr>
          <w:rFonts w:ascii="Times New Roman" w:eastAsia="仿宋_GB2312"/>
          <w:color w:val="000000"/>
          <w:sz w:val="24"/>
          <w:szCs w:val="24"/>
          <w:u w:val="single"/>
        </w:rPr>
        <w:t>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监理人指定的接收人为：</w:t>
      </w:r>
      <w:r>
        <w:rPr>
          <w:rFonts w:ascii="Times New Roman" w:eastAsia="仿宋_GB2312"/>
          <w:color w:val="000000"/>
          <w:sz w:val="24"/>
          <w:szCs w:val="24"/>
          <w:u w:val="single"/>
        </w:rPr>
        <w:t>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1.10 交通运输</w:t>
      </w:r>
    </w:p>
    <w:p>
      <w:pPr>
        <w:spacing w:line="480" w:lineRule="exact"/>
        <w:ind w:firstLine="480" w:firstLineChars="200"/>
        <w:outlineLvl w:val="0"/>
        <w:rPr>
          <w:rFonts w:ascii="Times New Roman" w:eastAsia="仿宋_GB2312"/>
          <w:sz w:val="24"/>
          <w:szCs w:val="24"/>
        </w:rPr>
      </w:pPr>
      <w:r>
        <w:rPr>
          <w:rFonts w:ascii="Times New Roman" w:eastAsia="仿宋_GB2312"/>
          <w:sz w:val="24"/>
          <w:szCs w:val="24"/>
        </w:rPr>
        <w:t>1</w:t>
      </w:r>
      <w:bookmarkStart w:id="104" w:name="_Toc300934943"/>
      <w:bookmarkStart w:id="105" w:name="_Toc304295521"/>
      <w:bookmarkStart w:id="106" w:name="_Toc303539100"/>
      <w:bookmarkStart w:id="107" w:name="_Toc312677986"/>
      <w:bookmarkStart w:id="108" w:name="_Toc318581155"/>
      <w:r>
        <w:rPr>
          <w:rFonts w:ascii="Times New Roman" w:eastAsia="仿宋_GB2312"/>
          <w:sz w:val="24"/>
          <w:szCs w:val="24"/>
        </w:rPr>
        <w:t>.10.1 出入现场的权利</w:t>
      </w:r>
    </w:p>
    <w:p>
      <w:pPr>
        <w:spacing w:line="480" w:lineRule="exact"/>
        <w:ind w:left="965" w:leftChars="284"/>
        <w:rPr>
          <w:rFonts w:ascii="Times New Roman" w:eastAsia="仿宋_GB2312"/>
          <w:color w:val="000000"/>
          <w:sz w:val="24"/>
          <w:szCs w:val="24"/>
          <w:u w:val="single"/>
        </w:rPr>
      </w:pPr>
      <w:r>
        <w:rPr>
          <w:rFonts w:ascii="Times New Roman" w:eastAsia="仿宋_GB2312"/>
          <w:sz w:val="24"/>
          <w:szCs w:val="24"/>
        </w:rPr>
        <w:t>关于出入现场的权利的约定：</w:t>
      </w:r>
      <w:r>
        <w:rPr>
          <w:rFonts w:ascii="Times New Roman" w:eastAsia="仿宋_GB2312"/>
          <w:color w:val="000000"/>
          <w:sz w:val="24"/>
          <w:szCs w:val="24"/>
          <w:u w:val="single"/>
        </w:rPr>
        <w:t>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p>
    <w:p>
      <w:pPr>
        <w:spacing w:line="480" w:lineRule="exact"/>
        <w:rPr>
          <w:rFonts w:ascii="Times New Roman" w:eastAsia="仿宋_GB2312"/>
          <w:sz w:val="24"/>
          <w:szCs w:val="24"/>
        </w:rPr>
      </w:pPr>
      <w:r>
        <w:rPr>
          <w:rFonts w:ascii="Times New Roman" w:eastAsia="仿宋_GB2312"/>
          <w:color w:val="000000"/>
          <w:sz w:val="24"/>
          <w:szCs w:val="24"/>
          <w:u w:val="single"/>
        </w:rPr>
        <w:t>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sz w:val="24"/>
          <w:szCs w:val="24"/>
        </w:rPr>
        <w:t>。</w:t>
      </w:r>
    </w:p>
    <w:bookmarkEnd w:id="104"/>
    <w:bookmarkEnd w:id="105"/>
    <w:bookmarkEnd w:id="106"/>
    <w:bookmarkEnd w:id="107"/>
    <w:bookmarkEnd w:id="108"/>
    <w:p>
      <w:pPr>
        <w:spacing w:line="480" w:lineRule="exact"/>
        <w:ind w:firstLine="480" w:firstLineChars="200"/>
        <w:jc w:val="left"/>
        <w:outlineLvl w:val="0"/>
        <w:rPr>
          <w:rFonts w:ascii="Times New Roman" w:eastAsia="仿宋_GB2312"/>
          <w:sz w:val="24"/>
          <w:szCs w:val="24"/>
        </w:rPr>
      </w:pPr>
      <w:r>
        <w:rPr>
          <w:rFonts w:ascii="Times New Roman" w:eastAsia="仿宋_GB2312"/>
          <w:sz w:val="24"/>
          <w:szCs w:val="24"/>
        </w:rPr>
        <w:t>1</w:t>
      </w:r>
      <w:bookmarkStart w:id="109" w:name="_Toc303539101"/>
      <w:bookmarkStart w:id="110" w:name="_Toc304295522"/>
      <w:bookmarkStart w:id="111" w:name="_Toc312677987"/>
      <w:bookmarkStart w:id="112" w:name="_Toc318581156"/>
      <w:bookmarkStart w:id="113" w:name="_Toc300934944"/>
      <w:r>
        <w:rPr>
          <w:rFonts w:ascii="Times New Roman" w:eastAsia="仿宋_GB2312"/>
          <w:sz w:val="24"/>
          <w:szCs w:val="24"/>
        </w:rPr>
        <w:t>.10.3 场内交通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关于场外交通和场内交通的边界的约定：</w:t>
      </w:r>
      <w:r>
        <w:rPr>
          <w:rFonts w:ascii="Times New Roman" w:eastAsia="仿宋_GB2312"/>
          <w:color w:val="000000"/>
          <w:sz w:val="24"/>
          <w:szCs w:val="24"/>
          <w:u w:val="single"/>
        </w:rPr>
        <w:t>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关于发包人向承包人免费提供满足工程施工需要的场内道路和交通设施的约定：</w:t>
      </w:r>
      <w:r>
        <w:rPr>
          <w:rFonts w:ascii="Times New Roman" w:eastAsia="仿宋_GB2312"/>
          <w:color w:val="000000"/>
          <w:sz w:val="24"/>
          <w:szCs w:val="24"/>
          <w:u w:val="single"/>
        </w:rPr>
        <w:t> 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sz w:val="24"/>
          <w:szCs w:val="24"/>
        </w:rPr>
        <w:t>。</w:t>
      </w:r>
      <w:bookmarkEnd w:id="109"/>
      <w:bookmarkEnd w:id="110"/>
      <w:bookmarkEnd w:id="111"/>
      <w:bookmarkEnd w:id="112"/>
      <w:bookmarkEnd w:id="113"/>
      <w:r>
        <w:rPr>
          <w:rFonts w:ascii="Times New Roman" w:eastAsia="仿宋_GB2312"/>
          <w:sz w:val="24"/>
          <w:szCs w:val="24"/>
        </w:rPr>
        <w:t xml:space="preserve">  </w:t>
      </w:r>
      <w:bookmarkStart w:id="114" w:name="_Toc318581157"/>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1.10.4超大件和超重件的运输</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运输超大件或超重件所需的道路和桥梁临时加固改造费用和其他有关费用由</w:t>
      </w:r>
      <w:r>
        <w:rPr>
          <w:rFonts w:ascii="Times New Roman" w:eastAsia="仿宋_GB2312"/>
          <w:sz w:val="24"/>
          <w:szCs w:val="24"/>
          <w:u w:val="single"/>
        </w:rPr>
        <w:t xml:space="preserve">              </w:t>
      </w:r>
      <w:r>
        <w:rPr>
          <w:rFonts w:ascii="Times New Roman" w:eastAsia="仿宋_GB2312"/>
          <w:sz w:val="24"/>
          <w:szCs w:val="24"/>
        </w:rPr>
        <w:t>承担。</w:t>
      </w:r>
    </w:p>
    <w:bookmarkEnd w:id="114"/>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1.11 知识产权</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1.11.1关于发包人提供给承包人的图纸、发包人为实施工程自行编制或委托编制的技术规范以及反映发包人关于合同要求或其他类似性质的文件的著作权的归属：</w:t>
      </w:r>
      <w:r>
        <w:rPr>
          <w:rFonts w:ascii="Times New Roman" w:eastAsia="仿宋_GB2312"/>
          <w:color w:val="000000"/>
          <w:sz w:val="24"/>
          <w:szCs w:val="24"/>
          <w:u w:val="single"/>
        </w:rPr>
        <w:t>                     </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xml:space="preserve">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left="965" w:leftChars="284"/>
        <w:rPr>
          <w:rFonts w:ascii="Times New Roman" w:eastAsia="仿宋_GB2312"/>
          <w:color w:val="000000"/>
          <w:sz w:val="24"/>
          <w:szCs w:val="24"/>
        </w:rPr>
      </w:pPr>
      <w:r>
        <w:rPr>
          <w:rFonts w:ascii="Times New Roman" w:eastAsia="仿宋_GB2312"/>
          <w:color w:val="000000"/>
          <w:sz w:val="24"/>
          <w:szCs w:val="24"/>
        </w:rPr>
        <w:t>关于发包人提供的上述文件的使用限制的要求：</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outlineLvl w:val="0"/>
        <w:rPr>
          <w:rFonts w:ascii="Times New Roman" w:eastAsia="仿宋_GB2312"/>
          <w:color w:val="000000"/>
          <w:sz w:val="24"/>
          <w:szCs w:val="24"/>
        </w:rPr>
      </w:pPr>
      <w:r>
        <w:rPr>
          <w:rFonts w:ascii="Times New Roman" w:eastAsia="仿宋_GB2312"/>
          <w:color w:val="000000"/>
          <w:sz w:val="24"/>
          <w:szCs w:val="24"/>
        </w:rPr>
        <w:t>1.11.2 关于承包人为实施工程所编制文件的著作权的归属：</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xml:space="preserve">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u w:val="single"/>
        </w:rPr>
      </w:pPr>
      <w:r>
        <w:rPr>
          <w:rFonts w:hint="eastAsia" w:ascii="Times New Roman" w:eastAsia="仿宋_GB2312"/>
          <w:color w:val="000000"/>
          <w:sz w:val="24"/>
          <w:szCs w:val="24"/>
        </w:rPr>
        <w:t>1.11.3</w:t>
      </w:r>
      <w:r>
        <w:rPr>
          <w:rFonts w:ascii="Times New Roman" w:eastAsia="仿宋_GB2312"/>
          <w:color w:val="000000"/>
          <w:sz w:val="24"/>
          <w:szCs w:val="24"/>
        </w:rPr>
        <w:t>关于承包人提供的上述文件的使用限制的要求：</w:t>
      </w:r>
      <w:r>
        <w:rPr>
          <w:rFonts w:ascii="Times New Roman" w:eastAsia="仿宋_GB2312"/>
          <w:color w:val="000000"/>
          <w:sz w:val="24"/>
          <w:szCs w:val="24"/>
          <w:u w:val="single"/>
        </w:rPr>
        <w:t>   </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outlineLvl w:val="0"/>
        <w:rPr>
          <w:rFonts w:ascii="Times New Roman" w:eastAsia="仿宋_GB2312"/>
          <w:color w:val="000000"/>
          <w:sz w:val="24"/>
          <w:szCs w:val="24"/>
        </w:rPr>
      </w:pPr>
      <w:r>
        <w:rPr>
          <w:rFonts w:ascii="Times New Roman" w:eastAsia="仿宋_GB2312"/>
          <w:color w:val="000000"/>
          <w:sz w:val="24"/>
          <w:szCs w:val="24"/>
        </w:rPr>
        <w:t>1.11.4 承包人在施工过程中所采用的专利、专有技术、技术秘密的使用费的承担方式：</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1.13工程量清单错误的修正</w:t>
      </w:r>
    </w:p>
    <w:p>
      <w:pPr>
        <w:spacing w:line="480" w:lineRule="exact"/>
        <w:ind w:firstLine="480" w:firstLineChars="200"/>
        <w:rPr>
          <w:rFonts w:ascii="Times New Roman" w:eastAsia="仿宋_GB2312"/>
          <w:color w:val="000000"/>
          <w:sz w:val="24"/>
          <w:szCs w:val="24"/>
        </w:rPr>
      </w:pPr>
      <w:r>
        <w:rPr>
          <w:rFonts w:hint="eastAsia" w:ascii="Times New Roman" w:eastAsia="仿宋_GB2312"/>
          <w:color w:val="000000"/>
          <w:sz w:val="24"/>
          <w:szCs w:val="24"/>
        </w:rPr>
        <w:t>出现工程量清单错误时，是否调整合同价格：</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允许调整合同价格的工程量偏差范围：</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pStyle w:val="7"/>
        <w:spacing w:line="480" w:lineRule="exact"/>
        <w:rPr>
          <w:rFonts w:ascii="Times New Roman" w:hAnsi="Times New Roman" w:eastAsia="黑体"/>
          <w:b w:val="0"/>
          <w:color w:val="000000"/>
          <w:sz w:val="24"/>
          <w:szCs w:val="24"/>
        </w:rPr>
      </w:pPr>
      <w:bookmarkStart w:id="115" w:name="_Toc351203634"/>
      <w:r>
        <w:rPr>
          <w:rFonts w:ascii="Times New Roman" w:hAnsi="Times New Roman" w:eastAsia="黑体"/>
          <w:b w:val="0"/>
          <w:color w:val="000000"/>
          <w:sz w:val="24"/>
          <w:szCs w:val="24"/>
        </w:rPr>
        <w:t>2</w:t>
      </w:r>
      <w:bookmarkStart w:id="116" w:name="_Toc296891197"/>
      <w:bookmarkStart w:id="117" w:name="_Toc296346658"/>
      <w:bookmarkStart w:id="118" w:name="_Toc292559867"/>
      <w:bookmarkStart w:id="119" w:name="_Toc297048343"/>
      <w:bookmarkStart w:id="120" w:name="_Toc296503157"/>
      <w:bookmarkStart w:id="121" w:name="_Toc292559362"/>
      <w:bookmarkStart w:id="122" w:name="_Toc296890985"/>
      <w:bookmarkStart w:id="123" w:name="_Toc296347156"/>
      <w:bookmarkStart w:id="124" w:name="_Toc296944496"/>
      <w:bookmarkStart w:id="125" w:name="_Toc297120457"/>
      <w:r>
        <w:rPr>
          <w:rFonts w:ascii="Times New Roman" w:hAnsi="Times New Roman" w:eastAsia="黑体"/>
          <w:b w:val="0"/>
          <w:color w:val="000000"/>
          <w:sz w:val="24"/>
          <w:szCs w:val="24"/>
        </w:rPr>
        <w:t>. 发包人</w:t>
      </w:r>
      <w:bookmarkEnd w:id="115"/>
    </w:p>
    <w:bookmarkEnd w:id="116"/>
    <w:bookmarkEnd w:id="117"/>
    <w:bookmarkEnd w:id="118"/>
    <w:bookmarkEnd w:id="119"/>
    <w:bookmarkEnd w:id="120"/>
    <w:bookmarkEnd w:id="121"/>
    <w:bookmarkEnd w:id="122"/>
    <w:bookmarkEnd w:id="123"/>
    <w:bookmarkEnd w:id="124"/>
    <w:bookmarkEnd w:id="125"/>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2.2 发包人代表</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发包人代表：</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姓    名：</w:t>
      </w:r>
      <w:r>
        <w:rPr>
          <w:rFonts w:ascii="Times New Roman" w:eastAsia="仿宋_GB2312"/>
          <w:color w:val="000000"/>
          <w:sz w:val="24"/>
          <w:szCs w:val="24"/>
          <w:u w:val="single"/>
        </w:rPr>
        <w:t xml:space="preserve">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身份证号：</w:t>
      </w:r>
      <w:r>
        <w:rPr>
          <w:rFonts w:ascii="Times New Roman" w:eastAsia="仿宋_GB2312"/>
          <w:color w:val="000000"/>
          <w:sz w:val="24"/>
          <w:szCs w:val="24"/>
          <w:u w:val="single"/>
        </w:rPr>
        <w:t xml:space="preserve">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职    务：</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发包人对发包人代表的授权范围如下：</w:t>
      </w:r>
      <w:r>
        <w:rPr>
          <w:rFonts w:ascii="Times New Roman" w:eastAsia="仿宋_GB2312"/>
          <w:color w:val="000000"/>
          <w:sz w:val="24"/>
          <w:szCs w:val="24"/>
          <w:u w:val="single"/>
        </w:rPr>
        <w:t>     </w:t>
      </w:r>
    </w:p>
    <w:p>
      <w:pPr>
        <w:spacing w:line="480" w:lineRule="exact"/>
        <w:rPr>
          <w:rFonts w:ascii="Times New Roman" w:eastAsia="仿宋_GB2312"/>
          <w:b/>
          <w:color w:val="000000"/>
          <w:sz w:val="24"/>
          <w:szCs w:val="24"/>
        </w:rPr>
      </w:pP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2.4 施工现场、施工条件和基础资料的提供</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2.4.1 提供施工现场</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关于发包人移交施工现场的期限要求：</w:t>
      </w:r>
      <w:r>
        <w:rPr>
          <w:rFonts w:ascii="Times New Roman" w:eastAsia="仿宋_GB2312"/>
          <w:color w:val="000000"/>
          <w:sz w:val="24"/>
          <w:szCs w:val="24"/>
          <w:u w:val="single"/>
        </w:rPr>
        <w:t>             </w:t>
      </w:r>
      <w:r>
        <w:rPr>
          <w:rFonts w:ascii="Times New Roman" w:eastAsia="仿宋_GB2312"/>
          <w:color w:val="000000"/>
          <w:sz w:val="24"/>
          <w:szCs w:val="24"/>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2.4.2 提供施工条件</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关于发包人应负责提供施工</w:t>
      </w:r>
      <w:r>
        <w:rPr>
          <w:rFonts w:hint="eastAsia" w:ascii="Times New Roman" w:eastAsia="仿宋_GB2312"/>
          <w:color w:val="000000"/>
          <w:sz w:val="24"/>
          <w:szCs w:val="24"/>
        </w:rPr>
        <w:t>所需要的条件，</w:t>
      </w:r>
      <w:r>
        <w:rPr>
          <w:rFonts w:ascii="Times New Roman" w:eastAsia="仿宋_GB2312"/>
          <w:color w:val="000000"/>
          <w:sz w:val="24"/>
          <w:szCs w:val="24"/>
        </w:rPr>
        <w:t>包括：</w:t>
      </w:r>
      <w:r>
        <w:rPr>
          <w:rFonts w:ascii="Times New Roman" w:eastAsia="仿宋_GB2312"/>
          <w:color w:val="000000"/>
          <w:sz w:val="24"/>
          <w:szCs w:val="24"/>
          <w:u w:val="single"/>
        </w:rPr>
        <w:t xml:space="preserve">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2.5 资金来源证明及支付担保</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发包人提供资金来源证明的期限要求：</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发包人是否提供支付担保：</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发包人提供支付担保的形式：</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pStyle w:val="7"/>
        <w:spacing w:line="480" w:lineRule="exact"/>
        <w:rPr>
          <w:rFonts w:ascii="Times New Roman" w:hAnsi="Times New Roman" w:eastAsia="黑体"/>
          <w:b w:val="0"/>
          <w:color w:val="000000"/>
          <w:sz w:val="24"/>
          <w:szCs w:val="24"/>
        </w:rPr>
      </w:pPr>
      <w:bookmarkStart w:id="126" w:name="_Toc351203635"/>
      <w:r>
        <w:rPr>
          <w:rFonts w:ascii="Times New Roman" w:hAnsi="Times New Roman" w:eastAsia="黑体"/>
          <w:b w:val="0"/>
          <w:color w:val="000000"/>
          <w:sz w:val="24"/>
          <w:szCs w:val="24"/>
        </w:rPr>
        <w:t>3</w:t>
      </w:r>
      <w:bookmarkStart w:id="127" w:name="_Toc292559363"/>
      <w:bookmarkStart w:id="128" w:name="_Toc296890986"/>
      <w:bookmarkStart w:id="129" w:name="_Toc297048344"/>
      <w:bookmarkStart w:id="130" w:name="_Toc296347157"/>
      <w:bookmarkStart w:id="131" w:name="_Toc296346659"/>
      <w:bookmarkStart w:id="132" w:name="_Toc296944497"/>
      <w:bookmarkStart w:id="133" w:name="_Toc297120458"/>
      <w:bookmarkStart w:id="134" w:name="_Toc296891198"/>
      <w:bookmarkStart w:id="135" w:name="_Toc296503158"/>
      <w:bookmarkStart w:id="136" w:name="_Toc292559868"/>
      <w:r>
        <w:rPr>
          <w:rFonts w:ascii="Times New Roman" w:hAnsi="Times New Roman" w:eastAsia="黑体"/>
          <w:b w:val="0"/>
          <w:color w:val="000000"/>
          <w:sz w:val="24"/>
          <w:szCs w:val="24"/>
        </w:rPr>
        <w:t>. 承包人</w:t>
      </w:r>
      <w:bookmarkEnd w:id="126"/>
    </w:p>
    <w:bookmarkEnd w:id="127"/>
    <w:bookmarkEnd w:id="128"/>
    <w:bookmarkEnd w:id="129"/>
    <w:bookmarkEnd w:id="130"/>
    <w:bookmarkEnd w:id="131"/>
    <w:bookmarkEnd w:id="132"/>
    <w:bookmarkEnd w:id="133"/>
    <w:bookmarkEnd w:id="134"/>
    <w:bookmarkEnd w:id="135"/>
    <w:bookmarkEnd w:id="136"/>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3.1 承包人的一般义务</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w:t>
      </w:r>
      <w:r>
        <w:rPr>
          <w:rFonts w:hint="eastAsia" w:ascii="Times New Roman" w:eastAsia="仿宋_GB2312"/>
          <w:color w:val="000000"/>
          <w:sz w:val="24"/>
          <w:szCs w:val="24"/>
        </w:rPr>
        <w:t>9</w:t>
      </w:r>
      <w:r>
        <w:rPr>
          <w:rFonts w:ascii="Times New Roman" w:eastAsia="仿宋_GB2312"/>
          <w:color w:val="000000"/>
          <w:sz w:val="24"/>
          <w:szCs w:val="24"/>
        </w:rPr>
        <w:t>）承包人提交的竣工资料的内容：</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承包人需要提交的竣工资料套数：</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left="1033" w:leftChars="304"/>
        <w:jc w:val="left"/>
        <w:rPr>
          <w:rFonts w:ascii="Times New Roman" w:eastAsia="仿宋_GB2312"/>
          <w:color w:val="000000"/>
          <w:sz w:val="24"/>
          <w:szCs w:val="24"/>
        </w:rPr>
      </w:pPr>
      <w:r>
        <w:rPr>
          <w:rFonts w:ascii="Times New Roman" w:eastAsia="仿宋_GB2312"/>
          <w:color w:val="000000"/>
          <w:sz w:val="24"/>
          <w:szCs w:val="24"/>
        </w:rPr>
        <w:t>承包人提交的竣工资料的费用承担：</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left="1033" w:leftChars="304"/>
        <w:jc w:val="left"/>
        <w:rPr>
          <w:rFonts w:ascii="Times New Roman" w:eastAsia="仿宋_GB2312"/>
          <w:color w:val="000000"/>
          <w:sz w:val="24"/>
          <w:szCs w:val="24"/>
        </w:rPr>
      </w:pPr>
      <w:r>
        <w:rPr>
          <w:rFonts w:ascii="Times New Roman" w:eastAsia="仿宋_GB2312"/>
          <w:color w:val="000000"/>
          <w:sz w:val="24"/>
          <w:szCs w:val="24"/>
        </w:rPr>
        <w:t>承包人提交的竣工资料移交时间：</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承包人提交的竣工资料形式要求：</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w:t>
      </w:r>
      <w:r>
        <w:rPr>
          <w:rFonts w:hint="eastAsia" w:ascii="Times New Roman" w:eastAsia="仿宋_GB2312"/>
          <w:color w:val="000000"/>
          <w:sz w:val="24"/>
          <w:szCs w:val="24"/>
        </w:rPr>
        <w:t>10</w:t>
      </w:r>
      <w:r>
        <w:rPr>
          <w:rFonts w:ascii="Times New Roman" w:eastAsia="仿宋_GB2312"/>
          <w:color w:val="000000"/>
          <w:sz w:val="24"/>
          <w:szCs w:val="24"/>
        </w:rPr>
        <w:t>）承包人应履行的其他义务：</w:t>
      </w:r>
      <w:r>
        <w:rPr>
          <w:rFonts w:ascii="Times New Roman" w:eastAsia="仿宋_GB2312"/>
          <w:color w:val="000000"/>
          <w:sz w:val="24"/>
          <w:szCs w:val="24"/>
          <w:u w:val="single"/>
        </w:rPr>
        <w:t>             </w:t>
      </w:r>
      <w:r>
        <w:rPr>
          <w:rFonts w:ascii="Times New Roman" w:eastAsia="仿宋_GB2312"/>
          <w:color w:val="000000"/>
          <w:sz w:val="24"/>
          <w:szCs w:val="24"/>
        </w:rPr>
        <w:t xml:space="preserve">              </w:t>
      </w:r>
      <w:r>
        <w:rPr>
          <w:rFonts w:ascii="Times New Roman" w:eastAsia="仿宋_GB2312"/>
          <w:color w:val="000000"/>
          <w:sz w:val="24"/>
          <w:szCs w:val="24"/>
          <w:u w:val="single"/>
        </w:rPr>
        <w:t xml:space="preserve">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3.2 项目负责人</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3.2.1 项目负责人：</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姓    名：</w:t>
      </w:r>
      <w:r>
        <w:rPr>
          <w:rFonts w:ascii="Times New Roman" w:eastAsia="仿宋_GB2312"/>
          <w:color w:val="000000"/>
          <w:sz w:val="24"/>
          <w:szCs w:val="24"/>
          <w:u w:val="single"/>
        </w:rPr>
        <w:t>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身份证号：</w:t>
      </w:r>
      <w:r>
        <w:rPr>
          <w:rFonts w:ascii="Times New Roman" w:eastAsia="仿宋_GB2312"/>
          <w:color w:val="000000"/>
          <w:sz w:val="24"/>
          <w:szCs w:val="24"/>
          <w:u w:val="single"/>
        </w:rPr>
        <w:t>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建造师执业资格等级：</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建造师注册证书号：</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建造师执业印章号：</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安全生产考核合格证书号：</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承包人对项目负责人的授权范围如下：</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关于项目负责人每月在施工现场的时间要求：</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r>
        <w:rPr>
          <w:rFonts w:ascii="Times New Roman" w:eastAsia="仿宋_GB2312"/>
          <w:color w:val="000000"/>
          <w:sz w:val="24"/>
          <w:szCs w:val="24"/>
          <w:u w:val="single"/>
        </w:rPr>
        <w:t xml:space="preserve">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承包人未提交劳动合同，以及没有为项目负责人缴纳社会保险证明的违约责任：</w:t>
      </w:r>
      <w:r>
        <w:rPr>
          <w:rFonts w:ascii="Times New Roman" w:eastAsia="仿宋_GB2312"/>
          <w:color w:val="000000"/>
          <w:sz w:val="24"/>
          <w:szCs w:val="24"/>
          <w:u w:val="single"/>
        </w:rPr>
        <w:t xml:space="preserve">               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项目负责人未经批准，擅自离开施工现场的违约责任：</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 xml:space="preserve">     </w:t>
      </w:r>
      <w:r>
        <w:rPr>
          <w:rFonts w:ascii="Times New Roman" w:eastAsia="仿宋_GB2312"/>
          <w:color w:val="000000"/>
          <w:sz w:val="24"/>
          <w:szCs w:val="24"/>
          <w:u w:val="single"/>
        </w:rPr>
        <w:t xml:space="preserve">     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3.2.3 承包人擅自更换项目负责人的违约责任：</w:t>
      </w:r>
      <w:r>
        <w:rPr>
          <w:rFonts w:ascii="Times New Roman" w:eastAsia="仿宋_GB2312"/>
          <w:color w:val="000000"/>
          <w:sz w:val="24"/>
          <w:szCs w:val="24"/>
          <w:u w:val="single"/>
        </w:rPr>
        <w:t xml:space="preserve">              </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outlineLvl w:val="0"/>
        <w:rPr>
          <w:rFonts w:ascii="Times New Roman" w:eastAsia="仿宋_GB2312"/>
          <w:color w:val="000000"/>
          <w:sz w:val="24"/>
          <w:szCs w:val="24"/>
        </w:rPr>
      </w:pPr>
      <w:r>
        <w:rPr>
          <w:rFonts w:ascii="Times New Roman" w:eastAsia="仿宋_GB2312"/>
          <w:color w:val="000000"/>
          <w:sz w:val="24"/>
          <w:szCs w:val="24"/>
        </w:rPr>
        <w:t xml:space="preserve">    3.2.4 承包人无正当理由拒绝更换项目负责人的违约责任：</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r>
        <w:rPr>
          <w:rFonts w:ascii="Times New Roman" w:eastAsia="仿宋_GB2312"/>
          <w:color w:val="000000"/>
          <w:sz w:val="24"/>
          <w:szCs w:val="24"/>
          <w:u w:val="single"/>
        </w:rPr>
        <w:t xml:space="preserve">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after="120" w:line="480" w:lineRule="exact"/>
        <w:ind w:firstLine="480" w:firstLineChars="200"/>
        <w:rPr>
          <w:rFonts w:ascii="Times New Roman" w:eastAsia="黑体"/>
          <w:color w:val="000000"/>
          <w:sz w:val="24"/>
          <w:szCs w:val="24"/>
        </w:rPr>
      </w:pPr>
      <w:r>
        <w:rPr>
          <w:rFonts w:ascii="Times New Roman" w:eastAsia="黑体"/>
          <w:color w:val="000000"/>
          <w:sz w:val="24"/>
          <w:szCs w:val="24"/>
        </w:rPr>
        <w:t>3.3 承包人人员</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3.3.1 承包人提交项目管理机构及施工现场管理人员安排报告的期限：</w:t>
      </w:r>
      <w:r>
        <w:rPr>
          <w:rFonts w:ascii="Times New Roman" w:eastAsia="仿宋_GB2312"/>
          <w:color w:val="000000"/>
          <w:sz w:val="24"/>
          <w:szCs w:val="24"/>
          <w:u w:val="single"/>
        </w:rPr>
        <w:t xml:space="preserve">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3.3.3 承包人无正当理由拒绝撤换主要施工管理人员的违约责任：</w:t>
      </w:r>
      <w:r>
        <w:rPr>
          <w:rFonts w:ascii="Times New Roman" w:eastAsia="仿宋_GB2312"/>
          <w:color w:val="000000"/>
          <w:sz w:val="24"/>
          <w:szCs w:val="24"/>
          <w:u w:val="single"/>
        </w:rPr>
        <w:t xml:space="preserve">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 xml:space="preserve">3.3.4 承包人主要施工管理人员离开施工现场的批准要求：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3.3.5承包人擅自更换主要施工管理人员的违约责任：</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承包人主要施工管理人员擅自离开施工现场的违约责任：</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3</w:t>
      </w:r>
      <w:bookmarkStart w:id="137" w:name="_Toc303539102"/>
      <w:bookmarkStart w:id="138" w:name="_Toc296944498"/>
      <w:bookmarkStart w:id="139" w:name="_Toc304295523"/>
      <w:bookmarkStart w:id="140" w:name="_Toc297123492"/>
      <w:bookmarkStart w:id="141" w:name="_Toc312677988"/>
      <w:bookmarkStart w:id="142" w:name="_Toc300934945"/>
      <w:bookmarkStart w:id="143" w:name="_Toc296346660"/>
      <w:bookmarkStart w:id="144" w:name="_Toc297216151"/>
      <w:bookmarkStart w:id="145" w:name="_Toc296503159"/>
      <w:bookmarkStart w:id="146" w:name="_Toc296891199"/>
      <w:bookmarkStart w:id="147" w:name="_Toc292559869"/>
      <w:bookmarkStart w:id="148" w:name="_Toc292559364"/>
      <w:bookmarkStart w:id="149" w:name="_Toc297120459"/>
      <w:bookmarkStart w:id="150" w:name="_Toc296347158"/>
      <w:bookmarkStart w:id="151" w:name="_Toc296890987"/>
      <w:bookmarkStart w:id="152" w:name="_Toc297048345"/>
      <w:r>
        <w:rPr>
          <w:rFonts w:ascii="Times New Roman" w:eastAsia="黑体"/>
          <w:color w:val="000000"/>
          <w:sz w:val="24"/>
          <w:szCs w:val="24"/>
        </w:rPr>
        <w:t>.5 分包</w:t>
      </w:r>
    </w:p>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Pr>
        <w:spacing w:line="480" w:lineRule="exact"/>
        <w:ind w:firstLine="480" w:firstLineChars="200"/>
        <w:rPr>
          <w:rFonts w:ascii="Times New Roman" w:eastAsia="仿宋_GB2312"/>
          <w:sz w:val="24"/>
          <w:szCs w:val="24"/>
        </w:rPr>
      </w:pPr>
      <w:r>
        <w:rPr>
          <w:rFonts w:ascii="Times New Roman" w:eastAsia="仿宋_GB2312"/>
          <w:sz w:val="24"/>
          <w:szCs w:val="24"/>
        </w:rPr>
        <w:t>3</w:t>
      </w:r>
      <w:bookmarkStart w:id="153" w:name="_Toc297123493"/>
      <w:bookmarkStart w:id="154" w:name="_Toc296944499"/>
      <w:bookmarkStart w:id="155" w:name="_Toc296347159"/>
      <w:bookmarkStart w:id="156" w:name="_Toc297216152"/>
      <w:bookmarkStart w:id="157" w:name="_Toc292559870"/>
      <w:bookmarkStart w:id="158" w:name="_Toc296890988"/>
      <w:bookmarkStart w:id="159" w:name="_Toc297048346"/>
      <w:bookmarkStart w:id="160" w:name="_Toc296891200"/>
      <w:bookmarkStart w:id="161" w:name="_Toc304295524"/>
      <w:bookmarkStart w:id="162" w:name="_Toc300934946"/>
      <w:bookmarkStart w:id="163" w:name="_Toc292559365"/>
      <w:bookmarkStart w:id="164" w:name="_Toc296503160"/>
      <w:bookmarkStart w:id="165" w:name="_Toc296346661"/>
      <w:bookmarkStart w:id="166" w:name="_Toc297120460"/>
      <w:bookmarkStart w:id="167" w:name="_Toc303539103"/>
      <w:bookmarkStart w:id="168" w:name="_Toc312677989"/>
      <w:bookmarkStart w:id="169" w:name="_Toc318581158"/>
      <w:r>
        <w:rPr>
          <w:rFonts w:ascii="Times New Roman" w:eastAsia="仿宋_GB2312"/>
          <w:sz w:val="24"/>
          <w:szCs w:val="24"/>
        </w:rPr>
        <w:t>.5.1 分包的一般约定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禁止分包的工程包括：</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sz w:val="24"/>
          <w:szCs w:val="24"/>
        </w:rPr>
        <w:t>主体结构、关键性工作的范围：</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u w:val="single"/>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Start w:id="170" w:name="_Toc304295525"/>
      <w:bookmarkStart w:id="171" w:name="_Toc297048347"/>
      <w:bookmarkStart w:id="172" w:name="_Toc297123494"/>
      <w:bookmarkStart w:id="173" w:name="_Toc296944500"/>
      <w:bookmarkStart w:id="174" w:name="_Toc297216153"/>
      <w:bookmarkStart w:id="175" w:name="_Toc296890989"/>
      <w:bookmarkStart w:id="176" w:name="_Toc303539104"/>
      <w:bookmarkStart w:id="177" w:name="_Toc297120461"/>
      <w:bookmarkStart w:id="178" w:name="_Toc296891201"/>
      <w:bookmarkStart w:id="179" w:name="_Toc300934947"/>
      <w:bookmarkStart w:id="180" w:name="_Toc296503161"/>
      <w:bookmarkStart w:id="181" w:name="_Toc296346662"/>
      <w:bookmarkStart w:id="182" w:name="_Toc296347160"/>
    </w:p>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Pr>
        <w:spacing w:line="480" w:lineRule="exact"/>
        <w:rPr>
          <w:rFonts w:ascii="Times New Roman" w:eastAsia="仿宋_GB2312"/>
          <w:sz w:val="24"/>
          <w:szCs w:val="24"/>
        </w:rPr>
      </w:pPr>
      <w:r>
        <w:rPr>
          <w:rFonts w:ascii="Times New Roman" w:eastAsia="仿宋_GB2312"/>
          <w:sz w:val="24"/>
          <w:szCs w:val="24"/>
        </w:rPr>
        <w:t xml:space="preserve">    3</w:t>
      </w:r>
      <w:bookmarkStart w:id="183" w:name="_Toc318581159"/>
      <w:bookmarkStart w:id="184" w:name="_Toc312677990"/>
      <w:r>
        <w:rPr>
          <w:rFonts w:ascii="Times New Roman" w:eastAsia="仿宋_GB2312"/>
          <w:sz w:val="24"/>
          <w:szCs w:val="24"/>
        </w:rPr>
        <w:t>.5.2分包的确定</w:t>
      </w:r>
    </w:p>
    <w:p>
      <w:pPr>
        <w:spacing w:line="480" w:lineRule="exact"/>
        <w:ind w:firstLine="480" w:firstLineChars="200"/>
        <w:rPr>
          <w:rFonts w:ascii="Times New Roman" w:eastAsia="仿宋_GB2312"/>
          <w:color w:val="000000"/>
          <w:sz w:val="24"/>
          <w:szCs w:val="24"/>
          <w:u w:val="single"/>
        </w:rPr>
      </w:pPr>
      <w:r>
        <w:rPr>
          <w:rFonts w:ascii="Times New Roman" w:eastAsia="仿宋_GB2312"/>
          <w:sz w:val="24"/>
          <w:szCs w:val="24"/>
        </w:rPr>
        <w:t>允许分包的专业工程包括：</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其他关于分包的约定：</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rPr>
          <w:rFonts w:ascii="Times New Roman" w:eastAsia="仿宋_GB2312"/>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3.5.4 分包合同价款</w:t>
      </w:r>
    </w:p>
    <w:p>
      <w:pPr>
        <w:spacing w:line="480" w:lineRule="exact"/>
        <w:ind w:firstLine="480" w:firstLineChars="200"/>
        <w:rPr>
          <w:rFonts w:ascii="Times New Roman" w:eastAsia="仿宋_GB2312"/>
          <w:sz w:val="24"/>
          <w:szCs w:val="24"/>
        </w:rPr>
      </w:pPr>
      <w:r>
        <w:rPr>
          <w:rFonts w:ascii="Times New Roman" w:eastAsia="仿宋_GB2312"/>
          <w:sz w:val="24"/>
          <w:szCs w:val="24"/>
        </w:rPr>
        <w:t>关于分包合同价款支付的约定：</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bookmarkEnd w:id="183"/>
    <w:bookmarkEnd w:id="184"/>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3.6 工程照管与成品、半成品保护</w:t>
      </w:r>
    </w:p>
    <w:p>
      <w:pPr>
        <w:spacing w:before="120" w:after="120"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承包人负责照管工程及工程相关的材料、工程设备的起始时间：</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3.7 履约担保</w:t>
      </w:r>
    </w:p>
    <w:p>
      <w:pPr>
        <w:spacing w:line="480" w:lineRule="exact"/>
        <w:ind w:firstLine="480" w:firstLineChars="200"/>
        <w:jc w:val="left"/>
        <w:rPr>
          <w:rFonts w:ascii="Times New Roman" w:eastAsia="仿宋_GB2312"/>
          <w:color w:val="000000"/>
          <w:sz w:val="24"/>
          <w:szCs w:val="24"/>
        </w:rPr>
      </w:pPr>
      <w:r>
        <w:rPr>
          <w:rFonts w:hint="eastAsia" w:ascii="Times New Roman" w:eastAsia="仿宋_GB2312"/>
          <w:color w:val="000000"/>
          <w:sz w:val="24"/>
          <w:szCs w:val="24"/>
        </w:rPr>
        <w:t>承包人是否提供履约担保：</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承包人提供履约担保的形式</w:t>
      </w:r>
      <w:r>
        <w:rPr>
          <w:rFonts w:hint="eastAsia" w:ascii="Times New Roman" w:eastAsia="仿宋_GB2312"/>
          <w:color w:val="000000"/>
          <w:sz w:val="24"/>
          <w:szCs w:val="24"/>
        </w:rPr>
        <w:t>、金额及期限的</w:t>
      </w:r>
      <w:r>
        <w:rPr>
          <w:rFonts w:ascii="Times New Roman" w:eastAsia="仿宋_GB2312"/>
          <w:color w:val="000000"/>
          <w:sz w:val="24"/>
          <w:szCs w:val="24"/>
        </w:rPr>
        <w:t>：</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pStyle w:val="7"/>
        <w:spacing w:line="480" w:lineRule="exact"/>
        <w:rPr>
          <w:rFonts w:ascii="Times New Roman" w:hAnsi="Times New Roman" w:eastAsia="黑体"/>
          <w:b w:val="0"/>
          <w:color w:val="000000"/>
          <w:sz w:val="24"/>
          <w:szCs w:val="24"/>
        </w:rPr>
      </w:pPr>
      <w:bookmarkStart w:id="185" w:name="_Toc351203636"/>
      <w:r>
        <w:rPr>
          <w:rFonts w:ascii="Times New Roman" w:hAnsi="Times New Roman" w:eastAsia="黑体"/>
          <w:b w:val="0"/>
          <w:color w:val="000000"/>
          <w:sz w:val="24"/>
          <w:szCs w:val="24"/>
        </w:rPr>
        <w:t>4</w:t>
      </w:r>
      <w:bookmarkStart w:id="186" w:name="_Toc296944501"/>
      <w:bookmarkStart w:id="187" w:name="_Toc297048348"/>
      <w:bookmarkStart w:id="188" w:name="_Toc296891202"/>
      <w:bookmarkStart w:id="189" w:name="_Toc296347161"/>
      <w:bookmarkStart w:id="190" w:name="_Toc296503162"/>
      <w:bookmarkStart w:id="191" w:name="_Toc292559871"/>
      <w:bookmarkStart w:id="192" w:name="_Toc267251413"/>
      <w:bookmarkStart w:id="193" w:name="_Toc297120462"/>
      <w:bookmarkStart w:id="194" w:name="_Toc296890990"/>
      <w:bookmarkStart w:id="195" w:name="_Toc292559366"/>
      <w:bookmarkStart w:id="196" w:name="_Toc296346663"/>
      <w:r>
        <w:rPr>
          <w:rFonts w:ascii="Times New Roman" w:hAnsi="Times New Roman" w:eastAsia="黑体"/>
          <w:b w:val="0"/>
          <w:color w:val="000000"/>
          <w:sz w:val="24"/>
          <w:szCs w:val="24"/>
        </w:rPr>
        <w:t>. 监</w:t>
      </w:r>
      <w:bookmarkEnd w:id="186"/>
      <w:bookmarkEnd w:id="187"/>
      <w:bookmarkEnd w:id="188"/>
      <w:bookmarkEnd w:id="189"/>
      <w:bookmarkEnd w:id="190"/>
      <w:bookmarkEnd w:id="191"/>
      <w:bookmarkEnd w:id="192"/>
      <w:bookmarkEnd w:id="193"/>
      <w:bookmarkEnd w:id="194"/>
      <w:bookmarkEnd w:id="195"/>
      <w:bookmarkEnd w:id="196"/>
      <w:r>
        <w:rPr>
          <w:rFonts w:ascii="Times New Roman" w:hAnsi="Times New Roman" w:eastAsia="黑体"/>
          <w:b w:val="0"/>
          <w:color w:val="000000"/>
          <w:sz w:val="24"/>
          <w:szCs w:val="24"/>
        </w:rPr>
        <w:t>理人</w:t>
      </w:r>
      <w:bookmarkEnd w:id="185"/>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4.1监理人的一般规定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关于监理人的监理内容：</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关于监理人的监理权限：</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关于监理人在施工现场的办公场所、生活场所的提供和费用承担的约定：</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4.2 监理人员</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总监理工程师：</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姓    名：</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职    务：</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监理工程师执业资格证书号：</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关于监理人的其他约定：</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4.4 商定或确定</w:t>
      </w:r>
    </w:p>
    <w:p>
      <w:pPr>
        <w:spacing w:line="480" w:lineRule="exact"/>
        <w:ind w:firstLine="480" w:firstLineChars="200"/>
        <w:rPr>
          <w:rFonts w:ascii="Times New Roman" w:eastAsia="仿宋_GB2312"/>
          <w:color w:val="000000"/>
          <w:sz w:val="24"/>
          <w:szCs w:val="24"/>
        </w:rPr>
      </w:pPr>
      <w:bookmarkStart w:id="197" w:name="_Toc267251418"/>
      <w:r>
        <w:rPr>
          <w:rFonts w:ascii="Times New Roman" w:eastAsia="仿宋_GB2312"/>
          <w:color w:val="000000"/>
          <w:sz w:val="24"/>
          <w:szCs w:val="24"/>
        </w:rPr>
        <w:t>在发包人和承包人不能通过协商达成一致意见时，发包人授权监理人对以下事项进行确定：</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（3）</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pStyle w:val="7"/>
        <w:spacing w:line="480" w:lineRule="exact"/>
        <w:rPr>
          <w:rFonts w:ascii="Times New Roman" w:hAnsi="Times New Roman" w:eastAsia="黑体"/>
          <w:b w:val="0"/>
          <w:color w:val="000000"/>
          <w:sz w:val="24"/>
          <w:szCs w:val="24"/>
        </w:rPr>
      </w:pPr>
      <w:bookmarkStart w:id="198" w:name="_Toc351203637"/>
      <w:r>
        <w:rPr>
          <w:rFonts w:ascii="Times New Roman" w:hAnsi="Times New Roman" w:eastAsia="黑体"/>
          <w:b w:val="0"/>
          <w:color w:val="000000"/>
          <w:sz w:val="24"/>
          <w:szCs w:val="24"/>
        </w:rPr>
        <w:t>5</w:t>
      </w:r>
      <w:bookmarkEnd w:id="197"/>
      <w:bookmarkStart w:id="199" w:name="_Toc292559367"/>
      <w:bookmarkStart w:id="200" w:name="_Toc292559872"/>
      <w:bookmarkStart w:id="201" w:name="_Toc297120463"/>
      <w:bookmarkStart w:id="202" w:name="_Toc296891203"/>
      <w:bookmarkStart w:id="203" w:name="_Toc296346664"/>
      <w:bookmarkStart w:id="204" w:name="_Toc296890991"/>
      <w:bookmarkStart w:id="205" w:name="_Toc296503163"/>
      <w:bookmarkStart w:id="206" w:name="_Toc296944502"/>
      <w:bookmarkStart w:id="207" w:name="_Toc297048349"/>
      <w:bookmarkStart w:id="208" w:name="_Toc296347162"/>
      <w:r>
        <w:rPr>
          <w:rFonts w:ascii="Times New Roman" w:hAnsi="Times New Roman" w:eastAsia="黑体"/>
          <w:b w:val="0"/>
          <w:color w:val="000000"/>
          <w:sz w:val="24"/>
          <w:szCs w:val="24"/>
        </w:rPr>
        <w:t>. 工程质量</w:t>
      </w:r>
      <w:bookmarkEnd w:id="198"/>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5.1 质量要求</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5</w:t>
      </w:r>
      <w:bookmarkStart w:id="209" w:name="_Toc297216155"/>
      <w:bookmarkStart w:id="210" w:name="_Toc318581164"/>
      <w:bookmarkStart w:id="211" w:name="_Toc300934949"/>
      <w:bookmarkStart w:id="212" w:name="_Toc304295527"/>
      <w:bookmarkStart w:id="213" w:name="_Toc303539106"/>
      <w:bookmarkStart w:id="214" w:name="_Toc297123496"/>
      <w:bookmarkStart w:id="215" w:name="_Toc312677997"/>
      <w:r>
        <w:rPr>
          <w:rFonts w:ascii="Times New Roman" w:eastAsia="仿宋_GB2312"/>
          <w:sz w:val="24"/>
          <w:szCs w:val="24"/>
        </w:rPr>
        <w:t>.1.1 特殊质量标准和要求：</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p>
    <w:p>
      <w:pPr>
        <w:spacing w:line="480" w:lineRule="exact"/>
        <w:jc w:val="left"/>
        <w:rPr>
          <w:rFonts w:ascii="Times New Roman" w:eastAsia="仿宋_GB2312"/>
          <w:sz w:val="24"/>
          <w:szCs w:val="24"/>
        </w:rPr>
      </w:pP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关于工程奖项的约定：</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p>
    <w:p>
      <w:pPr>
        <w:spacing w:line="480" w:lineRule="exact"/>
        <w:jc w:val="left"/>
        <w:rPr>
          <w:rFonts w:ascii="Times New Roman" w:eastAsia="黑体"/>
          <w:color w:val="000000"/>
          <w:sz w:val="24"/>
          <w:szCs w:val="24"/>
        </w:rPr>
      </w:pP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5.3 隐蔽工程检查</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5.3.2承包人提前通知监理人隐蔽工程检查的期限的约定：</w:t>
      </w:r>
      <w:r>
        <w:rPr>
          <w:rFonts w:ascii="Times New Roman" w:eastAsia="仿宋_GB2312"/>
          <w:sz w:val="24"/>
          <w:szCs w:val="24"/>
          <w:u w:val="single"/>
        </w:rPr>
        <w:t xml:space="preserve">    </w:t>
      </w:r>
    </w:p>
    <w:p>
      <w:pPr>
        <w:spacing w:line="480" w:lineRule="exact"/>
        <w:jc w:val="left"/>
        <w:rPr>
          <w:rFonts w:ascii="Times New Roman" w:eastAsia="仿宋_GB2312"/>
          <w:sz w:val="24"/>
          <w:szCs w:val="24"/>
        </w:rPr>
      </w:pP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监理人不能按时进行检查时，应提前</w:t>
      </w:r>
      <w:r>
        <w:rPr>
          <w:rFonts w:ascii="Times New Roman" w:eastAsia="仿宋_GB2312"/>
          <w:sz w:val="24"/>
          <w:szCs w:val="24"/>
          <w:u w:val="single"/>
        </w:rPr>
        <w:t xml:space="preserve">       </w:t>
      </w:r>
      <w:r>
        <w:rPr>
          <w:rFonts w:ascii="Times New Roman" w:eastAsia="仿宋_GB2312"/>
          <w:sz w:val="24"/>
          <w:szCs w:val="24"/>
        </w:rPr>
        <w:t>小时提交书面延期要求。</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关于延期最长不得超过：</w:t>
      </w:r>
      <w:r>
        <w:rPr>
          <w:rFonts w:ascii="Times New Roman" w:eastAsia="仿宋_GB2312"/>
          <w:sz w:val="24"/>
          <w:szCs w:val="24"/>
          <w:u w:val="single"/>
        </w:rPr>
        <w:t xml:space="preserve">         </w:t>
      </w:r>
      <w:r>
        <w:rPr>
          <w:rFonts w:ascii="Times New Roman" w:eastAsia="仿宋_GB2312"/>
          <w:sz w:val="24"/>
          <w:szCs w:val="24"/>
        </w:rPr>
        <w:t>小时。</w:t>
      </w:r>
    </w:p>
    <w:p>
      <w:pPr>
        <w:pStyle w:val="7"/>
        <w:spacing w:line="480" w:lineRule="exact"/>
        <w:rPr>
          <w:rFonts w:ascii="Times New Roman" w:hAnsi="Times New Roman" w:eastAsia="黑体"/>
          <w:b w:val="0"/>
          <w:color w:val="000000"/>
          <w:sz w:val="24"/>
          <w:szCs w:val="24"/>
        </w:rPr>
      </w:pPr>
      <w:bookmarkStart w:id="216" w:name="_Toc351203638"/>
      <w:r>
        <w:rPr>
          <w:rFonts w:ascii="Times New Roman" w:hAnsi="Times New Roman" w:eastAsia="黑体"/>
          <w:b w:val="0"/>
          <w:color w:val="000000"/>
          <w:sz w:val="24"/>
          <w:szCs w:val="24"/>
        </w:rPr>
        <w:t>6. 安全文明施工与环境保护</w:t>
      </w:r>
      <w:bookmarkEnd w:id="216"/>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6.1安全文明施工</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6.1.1</w:t>
      </w:r>
      <w:r>
        <w:rPr>
          <w:rFonts w:ascii="Times New Roman" w:eastAsia="仿宋_GB2312"/>
          <w:color w:val="000000"/>
          <w:sz w:val="24"/>
          <w:szCs w:val="24"/>
        </w:rPr>
        <w:t xml:space="preserve"> 项目安全生产的达标目标及相应事项的约定：</w:t>
      </w:r>
      <w:r>
        <w:rPr>
          <w:rFonts w:ascii="Times New Roman" w:eastAsia="仿宋_GB2312"/>
          <w:sz w:val="24"/>
          <w:szCs w:val="24"/>
          <w:u w:val="single"/>
        </w:rPr>
        <w:t xml:space="preserve">         </w:t>
      </w:r>
    </w:p>
    <w:p>
      <w:pPr>
        <w:spacing w:line="480" w:lineRule="exact"/>
        <w:jc w:val="left"/>
        <w:rPr>
          <w:rFonts w:ascii="Times New Roman" w:eastAsia="仿宋_GB2312"/>
          <w:sz w:val="24"/>
          <w:szCs w:val="24"/>
        </w:rPr>
      </w:pP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6.1.4 关于治安保卫的特别约定：</w:t>
      </w:r>
      <w:r>
        <w:rPr>
          <w:rFonts w:ascii="Times New Roman" w:eastAsia="仿宋_GB2312"/>
          <w:sz w:val="24"/>
          <w:szCs w:val="24"/>
          <w:u w:val="single"/>
        </w:rPr>
        <w:t xml:space="preserve">                         </w:t>
      </w:r>
    </w:p>
    <w:p>
      <w:pPr>
        <w:spacing w:line="480" w:lineRule="exact"/>
        <w:jc w:val="left"/>
        <w:rPr>
          <w:rFonts w:ascii="Times New Roman" w:eastAsia="仿宋_GB2312"/>
          <w:sz w:val="24"/>
          <w:szCs w:val="24"/>
        </w:rPr>
      </w:pP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关于编制施工场地治安管理计划的约定：</w:t>
      </w:r>
      <w:r>
        <w:rPr>
          <w:rFonts w:ascii="Times New Roman" w:eastAsia="仿宋_GB2312"/>
          <w:sz w:val="24"/>
          <w:szCs w:val="24"/>
          <w:u w:val="single"/>
        </w:rPr>
        <w:t xml:space="preserve">                  </w:t>
      </w:r>
      <w:r>
        <w:rPr>
          <w:rFonts w:ascii="Times New Roman" w:eastAsia="仿宋_GB2312"/>
          <w:sz w:val="24"/>
          <w:szCs w:val="24"/>
          <w:u w:val="single"/>
        </w:rPr>
        <w:br w:type="textWrapping"/>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hint="eastAsia" w:ascii="Times New Roman" w:eastAsia="仿宋_GB2312"/>
          <w:sz w:val="24"/>
          <w:szCs w:val="24"/>
        </w:rPr>
        <w:t>6.1.5 文明施工</w:t>
      </w:r>
    </w:p>
    <w:p>
      <w:pPr>
        <w:spacing w:line="480" w:lineRule="exact"/>
        <w:ind w:firstLine="480" w:firstLineChars="200"/>
        <w:jc w:val="left"/>
        <w:rPr>
          <w:rFonts w:ascii="Times New Roman" w:eastAsia="仿宋_GB2312"/>
          <w:sz w:val="24"/>
          <w:szCs w:val="24"/>
          <w:u w:val="single"/>
        </w:rPr>
      </w:pPr>
      <w:r>
        <w:rPr>
          <w:rFonts w:hint="eastAsia" w:ascii="Times New Roman" w:eastAsia="仿宋_GB2312"/>
          <w:sz w:val="24"/>
          <w:szCs w:val="24"/>
        </w:rPr>
        <w:t>合同当事人对文明施工的要求：</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p>
    <w:p>
      <w:pPr>
        <w:spacing w:line="480" w:lineRule="exact"/>
        <w:jc w:val="left"/>
        <w:rPr>
          <w:rFonts w:ascii="Times New Roman" w:eastAsia="仿宋_GB2312"/>
          <w:sz w:val="24"/>
          <w:szCs w:val="24"/>
        </w:rPr>
      </w:pPr>
      <w:r>
        <w:rPr>
          <w:rFonts w:hint="eastAsia" w:ascii="Times New Roman" w:eastAsia="仿宋_GB2312"/>
          <w:sz w:val="24"/>
          <w:szCs w:val="24"/>
          <w:u w:val="single"/>
        </w:rPr>
        <w:t xml:space="preserve">                                                         </w:t>
      </w:r>
      <w:r>
        <w:rPr>
          <w:rFonts w:hint="eastAsia"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6.1.6 关于安全文明施工费支付比例和支付期限的约定：</w:t>
      </w:r>
      <w:r>
        <w:rPr>
          <w:rFonts w:ascii="Times New Roman" w:eastAsia="仿宋_GB2312"/>
          <w:sz w:val="24"/>
          <w:szCs w:val="24"/>
          <w:u w:val="single"/>
        </w:rPr>
        <w:t xml:space="preserve">     </w:t>
      </w:r>
    </w:p>
    <w:p>
      <w:pPr>
        <w:spacing w:line="480" w:lineRule="exact"/>
        <w:jc w:val="left"/>
        <w:rPr>
          <w:rFonts w:ascii="Times New Roman" w:eastAsia="仿宋_GB2312"/>
          <w:sz w:val="24"/>
          <w:szCs w:val="24"/>
        </w:rPr>
      </w:pP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bookmarkEnd w:id="209"/>
    <w:bookmarkEnd w:id="210"/>
    <w:bookmarkEnd w:id="211"/>
    <w:bookmarkEnd w:id="212"/>
    <w:bookmarkEnd w:id="213"/>
    <w:bookmarkEnd w:id="214"/>
    <w:bookmarkEnd w:id="215"/>
    <w:p>
      <w:pPr>
        <w:pStyle w:val="7"/>
        <w:spacing w:line="480" w:lineRule="exact"/>
        <w:rPr>
          <w:rFonts w:ascii="Times New Roman" w:hAnsi="Times New Roman" w:eastAsia="黑体"/>
          <w:b w:val="0"/>
          <w:color w:val="000000"/>
          <w:sz w:val="24"/>
          <w:szCs w:val="24"/>
        </w:rPr>
      </w:pPr>
      <w:bookmarkStart w:id="217" w:name="_Toc351203639"/>
      <w:r>
        <w:rPr>
          <w:rFonts w:ascii="Times New Roman" w:hAnsi="Times New Roman" w:eastAsia="黑体"/>
          <w:b w:val="0"/>
          <w:color w:val="000000"/>
          <w:sz w:val="24"/>
          <w:szCs w:val="24"/>
        </w:rPr>
        <w:t>7. 工期和进度</w:t>
      </w:r>
      <w:bookmarkEnd w:id="217"/>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7.1 施工组织设计</w:t>
      </w:r>
    </w:p>
    <w:p>
      <w:pPr>
        <w:autoSpaceDE w:val="0"/>
        <w:autoSpaceDN w:val="0"/>
        <w:adjustRightInd w:val="0"/>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7.1.</w:t>
      </w:r>
      <w:r>
        <w:rPr>
          <w:rFonts w:hint="eastAsia" w:ascii="Times New Roman" w:eastAsia="仿宋_GB2312"/>
          <w:sz w:val="24"/>
          <w:szCs w:val="24"/>
        </w:rPr>
        <w:t xml:space="preserve">1 </w:t>
      </w:r>
      <w:r>
        <w:rPr>
          <w:rFonts w:hint="eastAsia" w:ascii="Times New Roman" w:eastAsia="仿宋_GB2312"/>
          <w:color w:val="000000"/>
          <w:sz w:val="24"/>
          <w:szCs w:val="24"/>
        </w:rPr>
        <w:t>合同当事人约定的</w:t>
      </w:r>
      <w:r>
        <w:rPr>
          <w:rFonts w:ascii="Times New Roman" w:eastAsia="仿宋_GB2312"/>
          <w:color w:val="000000"/>
          <w:sz w:val="24"/>
          <w:szCs w:val="24"/>
        </w:rPr>
        <w:t>施工组织设计</w:t>
      </w:r>
      <w:r>
        <w:rPr>
          <w:rFonts w:hint="eastAsia" w:ascii="Times New Roman" w:eastAsia="仿宋_GB2312"/>
          <w:color w:val="000000"/>
          <w:sz w:val="24"/>
          <w:szCs w:val="24"/>
        </w:rPr>
        <w:t>应包括的其他内容</w:t>
      </w:r>
      <w:r>
        <w:rPr>
          <w:rFonts w:ascii="Times New Roman" w:eastAsia="仿宋_GB2312"/>
          <w:color w:val="000000"/>
          <w:sz w:val="24"/>
          <w:szCs w:val="24"/>
        </w:rPr>
        <w:t>：</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p>
    <w:p>
      <w:pPr>
        <w:autoSpaceDE w:val="0"/>
        <w:autoSpaceDN w:val="0"/>
        <w:adjustRightInd w:val="0"/>
        <w:spacing w:line="480" w:lineRule="exact"/>
        <w:jc w:val="left"/>
        <w:rPr>
          <w:rFonts w:ascii="Times New Roman" w:eastAsia="仿宋_GB2312"/>
          <w:color w:val="000000"/>
          <w:sz w:val="24"/>
          <w:szCs w:val="24"/>
        </w:rPr>
      </w:pP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sz w:val="24"/>
          <w:szCs w:val="24"/>
        </w:rPr>
        <w:t>7.1.2</w:t>
      </w:r>
      <w:r>
        <w:rPr>
          <w:rFonts w:ascii="Times New Roman" w:eastAsia="仿宋_GB2312"/>
          <w:color w:val="000000"/>
          <w:sz w:val="24"/>
          <w:szCs w:val="24"/>
        </w:rPr>
        <w:t xml:space="preserve"> 施工组织设计的提交和修改</w:t>
      </w:r>
    </w:p>
    <w:p>
      <w:pPr>
        <w:autoSpaceDE w:val="0"/>
        <w:autoSpaceDN w:val="0"/>
        <w:adjustRightInd w:val="0"/>
        <w:spacing w:line="480" w:lineRule="exact"/>
        <w:ind w:firstLine="480" w:firstLineChars="200"/>
        <w:jc w:val="left"/>
        <w:rPr>
          <w:rFonts w:ascii="Times New Roman" w:eastAsia="仿宋_GB2312"/>
          <w:sz w:val="24"/>
          <w:szCs w:val="24"/>
          <w:u w:val="single"/>
        </w:rPr>
      </w:pPr>
      <w:r>
        <w:rPr>
          <w:rFonts w:ascii="Times New Roman" w:eastAsia="仿宋_GB2312"/>
          <w:color w:val="000000"/>
          <w:sz w:val="24"/>
          <w:szCs w:val="24"/>
        </w:rPr>
        <w:t>承包人提交详细施工组织设计的期限的约定：</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p>
    <w:p>
      <w:pPr>
        <w:autoSpaceDE w:val="0"/>
        <w:autoSpaceDN w:val="0"/>
        <w:adjustRightInd w:val="0"/>
        <w:spacing w:line="480" w:lineRule="exact"/>
        <w:jc w:val="left"/>
        <w:rPr>
          <w:rFonts w:ascii="Times New Roman" w:eastAsia="仿宋_GB2312"/>
          <w:sz w:val="24"/>
          <w:szCs w:val="24"/>
        </w:rPr>
      </w:pP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发包人和监理人在收到</w:t>
      </w:r>
      <w:r>
        <w:rPr>
          <w:rFonts w:hint="eastAsia" w:ascii="Times New Roman" w:eastAsia="仿宋_GB2312"/>
          <w:color w:val="000000"/>
          <w:sz w:val="24"/>
          <w:szCs w:val="24"/>
        </w:rPr>
        <w:t>详细的施工组织设计</w:t>
      </w:r>
      <w:r>
        <w:rPr>
          <w:rFonts w:ascii="Times New Roman" w:eastAsia="仿宋_GB2312"/>
          <w:color w:val="000000"/>
          <w:sz w:val="24"/>
          <w:szCs w:val="24"/>
        </w:rPr>
        <w:t>后确认或提出修改意见的期限：</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w:t>
      </w:r>
      <w:bookmarkStart w:id="218" w:name="_Toc297216173"/>
      <w:bookmarkStart w:id="219" w:name="_Toc300934966"/>
      <w:bookmarkStart w:id="220" w:name="_Toc303539123"/>
      <w:bookmarkStart w:id="221" w:name="_Toc304295541"/>
      <w:bookmarkStart w:id="222" w:name="_Toc312678005"/>
      <w:bookmarkStart w:id="223" w:name="_Toc312677479"/>
      <w:bookmarkStart w:id="224" w:name="_Toc297123514"/>
      <w:r>
        <w:rPr>
          <w:rFonts w:ascii="Times New Roman" w:eastAsia="黑体"/>
          <w:color w:val="000000"/>
          <w:sz w:val="24"/>
          <w:szCs w:val="24"/>
        </w:rPr>
        <w:t>.2 施工进度计划</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7.2.2 施工进度计划的修订</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发包人和监理人在收到修订的施工进度计划后确认或提出修改意见的期限：</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7.3 开工</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7.3.1 开工准备</w:t>
      </w:r>
    </w:p>
    <w:p>
      <w:pPr>
        <w:spacing w:line="480" w:lineRule="exact"/>
        <w:ind w:firstLine="645"/>
        <w:jc w:val="left"/>
        <w:rPr>
          <w:rFonts w:ascii="Times New Roman" w:eastAsia="仿宋_GB2312"/>
          <w:sz w:val="24"/>
          <w:szCs w:val="24"/>
          <w:u w:val="single"/>
        </w:rPr>
      </w:pPr>
      <w:r>
        <w:rPr>
          <w:rFonts w:ascii="Times New Roman" w:eastAsia="仿宋_GB2312"/>
          <w:color w:val="000000"/>
          <w:sz w:val="24"/>
          <w:szCs w:val="24"/>
        </w:rPr>
        <w:t>关于承包人提交工程开工报审表的期限：</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645"/>
        <w:jc w:val="left"/>
        <w:rPr>
          <w:rFonts w:ascii="Times New Roman" w:eastAsia="仿宋_GB2312"/>
          <w:sz w:val="24"/>
          <w:szCs w:val="24"/>
          <w:u w:val="single"/>
        </w:rPr>
      </w:pPr>
      <w:r>
        <w:rPr>
          <w:rFonts w:ascii="Times New Roman" w:eastAsia="仿宋_GB2312"/>
          <w:color w:val="000000"/>
          <w:sz w:val="24"/>
          <w:szCs w:val="24"/>
        </w:rPr>
        <w:t>关于发包人应完成的其他开工准备工作及期限：</w:t>
      </w:r>
      <w:r>
        <w:rPr>
          <w:rFonts w:ascii="Times New Roman" w:eastAsia="仿宋_GB2312"/>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u w:val="single"/>
        </w:rPr>
      </w:pPr>
      <w:r>
        <w:rPr>
          <w:rFonts w:ascii="Times New Roman" w:eastAsia="仿宋_GB2312"/>
          <w:color w:val="000000"/>
          <w:sz w:val="24"/>
          <w:szCs w:val="24"/>
        </w:rPr>
        <w:t>关于承包人应完成的其他开工准备工作及期限：</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p>
    <w:p>
      <w:pPr>
        <w:spacing w:line="480" w:lineRule="exact"/>
        <w:jc w:val="left"/>
        <w:rPr>
          <w:rFonts w:ascii="Times New Roman" w:eastAsia="仿宋_GB2312"/>
          <w:sz w:val="24"/>
          <w:szCs w:val="24"/>
        </w:rPr>
      </w:pP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7.3.2开工通知</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因发包人原因造成监理人未能在计划开工日期之日起</w:t>
      </w:r>
      <w:r>
        <w:rPr>
          <w:rFonts w:ascii="Times New Roman" w:eastAsia="仿宋_GB2312"/>
          <w:sz w:val="24"/>
          <w:szCs w:val="24"/>
          <w:u w:val="single"/>
        </w:rPr>
        <w:t xml:space="preserve">     </w:t>
      </w:r>
      <w:r>
        <w:rPr>
          <w:rFonts w:ascii="Times New Roman" w:eastAsia="仿宋_GB2312"/>
          <w:color w:val="000000"/>
          <w:sz w:val="24"/>
          <w:szCs w:val="24"/>
        </w:rPr>
        <w:t>天内发出开工通知的，承包人有权提出价格调整要求，或者解除合同。</w:t>
      </w:r>
    </w:p>
    <w:bookmarkEnd w:id="218"/>
    <w:bookmarkEnd w:id="219"/>
    <w:bookmarkEnd w:id="220"/>
    <w:bookmarkEnd w:id="221"/>
    <w:bookmarkEnd w:id="222"/>
    <w:bookmarkEnd w:id="223"/>
    <w:bookmarkEnd w:id="224"/>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7.4 测量放线</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7.4.1发包人通过监理人向承包人提供测量基准点、基准线和水准点及其书面资料的期限：</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w:t>
      </w:r>
      <w:bookmarkStart w:id="225" w:name="_Toc312678010"/>
      <w:bookmarkStart w:id="226" w:name="_Toc297216175"/>
      <w:bookmarkStart w:id="227" w:name="_Toc297123516"/>
      <w:bookmarkStart w:id="228" w:name="_Toc300934968"/>
      <w:bookmarkStart w:id="229" w:name="_Toc312677484"/>
      <w:bookmarkStart w:id="230" w:name="_Toc303539125"/>
      <w:bookmarkStart w:id="231" w:name="_Toc304295546"/>
      <w:r>
        <w:rPr>
          <w:rFonts w:ascii="Times New Roman" w:eastAsia="黑体"/>
          <w:color w:val="000000"/>
          <w:sz w:val="24"/>
          <w:szCs w:val="24"/>
        </w:rPr>
        <w:t>.5 工期延误</w:t>
      </w:r>
    </w:p>
    <w:bookmarkEnd w:id="225"/>
    <w:bookmarkEnd w:id="226"/>
    <w:bookmarkEnd w:id="227"/>
    <w:bookmarkEnd w:id="228"/>
    <w:bookmarkEnd w:id="229"/>
    <w:bookmarkEnd w:id="230"/>
    <w:bookmarkEnd w:id="231"/>
    <w:p>
      <w:pPr>
        <w:spacing w:line="480" w:lineRule="exact"/>
        <w:ind w:firstLine="480" w:firstLineChars="200"/>
        <w:jc w:val="left"/>
        <w:rPr>
          <w:rFonts w:ascii="Times New Roman" w:eastAsia="仿宋_GB2312"/>
          <w:sz w:val="24"/>
          <w:szCs w:val="24"/>
        </w:rPr>
      </w:pPr>
      <w:r>
        <w:rPr>
          <w:rFonts w:ascii="Times New Roman" w:eastAsia="仿宋_GB2312"/>
          <w:sz w:val="24"/>
          <w:szCs w:val="24"/>
        </w:rPr>
        <w:t>7.5.1 因发包人原因导致工期延误</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（7）因发包人原因导致工期延误的其他情形：</w:t>
      </w:r>
      <w:r>
        <w:rPr>
          <w:rFonts w:ascii="Times New Roman" w:eastAsia="仿宋_GB2312"/>
          <w:sz w:val="24"/>
          <w:szCs w:val="24"/>
          <w:u w:val="single"/>
        </w:rPr>
        <w:t xml:space="preserve">              </w:t>
      </w:r>
    </w:p>
    <w:p>
      <w:pPr>
        <w:spacing w:line="480" w:lineRule="exact"/>
        <w:jc w:val="left"/>
        <w:rPr>
          <w:rFonts w:ascii="Times New Roman" w:eastAsia="仿宋_GB2312"/>
          <w:sz w:val="24"/>
          <w:szCs w:val="24"/>
        </w:rPr>
      </w:pP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7</w:t>
      </w:r>
      <w:bookmarkStart w:id="232" w:name="_Toc312677486"/>
      <w:bookmarkStart w:id="233" w:name="_Toc312678012"/>
      <w:bookmarkStart w:id="234" w:name="_Toc318581169"/>
      <w:bookmarkStart w:id="235" w:name="_Toc300934970"/>
      <w:bookmarkStart w:id="236" w:name="_Toc297123518"/>
      <w:bookmarkStart w:id="237" w:name="_Toc303539127"/>
      <w:bookmarkStart w:id="238" w:name="_Toc297216177"/>
      <w:bookmarkStart w:id="239" w:name="_Toc304295548"/>
      <w:r>
        <w:rPr>
          <w:rFonts w:ascii="Times New Roman" w:eastAsia="仿宋_GB2312"/>
          <w:sz w:val="24"/>
          <w:szCs w:val="24"/>
        </w:rPr>
        <w:t>.5.2 因承包人原因导致工期延误</w:t>
      </w:r>
    </w:p>
    <w:bookmarkEnd w:id="232"/>
    <w:bookmarkEnd w:id="233"/>
    <w:bookmarkEnd w:id="234"/>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因</w:t>
      </w:r>
      <w:bookmarkStart w:id="240" w:name="_Toc312678013"/>
      <w:bookmarkStart w:id="241" w:name="_Toc312677487"/>
      <w:bookmarkStart w:id="242" w:name="_Toc318581170"/>
      <w:r>
        <w:rPr>
          <w:rFonts w:ascii="Times New Roman" w:eastAsia="仿宋_GB2312"/>
          <w:sz w:val="24"/>
          <w:szCs w:val="24"/>
        </w:rPr>
        <w:t>承包人原因造成工期延误，逾期竣工违约金的计算方法为：</w:t>
      </w:r>
    </w:p>
    <w:p>
      <w:pPr>
        <w:spacing w:line="480" w:lineRule="exact"/>
        <w:jc w:val="left"/>
        <w:rPr>
          <w:rFonts w:ascii="Times New Roman" w:eastAsia="仿宋_GB2312"/>
          <w:sz w:val="24"/>
          <w:szCs w:val="24"/>
        </w:rPr>
      </w:pP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bookmarkEnd w:id="235"/>
      <w:bookmarkEnd w:id="236"/>
      <w:bookmarkEnd w:id="237"/>
      <w:bookmarkEnd w:id="238"/>
      <w:bookmarkEnd w:id="239"/>
      <w:bookmarkEnd w:id="240"/>
      <w:bookmarkEnd w:id="241"/>
    </w:p>
    <w:bookmarkEnd w:id="242"/>
    <w:p>
      <w:pPr>
        <w:spacing w:line="480" w:lineRule="exact"/>
        <w:ind w:firstLine="480" w:firstLineChars="200"/>
        <w:jc w:val="left"/>
        <w:rPr>
          <w:rFonts w:ascii="Times New Roman" w:eastAsia="仿宋_GB2312"/>
          <w:sz w:val="24"/>
          <w:szCs w:val="24"/>
        </w:rPr>
      </w:pPr>
      <w:r>
        <w:rPr>
          <w:rFonts w:ascii="Times New Roman" w:eastAsia="仿宋_GB2312"/>
          <w:sz w:val="24"/>
          <w:szCs w:val="24"/>
        </w:rPr>
        <w:t>因承包人原因造成工期延误，逾</w:t>
      </w:r>
      <w:bookmarkStart w:id="243" w:name="_Toc312678014"/>
      <w:bookmarkStart w:id="244" w:name="_Toc318581171"/>
      <w:r>
        <w:rPr>
          <w:rFonts w:ascii="Times New Roman" w:eastAsia="仿宋_GB2312"/>
          <w:sz w:val="24"/>
          <w:szCs w:val="24"/>
        </w:rPr>
        <w:t>期竣工违约金的上限：</w:t>
      </w:r>
      <w:r>
        <w:rPr>
          <w:rFonts w:ascii="Times New Roman" w:eastAsia="仿宋_GB2312"/>
          <w:sz w:val="24"/>
          <w:szCs w:val="24"/>
          <w:u w:val="single"/>
        </w:rPr>
        <w:t xml:space="preserve">       </w:t>
      </w:r>
    </w:p>
    <w:p>
      <w:pPr>
        <w:spacing w:line="480" w:lineRule="exact"/>
        <w:jc w:val="left"/>
        <w:rPr>
          <w:rFonts w:ascii="Times New Roman" w:eastAsia="仿宋_GB2312"/>
          <w:sz w:val="24"/>
          <w:szCs w:val="24"/>
        </w:rPr>
      </w:pP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bookmarkEnd w:id="243"/>
    <w:bookmarkEnd w:id="244"/>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w:t>
      </w:r>
      <w:bookmarkStart w:id="245" w:name="_Toc297216178"/>
      <w:bookmarkStart w:id="246" w:name="_Toc297123519"/>
      <w:bookmarkStart w:id="247" w:name="_Toc303539128"/>
      <w:bookmarkStart w:id="248" w:name="_Toc300934971"/>
      <w:bookmarkStart w:id="249" w:name="_Toc312678015"/>
      <w:bookmarkStart w:id="250" w:name="_Toc304295549"/>
      <w:r>
        <w:rPr>
          <w:rFonts w:ascii="Times New Roman" w:eastAsia="黑体"/>
          <w:color w:val="000000"/>
          <w:sz w:val="24"/>
          <w:szCs w:val="24"/>
        </w:rPr>
        <w:t>.6 不</w:t>
      </w:r>
      <w:bookmarkEnd w:id="245"/>
      <w:bookmarkEnd w:id="246"/>
      <w:bookmarkEnd w:id="247"/>
      <w:bookmarkEnd w:id="248"/>
      <w:bookmarkEnd w:id="249"/>
      <w:bookmarkEnd w:id="250"/>
      <w:r>
        <w:rPr>
          <w:rFonts w:ascii="Times New Roman" w:eastAsia="黑体"/>
          <w:color w:val="000000"/>
          <w:sz w:val="24"/>
          <w:szCs w:val="24"/>
        </w:rPr>
        <w:t>利物质条件</w:t>
      </w:r>
    </w:p>
    <w:p>
      <w:pPr>
        <w:spacing w:line="480" w:lineRule="exact"/>
        <w:ind w:firstLine="480" w:firstLineChars="200"/>
        <w:jc w:val="left"/>
        <w:rPr>
          <w:rFonts w:ascii="Times New Roman" w:eastAsia="仿宋_GB2312"/>
          <w:sz w:val="24"/>
          <w:szCs w:val="24"/>
          <w:u w:val="single"/>
        </w:rPr>
      </w:pPr>
      <w:bookmarkStart w:id="251" w:name="_Toc303539129"/>
      <w:bookmarkStart w:id="252" w:name="_Toc300934972"/>
      <w:bookmarkStart w:id="253" w:name="_Toc297123520"/>
      <w:bookmarkStart w:id="254" w:name="_Toc318581172"/>
      <w:bookmarkStart w:id="255" w:name="_Toc297216179"/>
      <w:bookmarkStart w:id="256" w:name="_Toc304295550"/>
      <w:bookmarkStart w:id="257" w:name="_Toc312678016"/>
      <w:r>
        <w:rPr>
          <w:rFonts w:ascii="Times New Roman" w:eastAsia="仿宋_GB2312"/>
          <w:sz w:val="24"/>
          <w:szCs w:val="24"/>
        </w:rPr>
        <w:t>不利物质条件的其他情形和有关约定：</w:t>
      </w:r>
      <w:r>
        <w:rPr>
          <w:rFonts w:ascii="Times New Roman" w:eastAsia="仿宋_GB2312"/>
          <w:sz w:val="24"/>
          <w:szCs w:val="24"/>
          <w:u w:val="single"/>
        </w:rPr>
        <w:t xml:space="preserve">                    </w:t>
      </w:r>
    </w:p>
    <w:p>
      <w:pPr>
        <w:spacing w:line="480" w:lineRule="exact"/>
        <w:jc w:val="left"/>
        <w:rPr>
          <w:rFonts w:ascii="Times New Roman" w:eastAsia="仿宋_GB2312"/>
          <w:sz w:val="24"/>
          <w:szCs w:val="24"/>
        </w:rPr>
      </w:pP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bookmarkEnd w:id="251"/>
    <w:bookmarkEnd w:id="252"/>
    <w:bookmarkEnd w:id="253"/>
    <w:bookmarkEnd w:id="254"/>
    <w:bookmarkEnd w:id="255"/>
    <w:bookmarkEnd w:id="256"/>
    <w:bookmarkEnd w:id="257"/>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w:t>
      </w:r>
      <w:bookmarkStart w:id="258" w:name="_Toc304295551"/>
      <w:bookmarkStart w:id="259" w:name="_Toc300934973"/>
      <w:bookmarkStart w:id="260" w:name="_Toc297123521"/>
      <w:bookmarkStart w:id="261" w:name="_Toc312678017"/>
      <w:bookmarkStart w:id="262" w:name="_Toc303539130"/>
      <w:bookmarkStart w:id="263" w:name="_Toc297216180"/>
      <w:r>
        <w:rPr>
          <w:rFonts w:ascii="Times New Roman" w:eastAsia="黑体"/>
          <w:color w:val="000000"/>
          <w:sz w:val="24"/>
          <w:szCs w:val="24"/>
        </w:rPr>
        <w:t>.7异常恶劣的气候条件</w:t>
      </w:r>
    </w:p>
    <w:bookmarkEnd w:id="258"/>
    <w:bookmarkEnd w:id="259"/>
    <w:bookmarkEnd w:id="260"/>
    <w:bookmarkEnd w:id="261"/>
    <w:bookmarkEnd w:id="262"/>
    <w:bookmarkEnd w:id="263"/>
    <w:p>
      <w:pPr>
        <w:spacing w:line="480" w:lineRule="exact"/>
        <w:ind w:firstLine="480" w:firstLineChars="200"/>
        <w:jc w:val="left"/>
        <w:rPr>
          <w:rFonts w:ascii="Times New Roman" w:eastAsia="仿宋_GB2312"/>
          <w:sz w:val="24"/>
          <w:szCs w:val="24"/>
        </w:rPr>
      </w:pPr>
      <w:r>
        <w:rPr>
          <w:rFonts w:ascii="Times New Roman" w:eastAsia="仿宋_GB2312"/>
          <w:sz w:val="24"/>
          <w:szCs w:val="24"/>
        </w:rPr>
        <w:t>发包人和承包人同意以下情形视为异常恶劣的气候条件：</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（2）</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（3）</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7.9 提前竣工的奖励</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7.9.2提前竣工的奖励：</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p>
      <w:pPr>
        <w:pStyle w:val="7"/>
        <w:spacing w:line="480" w:lineRule="exact"/>
        <w:rPr>
          <w:rFonts w:ascii="Times New Roman" w:hAnsi="Times New Roman" w:eastAsia="黑体"/>
          <w:b w:val="0"/>
          <w:color w:val="000000"/>
          <w:sz w:val="24"/>
          <w:szCs w:val="24"/>
        </w:rPr>
      </w:pPr>
      <w:bookmarkStart w:id="264" w:name="_Toc351203640"/>
      <w:r>
        <w:rPr>
          <w:rFonts w:ascii="Times New Roman" w:hAnsi="Times New Roman" w:eastAsia="黑体"/>
          <w:b w:val="0"/>
          <w:color w:val="000000"/>
          <w:sz w:val="24"/>
          <w:szCs w:val="24"/>
        </w:rPr>
        <w:t>8. 材料与设备</w:t>
      </w:r>
      <w:bookmarkEnd w:id="264"/>
    </w:p>
    <w:bookmarkEnd w:id="199"/>
    <w:bookmarkEnd w:id="200"/>
    <w:bookmarkEnd w:id="201"/>
    <w:bookmarkEnd w:id="202"/>
    <w:bookmarkEnd w:id="203"/>
    <w:bookmarkEnd w:id="204"/>
    <w:bookmarkEnd w:id="205"/>
    <w:bookmarkEnd w:id="206"/>
    <w:bookmarkEnd w:id="207"/>
    <w:bookmarkEnd w:id="208"/>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8</w:t>
      </w:r>
      <w:bookmarkStart w:id="265" w:name="_Toc292559372"/>
      <w:bookmarkStart w:id="266" w:name="_Toc303539136"/>
      <w:bookmarkStart w:id="267" w:name="_Toc304295556"/>
      <w:bookmarkStart w:id="268" w:name="_Toc312678019"/>
      <w:bookmarkStart w:id="269" w:name="_Toc297123527"/>
      <w:bookmarkStart w:id="270" w:name="_Toc280868654"/>
      <w:bookmarkStart w:id="271" w:name="_Toc296346668"/>
      <w:bookmarkStart w:id="272" w:name="_Toc296891207"/>
      <w:bookmarkStart w:id="273" w:name="_Toc296347166"/>
      <w:bookmarkStart w:id="274" w:name="_Toc297120467"/>
      <w:bookmarkStart w:id="275" w:name="_Toc296944506"/>
      <w:bookmarkStart w:id="276" w:name="_Toc296503167"/>
      <w:bookmarkStart w:id="277" w:name="_Toc297216186"/>
      <w:bookmarkStart w:id="278" w:name="_Toc296890995"/>
      <w:bookmarkStart w:id="279" w:name="_Toc300934979"/>
      <w:bookmarkStart w:id="280" w:name="_Toc312677493"/>
      <w:bookmarkStart w:id="281" w:name="_Toc297048353"/>
      <w:bookmarkStart w:id="282" w:name="_Toc292559877"/>
      <w:bookmarkStart w:id="283" w:name="_Toc280868656"/>
      <w:bookmarkStart w:id="284" w:name="_Toc280868655"/>
      <w:bookmarkStart w:id="285" w:name="_Toc267251424"/>
      <w:r>
        <w:rPr>
          <w:rFonts w:ascii="Times New Roman" w:eastAsia="黑体"/>
          <w:color w:val="000000"/>
          <w:sz w:val="24"/>
          <w:szCs w:val="24"/>
        </w:rPr>
        <w:t>.4材料与工程设备的保管与使用</w:t>
      </w:r>
    </w:p>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8</w:t>
      </w:r>
      <w:bookmarkStart w:id="286" w:name="_Toc292559373"/>
      <w:bookmarkStart w:id="287" w:name="_Toc292559878"/>
      <w:bookmarkStart w:id="288" w:name="_Toc297216187"/>
      <w:bookmarkStart w:id="289" w:name="_Toc303539137"/>
      <w:bookmarkStart w:id="290" w:name="_Toc312678020"/>
      <w:bookmarkStart w:id="291" w:name="_Toc297120468"/>
      <w:bookmarkStart w:id="292" w:name="_Toc296346669"/>
      <w:bookmarkStart w:id="293" w:name="_Toc297123528"/>
      <w:bookmarkStart w:id="294" w:name="_Toc318581173"/>
      <w:bookmarkStart w:id="295" w:name="_Toc296944507"/>
      <w:bookmarkStart w:id="296" w:name="_Toc296891208"/>
      <w:bookmarkStart w:id="297" w:name="_Toc312677494"/>
      <w:bookmarkStart w:id="298" w:name="_Toc304295557"/>
      <w:bookmarkStart w:id="299" w:name="_Toc296503168"/>
      <w:bookmarkStart w:id="300" w:name="_Toc297048354"/>
      <w:bookmarkStart w:id="301" w:name="_Toc296890996"/>
      <w:bookmarkStart w:id="302" w:name="_Toc300934980"/>
      <w:bookmarkStart w:id="303" w:name="_Toc296347167"/>
      <w:r>
        <w:rPr>
          <w:rFonts w:ascii="Times New Roman" w:eastAsia="仿宋_GB2312"/>
          <w:sz w:val="24"/>
          <w:szCs w:val="24"/>
        </w:rPr>
        <w:t>.4.1发包人供应的材料设备的保管费用的承担：</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p>
    <w:p>
      <w:pPr>
        <w:spacing w:line="480" w:lineRule="exact"/>
        <w:jc w:val="left"/>
        <w:rPr>
          <w:rFonts w:ascii="Times New Roman" w:eastAsia="仿宋_GB2312"/>
          <w:sz w:val="24"/>
          <w:szCs w:val="24"/>
        </w:rPr>
      </w:pP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bookmarkEnd w:id="286"/>
      <w:bookmarkEnd w:id="287"/>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8.6 样品</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8.6.1</w:t>
      </w:r>
      <w:r>
        <w:rPr>
          <w:rFonts w:ascii="Times New Roman" w:eastAsia="仿宋_GB2312"/>
          <w:color w:val="000000"/>
          <w:sz w:val="24"/>
          <w:szCs w:val="24"/>
        </w:rPr>
        <w:tab/>
      </w:r>
      <w:r>
        <w:rPr>
          <w:rFonts w:ascii="Times New Roman" w:eastAsia="仿宋_GB2312"/>
          <w:color w:val="000000"/>
          <w:sz w:val="24"/>
          <w:szCs w:val="24"/>
        </w:rPr>
        <w:t>样品的报送</w:t>
      </w:r>
      <w:r>
        <w:rPr>
          <w:rFonts w:hint="eastAsia" w:ascii="Times New Roman" w:eastAsia="仿宋_GB2312"/>
          <w:color w:val="000000"/>
          <w:sz w:val="24"/>
          <w:szCs w:val="24"/>
        </w:rPr>
        <w:t>与封存</w:t>
      </w:r>
    </w:p>
    <w:p>
      <w:pPr>
        <w:autoSpaceDE w:val="0"/>
        <w:autoSpaceDN w:val="0"/>
        <w:adjustRightInd w:val="0"/>
        <w:spacing w:line="480" w:lineRule="exact"/>
        <w:ind w:firstLine="480" w:firstLineChars="200"/>
        <w:jc w:val="left"/>
        <w:rPr>
          <w:rFonts w:ascii="Times New Roman" w:eastAsia="仿宋_GB2312"/>
          <w:sz w:val="24"/>
          <w:szCs w:val="24"/>
          <w:u w:val="single"/>
        </w:rPr>
      </w:pPr>
      <w:r>
        <w:rPr>
          <w:rFonts w:ascii="Times New Roman" w:eastAsia="仿宋_GB2312"/>
          <w:color w:val="000000"/>
          <w:sz w:val="24"/>
          <w:szCs w:val="24"/>
        </w:rPr>
        <w:t>需要承包人报送样品的材料或工程设备，样品的种类、名称、规格、数量要求：</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p>
    <w:p>
      <w:pPr>
        <w:autoSpaceDE w:val="0"/>
        <w:autoSpaceDN w:val="0"/>
        <w:adjustRightInd w:val="0"/>
        <w:spacing w:line="480" w:lineRule="exact"/>
        <w:jc w:val="left"/>
        <w:rPr>
          <w:rFonts w:ascii="Times New Roman" w:eastAsia="仿宋_GB2312"/>
          <w:sz w:val="24"/>
          <w:szCs w:val="24"/>
        </w:rPr>
      </w:pP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8.8 施工设备和临时设施</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8.8.1 承包人提供的施工设备和临时设施</w:t>
      </w:r>
    </w:p>
    <w:p>
      <w:pPr>
        <w:autoSpaceDE w:val="0"/>
        <w:autoSpaceDN w:val="0"/>
        <w:adjustRightInd w:val="0"/>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关于修建临时设施费用承担的约定：</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p>
    <w:p>
      <w:pPr>
        <w:autoSpaceDE w:val="0"/>
        <w:autoSpaceDN w:val="0"/>
        <w:adjustRightInd w:val="0"/>
        <w:spacing w:line="480" w:lineRule="exact"/>
        <w:jc w:val="left"/>
        <w:rPr>
          <w:rFonts w:ascii="Times New Roman" w:eastAsia="仿宋_GB2312"/>
          <w:sz w:val="24"/>
          <w:szCs w:val="24"/>
        </w:rPr>
      </w:pP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Pr>
        <w:pStyle w:val="7"/>
        <w:spacing w:line="480" w:lineRule="exact"/>
        <w:rPr>
          <w:rFonts w:ascii="Times New Roman" w:hAnsi="Times New Roman" w:eastAsia="黑体"/>
          <w:b w:val="0"/>
          <w:color w:val="000000"/>
          <w:sz w:val="24"/>
          <w:szCs w:val="24"/>
        </w:rPr>
      </w:pPr>
      <w:bookmarkStart w:id="304" w:name="_Toc351203641"/>
      <w:r>
        <w:rPr>
          <w:rFonts w:ascii="Times New Roman" w:hAnsi="Times New Roman" w:eastAsia="黑体"/>
          <w:b w:val="0"/>
          <w:color w:val="000000"/>
          <w:sz w:val="24"/>
          <w:szCs w:val="24"/>
        </w:rPr>
        <w:t>9</w:t>
      </w:r>
      <w:bookmarkEnd w:id="283"/>
      <w:bookmarkEnd w:id="284"/>
      <w:bookmarkEnd w:id="285"/>
      <w:bookmarkStart w:id="305" w:name="_Toc303539139"/>
      <w:bookmarkStart w:id="306" w:name="_Toc297216192"/>
      <w:bookmarkStart w:id="307" w:name="_Toc312677495"/>
      <w:bookmarkStart w:id="308" w:name="_Toc304295559"/>
      <w:bookmarkStart w:id="309" w:name="_Toc300934982"/>
      <w:bookmarkStart w:id="310" w:name="_Toc297123533"/>
      <w:bookmarkStart w:id="311" w:name="_Toc312678021"/>
      <w:bookmarkStart w:id="312" w:name="_Toc267251427"/>
      <w:bookmarkStart w:id="313" w:name="_Toc297120473"/>
      <w:bookmarkStart w:id="314" w:name="_Toc267251428"/>
      <w:bookmarkStart w:id="315" w:name="_Toc292559378"/>
      <w:bookmarkStart w:id="316" w:name="_Toc296346674"/>
      <w:bookmarkStart w:id="317" w:name="_Toc296891001"/>
      <w:bookmarkStart w:id="318" w:name="_Toc296944512"/>
      <w:bookmarkStart w:id="319" w:name="_Toc296347172"/>
      <w:bookmarkStart w:id="320" w:name="_Toc292559883"/>
      <w:bookmarkStart w:id="321" w:name="_Toc297048359"/>
      <w:bookmarkStart w:id="322" w:name="_Toc296503173"/>
      <w:bookmarkStart w:id="323" w:name="_Toc296891213"/>
      <w:r>
        <w:rPr>
          <w:rFonts w:ascii="Times New Roman" w:hAnsi="Times New Roman" w:eastAsia="黑体"/>
          <w:b w:val="0"/>
          <w:color w:val="000000"/>
          <w:sz w:val="24"/>
          <w:szCs w:val="24"/>
        </w:rPr>
        <w:t>. 试验与检验</w:t>
      </w:r>
      <w:bookmarkEnd w:id="304"/>
    </w:p>
    <w:bookmarkEnd w:id="305"/>
    <w:bookmarkEnd w:id="306"/>
    <w:bookmarkEnd w:id="307"/>
    <w:bookmarkEnd w:id="308"/>
    <w:bookmarkEnd w:id="309"/>
    <w:bookmarkEnd w:id="310"/>
    <w:bookmarkEnd w:id="311"/>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9</w:t>
      </w:r>
      <w:bookmarkStart w:id="324" w:name="_Toc297216193"/>
      <w:bookmarkStart w:id="325" w:name="_Toc303539140"/>
      <w:bookmarkStart w:id="326" w:name="_Toc297123534"/>
      <w:bookmarkStart w:id="327" w:name="_Toc312678022"/>
      <w:bookmarkStart w:id="328" w:name="_Toc312677496"/>
      <w:bookmarkStart w:id="329" w:name="_Toc304295560"/>
      <w:bookmarkStart w:id="330" w:name="_Toc300934983"/>
      <w:r>
        <w:rPr>
          <w:rFonts w:ascii="Times New Roman" w:eastAsia="黑体"/>
          <w:color w:val="000000"/>
          <w:sz w:val="24"/>
          <w:szCs w:val="24"/>
        </w:rPr>
        <w:t>.1试验设备与试验人员</w:t>
      </w:r>
    </w:p>
    <w:bookmarkEnd w:id="324"/>
    <w:bookmarkEnd w:id="325"/>
    <w:bookmarkEnd w:id="326"/>
    <w:bookmarkEnd w:id="327"/>
    <w:bookmarkEnd w:id="328"/>
    <w:bookmarkEnd w:id="329"/>
    <w:bookmarkEnd w:id="330"/>
    <w:p>
      <w:pPr>
        <w:spacing w:line="480" w:lineRule="exact"/>
        <w:ind w:firstLine="480" w:firstLineChars="200"/>
        <w:jc w:val="left"/>
        <w:rPr>
          <w:rFonts w:ascii="Times New Roman" w:eastAsia="仿宋_GB2312"/>
          <w:sz w:val="24"/>
          <w:szCs w:val="24"/>
        </w:rPr>
      </w:pPr>
      <w:r>
        <w:rPr>
          <w:rFonts w:ascii="Times New Roman" w:eastAsia="仿宋_GB2312"/>
          <w:sz w:val="24"/>
          <w:szCs w:val="24"/>
        </w:rPr>
        <w:t>9</w:t>
      </w:r>
      <w:bookmarkStart w:id="331" w:name="_Toc303539141"/>
      <w:bookmarkStart w:id="332" w:name="_Toc304295561"/>
      <w:bookmarkStart w:id="333" w:name="_Toc312678023"/>
      <w:bookmarkStart w:id="334" w:name="_Toc300934984"/>
      <w:bookmarkStart w:id="335" w:name="_Toc297123535"/>
      <w:bookmarkStart w:id="336" w:name="_Toc297216194"/>
      <w:bookmarkStart w:id="337" w:name="_Toc312677497"/>
      <w:bookmarkStart w:id="338" w:name="_Toc318581174"/>
      <w:r>
        <w:rPr>
          <w:rFonts w:ascii="Times New Roman" w:eastAsia="仿宋_GB2312"/>
          <w:sz w:val="24"/>
          <w:szCs w:val="24"/>
        </w:rPr>
        <w:t>.1.2 试验设备</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施工现场需要配置的试验场所：</w:t>
      </w:r>
      <w:bookmarkEnd w:id="331"/>
      <w:bookmarkEnd w:id="332"/>
      <w:bookmarkEnd w:id="333"/>
      <w:bookmarkEnd w:id="334"/>
      <w:bookmarkEnd w:id="335"/>
      <w:bookmarkEnd w:id="336"/>
      <w:bookmarkEnd w:id="337"/>
      <w:bookmarkStart w:id="339" w:name="_Toc312678024"/>
      <w:bookmarkStart w:id="340" w:name="_Toc303539142"/>
      <w:bookmarkStart w:id="341" w:name="_Toc297216195"/>
      <w:bookmarkStart w:id="342" w:name="_Toc304295562"/>
      <w:bookmarkStart w:id="343" w:name="_Toc297123536"/>
      <w:bookmarkStart w:id="344" w:name="_Toc300934985"/>
      <w:bookmarkStart w:id="345" w:name="_Toc312677498"/>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p>
    <w:p>
      <w:pPr>
        <w:spacing w:line="480" w:lineRule="exact"/>
        <w:jc w:val="left"/>
        <w:rPr>
          <w:rFonts w:ascii="Times New Roman" w:eastAsia="仿宋_GB2312"/>
          <w:sz w:val="24"/>
          <w:szCs w:val="24"/>
        </w:rPr>
      </w:pP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r>
        <w:rPr>
          <w:rFonts w:hint="eastAsia" w:ascii="Times New Roman" w:eastAsia="仿宋_GB2312"/>
          <w:sz w:val="24"/>
          <w:szCs w:val="24"/>
        </w:rPr>
        <w:t xml:space="preserve"> </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施工现场需要配备的试验设备：</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p>
    <w:p>
      <w:pPr>
        <w:spacing w:line="480" w:lineRule="exact"/>
        <w:jc w:val="left"/>
        <w:rPr>
          <w:rFonts w:ascii="Times New Roman" w:eastAsia="仿宋_GB2312"/>
          <w:sz w:val="24"/>
          <w:szCs w:val="24"/>
        </w:rPr>
      </w:pP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施工现场需要具备的其他试验条件：</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p>
    <w:p>
      <w:pPr>
        <w:spacing w:line="480" w:lineRule="exact"/>
        <w:jc w:val="left"/>
        <w:rPr>
          <w:rFonts w:ascii="Times New Roman" w:eastAsia="仿宋_GB2312"/>
          <w:sz w:val="24"/>
          <w:szCs w:val="24"/>
        </w:rPr>
      </w:pP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9.4 现场工艺试验</w:t>
      </w:r>
      <w:r>
        <w:rPr>
          <w:rFonts w:hint="eastAsia" w:ascii="Times New Roman" w:eastAsia="黑体"/>
          <w:color w:val="000000"/>
          <w:sz w:val="24"/>
          <w:szCs w:val="24"/>
        </w:rPr>
        <w:t xml:space="preserve"> </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现场工艺试验的有关约定：</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p>
    <w:p>
      <w:pPr>
        <w:spacing w:line="480" w:lineRule="exact"/>
        <w:jc w:val="left"/>
        <w:rPr>
          <w:rFonts w:ascii="Times New Roman" w:eastAsia="仿宋_GB2312"/>
          <w:sz w:val="24"/>
          <w:szCs w:val="24"/>
        </w:rPr>
      </w:pP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bookmarkEnd w:id="338"/>
    <w:bookmarkEnd w:id="339"/>
    <w:bookmarkEnd w:id="340"/>
    <w:bookmarkEnd w:id="341"/>
    <w:bookmarkEnd w:id="342"/>
    <w:bookmarkEnd w:id="343"/>
    <w:bookmarkEnd w:id="344"/>
    <w:bookmarkEnd w:id="345"/>
    <w:p>
      <w:pPr>
        <w:pStyle w:val="7"/>
        <w:spacing w:line="480" w:lineRule="exact"/>
        <w:rPr>
          <w:rFonts w:ascii="Times New Roman" w:hAnsi="Times New Roman" w:eastAsia="黑体"/>
          <w:b w:val="0"/>
          <w:color w:val="000000"/>
          <w:sz w:val="24"/>
          <w:szCs w:val="24"/>
        </w:rPr>
      </w:pPr>
      <w:bookmarkStart w:id="346" w:name="_Toc351203642"/>
      <w:r>
        <w:rPr>
          <w:rFonts w:ascii="Times New Roman" w:hAnsi="Times New Roman" w:eastAsia="黑体"/>
          <w:b w:val="0"/>
          <w:color w:val="000000"/>
          <w:sz w:val="24"/>
          <w:szCs w:val="24"/>
        </w:rPr>
        <w:t>1</w:t>
      </w:r>
      <w:bookmarkEnd w:id="312"/>
      <w:bookmarkEnd w:id="313"/>
      <w:bookmarkEnd w:id="314"/>
      <w:bookmarkEnd w:id="315"/>
      <w:bookmarkEnd w:id="316"/>
      <w:bookmarkEnd w:id="317"/>
      <w:bookmarkEnd w:id="318"/>
      <w:bookmarkEnd w:id="319"/>
      <w:bookmarkEnd w:id="320"/>
      <w:bookmarkEnd w:id="321"/>
      <w:bookmarkEnd w:id="322"/>
      <w:bookmarkEnd w:id="323"/>
      <w:bookmarkStart w:id="347" w:name="_Toc292559398"/>
      <w:bookmarkStart w:id="348" w:name="_Toc297123540"/>
      <w:bookmarkStart w:id="349" w:name="_Toc296891233"/>
      <w:bookmarkStart w:id="350" w:name="_Toc296346694"/>
      <w:bookmarkStart w:id="351" w:name="_Toc292559903"/>
      <w:bookmarkStart w:id="352" w:name="_Toc296347192"/>
      <w:bookmarkStart w:id="353" w:name="_Toc303539146"/>
      <w:bookmarkStart w:id="354" w:name="_Toc297216199"/>
      <w:bookmarkStart w:id="355" w:name="_Toc296503193"/>
      <w:bookmarkStart w:id="356" w:name="_Toc296891021"/>
      <w:bookmarkStart w:id="357" w:name="_Toc300934989"/>
      <w:bookmarkStart w:id="358" w:name="_Toc297048379"/>
      <w:bookmarkStart w:id="359" w:name="_Toc297120493"/>
      <w:bookmarkStart w:id="360" w:name="_Toc304295566"/>
      <w:bookmarkStart w:id="361" w:name="_Toc296944532"/>
      <w:bookmarkStart w:id="362" w:name="_Toc312678025"/>
      <w:bookmarkStart w:id="363" w:name="_Toc312677499"/>
      <w:bookmarkStart w:id="364" w:name="_Toc267251441"/>
      <w:bookmarkStart w:id="365" w:name="_Toc267251439"/>
      <w:bookmarkStart w:id="366" w:name="_Toc267251440"/>
      <w:bookmarkStart w:id="367" w:name="_Toc267251435"/>
      <w:bookmarkStart w:id="368" w:name="_Toc267251433"/>
      <w:bookmarkStart w:id="369" w:name="_Toc267251437"/>
      <w:bookmarkStart w:id="370" w:name="_Toc267251442"/>
      <w:r>
        <w:rPr>
          <w:rFonts w:ascii="Times New Roman" w:hAnsi="Times New Roman" w:eastAsia="黑体"/>
          <w:b w:val="0"/>
          <w:color w:val="000000"/>
          <w:sz w:val="24"/>
          <w:szCs w:val="24"/>
        </w:rPr>
        <w:t>0. 变更</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bookmarkEnd w:id="362"/>
    <w:bookmarkEnd w:id="363"/>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w:t>
      </w:r>
      <w:bookmarkStart w:id="371" w:name="_Toc303539147"/>
      <w:bookmarkStart w:id="372" w:name="_Toc300934990"/>
      <w:bookmarkStart w:id="373" w:name="_Toc312677500"/>
      <w:bookmarkStart w:id="374" w:name="_Toc296347193"/>
      <w:bookmarkStart w:id="375" w:name="_Toc297123541"/>
      <w:bookmarkStart w:id="376" w:name="_Toc304295567"/>
      <w:bookmarkStart w:id="377" w:name="_Toc292559904"/>
      <w:bookmarkStart w:id="378" w:name="_Toc296346695"/>
      <w:bookmarkStart w:id="379" w:name="_Toc296891022"/>
      <w:bookmarkStart w:id="380" w:name="_Toc297048380"/>
      <w:bookmarkStart w:id="381" w:name="_Toc312678026"/>
      <w:bookmarkStart w:id="382" w:name="_Toc296891234"/>
      <w:bookmarkStart w:id="383" w:name="_Toc297216200"/>
      <w:bookmarkStart w:id="384" w:name="_Toc296503194"/>
      <w:bookmarkStart w:id="385" w:name="_Toc297120494"/>
      <w:bookmarkStart w:id="386" w:name="_Toc296944533"/>
      <w:bookmarkStart w:id="387" w:name="_Toc292559399"/>
      <w:r>
        <w:rPr>
          <w:rFonts w:ascii="Times New Roman" w:eastAsia="黑体"/>
          <w:color w:val="000000"/>
          <w:sz w:val="24"/>
          <w:szCs w:val="24"/>
        </w:rPr>
        <w:t>0.1变更的范围</w:t>
      </w:r>
    </w:p>
    <w:p>
      <w:pPr>
        <w:spacing w:line="480" w:lineRule="exact"/>
        <w:ind w:firstLine="600"/>
        <w:jc w:val="left"/>
        <w:rPr>
          <w:rFonts w:ascii="Times New Roman" w:eastAsia="仿宋_GB2312"/>
          <w:color w:val="000000"/>
          <w:sz w:val="24"/>
          <w:szCs w:val="24"/>
          <w:u w:val="single"/>
        </w:rPr>
      </w:pPr>
      <w:r>
        <w:rPr>
          <w:rFonts w:ascii="Times New Roman" w:eastAsia="仿宋_GB2312"/>
          <w:color w:val="000000"/>
          <w:sz w:val="24"/>
          <w:szCs w:val="24"/>
        </w:rPr>
        <w:t>关于变更的范围的约定：</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hint="eastAsia"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10.4 变更估价</w:t>
      </w:r>
    </w:p>
    <w:p>
      <w:pPr>
        <w:spacing w:line="480" w:lineRule="exact"/>
        <w:ind w:firstLine="480" w:firstLineChars="200"/>
        <w:jc w:val="left"/>
        <w:rPr>
          <w:rFonts w:ascii="Times New Roman" w:eastAsia="仿宋_GB2312"/>
          <w:sz w:val="24"/>
          <w:szCs w:val="24"/>
        </w:rPr>
      </w:pPr>
      <w:r>
        <w:rPr>
          <w:rFonts w:hint="eastAsia" w:ascii="Times New Roman" w:eastAsia="仿宋_GB2312"/>
          <w:sz w:val="24"/>
          <w:szCs w:val="24"/>
        </w:rPr>
        <w:t>10.4.1 变更估价原则</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 xml:space="preserve">关于变更估价的约定: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u w:val="single"/>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Start w:id="388" w:name="_Toc296346698"/>
      <w:bookmarkStart w:id="389" w:name="_Toc292559907"/>
      <w:bookmarkStart w:id="390" w:name="_Toc297123544"/>
      <w:bookmarkStart w:id="391" w:name="_Toc303539150"/>
      <w:bookmarkStart w:id="392" w:name="_Toc297048383"/>
      <w:bookmarkStart w:id="393" w:name="_Toc296944536"/>
      <w:bookmarkStart w:id="394" w:name="_Toc296891025"/>
      <w:bookmarkStart w:id="395" w:name="_Toc297216203"/>
      <w:bookmarkStart w:id="396" w:name="_Toc296503197"/>
      <w:bookmarkStart w:id="397" w:name="_Toc296891237"/>
      <w:bookmarkStart w:id="398" w:name="_Toc296347196"/>
      <w:bookmarkStart w:id="399" w:name="_Toc300934993"/>
      <w:bookmarkStart w:id="400" w:name="_Toc297120497"/>
      <w:bookmarkStart w:id="401" w:name="_Toc292559402"/>
      <w:bookmarkStart w:id="402" w:name="_Toc304295570"/>
      <w:bookmarkStart w:id="403" w:name="_Toc312678029"/>
      <w:bookmarkStart w:id="404" w:name="_Toc312677503"/>
      <w:r>
        <w:rPr>
          <w:rFonts w:ascii="Times New Roman" w:eastAsia="黑体"/>
          <w:color w:val="000000"/>
          <w:sz w:val="24"/>
          <w:szCs w:val="24"/>
        </w:rPr>
        <w:t>0.5承</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Start w:id="405" w:name="_Toc292559408"/>
      <w:bookmarkStart w:id="406" w:name="_Toc296503203"/>
      <w:bookmarkStart w:id="407" w:name="_Toc297123545"/>
      <w:bookmarkStart w:id="408" w:name="_Toc296347202"/>
      <w:bookmarkStart w:id="409" w:name="_Toc303539151"/>
      <w:bookmarkStart w:id="410" w:name="_Toc292559913"/>
      <w:bookmarkStart w:id="411" w:name="_Toc300934994"/>
      <w:bookmarkStart w:id="412" w:name="_Toc296891031"/>
      <w:bookmarkStart w:id="413" w:name="_Toc296891243"/>
      <w:bookmarkStart w:id="414" w:name="_Toc297120503"/>
      <w:bookmarkStart w:id="415" w:name="_Toc297216204"/>
      <w:bookmarkStart w:id="416" w:name="_Toc296944542"/>
      <w:bookmarkStart w:id="417" w:name="_Toc296346704"/>
      <w:bookmarkStart w:id="418" w:name="_Toc297048389"/>
      <w:r>
        <w:rPr>
          <w:rFonts w:ascii="Times New Roman" w:eastAsia="黑体"/>
          <w:color w:val="000000"/>
          <w:sz w:val="24"/>
          <w:szCs w:val="24"/>
        </w:rPr>
        <w:t>包人的合理化建议</w:t>
      </w:r>
    </w:p>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Pr>
        <w:spacing w:line="480" w:lineRule="exact"/>
        <w:ind w:firstLine="480" w:firstLineChars="200"/>
        <w:jc w:val="left"/>
        <w:rPr>
          <w:rFonts w:ascii="Times New Roman" w:eastAsia="仿宋_GB2312"/>
          <w:sz w:val="24"/>
          <w:szCs w:val="24"/>
        </w:rPr>
      </w:pPr>
      <w:r>
        <w:rPr>
          <w:rFonts w:ascii="Times New Roman" w:eastAsia="仿宋_GB2312"/>
          <w:sz w:val="24"/>
          <w:szCs w:val="24"/>
        </w:rPr>
        <w:t>监理人审查承包人合理化建议的期限：</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发包人审批承包人合理化建议的期限：</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承</w:t>
      </w:r>
      <w:bookmarkStart w:id="419" w:name="_Toc303539152"/>
      <w:bookmarkStart w:id="420" w:name="_Toc296944543"/>
      <w:bookmarkStart w:id="421" w:name="_Toc292559409"/>
      <w:bookmarkStart w:id="422" w:name="_Toc296891032"/>
      <w:bookmarkStart w:id="423" w:name="_Toc312678030"/>
      <w:bookmarkStart w:id="424" w:name="_Toc300934995"/>
      <w:bookmarkStart w:id="425" w:name="_Toc296347203"/>
      <w:bookmarkStart w:id="426" w:name="_Toc304295571"/>
      <w:bookmarkStart w:id="427" w:name="_Toc296891244"/>
      <w:bookmarkStart w:id="428" w:name="_Toc296346705"/>
      <w:bookmarkStart w:id="429" w:name="_Toc312677504"/>
      <w:bookmarkStart w:id="430" w:name="_Toc296503204"/>
      <w:bookmarkStart w:id="431" w:name="_Toc297120504"/>
      <w:bookmarkStart w:id="432" w:name="_Toc297048390"/>
      <w:bookmarkStart w:id="433" w:name="_Toc292559914"/>
      <w:bookmarkStart w:id="434" w:name="_Toc297123546"/>
      <w:bookmarkStart w:id="435" w:name="_Toc318581175"/>
      <w:bookmarkStart w:id="436" w:name="_Toc297216205"/>
      <w:r>
        <w:rPr>
          <w:rFonts w:ascii="Times New Roman" w:eastAsia="仿宋_GB2312"/>
          <w:sz w:val="24"/>
          <w:szCs w:val="24"/>
        </w:rPr>
        <w:t>包人提出的合理化建议降低了合同价格或者提高了工程经济效益的奖励的方法和金额为：</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p>
    <w:p>
      <w:pPr>
        <w:spacing w:line="480" w:lineRule="exact"/>
        <w:jc w:val="left"/>
        <w:rPr>
          <w:rFonts w:ascii="Times New Roman" w:eastAsia="仿宋_GB2312"/>
          <w:sz w:val="24"/>
          <w:szCs w:val="24"/>
          <w:u w:val="single"/>
        </w:rPr>
      </w:pP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w:t>
      </w:r>
      <w:bookmarkStart w:id="437" w:name="_Toc312677507"/>
      <w:bookmarkStart w:id="438" w:name="_Toc292559909"/>
      <w:bookmarkStart w:id="439" w:name="_Toc297123548"/>
      <w:bookmarkStart w:id="440" w:name="_Toc296891239"/>
      <w:bookmarkStart w:id="441" w:name="_Toc296346700"/>
      <w:bookmarkStart w:id="442" w:name="_Toc297048385"/>
      <w:bookmarkStart w:id="443" w:name="_Toc296944538"/>
      <w:bookmarkStart w:id="444" w:name="_Toc297120499"/>
      <w:bookmarkStart w:id="445" w:name="_Toc297216207"/>
      <w:bookmarkStart w:id="446" w:name="_Toc300934997"/>
      <w:bookmarkStart w:id="447" w:name="_Toc296503199"/>
      <w:bookmarkStart w:id="448" w:name="_Toc312678033"/>
      <w:bookmarkStart w:id="449" w:name="_Toc292559404"/>
      <w:bookmarkStart w:id="450" w:name="_Toc304295574"/>
      <w:bookmarkStart w:id="451" w:name="_Toc303539154"/>
      <w:bookmarkStart w:id="452" w:name="_Toc296347198"/>
      <w:bookmarkStart w:id="453" w:name="_Toc296891027"/>
      <w:r>
        <w:rPr>
          <w:rFonts w:ascii="Times New Roman" w:eastAsia="黑体"/>
          <w:color w:val="000000"/>
          <w:sz w:val="24"/>
          <w:szCs w:val="24"/>
        </w:rPr>
        <w:t>0.7 暂估价</w:t>
      </w:r>
    </w:p>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Pr>
        <w:spacing w:line="480" w:lineRule="exact"/>
        <w:ind w:firstLine="480" w:firstLineChars="200"/>
        <w:jc w:val="left"/>
        <w:rPr>
          <w:rFonts w:ascii="Times New Roman" w:eastAsia="仿宋_GB2312"/>
          <w:sz w:val="24"/>
          <w:szCs w:val="24"/>
        </w:rPr>
      </w:pPr>
      <w:r>
        <w:rPr>
          <w:rFonts w:ascii="Times New Roman" w:eastAsia="仿宋_GB2312"/>
          <w:sz w:val="24"/>
          <w:szCs w:val="24"/>
        </w:rPr>
        <w:t>暂</w:t>
      </w:r>
      <w:bookmarkStart w:id="454" w:name="_Toc318581176"/>
      <w:bookmarkStart w:id="455" w:name="_Toc312677508"/>
      <w:bookmarkStart w:id="456" w:name="_Toc312678034"/>
      <w:r>
        <w:rPr>
          <w:rFonts w:ascii="Times New Roman" w:eastAsia="仿宋_GB2312"/>
          <w:sz w:val="24"/>
          <w:szCs w:val="24"/>
        </w:rPr>
        <w:t>估价材料和工程设备的明细详见附件</w:t>
      </w:r>
      <w:r>
        <w:rPr>
          <w:rFonts w:hint="eastAsia" w:ascii="Times New Roman" w:eastAsia="仿宋_GB2312"/>
          <w:sz w:val="24"/>
          <w:szCs w:val="24"/>
        </w:rPr>
        <w:t>11：《</w:t>
      </w:r>
      <w:r>
        <w:rPr>
          <w:rFonts w:ascii="Times New Roman" w:eastAsia="仿宋_GB2312"/>
          <w:color w:val="000000"/>
          <w:sz w:val="24"/>
          <w:szCs w:val="24"/>
        </w:rPr>
        <w:t>暂估价一览表</w:t>
      </w:r>
      <w:r>
        <w:rPr>
          <w:rFonts w:hint="eastAsia" w:ascii="Times New Roman" w:eastAsia="仿宋_GB2312"/>
          <w:color w:val="000000"/>
          <w:sz w:val="24"/>
          <w:szCs w:val="24"/>
        </w:rPr>
        <w:t>》</w:t>
      </w:r>
      <w:r>
        <w:rPr>
          <w:rFonts w:hint="eastAsia" w:ascii="Times New Roman" w:eastAsia="仿宋_GB2312"/>
          <w:sz w:val="24"/>
          <w:szCs w:val="24"/>
        </w:rPr>
        <w:t>。</w:t>
      </w:r>
    </w:p>
    <w:bookmarkEnd w:id="454"/>
    <w:bookmarkEnd w:id="455"/>
    <w:bookmarkEnd w:id="456"/>
    <w:p>
      <w:pPr>
        <w:spacing w:line="480" w:lineRule="exact"/>
        <w:ind w:firstLine="480" w:firstLineChars="200"/>
        <w:jc w:val="left"/>
        <w:rPr>
          <w:rFonts w:ascii="Times New Roman" w:eastAsia="仿宋_GB2312"/>
          <w:sz w:val="24"/>
          <w:szCs w:val="24"/>
        </w:rPr>
      </w:pPr>
      <w:r>
        <w:rPr>
          <w:rFonts w:ascii="Times New Roman" w:eastAsia="仿宋_GB2312"/>
          <w:sz w:val="24"/>
          <w:szCs w:val="24"/>
        </w:rPr>
        <w:t>1</w:t>
      </w:r>
      <w:bookmarkStart w:id="457" w:name="_Toc312677509"/>
      <w:bookmarkStart w:id="458" w:name="_Toc318581177"/>
      <w:bookmarkStart w:id="459" w:name="_Toc312678035"/>
      <w:r>
        <w:rPr>
          <w:rFonts w:ascii="Times New Roman" w:eastAsia="仿宋_GB2312"/>
          <w:sz w:val="24"/>
          <w:szCs w:val="24"/>
        </w:rPr>
        <w:t>0.7.1 依法必须招标的暂估价项目</w:t>
      </w:r>
    </w:p>
    <w:bookmarkEnd w:id="457"/>
    <w:bookmarkEnd w:id="458"/>
    <w:bookmarkEnd w:id="459"/>
    <w:p>
      <w:pPr>
        <w:spacing w:line="480" w:lineRule="exact"/>
        <w:ind w:firstLine="480" w:firstLineChars="200"/>
        <w:jc w:val="left"/>
        <w:rPr>
          <w:rFonts w:ascii="Times New Roman" w:eastAsia="仿宋_GB2312"/>
          <w:sz w:val="24"/>
          <w:szCs w:val="24"/>
        </w:rPr>
      </w:pPr>
      <w:r>
        <w:rPr>
          <w:rFonts w:ascii="Times New Roman" w:eastAsia="仿宋_GB2312"/>
          <w:sz w:val="24"/>
          <w:szCs w:val="24"/>
        </w:rPr>
        <w:t>对于依法必须招标的暂估价项目的确认和批准采取第</w:t>
      </w:r>
      <w:r>
        <w:rPr>
          <w:rFonts w:ascii="Times New Roman" w:eastAsia="仿宋_GB2312"/>
          <w:sz w:val="24"/>
          <w:szCs w:val="24"/>
          <w:u w:val="single"/>
        </w:rPr>
        <w:t xml:space="preserve">    </w:t>
      </w:r>
      <w:r>
        <w:rPr>
          <w:rFonts w:ascii="Times New Roman" w:eastAsia="仿宋_GB2312"/>
          <w:sz w:val="24"/>
          <w:szCs w:val="24"/>
        </w:rPr>
        <w:t>种方式确定。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10.7.2 不属于依法必须招标的暂估价项目</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对于不属于依法必须招标的暂估价项目的确认和批准采取第</w:t>
      </w:r>
      <w:r>
        <w:rPr>
          <w:rFonts w:ascii="Times New Roman" w:eastAsia="仿宋_GB2312"/>
          <w:sz w:val="24"/>
          <w:szCs w:val="24"/>
          <w:u w:val="single"/>
        </w:rPr>
        <w:t xml:space="preserve">   </w:t>
      </w:r>
      <w:r>
        <w:rPr>
          <w:rFonts w:ascii="Times New Roman" w:eastAsia="仿宋_GB2312"/>
          <w:sz w:val="24"/>
          <w:szCs w:val="24"/>
        </w:rPr>
        <w:t xml:space="preserve"> 种方式确定。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第3种方式：承包人直接实施的暂估价项目</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承包人直接实施的暂估价项目的约定：</w:t>
      </w:r>
      <w:r>
        <w:rPr>
          <w:rFonts w:ascii="Times New Roman" w:eastAsia="仿宋_GB2312"/>
          <w:sz w:val="24"/>
          <w:szCs w:val="24"/>
          <w:u w:val="single"/>
        </w:rPr>
        <w:t xml:space="preserve">                     </w:t>
      </w:r>
    </w:p>
    <w:p>
      <w:pPr>
        <w:spacing w:line="480" w:lineRule="exact"/>
        <w:jc w:val="left"/>
        <w:rPr>
          <w:rFonts w:ascii="Times New Roman" w:eastAsia="仿宋_GB2312"/>
          <w:sz w:val="24"/>
          <w:szCs w:val="24"/>
        </w:rPr>
      </w:pP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10.8 暂列金额</w:t>
      </w:r>
    </w:p>
    <w:p>
      <w:pPr>
        <w:autoSpaceDE w:val="0"/>
        <w:autoSpaceDN w:val="0"/>
        <w:adjustRightInd w:val="0"/>
        <w:spacing w:line="480" w:lineRule="exact"/>
        <w:ind w:firstLine="480" w:firstLineChars="200"/>
        <w:jc w:val="left"/>
        <w:rPr>
          <w:rFonts w:ascii="Times New Roman" w:eastAsia="仿宋_GB2312"/>
          <w:sz w:val="24"/>
          <w:szCs w:val="24"/>
          <w:u w:val="single"/>
        </w:rPr>
      </w:pPr>
      <w:r>
        <w:rPr>
          <w:rFonts w:hint="eastAsia" w:ascii="Times New Roman" w:eastAsia="仿宋_GB2312"/>
          <w:color w:val="000000"/>
          <w:sz w:val="24"/>
          <w:szCs w:val="24"/>
        </w:rPr>
        <w:t>合同当事人关于暂列金额使用的约定：</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p>
    <w:p>
      <w:pPr>
        <w:autoSpaceDE w:val="0"/>
        <w:autoSpaceDN w:val="0"/>
        <w:adjustRightInd w:val="0"/>
        <w:spacing w:line="480" w:lineRule="exact"/>
        <w:jc w:val="left"/>
        <w:rPr>
          <w:rFonts w:ascii="Times New Roman" w:eastAsia="仿宋_GB2312"/>
          <w:color w:val="000000"/>
          <w:sz w:val="24"/>
          <w:szCs w:val="24"/>
        </w:rPr>
      </w:pPr>
      <w:r>
        <w:rPr>
          <w:rFonts w:hint="eastAsia" w:ascii="Times New Roman" w:eastAsia="仿宋_GB2312"/>
          <w:sz w:val="24"/>
          <w:szCs w:val="24"/>
          <w:u w:val="single"/>
        </w:rPr>
        <w:t xml:space="preserve">                                                         </w:t>
      </w:r>
      <w:r>
        <w:rPr>
          <w:rFonts w:hint="eastAsia" w:ascii="Times New Roman" w:eastAsia="仿宋_GB2312"/>
          <w:color w:val="000000"/>
          <w:sz w:val="24"/>
          <w:szCs w:val="24"/>
        </w:rPr>
        <w:t>。</w:t>
      </w:r>
    </w:p>
    <w:p>
      <w:pPr>
        <w:pStyle w:val="7"/>
        <w:spacing w:line="480" w:lineRule="exact"/>
        <w:rPr>
          <w:rFonts w:ascii="Times New Roman" w:hAnsi="Times New Roman" w:eastAsia="黑体"/>
          <w:b w:val="0"/>
          <w:color w:val="000000"/>
          <w:sz w:val="24"/>
          <w:szCs w:val="24"/>
        </w:rPr>
      </w:pPr>
      <w:bookmarkStart w:id="460" w:name="_Toc351203643"/>
      <w:r>
        <w:rPr>
          <w:rFonts w:ascii="Times New Roman" w:hAnsi="Times New Roman" w:eastAsia="黑体"/>
          <w:b w:val="0"/>
          <w:color w:val="000000"/>
          <w:sz w:val="24"/>
          <w:szCs w:val="24"/>
        </w:rPr>
        <w:t>11. 价格调整</w:t>
      </w:r>
      <w:bookmarkEnd w:id="460"/>
    </w:p>
    <w:p>
      <w:pPr>
        <w:spacing w:line="480" w:lineRule="exact"/>
        <w:ind w:firstLine="480" w:firstLineChars="200"/>
        <w:rPr>
          <w:rFonts w:ascii="Times New Roman" w:eastAsia="黑体"/>
          <w:color w:val="000000"/>
          <w:sz w:val="24"/>
          <w:szCs w:val="24"/>
        </w:rPr>
      </w:pPr>
      <w:bookmarkStart w:id="461" w:name="_Toc292559406"/>
      <w:bookmarkStart w:id="462" w:name="_Toc297123550"/>
      <w:bookmarkStart w:id="463" w:name="_Toc304295577"/>
      <w:bookmarkStart w:id="464" w:name="_Toc296346702"/>
      <w:bookmarkStart w:id="465" w:name="_Toc297216209"/>
      <w:bookmarkStart w:id="466" w:name="_Toc312678039"/>
      <w:bookmarkStart w:id="467" w:name="_Toc296891029"/>
      <w:bookmarkStart w:id="468" w:name="_Toc303539157"/>
      <w:bookmarkStart w:id="469" w:name="_Toc296503201"/>
      <w:bookmarkStart w:id="470" w:name="_Toc300935000"/>
      <w:bookmarkStart w:id="471" w:name="_Toc296944540"/>
      <w:bookmarkStart w:id="472" w:name="_Toc296347200"/>
      <w:bookmarkStart w:id="473" w:name="_Toc297048387"/>
      <w:bookmarkStart w:id="474" w:name="_Toc297120501"/>
      <w:bookmarkStart w:id="475" w:name="_Toc292559911"/>
      <w:bookmarkStart w:id="476" w:name="_Toc296891241"/>
      <w:r>
        <w:rPr>
          <w:rFonts w:ascii="Times New Roman" w:eastAsia="黑体"/>
          <w:color w:val="000000"/>
          <w:sz w:val="24"/>
          <w:szCs w:val="24"/>
        </w:rPr>
        <w:t>11.1 市场价格波动引起的调整</w:t>
      </w:r>
    </w:p>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市场价格波动是否调整合同价格的约定：</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因市场价格波动调整合同价格，采用以下</w:t>
      </w:r>
      <w:r>
        <w:rPr>
          <w:rFonts w:ascii="Times New Roman" w:eastAsia="仿宋_GB2312"/>
          <w:sz w:val="24"/>
          <w:szCs w:val="24"/>
        </w:rPr>
        <w:t>第</w:t>
      </w:r>
      <w:r>
        <w:rPr>
          <w:rFonts w:ascii="Times New Roman" w:eastAsia="仿宋_GB2312"/>
          <w:sz w:val="24"/>
          <w:szCs w:val="24"/>
          <w:u w:val="single"/>
        </w:rPr>
        <w:t xml:space="preserve">    </w:t>
      </w:r>
      <w:r>
        <w:rPr>
          <w:rFonts w:ascii="Times New Roman" w:eastAsia="仿宋_GB2312"/>
          <w:color w:val="000000"/>
          <w:sz w:val="24"/>
          <w:szCs w:val="24"/>
        </w:rPr>
        <w:t>种方式对合同价格进行调整：</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第1种方式：采用价格指数</w:t>
      </w:r>
      <w:r>
        <w:rPr>
          <w:rFonts w:hint="eastAsia" w:ascii="Times New Roman" w:eastAsia="仿宋_GB2312"/>
          <w:color w:val="000000"/>
          <w:sz w:val="24"/>
          <w:szCs w:val="24"/>
        </w:rPr>
        <w:t>进行价格</w:t>
      </w:r>
      <w:r>
        <w:rPr>
          <w:rFonts w:ascii="Times New Roman" w:eastAsia="仿宋_GB2312"/>
          <w:color w:val="000000"/>
          <w:sz w:val="24"/>
          <w:szCs w:val="24"/>
        </w:rPr>
        <w:t>调整。</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关于各可调因子、定值和变值权重，以及基本价格指数及其来源的约定：</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第2种方式：采用造价信息</w:t>
      </w:r>
      <w:r>
        <w:rPr>
          <w:rFonts w:hint="eastAsia" w:ascii="Times New Roman" w:eastAsia="仿宋_GB2312"/>
          <w:color w:val="000000"/>
          <w:sz w:val="24"/>
          <w:szCs w:val="24"/>
        </w:rPr>
        <w:t>进行价格</w:t>
      </w:r>
      <w:r>
        <w:rPr>
          <w:rFonts w:ascii="Times New Roman" w:eastAsia="仿宋_GB2312"/>
          <w:color w:val="000000"/>
          <w:sz w:val="24"/>
          <w:szCs w:val="24"/>
        </w:rPr>
        <w:t>调整。</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（2）关于基准价格的约定：</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专用合同条款</w:t>
      </w:r>
      <w:r>
        <w:rPr>
          <w:rFonts w:hint="eastAsia" w:hAnsi="宋体" w:cs="宋体"/>
          <w:color w:val="000000"/>
          <w:sz w:val="24"/>
          <w:szCs w:val="24"/>
        </w:rPr>
        <w:t>①</w:t>
      </w:r>
      <w:r>
        <w:rPr>
          <w:rFonts w:ascii="Times New Roman" w:eastAsia="仿宋_GB2312"/>
          <w:color w:val="000000"/>
          <w:sz w:val="24"/>
          <w:szCs w:val="24"/>
        </w:rPr>
        <w:t>承包人在已标价工程量清单或预算书中载明的材料单价低于基准价格的：专用合同条款合同履行期间材料单价涨幅以基准价格为基础超过</w:t>
      </w:r>
      <w:r>
        <w:rPr>
          <w:rFonts w:ascii="Times New Roman" w:eastAsia="仿宋_GB2312"/>
          <w:color w:val="000000"/>
          <w:sz w:val="24"/>
          <w:szCs w:val="24"/>
          <w:u w:val="single"/>
        </w:rPr>
        <w:t xml:space="preserve">   </w:t>
      </w:r>
      <w:r>
        <w:rPr>
          <w:rFonts w:ascii="Times New Roman" w:eastAsia="仿宋_GB2312"/>
          <w:color w:val="000000"/>
          <w:sz w:val="24"/>
          <w:szCs w:val="24"/>
        </w:rPr>
        <w:t>%时，或材料单价跌幅以已标价工程量清单或预算书中载明材料单价为基础超过</w:t>
      </w:r>
      <w:r>
        <w:rPr>
          <w:rFonts w:ascii="Times New Roman" w:eastAsia="仿宋_GB2312"/>
          <w:color w:val="000000"/>
          <w:sz w:val="24"/>
          <w:szCs w:val="24"/>
          <w:u w:val="single"/>
        </w:rPr>
        <w:t xml:space="preserve">   </w:t>
      </w:r>
      <w:r>
        <w:rPr>
          <w:rFonts w:ascii="Times New Roman" w:eastAsia="仿宋_GB2312"/>
          <w:color w:val="000000"/>
          <w:sz w:val="24"/>
          <w:szCs w:val="24"/>
        </w:rPr>
        <w:t>%时，其超过部分据实调整。</w:t>
      </w:r>
    </w:p>
    <w:p>
      <w:pPr>
        <w:spacing w:line="480" w:lineRule="exact"/>
        <w:ind w:firstLine="480" w:firstLineChars="200"/>
        <w:jc w:val="left"/>
        <w:rPr>
          <w:rFonts w:ascii="Times New Roman" w:eastAsia="仿宋_GB2312"/>
          <w:color w:val="000000"/>
          <w:sz w:val="24"/>
          <w:szCs w:val="24"/>
        </w:rPr>
      </w:pPr>
      <w:r>
        <w:rPr>
          <w:rFonts w:hint="eastAsia" w:hAnsi="宋体" w:cs="宋体"/>
          <w:color w:val="000000"/>
          <w:sz w:val="24"/>
          <w:szCs w:val="24"/>
        </w:rPr>
        <w:t>②</w:t>
      </w:r>
      <w:r>
        <w:rPr>
          <w:rFonts w:ascii="Times New Roman" w:eastAsia="仿宋_GB2312"/>
          <w:color w:val="000000"/>
          <w:sz w:val="24"/>
          <w:szCs w:val="24"/>
        </w:rPr>
        <w:t>承包人在已标价工程量清单或预算书中载明的材料单价高于基准价格的：专用合同条款合同履行期间材料单价跌幅以基准价格为基础超过</w:t>
      </w:r>
      <w:r>
        <w:rPr>
          <w:rFonts w:ascii="Times New Roman" w:eastAsia="仿宋_GB2312"/>
          <w:color w:val="000000"/>
          <w:sz w:val="24"/>
          <w:szCs w:val="24"/>
          <w:u w:val="single"/>
        </w:rPr>
        <w:t xml:space="preserve">   </w:t>
      </w:r>
      <w:r>
        <w:rPr>
          <w:rFonts w:ascii="Times New Roman" w:eastAsia="仿宋_GB2312"/>
          <w:color w:val="000000"/>
          <w:sz w:val="24"/>
          <w:szCs w:val="24"/>
        </w:rPr>
        <w:t>%时，材料单价涨幅以已标价工程量清单或预算书中载明材料单价为基础超过</w:t>
      </w:r>
      <w:r>
        <w:rPr>
          <w:rFonts w:ascii="Times New Roman" w:eastAsia="仿宋_GB2312"/>
          <w:color w:val="000000"/>
          <w:sz w:val="24"/>
          <w:szCs w:val="24"/>
          <w:u w:val="single"/>
        </w:rPr>
        <w:t xml:space="preserve">   </w:t>
      </w:r>
      <w:r>
        <w:rPr>
          <w:rFonts w:ascii="Times New Roman" w:eastAsia="仿宋_GB2312"/>
          <w:color w:val="000000"/>
          <w:sz w:val="24"/>
          <w:szCs w:val="24"/>
        </w:rPr>
        <w:t>%时，其超过部分据实调整。</w:t>
      </w:r>
    </w:p>
    <w:p>
      <w:pPr>
        <w:spacing w:line="480" w:lineRule="exact"/>
        <w:ind w:firstLine="645"/>
        <w:jc w:val="left"/>
        <w:rPr>
          <w:rFonts w:ascii="Times New Roman" w:eastAsia="仿宋_GB2312"/>
          <w:color w:val="000000"/>
          <w:sz w:val="24"/>
          <w:szCs w:val="24"/>
        </w:rPr>
      </w:pPr>
      <w:r>
        <w:rPr>
          <w:rFonts w:hint="eastAsia" w:hAnsi="宋体" w:cs="宋体"/>
          <w:color w:val="000000"/>
          <w:sz w:val="24"/>
          <w:szCs w:val="24"/>
        </w:rPr>
        <w:t>③</w:t>
      </w:r>
      <w:r>
        <w:rPr>
          <w:rFonts w:ascii="Times New Roman" w:eastAsia="仿宋_GB2312"/>
          <w:color w:val="000000"/>
          <w:sz w:val="24"/>
          <w:szCs w:val="24"/>
        </w:rPr>
        <w:t>承包人在已标价工程量清单或预算书中载明的材料单价等于基准单价的：专用合同条款合同履行期间材料单价涨跌幅以基准单价为基础超过±</w:t>
      </w:r>
      <w:r>
        <w:rPr>
          <w:rFonts w:ascii="Times New Roman" w:eastAsia="仿宋_GB2312"/>
          <w:color w:val="000000"/>
          <w:sz w:val="24"/>
          <w:szCs w:val="24"/>
          <w:u w:val="single"/>
        </w:rPr>
        <w:t xml:space="preserve">   </w:t>
      </w:r>
      <w:r>
        <w:rPr>
          <w:rFonts w:ascii="Times New Roman" w:eastAsia="仿宋_GB2312"/>
          <w:color w:val="000000"/>
          <w:sz w:val="24"/>
          <w:szCs w:val="24"/>
        </w:rPr>
        <w:t>%时，其超过部分据实调整。</w:t>
      </w:r>
    </w:p>
    <w:p>
      <w:pPr>
        <w:spacing w:line="480" w:lineRule="exact"/>
        <w:ind w:firstLine="645"/>
        <w:jc w:val="left"/>
        <w:rPr>
          <w:rFonts w:ascii="Times New Roman" w:eastAsia="仿宋_GB2312"/>
          <w:color w:val="000000"/>
          <w:sz w:val="24"/>
          <w:szCs w:val="24"/>
          <w:u w:val="single"/>
        </w:rPr>
      </w:pPr>
      <w:r>
        <w:rPr>
          <w:rFonts w:ascii="Times New Roman" w:eastAsia="仿宋_GB2312"/>
          <w:color w:val="000000"/>
          <w:sz w:val="24"/>
          <w:szCs w:val="24"/>
        </w:rPr>
        <w:t>第3种方式：其他价格调整方式：</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bookmarkEnd w:id="364"/>
    <w:bookmarkEnd w:id="365"/>
    <w:bookmarkEnd w:id="366"/>
    <w:bookmarkEnd w:id="367"/>
    <w:bookmarkEnd w:id="368"/>
    <w:bookmarkEnd w:id="369"/>
    <w:p>
      <w:pPr>
        <w:pStyle w:val="7"/>
        <w:spacing w:line="480" w:lineRule="exact"/>
        <w:rPr>
          <w:rFonts w:ascii="Times New Roman" w:hAnsi="Times New Roman" w:eastAsia="黑体"/>
          <w:b w:val="0"/>
          <w:color w:val="000000"/>
          <w:sz w:val="24"/>
          <w:szCs w:val="24"/>
        </w:rPr>
      </w:pPr>
      <w:bookmarkStart w:id="477" w:name="_Toc296503205"/>
      <w:bookmarkStart w:id="478" w:name="_Toc297048391"/>
      <w:bookmarkStart w:id="479" w:name="_Toc296891245"/>
      <w:bookmarkStart w:id="480" w:name="_Toc297120505"/>
      <w:bookmarkStart w:id="481" w:name="_Toc292559410"/>
      <w:bookmarkStart w:id="482" w:name="_Toc296944544"/>
      <w:bookmarkStart w:id="483" w:name="_Toc292559915"/>
      <w:bookmarkStart w:id="484" w:name="_Toc296347204"/>
      <w:bookmarkStart w:id="485" w:name="_Toc296891033"/>
      <w:bookmarkStart w:id="486" w:name="_Toc296346706"/>
      <w:bookmarkStart w:id="487" w:name="_Toc351203644"/>
      <w:bookmarkStart w:id="488" w:name="_Toc312678040"/>
      <w:bookmarkStart w:id="489" w:name="_Toc297216211"/>
      <w:bookmarkStart w:id="490" w:name="_Toc303539159"/>
      <w:bookmarkStart w:id="491" w:name="_Toc300935002"/>
      <w:bookmarkStart w:id="492" w:name="_Toc297123552"/>
      <w:bookmarkStart w:id="493" w:name="_Toc304295579"/>
      <w:r>
        <w:rPr>
          <w:rFonts w:ascii="Times New Roman" w:hAnsi="Times New Roman" w:eastAsia="黑体"/>
          <w:b w:val="0"/>
          <w:color w:val="000000"/>
          <w:sz w:val="24"/>
          <w:szCs w:val="24"/>
        </w:rPr>
        <w:t xml:space="preserve">12. </w:t>
      </w:r>
      <w:bookmarkEnd w:id="477"/>
      <w:bookmarkEnd w:id="478"/>
      <w:bookmarkEnd w:id="479"/>
      <w:bookmarkEnd w:id="480"/>
      <w:bookmarkEnd w:id="481"/>
      <w:bookmarkEnd w:id="482"/>
      <w:bookmarkEnd w:id="483"/>
      <w:bookmarkEnd w:id="484"/>
      <w:bookmarkEnd w:id="485"/>
      <w:bookmarkEnd w:id="486"/>
      <w:r>
        <w:rPr>
          <w:rFonts w:ascii="Times New Roman" w:hAnsi="Times New Roman" w:eastAsia="黑体"/>
          <w:b w:val="0"/>
          <w:color w:val="000000"/>
          <w:sz w:val="24"/>
          <w:szCs w:val="24"/>
        </w:rPr>
        <w:t>合同价格、计量与支付</w:t>
      </w:r>
      <w:bookmarkEnd w:id="487"/>
    </w:p>
    <w:bookmarkEnd w:id="488"/>
    <w:bookmarkEnd w:id="489"/>
    <w:bookmarkEnd w:id="490"/>
    <w:bookmarkEnd w:id="491"/>
    <w:bookmarkEnd w:id="492"/>
    <w:bookmarkEnd w:id="493"/>
    <w:p>
      <w:pPr>
        <w:spacing w:line="480" w:lineRule="exact"/>
        <w:ind w:firstLine="480" w:firstLineChars="200"/>
        <w:rPr>
          <w:rFonts w:ascii="Times New Roman" w:eastAsia="黑体"/>
          <w:color w:val="000000"/>
          <w:sz w:val="24"/>
          <w:szCs w:val="24"/>
        </w:rPr>
      </w:pPr>
      <w:bookmarkStart w:id="494" w:name="_Toc267251461"/>
      <w:bookmarkStart w:id="495" w:name="_Toc292559916"/>
      <w:bookmarkStart w:id="496" w:name="_Toc292559411"/>
      <w:bookmarkStart w:id="497" w:name="_Toc296944545"/>
      <w:bookmarkStart w:id="498" w:name="_Toc296503206"/>
      <w:bookmarkStart w:id="499" w:name="_Toc297120506"/>
      <w:bookmarkStart w:id="500" w:name="_Toc296347205"/>
      <w:bookmarkStart w:id="501" w:name="_Toc296891034"/>
      <w:bookmarkStart w:id="502" w:name="_Toc296346707"/>
      <w:bookmarkStart w:id="503" w:name="_Toc297048392"/>
      <w:bookmarkStart w:id="504" w:name="_Toc296891246"/>
      <w:bookmarkStart w:id="505" w:name="_Toc312678041"/>
      <w:bookmarkStart w:id="506" w:name="_Toc300935003"/>
      <w:bookmarkStart w:id="507" w:name="_Toc304295580"/>
      <w:bookmarkStart w:id="508" w:name="_Toc303539160"/>
      <w:bookmarkStart w:id="509" w:name="_Toc297123553"/>
      <w:bookmarkStart w:id="510" w:name="_Toc297216212"/>
      <w:r>
        <w:rPr>
          <w:rFonts w:ascii="Times New Roman" w:eastAsia="黑体"/>
          <w:color w:val="000000"/>
          <w:sz w:val="24"/>
          <w:szCs w:val="24"/>
        </w:rPr>
        <w:t>12.1 合</w:t>
      </w:r>
      <w:bookmarkEnd w:id="494"/>
      <w:bookmarkEnd w:id="495"/>
      <w:bookmarkEnd w:id="496"/>
      <w:r>
        <w:rPr>
          <w:rFonts w:ascii="Times New Roman" w:eastAsia="黑体"/>
          <w:color w:val="000000"/>
          <w:sz w:val="24"/>
          <w:szCs w:val="24"/>
        </w:rPr>
        <w:t>同价</w:t>
      </w:r>
      <w:bookmarkEnd w:id="497"/>
      <w:bookmarkEnd w:id="498"/>
      <w:bookmarkEnd w:id="499"/>
      <w:bookmarkEnd w:id="500"/>
      <w:bookmarkEnd w:id="501"/>
      <w:bookmarkEnd w:id="502"/>
      <w:bookmarkEnd w:id="503"/>
      <w:bookmarkEnd w:id="504"/>
      <w:r>
        <w:rPr>
          <w:rFonts w:ascii="Times New Roman" w:eastAsia="黑体"/>
          <w:color w:val="000000"/>
          <w:sz w:val="24"/>
          <w:szCs w:val="24"/>
        </w:rPr>
        <w:t>格形式</w:t>
      </w:r>
    </w:p>
    <w:bookmarkEnd w:id="505"/>
    <w:bookmarkEnd w:id="506"/>
    <w:bookmarkEnd w:id="507"/>
    <w:bookmarkEnd w:id="508"/>
    <w:bookmarkEnd w:id="509"/>
    <w:bookmarkEnd w:id="510"/>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1、单价合同。</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综合单价包含的风险范围：</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风险费用的计算方法：</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风险范围以外合同价格的调整方法：</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2、总价合同。</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总价包含的风险范围：</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风险费用的计算方法：</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风险范围以外合同价格的调整方法：</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numPr>
          <w:ilvl w:val="0"/>
          <w:numId w:val="4"/>
        </w:numPr>
        <w:spacing w:line="480" w:lineRule="exact"/>
        <w:ind w:firstLine="481"/>
        <w:jc w:val="left"/>
        <w:rPr>
          <w:rFonts w:ascii="Times New Roman" w:eastAsia="仿宋_GB2312"/>
          <w:color w:val="000000"/>
          <w:sz w:val="24"/>
          <w:szCs w:val="24"/>
          <w:u w:val="single"/>
        </w:rPr>
      </w:pPr>
      <w:r>
        <w:rPr>
          <w:rFonts w:ascii="Times New Roman" w:eastAsia="仿宋_GB2312"/>
          <w:color w:val="000000"/>
          <w:sz w:val="24"/>
          <w:szCs w:val="24"/>
        </w:rPr>
        <w:t>其他价格方式：</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bookmarkStart w:id="511" w:name="_Toc312678042"/>
      <w:bookmarkStart w:id="512" w:name="_Toc297123554"/>
      <w:bookmarkStart w:id="513" w:name="_Toc303539161"/>
      <w:bookmarkStart w:id="514" w:name="_Toc297216213"/>
      <w:bookmarkStart w:id="515" w:name="_Toc300935004"/>
      <w:bookmarkStart w:id="516" w:name="_Toc304295581"/>
      <w:bookmarkStart w:id="517" w:name="_Toc297120507"/>
      <w:bookmarkStart w:id="518" w:name="_Toc292559412"/>
      <w:bookmarkStart w:id="519" w:name="_Toc296347206"/>
      <w:bookmarkStart w:id="520" w:name="_Toc296944546"/>
      <w:bookmarkStart w:id="521" w:name="_Toc296891247"/>
      <w:bookmarkStart w:id="522" w:name="_Toc297048393"/>
      <w:bookmarkStart w:id="523" w:name="_Toc296346708"/>
      <w:bookmarkStart w:id="524" w:name="_Toc296891035"/>
      <w:bookmarkStart w:id="525" w:name="_Toc296503207"/>
      <w:bookmarkStart w:id="526" w:name="_Toc292559917"/>
      <w:r>
        <w:rPr>
          <w:rFonts w:ascii="Times New Roman" w:eastAsia="黑体"/>
          <w:color w:val="000000"/>
          <w:sz w:val="24"/>
          <w:szCs w:val="24"/>
        </w:rPr>
        <w:t>12.2 预付款</w:t>
      </w:r>
    </w:p>
    <w:bookmarkEnd w:id="511"/>
    <w:bookmarkEnd w:id="512"/>
    <w:bookmarkEnd w:id="513"/>
    <w:bookmarkEnd w:id="514"/>
    <w:bookmarkEnd w:id="515"/>
    <w:bookmarkEnd w:id="516"/>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12.2.1 预付款的支付</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预付款支付比例或金额：</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预付款支付期限：</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预付款扣回的方式：</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12.2.2 预付款担保</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承包人提交预付款担保的期限：</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预付款担保的形式为：</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bookmarkEnd w:id="517"/>
    <w:bookmarkEnd w:id="518"/>
    <w:bookmarkEnd w:id="519"/>
    <w:bookmarkEnd w:id="520"/>
    <w:bookmarkEnd w:id="521"/>
    <w:bookmarkEnd w:id="522"/>
    <w:bookmarkEnd w:id="523"/>
    <w:bookmarkEnd w:id="524"/>
    <w:bookmarkEnd w:id="525"/>
    <w:bookmarkEnd w:id="526"/>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12.3 计量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12.3.1 计量原则</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工程量计算规则：</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12.3.2 计量周期</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关于计量周期的约定：</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12.3.3 单价合同的计量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关于单价合同计量的约定：</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12.3.4 总价合同的计量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关于总价合同计量的约定：</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12.3.5总价合同采用支付分解表计量支付的，是否适用第12.3.4 项</w:t>
      </w:r>
      <w:r>
        <w:rPr>
          <w:rFonts w:hint="eastAsia" w:ascii="Times New Roman" w:eastAsia="仿宋_GB2312"/>
          <w:color w:val="000000"/>
          <w:sz w:val="24"/>
          <w:szCs w:val="24"/>
        </w:rPr>
        <w:t>〔</w:t>
      </w:r>
      <w:r>
        <w:rPr>
          <w:rFonts w:ascii="Times New Roman" w:eastAsia="仿宋_GB2312"/>
          <w:color w:val="000000"/>
          <w:sz w:val="24"/>
          <w:szCs w:val="24"/>
        </w:rPr>
        <w:t>总价合同的计量</w:t>
      </w:r>
      <w:r>
        <w:rPr>
          <w:rFonts w:hint="eastAsia" w:ascii="Times New Roman" w:eastAsia="仿宋_GB2312"/>
          <w:color w:val="000000"/>
          <w:sz w:val="24"/>
          <w:szCs w:val="24"/>
        </w:rPr>
        <w:t>〕</w:t>
      </w:r>
      <w:r>
        <w:rPr>
          <w:rFonts w:ascii="Times New Roman" w:eastAsia="仿宋_GB2312"/>
          <w:color w:val="000000"/>
          <w:sz w:val="24"/>
          <w:szCs w:val="24"/>
        </w:rPr>
        <w:t>约定</w:t>
      </w:r>
      <w:r>
        <w:rPr>
          <w:rFonts w:hint="eastAsia" w:ascii="Times New Roman" w:eastAsia="仿宋_GB2312"/>
          <w:color w:val="000000"/>
          <w:sz w:val="24"/>
          <w:szCs w:val="24"/>
        </w:rPr>
        <w:t>进行计量：</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12.3.6 其他价格形式合同的计量</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其他价格形式的计量方式和程序：</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12.4 工程进度款支付</w:t>
      </w:r>
    </w:p>
    <w:p>
      <w:pPr>
        <w:spacing w:line="480" w:lineRule="exact"/>
        <w:ind w:firstLine="480" w:firstLineChars="200"/>
        <w:jc w:val="left"/>
        <w:rPr>
          <w:rFonts w:ascii="Times New Roman" w:eastAsia="仿宋_GB2312"/>
          <w:color w:val="000000"/>
          <w:sz w:val="24"/>
          <w:szCs w:val="24"/>
        </w:rPr>
      </w:pPr>
      <w:bookmarkStart w:id="527" w:name="_Toc303539163"/>
      <w:bookmarkStart w:id="528" w:name="_Toc296503211"/>
      <w:bookmarkStart w:id="529" w:name="_Toc296347210"/>
      <w:bookmarkStart w:id="530" w:name="_Toc292559416"/>
      <w:bookmarkStart w:id="531" w:name="_Toc296346712"/>
      <w:bookmarkStart w:id="532" w:name="_Toc296891039"/>
      <w:bookmarkStart w:id="533" w:name="_Toc297048397"/>
      <w:bookmarkStart w:id="534" w:name="_Toc292559921"/>
      <w:bookmarkStart w:id="535" w:name="_Toc297123556"/>
      <w:bookmarkStart w:id="536" w:name="_Toc296891251"/>
      <w:bookmarkStart w:id="537" w:name="_Toc296944550"/>
      <w:bookmarkStart w:id="538" w:name="_Toc297216215"/>
      <w:bookmarkStart w:id="539" w:name="_Toc297120511"/>
      <w:bookmarkStart w:id="540" w:name="_Toc300935006"/>
      <w:r>
        <w:rPr>
          <w:rFonts w:ascii="Times New Roman" w:eastAsia="仿宋_GB2312"/>
          <w:color w:val="000000"/>
          <w:sz w:val="24"/>
          <w:szCs w:val="24"/>
        </w:rPr>
        <w:t>12.4.1 付款周期</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关于付款周期的约定：</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12.4.2 进度付款申请单的编制</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关于进度付款申请单编制的约定：</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Pr>
          <w:rFonts w:ascii="Times New Roman" w:eastAsia="仿宋_GB2312"/>
          <w:color w:val="000000"/>
          <w:sz w:val="24"/>
          <w:szCs w:val="24"/>
        </w:rPr>
        <w:t>2.4.3 进度付款申请单的提交</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（1）单价合同进度付款申请单提交的约定</w:t>
      </w:r>
      <w:r>
        <w:rPr>
          <w:rFonts w:hint="eastAsia" w:ascii="Times New Roman" w:eastAsia="仿宋_GB2312"/>
          <w:color w:val="000000"/>
          <w:sz w:val="24"/>
          <w:szCs w:val="24"/>
        </w:rPr>
        <w:t>：</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（2）总价合同进度付款申请单提交的约定</w:t>
      </w:r>
      <w:r>
        <w:rPr>
          <w:rFonts w:hint="eastAsia" w:ascii="Times New Roman" w:eastAsia="仿宋_GB2312"/>
          <w:color w:val="000000"/>
          <w:sz w:val="24"/>
          <w:szCs w:val="24"/>
        </w:rPr>
        <w:t>：</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（3）其他价格形式合同进度付款申请单提交的约定：</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12.4.4 进度款审核和支付</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（1）监理人审查并报送发包人的期限：</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发包人完成审批并签发进度款支付证书的期限：</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（2）发包人支付进度款的期限：</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600" w:firstLineChars="250"/>
        <w:jc w:val="left"/>
        <w:rPr>
          <w:rFonts w:ascii="Times New Roman" w:eastAsia="仿宋_GB2312"/>
          <w:color w:val="000000"/>
          <w:sz w:val="24"/>
          <w:szCs w:val="24"/>
          <w:u w:val="single"/>
        </w:rPr>
      </w:pPr>
      <w:r>
        <w:rPr>
          <w:rFonts w:ascii="Times New Roman" w:eastAsia="仿宋_GB2312"/>
          <w:color w:val="000000"/>
          <w:sz w:val="24"/>
          <w:szCs w:val="24"/>
        </w:rPr>
        <w:t>发包人逾期支付进度款的违约金的计算方式：</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600" w:firstLineChars="250"/>
        <w:jc w:val="left"/>
        <w:rPr>
          <w:rFonts w:ascii="Times New Roman" w:eastAsia="仿宋_GB2312"/>
          <w:color w:val="000000"/>
          <w:sz w:val="24"/>
          <w:szCs w:val="24"/>
        </w:rPr>
      </w:pPr>
      <w:r>
        <w:rPr>
          <w:rFonts w:ascii="Times New Roman" w:eastAsia="仿宋_GB2312"/>
          <w:color w:val="000000"/>
          <w:sz w:val="24"/>
          <w:szCs w:val="24"/>
        </w:rPr>
        <w:t>12.4.6 支付分解表的编制</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2、总价合同支付分解表的编制与审批：</w:t>
      </w:r>
      <w:r>
        <w:rPr>
          <w:rFonts w:ascii="Times New Roman" w:eastAsia="仿宋_GB2312"/>
          <w:color w:val="000000"/>
          <w:sz w:val="24"/>
          <w:szCs w:val="24"/>
          <w:u w:val="single"/>
        </w:rPr>
        <w:t xml:space="preserve">                  </w:t>
      </w:r>
    </w:p>
    <w:p>
      <w:pPr>
        <w:spacing w:line="480" w:lineRule="exact"/>
        <w:ind w:left="4800" w:hanging="4800" w:hangingChars="2000"/>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3、单价合同的总价项目支付分解表的编制与审批：</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bookmarkEnd w:id="370"/>
    <w:p>
      <w:pPr>
        <w:pStyle w:val="7"/>
        <w:spacing w:line="480" w:lineRule="exact"/>
        <w:rPr>
          <w:rFonts w:ascii="Times New Roman" w:hAnsi="Times New Roman" w:eastAsia="黑体"/>
          <w:b w:val="0"/>
          <w:color w:val="000000"/>
          <w:sz w:val="24"/>
          <w:szCs w:val="24"/>
        </w:rPr>
      </w:pPr>
      <w:bookmarkStart w:id="541" w:name="_Toc351203645"/>
      <w:bookmarkStart w:id="542" w:name="_Toc300935015"/>
      <w:bookmarkStart w:id="543" w:name="_Toc304295593"/>
      <w:bookmarkStart w:id="544" w:name="_Toc296503219"/>
      <w:bookmarkStart w:id="545" w:name="_Toc297120519"/>
      <w:bookmarkStart w:id="546" w:name="_Toc297048405"/>
      <w:bookmarkStart w:id="547" w:name="_Toc296346720"/>
      <w:bookmarkStart w:id="548" w:name="_Toc292559424"/>
      <w:bookmarkStart w:id="549" w:name="_Toc297216223"/>
      <w:bookmarkStart w:id="550" w:name="_Toc296944558"/>
      <w:bookmarkStart w:id="551" w:name="_Toc296891047"/>
      <w:bookmarkStart w:id="552" w:name="_Toc303539172"/>
      <w:bookmarkStart w:id="553" w:name="_Toc296891259"/>
      <w:bookmarkStart w:id="554" w:name="_Toc292559929"/>
      <w:bookmarkStart w:id="555" w:name="_Toc297123564"/>
      <w:bookmarkStart w:id="556" w:name="_Toc312678053"/>
      <w:bookmarkStart w:id="557" w:name="_Toc296347218"/>
      <w:r>
        <w:rPr>
          <w:rFonts w:ascii="Times New Roman" w:hAnsi="Times New Roman" w:eastAsia="黑体"/>
          <w:b w:val="0"/>
          <w:color w:val="000000"/>
          <w:sz w:val="24"/>
          <w:szCs w:val="24"/>
        </w:rPr>
        <w:t>13.</w:t>
      </w:r>
      <w:r>
        <w:rPr>
          <w:rFonts w:hint="eastAsia" w:ascii="Times New Roman" w:hAnsi="Times New Roman" w:eastAsia="黑体"/>
          <w:b w:val="0"/>
          <w:color w:val="000000"/>
          <w:sz w:val="24"/>
          <w:szCs w:val="24"/>
        </w:rPr>
        <w:t xml:space="preserve"> </w:t>
      </w:r>
      <w:r>
        <w:rPr>
          <w:rFonts w:ascii="Times New Roman" w:hAnsi="Times New Roman" w:eastAsia="黑体"/>
          <w:b w:val="0"/>
          <w:color w:val="000000"/>
          <w:sz w:val="24"/>
          <w:szCs w:val="24"/>
        </w:rPr>
        <w:t>验收和工程试车</w:t>
      </w:r>
      <w:bookmarkEnd w:id="541"/>
    </w:p>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13.1 分部分项工程验收</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13.1.2监理人不能按时进行验收时，应提前</w:t>
      </w:r>
      <w:r>
        <w:rPr>
          <w:rFonts w:ascii="Times New Roman" w:eastAsia="仿宋_GB2312"/>
          <w:sz w:val="24"/>
          <w:szCs w:val="24"/>
          <w:u w:val="single"/>
        </w:rPr>
        <w:t xml:space="preserve">       </w:t>
      </w:r>
      <w:r>
        <w:rPr>
          <w:rFonts w:ascii="Times New Roman" w:eastAsia="仿宋_GB2312"/>
          <w:sz w:val="24"/>
          <w:szCs w:val="24"/>
        </w:rPr>
        <w:t>小时提交书面延期要求。</w:t>
      </w:r>
    </w:p>
    <w:p>
      <w:pPr>
        <w:spacing w:line="480" w:lineRule="exact"/>
        <w:ind w:firstLine="480" w:firstLineChars="200"/>
        <w:jc w:val="left"/>
        <w:rPr>
          <w:rFonts w:ascii="Times New Roman" w:eastAsia="仿宋_GB2312"/>
          <w:b/>
          <w:color w:val="000000"/>
          <w:sz w:val="24"/>
          <w:szCs w:val="24"/>
        </w:rPr>
      </w:pPr>
      <w:r>
        <w:rPr>
          <w:rFonts w:ascii="Times New Roman" w:eastAsia="仿宋_GB2312"/>
          <w:sz w:val="24"/>
          <w:szCs w:val="24"/>
        </w:rPr>
        <w:t>关于延期最长不得超过：</w:t>
      </w:r>
      <w:r>
        <w:rPr>
          <w:rFonts w:ascii="Times New Roman" w:eastAsia="仿宋_GB2312"/>
          <w:sz w:val="24"/>
          <w:szCs w:val="24"/>
          <w:u w:val="single"/>
        </w:rPr>
        <w:t xml:space="preserve">         </w:t>
      </w:r>
      <w:r>
        <w:rPr>
          <w:rFonts w:ascii="Times New Roman" w:eastAsia="仿宋_GB2312"/>
          <w:sz w:val="24"/>
          <w:szCs w:val="24"/>
        </w:rPr>
        <w:t>小时。</w:t>
      </w:r>
    </w:p>
    <w:p>
      <w:pPr>
        <w:spacing w:line="480" w:lineRule="exact"/>
        <w:ind w:firstLine="480" w:firstLineChars="200"/>
        <w:rPr>
          <w:rFonts w:ascii="Times New Roman" w:eastAsia="黑体"/>
          <w:color w:val="000000"/>
          <w:sz w:val="24"/>
          <w:szCs w:val="24"/>
        </w:rPr>
      </w:pPr>
      <w:bookmarkStart w:id="558" w:name="_Toc296944562"/>
      <w:bookmarkStart w:id="559" w:name="_Toc303539173"/>
      <w:bookmarkStart w:id="560" w:name="_Toc296891263"/>
      <w:bookmarkStart w:id="561" w:name="_Toc297216224"/>
      <w:bookmarkStart w:id="562" w:name="_Toc296891051"/>
      <w:bookmarkStart w:id="563" w:name="_Toc297120523"/>
      <w:bookmarkStart w:id="564" w:name="_Toc304295596"/>
      <w:bookmarkStart w:id="565" w:name="_Toc297048409"/>
      <w:bookmarkStart w:id="566" w:name="_Toc292559428"/>
      <w:bookmarkStart w:id="567" w:name="_Toc297123565"/>
      <w:bookmarkStart w:id="568" w:name="_Toc292559933"/>
      <w:bookmarkStart w:id="569" w:name="_Toc300935016"/>
      <w:bookmarkStart w:id="570" w:name="_Toc312678056"/>
      <w:bookmarkStart w:id="571" w:name="_Toc296346724"/>
      <w:bookmarkStart w:id="572" w:name="_Toc296347222"/>
      <w:bookmarkStart w:id="573" w:name="_Toc296503223"/>
      <w:bookmarkStart w:id="574" w:name="_Toc267251470"/>
      <w:bookmarkStart w:id="575" w:name="_Toc267251474"/>
      <w:bookmarkStart w:id="576" w:name="_Toc267251476"/>
      <w:bookmarkStart w:id="577" w:name="_Toc267251471"/>
      <w:bookmarkStart w:id="578" w:name="_Toc267251475"/>
      <w:bookmarkStart w:id="579" w:name="_Toc267251472"/>
      <w:bookmarkStart w:id="580" w:name="_Toc267251473"/>
      <w:r>
        <w:rPr>
          <w:rFonts w:ascii="Times New Roman" w:eastAsia="黑体"/>
          <w:color w:val="000000"/>
          <w:sz w:val="24"/>
          <w:szCs w:val="24"/>
        </w:rPr>
        <w:t>13.2 竣工验收</w:t>
      </w:r>
    </w:p>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Pr>
        <w:spacing w:line="480" w:lineRule="exact"/>
        <w:ind w:firstLine="480" w:firstLineChars="200"/>
        <w:jc w:val="left"/>
        <w:rPr>
          <w:rFonts w:ascii="Times New Roman" w:eastAsia="仿宋_GB2312"/>
          <w:color w:val="000000"/>
          <w:sz w:val="24"/>
          <w:szCs w:val="24"/>
        </w:rPr>
      </w:pPr>
      <w:bookmarkStart w:id="581" w:name="_Toc280868704"/>
      <w:bookmarkStart w:id="582" w:name="_Toc280868705"/>
      <w:bookmarkStart w:id="583" w:name="_Toc280868706"/>
      <w:bookmarkStart w:id="584" w:name="_Toc280868707"/>
      <w:bookmarkStart w:id="585" w:name="_Toc280868708"/>
      <w:bookmarkStart w:id="586" w:name="_Toc280868709"/>
      <w:r>
        <w:rPr>
          <w:rFonts w:ascii="Times New Roman" w:eastAsia="仿宋_GB2312"/>
          <w:color w:val="000000"/>
          <w:sz w:val="24"/>
          <w:szCs w:val="24"/>
        </w:rPr>
        <w:t>13.2.2竣工验收程序</w:t>
      </w:r>
    </w:p>
    <w:bookmarkEnd w:id="581"/>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关于竣工验收程序的约定：</w:t>
      </w:r>
      <w:r>
        <w:rPr>
          <w:rFonts w:ascii="Times New Roman" w:eastAsia="仿宋_GB2312"/>
          <w:color w:val="000000"/>
          <w:sz w:val="24"/>
          <w:szCs w:val="24"/>
          <w:u w:val="single"/>
        </w:rPr>
        <w:t xml:space="preserve">                              </w:t>
      </w:r>
    </w:p>
    <w:p>
      <w:pPr>
        <w:spacing w:line="480" w:lineRule="exact"/>
        <w:ind w:left="4800" w:hanging="4800" w:hangingChars="2000"/>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发包人不按照本项约定组织竣工验收、颁发工程接收证书的违约金的计算方法：</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bookmarkEnd w:id="582"/>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13.2.5移交、接收全部与部分工程</w:t>
      </w:r>
    </w:p>
    <w:bookmarkEnd w:id="583"/>
    <w:p>
      <w:pPr>
        <w:spacing w:line="480" w:lineRule="exact"/>
        <w:ind w:firstLine="480" w:firstLineChars="200"/>
        <w:jc w:val="left"/>
        <w:rPr>
          <w:rFonts w:ascii="Times New Roman" w:eastAsia="仿宋_GB2312"/>
          <w:color w:val="000000"/>
          <w:sz w:val="24"/>
          <w:szCs w:val="24"/>
        </w:rPr>
      </w:pPr>
      <w:r>
        <w:rPr>
          <w:rFonts w:hint="eastAsia" w:ascii="Times New Roman" w:eastAsia="仿宋_GB2312"/>
          <w:color w:val="000000"/>
          <w:sz w:val="24"/>
          <w:szCs w:val="24"/>
        </w:rPr>
        <w:t>承包人向发包人移交工程的期限：</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hint="eastAsia"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发包人未按本合同约定接收全部或部分工程的，违约金的计算方法为：</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bookmarkEnd w:id="584"/>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承包人未按时移交工程的，违约金的计算方法为：</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13.3 工程试车</w:t>
      </w:r>
    </w:p>
    <w:bookmarkEnd w:id="585"/>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13.3.1 试车程序</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工程试车内容：</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（1）单机无负荷试车费用由</w:t>
      </w:r>
      <w:r>
        <w:rPr>
          <w:rFonts w:ascii="Times New Roman" w:eastAsia="仿宋_GB2312"/>
          <w:color w:val="000000"/>
          <w:sz w:val="24"/>
          <w:szCs w:val="24"/>
          <w:u w:val="single"/>
        </w:rPr>
        <w:t xml:space="preserve">                     </w:t>
      </w:r>
      <w:r>
        <w:rPr>
          <w:rFonts w:ascii="Times New Roman" w:eastAsia="仿宋_GB2312"/>
          <w:color w:val="000000"/>
          <w:sz w:val="24"/>
          <w:szCs w:val="24"/>
        </w:rPr>
        <w:t>承担；</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（2）无负荷联动试车费用由</w:t>
      </w:r>
      <w:r>
        <w:rPr>
          <w:rFonts w:ascii="Times New Roman" w:eastAsia="仿宋_GB2312"/>
          <w:color w:val="000000"/>
          <w:sz w:val="24"/>
          <w:szCs w:val="24"/>
          <w:u w:val="single"/>
        </w:rPr>
        <w:t xml:space="preserve">                     </w:t>
      </w:r>
      <w:r>
        <w:rPr>
          <w:rFonts w:ascii="Times New Roman" w:eastAsia="仿宋_GB2312"/>
          <w:color w:val="000000"/>
          <w:sz w:val="24"/>
          <w:szCs w:val="24"/>
        </w:rPr>
        <w:t>承担。</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13.3.3 投料试车</w:t>
      </w:r>
    </w:p>
    <w:p>
      <w:pPr>
        <w:spacing w:line="480" w:lineRule="exact"/>
        <w:ind w:firstLine="480" w:firstLineChars="200"/>
        <w:jc w:val="left"/>
        <w:rPr>
          <w:rFonts w:ascii="Times New Roman" w:eastAsia="仿宋_GB2312"/>
          <w:color w:val="000000"/>
          <w:sz w:val="24"/>
          <w:szCs w:val="24"/>
          <w:u w:val="single"/>
        </w:rPr>
      </w:pPr>
      <w:r>
        <w:rPr>
          <w:rFonts w:hint="eastAsia" w:ascii="Times New Roman" w:eastAsia="仿宋_GB2312"/>
          <w:color w:val="000000"/>
          <w:sz w:val="24"/>
          <w:szCs w:val="24"/>
        </w:rPr>
        <w:t>关于投料试车相关事项的约定：</w:t>
      </w:r>
      <w:r>
        <w:rPr>
          <w:rFonts w:hint="eastAsia"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13.6 竣工退场</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13.6.1 竣工退场</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承包人完成竣工退场的期限：</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pStyle w:val="7"/>
        <w:spacing w:line="480" w:lineRule="exact"/>
        <w:rPr>
          <w:rFonts w:ascii="Times New Roman" w:hAnsi="Times New Roman" w:eastAsia="黑体"/>
          <w:b w:val="0"/>
          <w:color w:val="000000"/>
          <w:sz w:val="24"/>
          <w:szCs w:val="24"/>
        </w:rPr>
      </w:pPr>
      <w:bookmarkStart w:id="587" w:name="_Toc351203646"/>
      <w:r>
        <w:rPr>
          <w:rFonts w:ascii="Times New Roman" w:hAnsi="Times New Roman" w:eastAsia="黑体"/>
          <w:b w:val="0"/>
          <w:color w:val="000000"/>
          <w:sz w:val="24"/>
          <w:szCs w:val="24"/>
        </w:rPr>
        <w:t>14. 竣工结算</w:t>
      </w:r>
      <w:bookmarkEnd w:id="587"/>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14.1 竣工</w:t>
      </w:r>
      <w:r>
        <w:rPr>
          <w:rFonts w:hint="eastAsia" w:ascii="Times New Roman" w:eastAsia="黑体"/>
          <w:color w:val="000000"/>
          <w:sz w:val="24"/>
          <w:szCs w:val="24"/>
        </w:rPr>
        <w:t>结算</w:t>
      </w:r>
      <w:r>
        <w:rPr>
          <w:rFonts w:ascii="Times New Roman" w:eastAsia="黑体"/>
          <w:color w:val="000000"/>
          <w:sz w:val="24"/>
          <w:szCs w:val="24"/>
        </w:rPr>
        <w:t>申请</w:t>
      </w:r>
    </w:p>
    <w:p>
      <w:pPr>
        <w:spacing w:line="480" w:lineRule="exact"/>
        <w:ind w:firstLine="480" w:firstLineChars="200"/>
        <w:jc w:val="left"/>
        <w:rPr>
          <w:rFonts w:ascii="Times New Roman" w:eastAsia="仿宋_GB2312"/>
          <w:color w:val="000000"/>
          <w:sz w:val="24"/>
          <w:szCs w:val="24"/>
        </w:rPr>
      </w:pPr>
      <w:r>
        <w:rPr>
          <w:rFonts w:ascii="Times New Roman" w:eastAsia="仿宋_GB2312"/>
          <w:sz w:val="24"/>
          <w:szCs w:val="24"/>
        </w:rPr>
        <w:t>承包人提交竣工</w:t>
      </w:r>
      <w:r>
        <w:rPr>
          <w:rFonts w:hint="eastAsia" w:ascii="Times New Roman" w:eastAsia="仿宋_GB2312"/>
          <w:sz w:val="24"/>
          <w:szCs w:val="24"/>
        </w:rPr>
        <w:t>结算</w:t>
      </w:r>
      <w:r>
        <w:rPr>
          <w:rFonts w:ascii="Times New Roman" w:eastAsia="仿宋_GB2312"/>
          <w:sz w:val="24"/>
          <w:szCs w:val="24"/>
        </w:rPr>
        <w:t>申请单的期限：</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竣工</w:t>
      </w:r>
      <w:r>
        <w:rPr>
          <w:rFonts w:hint="eastAsia" w:ascii="Times New Roman" w:eastAsia="仿宋_GB2312"/>
          <w:color w:val="000000"/>
          <w:sz w:val="24"/>
          <w:szCs w:val="24"/>
        </w:rPr>
        <w:t>结算</w:t>
      </w:r>
      <w:r>
        <w:rPr>
          <w:rFonts w:ascii="Times New Roman" w:eastAsia="仿宋_GB2312"/>
          <w:color w:val="000000"/>
          <w:sz w:val="24"/>
          <w:szCs w:val="24"/>
        </w:rPr>
        <w:t>申请单应包括的内容：</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jc w:val="left"/>
        <w:rPr>
          <w:rFonts w:ascii="Times New Roman" w:eastAsia="仿宋_GB2312"/>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14.2 竣工结算审核</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发包人</w:t>
      </w:r>
      <w:r>
        <w:rPr>
          <w:rFonts w:hint="eastAsia" w:ascii="Times New Roman" w:eastAsia="仿宋_GB2312"/>
          <w:sz w:val="24"/>
          <w:szCs w:val="24"/>
        </w:rPr>
        <w:t>审批</w:t>
      </w:r>
      <w:r>
        <w:rPr>
          <w:rFonts w:ascii="Times New Roman" w:eastAsia="仿宋_GB2312"/>
          <w:sz w:val="24"/>
          <w:szCs w:val="24"/>
        </w:rPr>
        <w:t>竣工付款申请单的期限：</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sz w:val="24"/>
          <w:szCs w:val="24"/>
        </w:rPr>
        <w:t>发包人完成竣工付款的期限：</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u w:val="single"/>
        </w:rPr>
      </w:pPr>
      <w:r>
        <w:rPr>
          <w:rFonts w:hint="eastAsia" w:ascii="Times New Roman" w:eastAsia="仿宋_GB2312"/>
          <w:color w:val="000000"/>
          <w:sz w:val="24"/>
          <w:szCs w:val="24"/>
        </w:rPr>
        <w:t>关于竣工付款证书异议部分复核的方式和程序：</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14.4 最终结清</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14.4.1 最终结清申请单</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承包人提交最终结清申请单的份数：</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color w:val="000000"/>
          <w:sz w:val="24"/>
          <w:szCs w:val="24"/>
        </w:rPr>
        <w:t>承包人提交最终结算申请单的期限：</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r>
        <w:rPr>
          <w:rFonts w:ascii="Times New Roman" w:eastAsia="仿宋_GB2312"/>
          <w:sz w:val="24"/>
          <w:szCs w:val="24"/>
        </w:rPr>
        <w:t xml:space="preserve"> </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14.4.2 最终结清证书和支付</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（1）发包人完成最终结清申请单的</w:t>
      </w:r>
      <w:r>
        <w:rPr>
          <w:rFonts w:hint="eastAsia" w:ascii="Times New Roman" w:eastAsia="仿宋_GB2312"/>
          <w:sz w:val="24"/>
          <w:szCs w:val="24"/>
        </w:rPr>
        <w:t>审批</w:t>
      </w:r>
      <w:r>
        <w:rPr>
          <w:rFonts w:ascii="Times New Roman" w:eastAsia="仿宋_GB2312"/>
          <w:sz w:val="24"/>
          <w:szCs w:val="24"/>
        </w:rPr>
        <w:t>并颁发最终结清证书的期限：</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（2）发包人完成支付的期限：</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bookmarkEnd w:id="574"/>
    <w:bookmarkEnd w:id="575"/>
    <w:bookmarkEnd w:id="576"/>
    <w:bookmarkEnd w:id="577"/>
    <w:bookmarkEnd w:id="578"/>
    <w:bookmarkEnd w:id="579"/>
    <w:bookmarkEnd w:id="580"/>
    <w:bookmarkEnd w:id="586"/>
    <w:p>
      <w:pPr>
        <w:pStyle w:val="7"/>
        <w:spacing w:line="480" w:lineRule="exact"/>
        <w:rPr>
          <w:rFonts w:ascii="Times New Roman" w:hAnsi="Times New Roman" w:eastAsia="黑体"/>
          <w:b w:val="0"/>
          <w:color w:val="000000"/>
          <w:sz w:val="24"/>
          <w:szCs w:val="24"/>
        </w:rPr>
      </w:pPr>
      <w:bookmarkStart w:id="588" w:name="_Toc351203647"/>
      <w:bookmarkStart w:id="589" w:name="_Toc267251483"/>
      <w:bookmarkStart w:id="590" w:name="_Toc267251484"/>
      <w:bookmarkStart w:id="591" w:name="_Toc267251482"/>
      <w:bookmarkStart w:id="592" w:name="_Toc267251485"/>
      <w:bookmarkStart w:id="593" w:name="_Toc267251486"/>
      <w:bookmarkStart w:id="594" w:name="_Toc267251490"/>
      <w:bookmarkStart w:id="595" w:name="_Toc267251489"/>
      <w:bookmarkStart w:id="596" w:name="_Toc267251488"/>
      <w:bookmarkStart w:id="597" w:name="_Toc267251492"/>
      <w:bookmarkStart w:id="598" w:name="_Toc267251502"/>
      <w:bookmarkStart w:id="599" w:name="_Toc267251493"/>
      <w:bookmarkStart w:id="600" w:name="_Toc267251491"/>
      <w:bookmarkStart w:id="601" w:name="_Toc267251503"/>
      <w:bookmarkStart w:id="602" w:name="_Toc267251498"/>
      <w:bookmarkStart w:id="603" w:name="_Toc267251497"/>
      <w:bookmarkStart w:id="604" w:name="_Toc267251494"/>
      <w:bookmarkStart w:id="605" w:name="_Toc267251496"/>
      <w:bookmarkStart w:id="606" w:name="_Toc267251495"/>
      <w:bookmarkStart w:id="607" w:name="_Toc267251501"/>
      <w:bookmarkStart w:id="608" w:name="_Toc267251499"/>
      <w:bookmarkStart w:id="609" w:name="_Toc267251504"/>
      <w:bookmarkStart w:id="610" w:name="_Toc267251506"/>
      <w:bookmarkStart w:id="611" w:name="_Toc267251507"/>
      <w:bookmarkStart w:id="612" w:name="_Toc267251508"/>
      <w:bookmarkStart w:id="613" w:name="_Toc267251510"/>
      <w:bookmarkStart w:id="614" w:name="_Toc267251513"/>
      <w:bookmarkStart w:id="615" w:name="_Toc267251514"/>
      <w:bookmarkStart w:id="616" w:name="_Toc267251515"/>
      <w:bookmarkStart w:id="617" w:name="_Toc267251511"/>
      <w:bookmarkStart w:id="618" w:name="_Toc267251509"/>
      <w:r>
        <w:rPr>
          <w:rFonts w:ascii="Times New Roman" w:hAnsi="Times New Roman" w:eastAsia="黑体"/>
          <w:b w:val="0"/>
          <w:color w:val="000000"/>
          <w:sz w:val="24"/>
          <w:szCs w:val="24"/>
        </w:rPr>
        <w:t>15. 缺陷责任期与保修</w:t>
      </w:r>
      <w:bookmarkEnd w:id="588"/>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15.2缺陷责任期</w:t>
      </w:r>
      <w:bookmarkEnd w:id="589"/>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缺陷责任期的具体期限：</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15.3 质量保证金</w:t>
      </w:r>
    </w:p>
    <w:p>
      <w:pPr>
        <w:spacing w:line="480" w:lineRule="exact"/>
        <w:ind w:firstLine="480" w:firstLineChars="200"/>
        <w:jc w:val="left"/>
        <w:rPr>
          <w:rFonts w:ascii="Times New Roman" w:eastAsia="仿宋_GB2312"/>
          <w:color w:val="000000"/>
          <w:sz w:val="24"/>
          <w:szCs w:val="24"/>
        </w:rPr>
      </w:pPr>
      <w:r>
        <w:rPr>
          <w:rFonts w:hint="eastAsia" w:ascii="Times New Roman" w:eastAsia="仿宋_GB2312"/>
          <w:color w:val="000000"/>
          <w:sz w:val="24"/>
          <w:szCs w:val="24"/>
        </w:rPr>
        <w:t>关于是否扣留质量保证金的约定：</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r>
        <w:rPr>
          <w:rFonts w:hint="eastAsia" w:eastAsia="仿宋_GB2312"/>
          <w:color w:val="000000"/>
          <w:sz w:val="24"/>
          <w:szCs w:val="24"/>
        </w:rPr>
        <w:t>在工程项目竣工前，承包人按专用合同条款第3.7条提供履约担保的，发包人不得同时预留工程质量保证金。</w:t>
      </w:r>
    </w:p>
    <w:p>
      <w:pPr>
        <w:spacing w:line="480" w:lineRule="exact"/>
        <w:ind w:firstLine="480" w:firstLineChars="200"/>
        <w:jc w:val="left"/>
        <w:outlineLvl w:val="0"/>
        <w:rPr>
          <w:rFonts w:ascii="Times New Roman" w:eastAsia="仿宋_GB2312"/>
          <w:color w:val="000000"/>
          <w:sz w:val="24"/>
          <w:szCs w:val="24"/>
        </w:rPr>
      </w:pPr>
      <w:r>
        <w:rPr>
          <w:rFonts w:ascii="Times New Roman" w:eastAsia="仿宋_GB2312"/>
          <w:color w:val="000000"/>
          <w:sz w:val="24"/>
          <w:szCs w:val="24"/>
        </w:rPr>
        <w:t xml:space="preserve">15.3.1 </w:t>
      </w:r>
      <w:r>
        <w:rPr>
          <w:rFonts w:hint="eastAsia" w:ascii="Times New Roman" w:eastAsia="仿宋_GB2312"/>
          <w:color w:val="000000"/>
          <w:sz w:val="24"/>
          <w:szCs w:val="24"/>
        </w:rPr>
        <w:t>承包人提供</w:t>
      </w:r>
      <w:r>
        <w:rPr>
          <w:rFonts w:ascii="Times New Roman" w:eastAsia="仿宋_GB2312"/>
          <w:color w:val="000000"/>
          <w:sz w:val="24"/>
          <w:szCs w:val="24"/>
        </w:rPr>
        <w:t>质量保证金的</w:t>
      </w:r>
      <w:r>
        <w:rPr>
          <w:rFonts w:hint="eastAsia" w:ascii="Times New Roman" w:eastAsia="仿宋_GB2312"/>
          <w:color w:val="000000"/>
          <w:sz w:val="24"/>
          <w:szCs w:val="24"/>
        </w:rPr>
        <w:t>方</w:t>
      </w:r>
      <w:r>
        <w:rPr>
          <w:rFonts w:ascii="Times New Roman" w:eastAsia="仿宋_GB2312"/>
          <w:color w:val="000000"/>
          <w:sz w:val="24"/>
          <w:szCs w:val="24"/>
        </w:rPr>
        <w:t>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质量保证金采用以下第</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种方式：</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（1）质量保证金保函，保证金额为：</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w:t>
      </w:r>
      <w:r>
        <w:rPr>
          <w:rFonts w:ascii="Times New Roman" w:eastAsia="仿宋_GB2312"/>
          <w:color w:val="000000"/>
          <w:sz w:val="24"/>
          <w:szCs w:val="24"/>
          <w:u w:val="single"/>
        </w:rPr>
        <w:t xml:space="preserve">      </w:t>
      </w:r>
      <w:r>
        <w:rPr>
          <w:rFonts w:ascii="Times New Roman" w:eastAsia="仿宋_GB2312"/>
          <w:color w:val="000000"/>
          <w:sz w:val="24"/>
          <w:szCs w:val="24"/>
        </w:rPr>
        <w:t>%的工程款；</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（3）其他</w:t>
      </w:r>
      <w:r>
        <w:rPr>
          <w:rFonts w:hint="eastAsia" w:ascii="Times New Roman" w:eastAsia="仿宋_GB2312"/>
          <w:color w:val="000000"/>
          <w:sz w:val="24"/>
          <w:szCs w:val="24"/>
        </w:rPr>
        <w:t>方</w:t>
      </w:r>
      <w:r>
        <w:rPr>
          <w:rFonts w:ascii="Times New Roman" w:eastAsia="仿宋_GB2312"/>
          <w:color w:val="000000"/>
          <w:sz w:val="24"/>
          <w:szCs w:val="24"/>
        </w:rPr>
        <w:t>式:</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outlineLvl w:val="0"/>
        <w:rPr>
          <w:rFonts w:ascii="Times New Roman" w:eastAsia="仿宋_GB2312"/>
          <w:color w:val="000000"/>
          <w:sz w:val="24"/>
          <w:szCs w:val="24"/>
        </w:rPr>
      </w:pPr>
      <w:r>
        <w:rPr>
          <w:rFonts w:ascii="Times New Roman" w:eastAsia="仿宋_GB2312"/>
          <w:color w:val="000000"/>
          <w:sz w:val="24"/>
          <w:szCs w:val="24"/>
        </w:rPr>
        <w:t xml:space="preserve">15.3.2 质量保证金的扣留 </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质量保证金的扣留采取以下第</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种方式：</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（1）在支付工程进度款时逐次扣留，在此情形下，质量保证金的计算基数不包括预付款的支付、扣回以及价格调整的金额；</w:t>
      </w:r>
    </w:p>
    <w:p>
      <w:pPr>
        <w:autoSpaceDE w:val="0"/>
        <w:autoSpaceDN w:val="0"/>
        <w:adjustRightInd w:val="0"/>
        <w:spacing w:line="480" w:lineRule="exact"/>
        <w:ind w:firstLine="480" w:firstLineChars="200"/>
        <w:jc w:val="left"/>
        <w:outlineLvl w:val="0"/>
        <w:rPr>
          <w:rFonts w:ascii="Times New Roman" w:eastAsia="仿宋_GB2312"/>
          <w:color w:val="000000"/>
          <w:sz w:val="24"/>
          <w:szCs w:val="24"/>
        </w:rPr>
      </w:pPr>
      <w:r>
        <w:rPr>
          <w:rFonts w:ascii="Times New Roman" w:eastAsia="仿宋_GB2312"/>
          <w:color w:val="000000"/>
          <w:sz w:val="24"/>
          <w:szCs w:val="24"/>
        </w:rPr>
        <w:t>（2）工程竣工结算时一次性扣留质量保证金；</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（3）其他扣留方式:</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关于质量保证金的补充约定：</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hint="eastAsia" w:ascii="Times New Roman" w:eastAsia="仿宋_GB2312"/>
          <w:color w:val="000000"/>
          <w:sz w:val="24"/>
          <w:szCs w:val="24"/>
          <w:u w:val="single"/>
        </w:rPr>
        <w:t xml:space="preserve">                                                         </w:t>
      </w:r>
      <w:r>
        <w:rPr>
          <w:rFonts w:ascii="Times New Roman" w:eastAsia="仿宋_GB2312"/>
          <w:color w:val="000000"/>
          <w:sz w:val="24"/>
          <w:szCs w:val="24"/>
        </w:rPr>
        <w:t>。</w:t>
      </w:r>
    </w:p>
    <w:bookmarkEnd w:id="590"/>
    <w:bookmarkEnd w:id="591"/>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15.4保修</w:t>
      </w:r>
    </w:p>
    <w:bookmarkEnd w:id="592"/>
    <w:p>
      <w:pPr>
        <w:spacing w:line="480" w:lineRule="exact"/>
        <w:ind w:firstLine="468" w:firstLineChars="195"/>
        <w:jc w:val="left"/>
        <w:rPr>
          <w:rFonts w:ascii="Times New Roman" w:eastAsia="仿宋_GB2312"/>
          <w:color w:val="000000"/>
          <w:sz w:val="24"/>
          <w:szCs w:val="24"/>
        </w:rPr>
      </w:pPr>
      <w:r>
        <w:rPr>
          <w:rFonts w:ascii="Times New Roman" w:eastAsia="仿宋_GB2312"/>
          <w:color w:val="000000"/>
          <w:sz w:val="24"/>
          <w:szCs w:val="24"/>
        </w:rPr>
        <w:t>15.4.1 保修责任</w:t>
      </w:r>
    </w:p>
    <w:p>
      <w:pPr>
        <w:spacing w:line="480" w:lineRule="exact"/>
        <w:ind w:firstLine="468" w:firstLineChars="195"/>
        <w:jc w:val="left"/>
        <w:rPr>
          <w:rFonts w:ascii="Times New Roman" w:eastAsia="仿宋_GB2312"/>
          <w:color w:val="000000"/>
          <w:sz w:val="24"/>
          <w:szCs w:val="24"/>
          <w:u w:val="single"/>
        </w:rPr>
      </w:pPr>
      <w:r>
        <w:rPr>
          <w:rFonts w:ascii="Times New Roman" w:eastAsia="仿宋_GB2312"/>
          <w:color w:val="000000"/>
          <w:sz w:val="24"/>
          <w:szCs w:val="24"/>
        </w:rPr>
        <w:t>工程保修期为：</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68" w:firstLineChars="195"/>
        <w:jc w:val="left"/>
        <w:rPr>
          <w:rFonts w:ascii="Times New Roman" w:eastAsia="仿宋_GB2312"/>
          <w:color w:val="000000"/>
          <w:sz w:val="24"/>
          <w:szCs w:val="24"/>
        </w:rPr>
      </w:pPr>
      <w:r>
        <w:rPr>
          <w:rFonts w:ascii="Times New Roman" w:eastAsia="仿宋_GB2312"/>
          <w:color w:val="000000"/>
          <w:sz w:val="24"/>
          <w:szCs w:val="24"/>
        </w:rPr>
        <w:t>15.4.3 修复通知</w:t>
      </w:r>
    </w:p>
    <w:p>
      <w:pPr>
        <w:spacing w:line="480" w:lineRule="exact"/>
        <w:ind w:firstLine="468" w:firstLineChars="195"/>
        <w:jc w:val="left"/>
        <w:rPr>
          <w:rFonts w:ascii="Times New Roman" w:eastAsia="仿宋_GB2312"/>
          <w:color w:val="000000"/>
          <w:sz w:val="24"/>
          <w:szCs w:val="24"/>
          <w:u w:val="single"/>
        </w:rPr>
      </w:pPr>
      <w:r>
        <w:rPr>
          <w:rFonts w:ascii="Times New Roman" w:eastAsia="仿宋_GB2312"/>
          <w:color w:val="000000"/>
          <w:sz w:val="24"/>
          <w:szCs w:val="24"/>
        </w:rPr>
        <w:t>承包人收到保修通知并到达工程现场的合理时间：</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bookmarkEnd w:id="593"/>
    <w:bookmarkEnd w:id="594"/>
    <w:bookmarkEnd w:id="595"/>
    <w:bookmarkEnd w:id="596"/>
    <w:p>
      <w:pPr>
        <w:pStyle w:val="7"/>
        <w:spacing w:line="480" w:lineRule="exact"/>
        <w:rPr>
          <w:rFonts w:ascii="Times New Roman" w:hAnsi="Times New Roman" w:eastAsia="黑体"/>
          <w:b w:val="0"/>
          <w:color w:val="000000"/>
          <w:sz w:val="24"/>
          <w:szCs w:val="24"/>
        </w:rPr>
      </w:pPr>
      <w:bookmarkStart w:id="619" w:name="_Toc351203648"/>
      <w:bookmarkStart w:id="620" w:name="_Toc280868717"/>
      <w:bookmarkStart w:id="621" w:name="_Toc280868718"/>
      <w:r>
        <w:rPr>
          <w:rFonts w:ascii="Times New Roman" w:hAnsi="Times New Roman" w:eastAsia="黑体"/>
          <w:b w:val="0"/>
          <w:color w:val="000000"/>
          <w:sz w:val="24"/>
          <w:szCs w:val="24"/>
        </w:rPr>
        <w:t>16. 违约</w:t>
      </w:r>
      <w:bookmarkEnd w:id="619"/>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16.1 发包人违约</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16.1.1发包人违约的情形</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发包人违约的其他情形：</w:t>
      </w:r>
      <w:r>
        <w:rPr>
          <w:rFonts w:ascii="Times New Roman" w:eastAsia="仿宋_GB2312"/>
          <w:color w:val="000000"/>
          <w:sz w:val="24"/>
          <w:szCs w:val="24"/>
          <w:u w:val="single"/>
        </w:rPr>
        <w:t xml:space="preserve">                                </w:t>
      </w:r>
    </w:p>
    <w:p>
      <w:pPr>
        <w:spacing w:line="480" w:lineRule="exact"/>
        <w:ind w:left="1200" w:hanging="1200" w:hangingChars="500"/>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left="1200" w:hanging="1200" w:hangingChars="500"/>
        <w:jc w:val="left"/>
        <w:rPr>
          <w:rFonts w:ascii="Times New Roman" w:eastAsia="仿宋_GB2312"/>
          <w:color w:val="000000"/>
          <w:sz w:val="24"/>
          <w:szCs w:val="24"/>
        </w:rPr>
      </w:pPr>
      <w:r>
        <w:rPr>
          <w:rFonts w:ascii="Times New Roman" w:eastAsia="仿宋_GB2312"/>
          <w:color w:val="000000"/>
          <w:sz w:val="24"/>
          <w:szCs w:val="24"/>
        </w:rPr>
        <w:t xml:space="preserve">    16.1.2 发包人违约的责任</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发包人违约责任的承担方式和计算方法：</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（1）因发包人原因未能在计划开工日期前7天内下达开工通知的违约责任：</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（2）因发包人原因未能按合同约定支付合同价款的违约责任：</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（3）发包人违反第10.1款</w:t>
      </w:r>
      <w:r>
        <w:rPr>
          <w:rFonts w:hint="eastAsia" w:ascii="Times New Roman" w:eastAsia="仿宋_GB2312"/>
          <w:color w:val="000000"/>
          <w:sz w:val="24"/>
          <w:szCs w:val="24"/>
        </w:rPr>
        <w:t>〔</w:t>
      </w:r>
      <w:r>
        <w:rPr>
          <w:rFonts w:ascii="Times New Roman" w:eastAsia="仿宋_GB2312"/>
          <w:color w:val="000000"/>
          <w:sz w:val="24"/>
          <w:szCs w:val="24"/>
        </w:rPr>
        <w:t>变更的范围</w:t>
      </w:r>
      <w:r>
        <w:rPr>
          <w:rFonts w:hint="eastAsia" w:ascii="Times New Roman" w:eastAsia="仿宋_GB2312"/>
          <w:color w:val="000000"/>
          <w:sz w:val="24"/>
          <w:szCs w:val="24"/>
        </w:rPr>
        <w:t>〕</w:t>
      </w:r>
      <w:r>
        <w:rPr>
          <w:rFonts w:ascii="Times New Roman" w:eastAsia="仿宋_GB2312"/>
          <w:color w:val="000000"/>
          <w:sz w:val="24"/>
          <w:szCs w:val="24"/>
        </w:rPr>
        <w:t>第（2）项约定，自行实施被取消的工作或转由他人实施的违约责任：</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（4）发包人提供的材料、工程设备的规格、数量或质量不符合合同约定，或因发包人原因导致交货日期延误或交货地点变更等情况的违约责任：</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（5）因发包人违反合同约定造成暂停施工的违约责任：</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（6）发包人无正当理由没有在约定期限内发出复工指示，导致承包人无法复工的违约责任：</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（7）</w:t>
      </w:r>
      <w:r>
        <w:rPr>
          <w:rFonts w:hint="eastAsia" w:ascii="Times New Roman" w:eastAsia="仿宋_GB2312"/>
          <w:color w:val="000000"/>
          <w:sz w:val="24"/>
          <w:szCs w:val="24"/>
        </w:rPr>
        <w:t>其他：</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16.1.3 因发包人违约解除合同</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承包人按16.1.1项</w:t>
      </w:r>
      <w:r>
        <w:rPr>
          <w:rFonts w:hint="eastAsia" w:ascii="Times New Roman" w:eastAsia="仿宋_GB2312"/>
          <w:color w:val="000000"/>
          <w:sz w:val="24"/>
          <w:szCs w:val="24"/>
        </w:rPr>
        <w:t>〔</w:t>
      </w:r>
      <w:r>
        <w:rPr>
          <w:rFonts w:ascii="Times New Roman" w:eastAsia="仿宋_GB2312"/>
          <w:color w:val="000000"/>
          <w:sz w:val="24"/>
          <w:szCs w:val="24"/>
        </w:rPr>
        <w:t>发包人违约的情形</w:t>
      </w:r>
      <w:r>
        <w:rPr>
          <w:rFonts w:hint="eastAsia" w:ascii="Times New Roman" w:eastAsia="仿宋_GB2312"/>
          <w:color w:val="000000"/>
          <w:sz w:val="24"/>
          <w:szCs w:val="24"/>
        </w:rPr>
        <w:t>〕</w:t>
      </w:r>
      <w:r>
        <w:rPr>
          <w:rFonts w:ascii="Times New Roman" w:eastAsia="仿宋_GB2312"/>
          <w:color w:val="000000"/>
          <w:sz w:val="24"/>
          <w:szCs w:val="24"/>
        </w:rPr>
        <w:t>约定暂停施工满</w:t>
      </w:r>
      <w:r>
        <w:rPr>
          <w:rFonts w:ascii="Times New Roman" w:eastAsia="仿宋_GB2312"/>
          <w:color w:val="000000"/>
          <w:sz w:val="24"/>
          <w:szCs w:val="24"/>
          <w:u w:val="single"/>
        </w:rPr>
        <w:t xml:space="preserve">    </w:t>
      </w:r>
      <w:r>
        <w:rPr>
          <w:rFonts w:ascii="Times New Roman" w:eastAsia="仿宋_GB2312"/>
          <w:color w:val="000000"/>
          <w:sz w:val="24"/>
          <w:szCs w:val="24"/>
        </w:rPr>
        <w:t>天后发包人仍不纠正其违约行为并致使合同目的不能实现的，承包人有权解除合同。</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16.2 承包人违约</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16.2.1 承包人违约的情形</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承包人违约的其他情形：</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16.2.2承包人违约的责任</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承包人违约责任的承担方式和计算方法：</w:t>
      </w:r>
      <w:r>
        <w:rPr>
          <w:rFonts w:ascii="Times New Roman" w:eastAsia="仿宋_GB2312"/>
          <w:color w:val="000000"/>
          <w:sz w:val="24"/>
          <w:szCs w:val="24"/>
          <w:u w:val="single"/>
        </w:rPr>
        <w:t xml:space="preserve">                  </w:t>
      </w:r>
    </w:p>
    <w:p>
      <w:pPr>
        <w:spacing w:line="480" w:lineRule="exact"/>
        <w:ind w:left="1200" w:hanging="1200" w:hangingChars="500"/>
        <w:jc w:val="left"/>
        <w:rPr>
          <w:rFonts w:ascii="Times New Roman" w:eastAsia="仿宋_GB2312"/>
          <w:color w:val="000000"/>
          <w:sz w:val="24"/>
          <w:szCs w:val="24"/>
          <w:u w:val="single"/>
        </w:rPr>
      </w:pP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16.2.3 因承包人违约解除合同</w:t>
      </w:r>
    </w:p>
    <w:p>
      <w:pPr>
        <w:spacing w:before="120" w:after="120"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关于承包人违约解除合同的特别约定：</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before="120" w:after="120" w:line="480" w:lineRule="exac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before="120" w:after="120"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w:t>
      </w:r>
      <w:r>
        <w:rPr>
          <w:rFonts w:hint="eastAsia" w:ascii="Times New Roman" w:eastAsia="仿宋_GB2312"/>
          <w:color w:val="000000"/>
          <w:sz w:val="24"/>
          <w:szCs w:val="24"/>
        </w:rPr>
        <w:t>继续</w:t>
      </w:r>
      <w:r>
        <w:rPr>
          <w:rFonts w:ascii="Times New Roman" w:eastAsia="仿宋_GB2312"/>
          <w:color w:val="000000"/>
          <w:sz w:val="24"/>
          <w:szCs w:val="24"/>
        </w:rPr>
        <w:t>使用承包人在施工现场的材料、设备、临时工程、承包人文件和由承包人或以其名义编制的其他文件</w:t>
      </w:r>
      <w:r>
        <w:rPr>
          <w:rFonts w:hint="eastAsia" w:ascii="Times New Roman" w:eastAsia="仿宋_GB2312"/>
          <w:color w:val="000000"/>
          <w:sz w:val="24"/>
          <w:szCs w:val="24"/>
        </w:rPr>
        <w:t>的费用承担方式</w:t>
      </w:r>
      <w:r>
        <w:rPr>
          <w:rFonts w:ascii="Times New Roman" w:eastAsia="仿宋_GB2312"/>
          <w:color w:val="000000"/>
          <w:sz w:val="24"/>
          <w:szCs w:val="24"/>
        </w:rPr>
        <w:t>：</w:t>
      </w:r>
    </w:p>
    <w:p>
      <w:pPr>
        <w:spacing w:before="120" w:after="120" w:line="480" w:lineRule="exact"/>
        <w:ind w:firstLine="480" w:firstLineChars="200"/>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rPr>
        <w:t>。</w:t>
      </w:r>
    </w:p>
    <w:p>
      <w:pPr>
        <w:pStyle w:val="7"/>
        <w:spacing w:line="480" w:lineRule="exact"/>
        <w:rPr>
          <w:rFonts w:ascii="Times New Roman" w:hAnsi="Times New Roman" w:eastAsia="黑体"/>
          <w:b w:val="0"/>
          <w:color w:val="000000"/>
          <w:sz w:val="24"/>
          <w:szCs w:val="24"/>
        </w:rPr>
      </w:pPr>
      <w:bookmarkStart w:id="622" w:name="_Toc351203649"/>
      <w:r>
        <w:rPr>
          <w:rFonts w:ascii="Times New Roman" w:hAnsi="Times New Roman" w:eastAsia="黑体"/>
          <w:b w:val="0"/>
          <w:color w:val="000000"/>
          <w:sz w:val="24"/>
          <w:szCs w:val="24"/>
        </w:rPr>
        <w:t>17. 不可抗力</w:t>
      </w:r>
      <w:bookmarkEnd w:id="622"/>
      <w:r>
        <w:rPr>
          <w:rFonts w:ascii="Times New Roman" w:hAnsi="Times New Roman" w:eastAsia="黑体"/>
          <w:b w:val="0"/>
          <w:color w:val="000000"/>
          <w:sz w:val="24"/>
          <w:szCs w:val="24"/>
        </w:rPr>
        <w:t xml:space="preserve"> </w:t>
      </w:r>
      <w:bookmarkEnd w:id="620"/>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17.1 不可抗力的确认</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 xml:space="preserve">除通用合同条款约定的不可抗力事件之外，视为不可抗力的其他情形：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17.4 因不可抗力解除合同</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合同解除后，发包人应在商定或确定发包人应支付款项后</w:t>
      </w:r>
      <w:r>
        <w:rPr>
          <w:rFonts w:ascii="Times New Roman" w:eastAsia="仿宋_GB2312"/>
          <w:color w:val="000000"/>
          <w:sz w:val="24"/>
          <w:szCs w:val="24"/>
          <w:u w:val="single"/>
        </w:rPr>
        <w:t xml:space="preserve">    </w:t>
      </w:r>
      <w:r>
        <w:rPr>
          <w:rFonts w:ascii="Times New Roman" w:eastAsia="仿宋_GB2312"/>
          <w:color w:val="000000"/>
          <w:sz w:val="24"/>
          <w:szCs w:val="24"/>
        </w:rPr>
        <w:t>天内完成款项的支付。</w:t>
      </w:r>
    </w:p>
    <w:p>
      <w:pPr>
        <w:pStyle w:val="7"/>
        <w:spacing w:line="480" w:lineRule="exact"/>
        <w:rPr>
          <w:rFonts w:ascii="Times New Roman" w:hAnsi="Times New Roman" w:eastAsia="黑体"/>
          <w:b w:val="0"/>
          <w:color w:val="000000"/>
          <w:sz w:val="24"/>
          <w:szCs w:val="24"/>
        </w:rPr>
      </w:pPr>
      <w:bookmarkStart w:id="623" w:name="_Toc351203650"/>
      <w:r>
        <w:rPr>
          <w:rFonts w:ascii="Times New Roman" w:hAnsi="Times New Roman" w:eastAsia="黑体"/>
          <w:b w:val="0"/>
          <w:color w:val="000000"/>
          <w:sz w:val="24"/>
          <w:szCs w:val="24"/>
        </w:rPr>
        <w:t>18. 保险</w:t>
      </w:r>
      <w:bookmarkEnd w:id="623"/>
    </w:p>
    <w:bookmarkEnd w:id="621"/>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18.1 工程保险</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关于工程保险的特别约定：</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18.3 其他保险</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关于其他保险的约定：</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承包人是否应为其施工设备等办理财产保险：</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18.7 通知义务</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关于变更保险合同时的通知义务的约定：</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bookmarkEnd w:id="597"/>
    <w:bookmarkEnd w:id="598"/>
    <w:bookmarkEnd w:id="599"/>
    <w:bookmarkEnd w:id="600"/>
    <w:bookmarkEnd w:id="601"/>
    <w:bookmarkEnd w:id="602"/>
    <w:bookmarkEnd w:id="603"/>
    <w:bookmarkEnd w:id="604"/>
    <w:bookmarkEnd w:id="605"/>
    <w:bookmarkEnd w:id="606"/>
    <w:bookmarkEnd w:id="607"/>
    <w:bookmarkEnd w:id="608"/>
    <w:p>
      <w:pPr>
        <w:pStyle w:val="7"/>
        <w:spacing w:line="480" w:lineRule="exact"/>
        <w:rPr>
          <w:rFonts w:ascii="Times New Roman" w:hAnsi="Times New Roman" w:eastAsia="黑体"/>
          <w:b w:val="0"/>
          <w:color w:val="000000"/>
          <w:sz w:val="24"/>
          <w:szCs w:val="24"/>
        </w:rPr>
      </w:pPr>
      <w:bookmarkStart w:id="624" w:name="_Toc351203651"/>
      <w:r>
        <w:rPr>
          <w:rFonts w:ascii="Times New Roman" w:hAnsi="Times New Roman" w:eastAsia="黑体"/>
          <w:b w:val="0"/>
          <w:color w:val="000000"/>
          <w:sz w:val="24"/>
          <w:szCs w:val="24"/>
        </w:rPr>
        <w:t>20. 争议解决</w:t>
      </w:r>
      <w:bookmarkEnd w:id="624"/>
    </w:p>
    <w:bookmarkEnd w:id="609"/>
    <w:bookmarkEnd w:id="610"/>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20.3 争</w:t>
      </w:r>
      <w:bookmarkEnd w:id="611"/>
      <w:r>
        <w:rPr>
          <w:rFonts w:ascii="Times New Roman" w:eastAsia="黑体"/>
          <w:color w:val="000000"/>
          <w:sz w:val="24"/>
          <w:szCs w:val="24"/>
        </w:rPr>
        <w:t>议评审</w:t>
      </w:r>
    </w:p>
    <w:p>
      <w:pPr>
        <w:spacing w:line="480" w:lineRule="exact"/>
        <w:ind w:left="241" w:leftChars="71" w:firstLine="360" w:firstLineChars="150"/>
        <w:jc w:val="left"/>
        <w:rPr>
          <w:rFonts w:ascii="Times New Roman" w:eastAsia="仿宋_GB2312"/>
          <w:color w:val="000000"/>
          <w:sz w:val="24"/>
          <w:szCs w:val="24"/>
          <w:u w:val="single"/>
        </w:rPr>
      </w:pPr>
      <w:r>
        <w:rPr>
          <w:rFonts w:ascii="Times New Roman" w:eastAsia="仿宋_GB2312"/>
          <w:color w:val="000000"/>
          <w:sz w:val="24"/>
          <w:szCs w:val="24"/>
        </w:rPr>
        <w:t>合同当事人是否同意将工程争议提交争议评审小组决</w:t>
      </w:r>
      <w:r>
        <w:rPr>
          <w:rFonts w:hint="eastAsia" w:ascii="Times New Roman" w:eastAsia="仿宋_GB2312"/>
          <w:color w:val="000000"/>
          <w:sz w:val="24"/>
          <w:szCs w:val="24"/>
        </w:rPr>
        <w:t>定：</w:t>
      </w:r>
      <w:r>
        <w:rPr>
          <w:rFonts w:hint="eastAsia"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hint="eastAsia" w:ascii="Times New Roman" w:eastAsia="仿宋_GB2312"/>
          <w:color w:val="000000"/>
          <w:sz w:val="24"/>
          <w:szCs w:val="24"/>
          <w:u w:val="single"/>
        </w:rPr>
        <w:t xml:space="preserve">                                                         </w:t>
      </w:r>
      <w:r>
        <w:rPr>
          <w:rFonts w:hint="eastAsia" w:ascii="Times New Roman" w:eastAsia="仿宋_GB2312"/>
          <w:color w:val="000000"/>
          <w:sz w:val="24"/>
          <w:szCs w:val="24"/>
        </w:rPr>
        <w:t xml:space="preserve">。  </w:t>
      </w:r>
    </w:p>
    <w:p>
      <w:pPr>
        <w:spacing w:line="480" w:lineRule="exact"/>
        <w:ind w:firstLine="480" w:firstLineChars="200"/>
        <w:jc w:val="left"/>
        <w:outlineLvl w:val="0"/>
        <w:rPr>
          <w:rFonts w:ascii="Times New Roman" w:eastAsia="仿宋_GB2312"/>
          <w:color w:val="000000"/>
          <w:sz w:val="24"/>
          <w:szCs w:val="24"/>
        </w:rPr>
      </w:pPr>
      <w:r>
        <w:rPr>
          <w:rFonts w:ascii="Times New Roman" w:eastAsia="仿宋_GB2312"/>
          <w:color w:val="000000"/>
          <w:sz w:val="24"/>
          <w:szCs w:val="24"/>
        </w:rPr>
        <w:t>20.3.1 争议评审小组的确定</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争议评审小组成员的确定：</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选定争议评审员的期限：</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争议评审小组成员的报酬承担方式：</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其他事项的约定：</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autoSpaceDE w:val="0"/>
        <w:autoSpaceDN w:val="0"/>
        <w:adjustRightInd w:val="0"/>
        <w:spacing w:line="480" w:lineRule="exact"/>
        <w:ind w:firstLine="480" w:firstLineChars="200"/>
        <w:jc w:val="left"/>
        <w:outlineLvl w:val="0"/>
        <w:rPr>
          <w:rFonts w:ascii="Times New Roman" w:eastAsia="仿宋_GB2312"/>
          <w:color w:val="000000"/>
          <w:sz w:val="24"/>
          <w:szCs w:val="24"/>
        </w:rPr>
      </w:pPr>
      <w:r>
        <w:rPr>
          <w:rFonts w:ascii="Times New Roman" w:eastAsia="仿宋_GB2312"/>
          <w:color w:val="000000"/>
          <w:sz w:val="24"/>
          <w:szCs w:val="24"/>
        </w:rPr>
        <w:t>20.3.2 争议评审小组的决定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合同当事人关于本项的约定：</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20.4仲裁或诉讼</w:t>
      </w:r>
      <w:bookmarkEnd w:id="612"/>
    </w:p>
    <w:p>
      <w:pPr>
        <w:spacing w:after="120" w:line="480" w:lineRule="exact"/>
        <w:ind w:firstLine="480" w:firstLineChars="200"/>
        <w:rPr>
          <w:rFonts w:ascii="Times New Roman" w:eastAsia="黑体"/>
          <w:color w:val="000000"/>
          <w:sz w:val="24"/>
          <w:szCs w:val="24"/>
        </w:rPr>
      </w:pPr>
      <w:r>
        <w:rPr>
          <w:rFonts w:ascii="Times New Roman" w:eastAsia="仿宋_GB2312"/>
          <w:color w:val="000000"/>
          <w:sz w:val="24"/>
          <w:szCs w:val="24"/>
        </w:rPr>
        <w:t>因合同及合同有关事项发生的争议，按下列第</w:t>
      </w:r>
      <w:r>
        <w:rPr>
          <w:rFonts w:ascii="Times New Roman" w:eastAsia="仿宋_GB2312"/>
          <w:color w:val="000000"/>
          <w:sz w:val="24"/>
          <w:szCs w:val="24"/>
          <w:u w:val="single"/>
        </w:rPr>
        <w:t xml:space="preserve">     </w:t>
      </w:r>
      <w:r>
        <w:rPr>
          <w:rFonts w:ascii="Times New Roman" w:eastAsia="仿宋_GB2312"/>
          <w:color w:val="000000"/>
          <w:sz w:val="24"/>
          <w:szCs w:val="24"/>
        </w:rPr>
        <w:t>种方式</w:t>
      </w:r>
      <w:r>
        <w:rPr>
          <w:rFonts w:hint="eastAsia" w:ascii="Times New Roman" w:eastAsia="仿宋_GB2312"/>
          <w:color w:val="000000"/>
          <w:sz w:val="24"/>
          <w:szCs w:val="24"/>
        </w:rPr>
        <w:t>解</w:t>
      </w:r>
      <w:r>
        <w:rPr>
          <w:rFonts w:ascii="Times New Roman" w:eastAsia="仿宋_GB2312"/>
          <w:color w:val="000000"/>
          <w:sz w:val="24"/>
          <w:szCs w:val="24"/>
        </w:rPr>
        <w:t>决：</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（1）向</w:t>
      </w:r>
      <w:r>
        <w:rPr>
          <w:rFonts w:ascii="Times New Roman" w:eastAsia="仿宋_GB2312"/>
          <w:color w:val="000000"/>
          <w:sz w:val="24"/>
          <w:szCs w:val="24"/>
          <w:u w:val="single"/>
        </w:rPr>
        <w:t xml:space="preserve">                     </w:t>
      </w:r>
      <w:r>
        <w:rPr>
          <w:rFonts w:ascii="Times New Roman" w:eastAsia="仿宋_GB2312"/>
          <w:color w:val="000000"/>
          <w:sz w:val="24"/>
          <w:szCs w:val="24"/>
        </w:rPr>
        <w:t>仲裁委员会申请仲裁；</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（2）向</w:t>
      </w:r>
      <w:r>
        <w:rPr>
          <w:rFonts w:ascii="Times New Roman" w:eastAsia="仿宋_GB2312"/>
          <w:color w:val="000000"/>
          <w:sz w:val="24"/>
          <w:szCs w:val="24"/>
          <w:u w:val="single"/>
        </w:rPr>
        <w:t xml:space="preserve">                     </w:t>
      </w:r>
      <w:r>
        <w:rPr>
          <w:rFonts w:ascii="Times New Roman" w:eastAsia="仿宋_GB2312"/>
          <w:color w:val="000000"/>
          <w:sz w:val="24"/>
          <w:szCs w:val="24"/>
        </w:rPr>
        <w:t>人民法院起诉。</w:t>
      </w:r>
      <w:bookmarkEnd w:id="613"/>
      <w:bookmarkEnd w:id="614"/>
      <w:bookmarkEnd w:id="615"/>
      <w:bookmarkEnd w:id="616"/>
      <w:bookmarkEnd w:id="617"/>
      <w:bookmarkEnd w:id="618"/>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本工程使用《建设工程工程量清单计价规范》（GB50500-2013）</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tabs>
          <w:tab w:val="left" w:pos="0"/>
        </w:tabs>
        <w:spacing w:line="440" w:lineRule="exact"/>
        <w:ind w:left="321" w:firstLine="112" w:firstLineChars="47"/>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spacing w:line="440" w:lineRule="exact"/>
        <w:ind w:firstLine="237" w:firstLineChars="99"/>
        <w:rPr>
          <w:rFonts w:ascii="新宋体" w:hAnsi="新宋体" w:eastAsia="新宋体"/>
          <w:sz w:val="24"/>
        </w:rPr>
      </w:pPr>
      <w:r>
        <w:rPr>
          <w:rFonts w:hint="eastAsia" w:ascii="新宋体" w:hAnsi="新宋体" w:eastAsia="新宋体"/>
          <w:sz w:val="24"/>
        </w:rPr>
        <w:t>2.1 投标报价应根据招标文件中的有关计价要求，并按照下列依据自主报价。</w:t>
      </w:r>
    </w:p>
    <w:p>
      <w:pPr>
        <w:spacing w:line="440" w:lineRule="exact"/>
        <w:ind w:firstLine="240" w:firstLineChars="100"/>
        <w:rPr>
          <w:rFonts w:ascii="新宋体" w:hAnsi="新宋体" w:eastAsia="新宋体"/>
          <w:sz w:val="24"/>
        </w:rPr>
      </w:pPr>
      <w:r>
        <w:rPr>
          <w:rFonts w:hint="eastAsia" w:hAnsi="宋体" w:cs="宋体"/>
          <w:sz w:val="24"/>
          <w:szCs w:val="22"/>
        </w:rPr>
        <w:t>（1）本</w:t>
      </w:r>
      <w:r>
        <w:rPr>
          <w:rFonts w:hint="eastAsia" w:ascii="新宋体" w:hAnsi="新宋体" w:eastAsia="新宋体"/>
          <w:sz w:val="24"/>
        </w:rPr>
        <w:t>招标文件；</w:t>
      </w:r>
    </w:p>
    <w:p>
      <w:pPr>
        <w:spacing w:line="440" w:lineRule="exact"/>
        <w:ind w:firstLine="240" w:firstLineChars="100"/>
        <w:rPr>
          <w:rFonts w:hAnsi="宋体" w:cs="宋体"/>
          <w:sz w:val="24"/>
        </w:rPr>
      </w:pPr>
      <w:r>
        <w:rPr>
          <w:rFonts w:hint="eastAsia" w:hAnsi="宋体" w:cs="宋体"/>
          <w:sz w:val="24"/>
        </w:rPr>
        <w:t>（2）《建设工程工程量清单计价规范》GB 50500-2013、《河南省市政工程预算定额》（2016）、《河南省房屋建筑与装饰工程预算定额》（2016）、《河南省通用安装工程预算定额》（2016）及其相关配套文件；</w:t>
      </w:r>
    </w:p>
    <w:p>
      <w:pPr>
        <w:spacing w:line="440" w:lineRule="exact"/>
        <w:ind w:firstLine="240" w:firstLineChars="100"/>
        <w:rPr>
          <w:rFonts w:hAnsi="宋体" w:cs="宋体"/>
          <w:sz w:val="24"/>
        </w:rPr>
      </w:pPr>
      <w:r>
        <w:rPr>
          <w:rFonts w:hint="eastAsia" w:hAnsi="宋体" w:cs="宋体"/>
          <w:sz w:val="24"/>
        </w:rPr>
        <w:t>（3）材料价格参考2019年【许昌市建设工程材料价格信息】4月份价格，不足部分按市场询价价格计入；</w:t>
      </w:r>
    </w:p>
    <w:p>
      <w:pPr>
        <w:spacing w:line="440" w:lineRule="exact"/>
        <w:ind w:firstLine="240" w:firstLineChars="100"/>
        <w:rPr>
          <w:rFonts w:hAnsi="宋体" w:cs="宋体"/>
          <w:sz w:val="24"/>
        </w:rPr>
      </w:pPr>
      <w:r>
        <w:rPr>
          <w:rFonts w:hint="eastAsia" w:hAnsi="宋体" w:cs="宋体"/>
          <w:sz w:val="24"/>
        </w:rPr>
        <w:t>（4）税金执行建办标函【2019】193号文计入；</w:t>
      </w:r>
    </w:p>
    <w:p>
      <w:pPr>
        <w:spacing w:line="440" w:lineRule="exact"/>
        <w:ind w:firstLine="240" w:firstLineChars="100"/>
        <w:rPr>
          <w:rFonts w:hAnsi="宋体" w:cs="宋体"/>
          <w:sz w:val="24"/>
        </w:rPr>
      </w:pPr>
      <w:r>
        <w:rPr>
          <w:rFonts w:hint="eastAsia" w:hAnsi="宋体" w:cs="宋体"/>
          <w:sz w:val="24"/>
        </w:rPr>
        <w:t>（5）人工费指数、机械类指数及管理费价格指数按豫建标定【2016】40号文及豫建标定【2018】40号文计取；</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2.2 工程量清单中的每一子目须填入单价或价格，且只允许有一个报价。</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2.3 工程量清单中标价的单价或金额，应包括所需人工费、材料费、施工机械使用费和管理费及利润，以及一定范围内的风险费用。所谓“一定范围内的风险”是指合同约定的风险。</w:t>
      </w:r>
    </w:p>
    <w:p>
      <w:pPr>
        <w:spacing w:line="430" w:lineRule="exact"/>
        <w:ind w:firstLine="240" w:firstLineChars="1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2.9 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2.10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ascii="新宋体" w:hAnsi="新宋体" w:eastAsia="新宋体"/>
          <w:b/>
          <w:sz w:val="24"/>
        </w:rPr>
      </w:pPr>
      <w:r>
        <w:rPr>
          <w:rFonts w:hint="eastAsia" w:ascii="新宋体" w:hAnsi="新宋体" w:eastAsia="新宋体"/>
          <w:b/>
          <w:sz w:val="24"/>
        </w:rPr>
        <w:t>2.11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2.11.1“规费和税金”的规定按照住建部《建设工程工程量清单计价规范》（GB50500-2013）及省住建厅有关规定，规费和税金应按规定费（税）率足额计取，即费（税）率不可竞争。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2.12.2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sz w:val="24"/>
          <w:u w:val="single"/>
        </w:rPr>
      </w:pPr>
      <w:r>
        <w:rPr>
          <w:rFonts w:hint="eastAsia" w:ascii="新宋体" w:hAnsi="新宋体" w:eastAsia="新宋体"/>
          <w:sz w:val="24"/>
          <w:u w:val="single"/>
        </w:rPr>
        <w:t xml:space="preserve">                                                                     ；</w:t>
      </w:r>
    </w:p>
    <w:p>
      <w:pPr>
        <w:spacing w:line="440" w:lineRule="exact"/>
        <w:rPr>
          <w:rFonts w:ascii="新宋体" w:hAnsi="新宋体" w:eastAsia="新宋体"/>
          <w:b/>
          <w:sz w:val="24"/>
        </w:rPr>
      </w:pP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工程量清单在《全国公共资源交易平台(河南省▪许昌市)》（</w:t>
      </w:r>
      <w:r>
        <w:rPr>
          <w:rFonts w:hint="eastAsia" w:hAnsi="宋体" w:cs="宋体"/>
          <w:sz w:val="24"/>
          <w:szCs w:val="24"/>
        </w:rPr>
        <w:t>http://ggzy.xuchang.gov.cn/</w:t>
      </w:r>
      <w:r>
        <w:rPr>
          <w:rFonts w:hint="eastAsia" w:ascii="新宋体" w:hAnsi="新宋体" w:eastAsia="新宋体"/>
          <w:sz w:val="24"/>
        </w:rPr>
        <w:t>），通过“投标人/供应商登录”后自行下载。</w:t>
      </w:r>
    </w:p>
    <w:p>
      <w:pPr>
        <w:spacing w:line="440" w:lineRule="exact"/>
        <w:rPr>
          <w:rFonts w:ascii="新宋体" w:hAnsi="新宋体" w:eastAsia="新宋体"/>
          <w:sz w:val="24"/>
          <w:u w:val="single"/>
        </w:rPr>
      </w:pPr>
    </w:p>
    <w:bookmarkEnd w:id="78"/>
    <w:p>
      <w:pPr>
        <w:autoSpaceDE w:val="0"/>
        <w:autoSpaceDN w:val="0"/>
        <w:adjustRightInd w:val="0"/>
        <w:outlineLvl w:val="0"/>
        <w:rPr>
          <w:rFonts w:hAnsi="宋体" w:cs="黑体"/>
          <w:b/>
          <w:sz w:val="36"/>
          <w:szCs w:val="36"/>
        </w:rPr>
      </w:pPr>
      <w:bookmarkStart w:id="625" w:name="_Toc278443522"/>
    </w:p>
    <w:p>
      <w:pPr>
        <w:autoSpaceDE w:val="0"/>
        <w:autoSpaceDN w:val="0"/>
        <w:adjustRightInd w:val="0"/>
        <w:jc w:val="center"/>
        <w:outlineLvl w:val="0"/>
        <w:rPr>
          <w:rFonts w:hAnsi="宋体" w:cs="黑体"/>
          <w:b/>
          <w:sz w:val="36"/>
          <w:szCs w:val="36"/>
        </w:rPr>
      </w:pPr>
      <w:r>
        <w:rPr>
          <w:rFonts w:hint="eastAsia" w:hAnsi="宋体" w:cs="黑体"/>
          <w:b/>
          <w:sz w:val="36"/>
          <w:szCs w:val="36"/>
        </w:rPr>
        <w:t>第六章技术标准和要求</w:t>
      </w:r>
      <w:bookmarkEnd w:id="625"/>
    </w:p>
    <w:p>
      <w:pPr>
        <w:spacing w:line="500" w:lineRule="exact"/>
        <w:ind w:firstLine="480" w:firstLineChars="200"/>
        <w:jc w:val="left"/>
        <w:rPr>
          <w:rFonts w:ascii="新宋体" w:hAnsi="新宋体" w:eastAsia="新宋体"/>
          <w:sz w:val="24"/>
        </w:rPr>
      </w:pP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1、本工程技术标准和要求以适用的国家、行业以及地方规范、标准和规程为准。</w:t>
      </w: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2、施工工地扬尘污染整治标准以《许昌市施工工地扬尘污染综合整治工作方案》许气联办【2016】21号文件为准。</w:t>
      </w:r>
    </w:p>
    <w:p>
      <w:pPr>
        <w:spacing w:line="500" w:lineRule="exact"/>
        <w:ind w:firstLine="480" w:firstLineChars="200"/>
        <w:jc w:val="left"/>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jc w:val="center"/>
        <w:outlineLvl w:val="0"/>
        <w:rPr>
          <w:rFonts w:hAnsi="宋体" w:cs="黑体"/>
          <w:b/>
          <w:color w:val="0000FF"/>
          <w:sz w:val="44"/>
          <w:szCs w:val="44"/>
        </w:rPr>
      </w:pPr>
      <w:bookmarkStart w:id="626" w:name="_Toc278443525"/>
    </w:p>
    <w:p>
      <w:pPr>
        <w:autoSpaceDE w:val="0"/>
        <w:autoSpaceDN w:val="0"/>
        <w:adjustRightInd w:val="0"/>
        <w:spacing w:before="312" w:beforeLines="100" w:after="312" w:afterLines="100"/>
        <w:jc w:val="center"/>
        <w:outlineLvl w:val="0"/>
        <w:rPr>
          <w:rFonts w:hAnsi="宋体" w:cs="黑体"/>
          <w:b/>
          <w:color w:val="0000FF"/>
          <w:sz w:val="44"/>
          <w:szCs w:val="44"/>
        </w:rPr>
      </w:pPr>
      <w:r>
        <w:rPr>
          <w:rFonts w:hAnsi="宋体" w:cs="黑体"/>
          <w:b/>
          <w:color w:val="0000FF"/>
          <w:sz w:val="44"/>
          <w:szCs w:val="44"/>
        </w:rPr>
        <w:br w:type="page"/>
      </w:r>
      <w:r>
        <w:rPr>
          <w:rFonts w:hint="eastAsia" w:hAnsi="宋体" w:cs="黑体"/>
          <w:b/>
          <w:sz w:val="44"/>
          <w:szCs w:val="44"/>
        </w:rPr>
        <w:t>第七章投标文件格式</w:t>
      </w:r>
      <w:bookmarkEnd w:id="626"/>
    </w:p>
    <w:p>
      <w:pPr>
        <w:autoSpaceDE w:val="0"/>
        <w:autoSpaceDN w:val="0"/>
        <w:adjustRightInd w:val="0"/>
        <w:jc w:val="right"/>
        <w:rPr>
          <w:rFonts w:hAnsi="宋体" w:cs="宋体"/>
          <w:sz w:val="24"/>
          <w:szCs w:val="21"/>
        </w:rPr>
      </w:pPr>
      <w:r>
        <w:rPr>
          <w:rFonts w:hint="eastAsia" w:hAnsi="宋体" w:cs="宋体"/>
          <w:sz w:val="24"/>
          <w:szCs w:val="21"/>
        </w:rPr>
        <w:t>正（副）本</w:t>
      </w:r>
    </w:p>
    <w:p>
      <w:pPr>
        <w:autoSpaceDE w:val="0"/>
        <w:autoSpaceDN w:val="0"/>
        <w:adjustRightInd w:val="0"/>
        <w:jc w:val="center"/>
        <w:rPr>
          <w:rFonts w:hAnsi="宋体" w:cs="宋体"/>
          <w:sz w:val="28"/>
        </w:rPr>
      </w:pP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14:textFill>
            <w14:solidFill>
              <w14:schemeClr w14:val="tx1"/>
            </w14:solidFill>
          </w14:textFill>
        </w:rPr>
      </w:pPr>
      <w:r>
        <w:rPr>
          <w:rFonts w:hint="eastAsia" w:hAnsi="宋体" w:cs="宋体"/>
          <w:bCs/>
          <w:color w:val="000000" w:themeColor="text1"/>
          <w:sz w:val="32"/>
          <w:szCs w:val="22"/>
          <w14:textFill>
            <w14:solidFill>
              <w14:schemeClr w14:val="tx1"/>
            </w14:solidFill>
          </w14:textFill>
        </w:rPr>
        <w:t>建安建工公字〔2019〕</w:t>
      </w:r>
      <w:r>
        <w:rPr>
          <w:rFonts w:hint="eastAsia" w:hAnsi="宋体" w:cs="宋体"/>
          <w:bCs/>
          <w:color w:val="000000" w:themeColor="text1"/>
          <w:sz w:val="32"/>
          <w:szCs w:val="22"/>
          <w:lang w:val="en-US" w:eastAsia="zh-CN"/>
          <w14:textFill>
            <w14:solidFill>
              <w14:schemeClr w14:val="tx1"/>
            </w14:solidFill>
          </w14:textFill>
        </w:rPr>
        <w:t>100</w:t>
      </w:r>
      <w:r>
        <w:rPr>
          <w:rFonts w:hint="eastAsia" w:hAnsi="宋体" w:cs="宋体"/>
          <w:bCs/>
          <w:color w:val="000000" w:themeColor="text1"/>
          <w:sz w:val="32"/>
          <w:szCs w:val="22"/>
          <w14:textFill>
            <w14:solidFill>
              <w14:schemeClr w14:val="tx1"/>
            </w14:solidFill>
          </w14:textFill>
        </w:rPr>
        <w:t>号</w:t>
      </w:r>
    </w:p>
    <w:p>
      <w:pPr>
        <w:autoSpaceDE w:val="0"/>
        <w:autoSpaceDN w:val="0"/>
        <w:adjustRightInd w:val="0"/>
        <w:jc w:val="center"/>
        <w:rPr>
          <w:rFonts w:hAnsi="宋体" w:cs="宋体"/>
          <w:sz w:val="44"/>
        </w:rPr>
      </w:pPr>
      <w:r>
        <w:rPr>
          <w:rFonts w:hint="eastAsia"/>
          <w:bCs/>
          <w:sz w:val="44"/>
          <w:szCs w:val="44"/>
        </w:rPr>
        <w:t>商务标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7"/>
        <w:jc w:val="center"/>
        <w:rPr>
          <w:rFonts w:hAnsi="宋体"/>
          <w:color w:val="auto"/>
          <w:sz w:val="23"/>
          <w:u w:val="single"/>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u w:val="single"/>
        </w:rPr>
      </w:pPr>
      <w:r>
        <w:rPr>
          <w:rFonts w:hint="eastAsia" w:hAnsi="宋体"/>
          <w:color w:val="auto"/>
          <w:sz w:val="23"/>
        </w:rPr>
        <w:t>投标人：（盖单位章）</w:t>
      </w:r>
    </w:p>
    <w:p>
      <w:pPr>
        <w:pStyle w:val="67"/>
        <w:spacing w:line="400" w:lineRule="exact"/>
        <w:rPr>
          <w:rFonts w:hAnsi="宋体"/>
          <w:color w:val="auto"/>
          <w:sz w:val="23"/>
          <w:u w:val="single"/>
        </w:rPr>
      </w:pPr>
      <w:r>
        <w:rPr>
          <w:rFonts w:hint="eastAsia" w:hAnsi="宋体"/>
          <w:color w:val="auto"/>
          <w:sz w:val="23"/>
        </w:rPr>
        <w:t xml:space="preserve">                        法定代表人或其委托代理人：（签字）</w:t>
      </w:r>
    </w:p>
    <w:p>
      <w:pPr>
        <w:pStyle w:val="67"/>
        <w:spacing w:line="400" w:lineRule="exact"/>
        <w:jc w:val="center"/>
        <w:rPr>
          <w:rFonts w:hAnsi="宋体"/>
          <w:color w:val="auto"/>
          <w:sz w:val="23"/>
          <w:u w:val="single"/>
        </w:rPr>
      </w:pPr>
      <w:r>
        <w:rPr>
          <w:rFonts w:hint="eastAsia" w:hAnsi="宋体"/>
          <w:color w:val="auto"/>
          <w:sz w:val="23"/>
        </w:rPr>
        <w:t>年月日</w:t>
      </w:r>
    </w:p>
    <w:p>
      <w:pPr>
        <w:jc w:val="left"/>
        <w:rPr>
          <w:rFonts w:ascii="华文中宋" w:hAnsi="华文中宋" w:eastAsia="华文中宋"/>
          <w:b/>
          <w:bCs/>
          <w:sz w:val="32"/>
          <w:szCs w:val="32"/>
        </w:rPr>
      </w:pPr>
      <w:r>
        <w:rPr>
          <w:rFonts w:hint="eastAsia" w:hAnsi="宋体" w:cs="宋体"/>
          <w:sz w:val="28"/>
        </w:rPr>
        <w:br w:type="page"/>
      </w:r>
    </w:p>
    <w:p>
      <w:pPr>
        <w:tabs>
          <w:tab w:val="center" w:pos="4739"/>
        </w:tabs>
        <w:ind w:left="180"/>
        <w:jc w:val="center"/>
        <w:rPr>
          <w:rFonts w:ascii="黑体" w:eastAsia="黑体"/>
          <w:b/>
          <w:sz w:val="32"/>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color w:val="000000"/>
          <w:sz w:val="32"/>
        </w:rPr>
      </w:pPr>
      <w:r>
        <w:rPr>
          <w:rFonts w:hint="eastAsia" w:hAnsi="宋体" w:eastAsia="新宋体" w:cs="宋体"/>
          <w:color w:val="000000"/>
          <w:sz w:val="24"/>
        </w:rPr>
        <w:t xml:space="preserve">  （</w:t>
      </w:r>
      <w:r>
        <w:rPr>
          <w:rFonts w:hint="eastAsia" w:ascii="新宋体" w:hAnsi="新宋体" w:eastAsia="新宋体" w:cs="仿宋_GB2312"/>
          <w:color w:val="000000"/>
          <w:sz w:val="24"/>
        </w:rPr>
        <w:t>按所发放的工程量清单编制）</w:t>
      </w:r>
    </w:p>
    <w:p>
      <w:pPr>
        <w:tabs>
          <w:tab w:val="center" w:pos="4739"/>
        </w:tabs>
        <w:ind w:left="180"/>
        <w:jc w:val="center"/>
        <w:rPr>
          <w:rFonts w:ascii="黑体" w:eastAsia="黑体"/>
          <w:b/>
          <w:sz w:val="32"/>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autoSpaceDE w:val="0"/>
        <w:autoSpaceDN w:val="0"/>
        <w:adjustRightInd w:val="0"/>
        <w:jc w:val="right"/>
        <w:rPr>
          <w:rFonts w:hAnsi="宋体" w:cs="宋体"/>
          <w:sz w:val="23"/>
          <w:u w:val="single"/>
        </w:rPr>
      </w:pPr>
      <w:r>
        <w:rPr>
          <w:rFonts w:hint="eastAsia" w:hAnsi="宋体" w:cs="宋体"/>
          <w:sz w:val="24"/>
          <w:szCs w:val="21"/>
        </w:rPr>
        <w:t>正（副）本</w:t>
      </w:r>
    </w:p>
    <w:p>
      <w:pPr>
        <w:autoSpaceDE w:val="0"/>
        <w:autoSpaceDN w:val="0"/>
        <w:adjustRightInd w:val="0"/>
        <w:ind w:firstLine="3410" w:firstLineChars="1100"/>
        <w:jc w:val="left"/>
        <w:rPr>
          <w:rFonts w:hAnsi="宋体" w:cs="宋体"/>
          <w:sz w:val="28"/>
        </w:rPr>
      </w:pP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14:textFill>
            <w14:solidFill>
              <w14:schemeClr w14:val="tx1"/>
            </w14:solidFill>
          </w14:textFill>
        </w:rPr>
      </w:pPr>
      <w:r>
        <w:rPr>
          <w:rFonts w:hint="eastAsia" w:hAnsi="宋体" w:cs="宋体"/>
          <w:bCs/>
          <w:color w:val="000000" w:themeColor="text1"/>
          <w:sz w:val="32"/>
          <w:szCs w:val="22"/>
          <w14:textFill>
            <w14:solidFill>
              <w14:schemeClr w14:val="tx1"/>
            </w14:solidFill>
          </w14:textFill>
        </w:rPr>
        <w:t>建安建工公字〔2019〕</w:t>
      </w:r>
      <w:r>
        <w:rPr>
          <w:rFonts w:hint="eastAsia" w:hAnsi="宋体" w:cs="宋体"/>
          <w:bCs/>
          <w:color w:val="000000" w:themeColor="text1"/>
          <w:sz w:val="32"/>
          <w:szCs w:val="22"/>
          <w:lang w:val="en-US" w:eastAsia="zh-CN"/>
          <w14:textFill>
            <w14:solidFill>
              <w14:schemeClr w14:val="tx1"/>
            </w14:solidFill>
          </w14:textFill>
        </w:rPr>
        <w:t>100</w:t>
      </w:r>
      <w:r>
        <w:rPr>
          <w:rFonts w:hint="eastAsia" w:hAnsi="宋体" w:cs="宋体"/>
          <w:bCs/>
          <w:color w:val="000000" w:themeColor="text1"/>
          <w:sz w:val="32"/>
          <w:szCs w:val="22"/>
          <w14:textFill>
            <w14:solidFill>
              <w14:schemeClr w14:val="tx1"/>
            </w14:solidFill>
          </w14:textFill>
        </w:rPr>
        <w:t>号</w:t>
      </w:r>
    </w:p>
    <w:p>
      <w:pPr>
        <w:autoSpaceDE w:val="0"/>
        <w:autoSpaceDN w:val="0"/>
        <w:adjustRightInd w:val="0"/>
        <w:spacing w:line="420" w:lineRule="exact"/>
        <w:jc w:val="center"/>
        <w:rPr>
          <w:rFonts w:hAnsi="宋体" w:cs="宋体"/>
          <w:sz w:val="40"/>
          <w:szCs w:val="18"/>
        </w:rPr>
      </w:pPr>
      <w:r>
        <w:rPr>
          <w:rFonts w:hint="eastAsia"/>
          <w:bCs/>
          <w:sz w:val="40"/>
          <w:szCs w:val="40"/>
        </w:rPr>
        <w:t>综合（信用）标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7"/>
        <w:jc w:val="center"/>
        <w:rPr>
          <w:rFonts w:hAnsi="宋体"/>
          <w:color w:val="auto"/>
          <w:sz w:val="23"/>
          <w:u w:val="single"/>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u w:val="single"/>
        </w:rPr>
      </w:pPr>
      <w:r>
        <w:rPr>
          <w:rFonts w:hint="eastAsia" w:hAnsi="宋体"/>
          <w:color w:val="auto"/>
          <w:sz w:val="23"/>
        </w:rPr>
        <w:t>投标人：（盖单位章）</w:t>
      </w:r>
    </w:p>
    <w:p>
      <w:pPr>
        <w:pStyle w:val="67"/>
        <w:spacing w:line="400" w:lineRule="exact"/>
        <w:rPr>
          <w:rFonts w:hAnsi="宋体"/>
          <w:color w:val="auto"/>
          <w:sz w:val="23"/>
          <w:u w:val="single"/>
        </w:rPr>
      </w:pPr>
      <w:r>
        <w:rPr>
          <w:rFonts w:hint="eastAsia" w:hAnsi="宋体"/>
          <w:color w:val="auto"/>
          <w:sz w:val="23"/>
        </w:rPr>
        <w:t xml:space="preserve">                        法定代表人或其委托代理人：（签字）</w:t>
      </w:r>
    </w:p>
    <w:p>
      <w:pPr>
        <w:pStyle w:val="67"/>
        <w:spacing w:line="400" w:lineRule="exact"/>
        <w:jc w:val="center"/>
        <w:rPr>
          <w:rFonts w:hAnsi="宋体"/>
          <w:color w:val="auto"/>
          <w:sz w:val="23"/>
          <w:u w:val="single"/>
        </w:rPr>
      </w:pPr>
      <w:r>
        <w:rPr>
          <w:rFonts w:hint="eastAsia" w:hAnsi="宋体"/>
          <w:color w:val="auto"/>
          <w:sz w:val="23"/>
        </w:rPr>
        <w:t>年月日</w:t>
      </w:r>
    </w:p>
    <w:p>
      <w:pPr>
        <w:jc w:val="left"/>
        <w:rPr>
          <w:rFonts w:ascii="华文中宋" w:hAnsi="华文中宋" w:eastAsia="华文中宋"/>
          <w:b/>
          <w:bCs/>
          <w:sz w:val="32"/>
          <w:szCs w:val="32"/>
        </w:rPr>
      </w:pPr>
      <w:r>
        <w:rPr>
          <w:rFonts w:hint="eastAsia" w:hAnsi="宋体" w:cs="宋体"/>
          <w:sz w:val="28"/>
        </w:rPr>
        <w:br w:type="page"/>
      </w: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numPr>
          <w:ilvl w:val="0"/>
          <w:numId w:val="7"/>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w:t>
      </w:r>
    </w:p>
    <w:p>
      <w:pPr>
        <w:numPr>
          <w:ilvl w:val="0"/>
          <w:numId w:val="7"/>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投标函附录；</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三、法定代表人身份证明、授权委托书；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四、投标保证金；</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五、项目管理机构配备情况；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六、投标单位基本信息表</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七、资格证明文件；</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八、正在施工的和新承接的项目情况；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九、其它材料；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1377" w:leftChars="405"/>
        <w:rPr>
          <w:rFonts w:ascii="新宋体" w:hAnsi="新宋体" w:eastAsia="新宋体"/>
          <w:b/>
          <w:sz w:val="24"/>
        </w:rPr>
      </w:pPr>
      <w:r>
        <w:rPr>
          <w:rFonts w:hint="eastAsia" w:ascii="新宋体" w:hAnsi="新宋体" w:eastAsia="新宋体"/>
          <w:b/>
          <w:sz w:val="24"/>
        </w:rPr>
        <w:t>如有本章未提供的格式，投标人可自行编制。</w:t>
      </w:r>
    </w:p>
    <w:p>
      <w:pPr>
        <w:spacing w:before="312" w:beforeLines="100" w:line="510" w:lineRule="exact"/>
        <w:jc w:val="center"/>
        <w:rPr>
          <w:rFonts w:ascii="黑体" w:hAnsi="宋体" w:eastAsia="黑体"/>
          <w:sz w:val="24"/>
        </w:rPr>
      </w:pPr>
    </w:p>
    <w:p>
      <w:pPr>
        <w:spacing w:before="312" w:beforeLines="100" w:line="510" w:lineRule="exact"/>
        <w:jc w:val="center"/>
        <w:rPr>
          <w:rFonts w:ascii="黑体" w:hAnsi="宋体" w:eastAsia="黑体"/>
          <w:sz w:val="28"/>
          <w:szCs w:val="28"/>
        </w:rPr>
      </w:pPr>
    </w:p>
    <w:p>
      <w:pPr>
        <w:spacing w:before="312" w:beforeLines="100" w:line="510" w:lineRule="exact"/>
        <w:jc w:val="center"/>
        <w:rPr>
          <w:rFonts w:ascii="黑体" w:hAnsi="宋体" w:eastAsia="黑体"/>
          <w:color w:val="0000FF"/>
          <w:sz w:val="28"/>
          <w:szCs w:val="28"/>
        </w:rPr>
      </w:pPr>
    </w:p>
    <w:p>
      <w:pPr>
        <w:spacing w:before="312" w:beforeLines="100" w:line="510" w:lineRule="exact"/>
        <w:jc w:val="center"/>
        <w:rPr>
          <w:rFonts w:ascii="黑体" w:hAnsi="宋体" w:eastAsia="黑体"/>
          <w:color w:val="0000FF"/>
          <w:sz w:val="28"/>
          <w:szCs w:val="28"/>
        </w:rPr>
      </w:pPr>
    </w:p>
    <w:p>
      <w:pPr>
        <w:spacing w:before="312" w:beforeLines="100" w:line="510" w:lineRule="exact"/>
        <w:jc w:val="center"/>
        <w:rPr>
          <w:rFonts w:ascii="黑体" w:hAnsi="宋体" w:eastAsia="黑体"/>
          <w:color w:val="0000FF"/>
          <w:sz w:val="28"/>
          <w:szCs w:val="28"/>
        </w:rPr>
      </w:pPr>
    </w:p>
    <w:p>
      <w:pPr>
        <w:tabs>
          <w:tab w:val="center" w:pos="4739"/>
        </w:tabs>
        <w:rPr>
          <w:rFonts w:hAnsi="宋体"/>
          <w:b/>
          <w:color w:val="0000FF"/>
          <w:sz w:val="32"/>
        </w:rPr>
      </w:pPr>
    </w:p>
    <w:p>
      <w:pPr>
        <w:tabs>
          <w:tab w:val="center" w:pos="4739"/>
        </w:tabs>
        <w:jc w:val="center"/>
        <w:rPr>
          <w:rFonts w:hAnsi="宋体"/>
          <w:b/>
          <w:sz w:val="32"/>
        </w:rPr>
      </w:pPr>
      <w:r>
        <w:rPr>
          <w:rFonts w:hint="eastAsia" w:hAnsi="宋体"/>
          <w:b/>
          <w:sz w:val="32"/>
        </w:rPr>
        <w:t>一、投标函</w:t>
      </w:r>
    </w:p>
    <w:p>
      <w:pPr>
        <w:spacing w:before="312" w:beforeLines="100" w:after="156" w:afterLines="50" w:line="510" w:lineRule="exact"/>
        <w:jc w:val="center"/>
        <w:rPr>
          <w:rFonts w:ascii="黑体" w:eastAsia="黑体"/>
          <w:sz w:val="28"/>
          <w:szCs w:val="28"/>
        </w:rPr>
      </w:pPr>
      <w:bookmarkStart w:id="627" w:name="_Toc271787730"/>
      <w:r>
        <w:rPr>
          <w:rFonts w:hint="eastAsia" w:ascii="黑体" w:eastAsia="黑体"/>
          <w:sz w:val="28"/>
          <w:szCs w:val="28"/>
        </w:rPr>
        <w:t>投标函</w:t>
      </w:r>
    </w:p>
    <w:p>
      <w:pPr>
        <w:spacing w:line="480" w:lineRule="exact"/>
        <w:rPr>
          <w:rFonts w:ascii="新宋体" w:hAnsi="新宋体" w:eastAsia="新宋体"/>
          <w:sz w:val="24"/>
        </w:rPr>
      </w:pPr>
      <w:r>
        <w:rPr>
          <w:rFonts w:hint="eastAsia" w:ascii="新宋体" w:hAnsi="新宋体" w:eastAsia="新宋体"/>
          <w:sz w:val="24"/>
        </w:rPr>
        <w:t>致：（招标人名称）</w:t>
      </w:r>
    </w:p>
    <w:p>
      <w:pPr>
        <w:spacing w:line="480" w:lineRule="exact"/>
        <w:ind w:firstLine="480" w:firstLineChars="200"/>
        <w:rPr>
          <w:rFonts w:ascii="新宋体" w:hAnsi="新宋体" w:eastAsia="新宋体"/>
          <w:sz w:val="24"/>
        </w:rPr>
      </w:pPr>
      <w:r>
        <w:rPr>
          <w:rFonts w:hint="eastAsia" w:ascii="新宋体" w:hAnsi="新宋体" w:eastAsia="新宋体"/>
          <w:sz w:val="24"/>
        </w:rPr>
        <w:t>在考察现场并充分研究（项目名称）标段（以下简称“本工程”）招标文件的全部内容后，我方兹以：</w:t>
      </w:r>
    </w:p>
    <w:p>
      <w:pPr>
        <w:spacing w:line="480" w:lineRule="exact"/>
        <w:ind w:firstLine="480" w:firstLineChars="200"/>
        <w:rPr>
          <w:rFonts w:ascii="新宋体" w:hAnsi="新宋体" w:eastAsia="新宋体"/>
          <w:sz w:val="24"/>
        </w:rPr>
      </w:pPr>
      <w:r>
        <w:rPr>
          <w:rFonts w:hint="eastAsia" w:ascii="新宋体" w:hAnsi="新宋体" w:eastAsia="新宋体"/>
          <w:sz w:val="24"/>
        </w:rPr>
        <w:t>人民币（大写）：元RMB￥：元</w:t>
      </w:r>
    </w:p>
    <w:p>
      <w:pPr>
        <w:spacing w:line="480" w:lineRule="exact"/>
        <w:rPr>
          <w:rFonts w:ascii="新宋体" w:hAnsi="新宋体" w:eastAsia="新宋体"/>
          <w:sz w:val="24"/>
        </w:rPr>
      </w:pPr>
      <w:r>
        <w:rPr>
          <w:rFonts w:hint="eastAsia" w:ascii="新宋体" w:hAnsi="新宋体" w:eastAsia="新宋体"/>
          <w:sz w:val="24"/>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rPr>
      </w:pPr>
      <w:r>
        <w:rPr>
          <w:rFonts w:hint="eastAsia" w:ascii="新宋体" w:hAnsi="新宋体" w:eastAsia="新宋体"/>
          <w:sz w:val="24"/>
        </w:rPr>
        <w:t>在我方的上述投标报价中，包括：</w:t>
      </w:r>
    </w:p>
    <w:p>
      <w:pPr>
        <w:spacing w:line="480" w:lineRule="exact"/>
        <w:ind w:firstLine="960" w:firstLineChars="400"/>
        <w:rPr>
          <w:rFonts w:ascii="新宋体" w:hAnsi="新宋体" w:eastAsia="新宋体"/>
          <w:sz w:val="24"/>
        </w:rPr>
      </w:pPr>
      <w:r>
        <w:rPr>
          <w:rFonts w:hint="eastAsia" w:ascii="新宋体" w:hAnsi="新宋体" w:eastAsia="新宋体"/>
          <w:sz w:val="24"/>
        </w:rPr>
        <w:t>规费RMB￥：元</w:t>
      </w:r>
    </w:p>
    <w:p>
      <w:pPr>
        <w:spacing w:line="480" w:lineRule="exact"/>
        <w:ind w:firstLine="960" w:firstLineChars="400"/>
        <w:rPr>
          <w:rFonts w:ascii="新宋体" w:hAnsi="新宋体" w:eastAsia="新宋体"/>
          <w:sz w:val="24"/>
        </w:rPr>
      </w:pPr>
      <w:r>
        <w:rPr>
          <w:rFonts w:hint="eastAsia" w:ascii="新宋体" w:hAnsi="新宋体" w:eastAsia="新宋体"/>
          <w:sz w:val="24"/>
        </w:rPr>
        <w:t>税金RMB￥：元</w:t>
      </w:r>
    </w:p>
    <w:p>
      <w:pPr>
        <w:spacing w:line="480" w:lineRule="exact"/>
        <w:ind w:firstLine="960" w:firstLineChars="400"/>
        <w:rPr>
          <w:rFonts w:ascii="新宋体" w:hAnsi="新宋体" w:eastAsia="新宋体"/>
          <w:sz w:val="24"/>
        </w:rPr>
      </w:pPr>
      <w:r>
        <w:rPr>
          <w:rFonts w:hint="eastAsia" w:ascii="新宋体" w:hAnsi="新宋体" w:eastAsia="新宋体"/>
          <w:sz w:val="24"/>
        </w:rPr>
        <w:t>安全文明措施费RMB￥：元</w:t>
      </w:r>
    </w:p>
    <w:p>
      <w:pPr>
        <w:spacing w:line="480" w:lineRule="exact"/>
        <w:ind w:firstLine="480" w:firstLineChars="200"/>
        <w:rPr>
          <w:rFonts w:ascii="新宋体" w:hAnsi="新宋体" w:eastAsia="新宋体"/>
          <w:sz w:val="24"/>
        </w:rPr>
      </w:pPr>
      <w:r>
        <w:rPr>
          <w:rFonts w:hint="eastAsia" w:ascii="新宋体" w:hAnsi="新宋体" w:eastAsia="新宋体"/>
          <w:sz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r>
        <w:rPr>
          <w:rFonts w:hint="eastAsia" w:ascii="新宋体" w:hAnsi="新宋体" w:eastAsia="新宋体"/>
          <w:b/>
          <w:bCs/>
          <w:sz w:val="24"/>
          <w:szCs w:val="22"/>
        </w:rPr>
        <w:t>我方承诺中标后按招标文件要求交纳代理费相关费用。</w:t>
      </w:r>
    </w:p>
    <w:p>
      <w:pPr>
        <w:spacing w:line="480" w:lineRule="exact"/>
        <w:ind w:firstLine="480" w:firstLineChars="200"/>
        <w:rPr>
          <w:rFonts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480" w:lineRule="exact"/>
        <w:ind w:firstLine="480" w:firstLineChars="200"/>
        <w:rPr>
          <w:rFonts w:ascii="新宋体" w:hAnsi="新宋体" w:eastAsia="新宋体"/>
          <w:sz w:val="24"/>
        </w:rPr>
      </w:pPr>
      <w:r>
        <w:rPr>
          <w:rFonts w:hint="eastAsia" w:ascii="新宋体" w:hAnsi="新宋体" w:eastAsia="新宋体"/>
          <w:sz w:val="24"/>
        </w:rPr>
        <w:t>随同本投标函递交投标保证金一份，金额为人民币（大写）：元（￥：元）。</w:t>
      </w:r>
    </w:p>
    <w:p>
      <w:pPr>
        <w:spacing w:line="480" w:lineRule="exact"/>
        <w:ind w:firstLine="480" w:firstLineChars="200"/>
        <w:rPr>
          <w:rFonts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rPr>
      </w:pPr>
    </w:p>
    <w:p>
      <w:pPr>
        <w:spacing w:line="480" w:lineRule="exact"/>
        <w:ind w:firstLine="480" w:firstLineChars="200"/>
        <w:rPr>
          <w:rFonts w:ascii="新宋体" w:hAnsi="新宋体" w:eastAsia="新宋体"/>
          <w:sz w:val="24"/>
        </w:rPr>
      </w:pPr>
      <w:r>
        <w:rPr>
          <w:rFonts w:hint="eastAsia" w:ascii="新宋体" w:hAnsi="新宋体" w:eastAsia="新宋体"/>
          <w:sz w:val="24"/>
        </w:rPr>
        <w:t>投标人（盖章）：</w:t>
      </w:r>
    </w:p>
    <w:p>
      <w:pPr>
        <w:spacing w:line="480" w:lineRule="exact"/>
        <w:ind w:firstLine="480" w:firstLineChars="200"/>
        <w:rPr>
          <w:rFonts w:ascii="新宋体" w:hAnsi="新宋体" w:eastAsia="新宋体"/>
          <w:sz w:val="24"/>
        </w:rPr>
      </w:pPr>
      <w:r>
        <w:rPr>
          <w:rFonts w:hint="eastAsia" w:ascii="新宋体" w:hAnsi="新宋体" w:eastAsia="新宋体"/>
          <w:sz w:val="24"/>
        </w:rPr>
        <w:t>法人代表或委托代理人（签字）：</w:t>
      </w:r>
    </w:p>
    <w:p>
      <w:pPr>
        <w:spacing w:line="480" w:lineRule="exact"/>
        <w:ind w:firstLine="480" w:firstLineChars="200"/>
        <w:rPr>
          <w:rFonts w:ascii="新宋体" w:hAnsi="新宋体" w:eastAsia="新宋体"/>
          <w:sz w:val="24"/>
        </w:rPr>
      </w:pPr>
      <w:r>
        <w:rPr>
          <w:rFonts w:hint="eastAsia" w:ascii="新宋体" w:hAnsi="新宋体" w:eastAsia="新宋体"/>
          <w:sz w:val="24"/>
        </w:rPr>
        <w:t>日期：年月日</w:t>
      </w:r>
    </w:p>
    <w:p>
      <w:pPr>
        <w:autoSpaceDE w:val="0"/>
        <w:autoSpaceDN w:val="0"/>
        <w:adjustRightInd w:val="0"/>
        <w:outlineLvl w:val="0"/>
        <w:rPr>
          <w:rFonts w:ascii="黑体" w:hAnsi="新宋体" w:eastAsia="黑体" w:cs="黑体"/>
          <w:sz w:val="28"/>
          <w:szCs w:val="28"/>
        </w:rPr>
      </w:pPr>
      <w:bookmarkStart w:id="628" w:name="_Toc250616672"/>
    </w:p>
    <w:p>
      <w:pPr>
        <w:autoSpaceDE w:val="0"/>
        <w:autoSpaceDN w:val="0"/>
        <w:adjustRightInd w:val="0"/>
        <w:outlineLvl w:val="0"/>
        <w:rPr>
          <w:rFonts w:ascii="黑体" w:hAnsi="新宋体" w:eastAsia="黑体" w:cs="黑体"/>
          <w:color w:val="0000FF"/>
          <w:sz w:val="28"/>
          <w:szCs w:val="28"/>
        </w:rPr>
      </w:pPr>
    </w:p>
    <w:p>
      <w:pPr>
        <w:pStyle w:val="2"/>
        <w:ind w:firstLine="340"/>
      </w:pPr>
    </w:p>
    <w:p>
      <w:pPr>
        <w:autoSpaceDE w:val="0"/>
        <w:autoSpaceDN w:val="0"/>
        <w:adjustRightInd w:val="0"/>
        <w:jc w:val="center"/>
        <w:outlineLvl w:val="0"/>
        <w:rPr>
          <w:rFonts w:ascii="黑体" w:hAnsi="新宋体" w:eastAsia="黑体" w:cs="黑体"/>
          <w:sz w:val="28"/>
          <w:szCs w:val="28"/>
        </w:rPr>
      </w:pPr>
      <w:r>
        <w:rPr>
          <w:rFonts w:hint="eastAsia" w:ascii="黑体" w:hAnsi="新宋体" w:eastAsia="黑体" w:cs="黑体"/>
          <w:sz w:val="28"/>
          <w:szCs w:val="28"/>
        </w:rPr>
        <w:t>二、投标函附录</w:t>
      </w:r>
      <w:bookmarkEnd w:id="628"/>
    </w:p>
    <w:tbl>
      <w:tblPr>
        <w:tblStyle w:val="29"/>
        <w:tblW w:w="9138"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809"/>
        <w:gridCol w:w="607"/>
        <w:gridCol w:w="808"/>
        <w:gridCol w:w="809"/>
        <w:gridCol w:w="40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工程名称</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投标人</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项目负责人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注册编号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技术负责人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916" w:type="dxa"/>
            <w:vMerge w:val="restart"/>
            <w:vAlign w:val="center"/>
          </w:tcPr>
          <w:p>
            <w:pPr>
              <w:jc w:val="center"/>
              <w:rPr>
                <w:rFonts w:ascii="新宋体" w:hAnsi="新宋体" w:eastAsia="新宋体"/>
                <w:sz w:val="24"/>
              </w:rPr>
            </w:pPr>
            <w:r>
              <w:rPr>
                <w:rFonts w:hint="eastAsia" w:ascii="新宋体" w:hAnsi="新宋体" w:eastAsia="新宋体"/>
                <w:sz w:val="24"/>
              </w:rPr>
              <w:t>投标报价</w:t>
            </w:r>
          </w:p>
          <w:p>
            <w:pPr>
              <w:jc w:val="center"/>
              <w:rPr>
                <w:rFonts w:ascii="新宋体" w:hAnsi="新宋体" w:eastAsia="新宋体"/>
                <w:sz w:val="24"/>
              </w:rPr>
            </w:pPr>
          </w:p>
        </w:tc>
        <w:tc>
          <w:tcPr>
            <w:tcW w:w="3439" w:type="dxa"/>
            <w:gridSpan w:val="5"/>
            <w:vAlign w:val="center"/>
          </w:tcPr>
          <w:p>
            <w:pPr>
              <w:rPr>
                <w:rFonts w:ascii="新宋体" w:hAnsi="新宋体" w:eastAsia="新宋体"/>
                <w:sz w:val="24"/>
              </w:rPr>
            </w:pPr>
            <w:r>
              <w:rPr>
                <w:rFonts w:hint="eastAsia" w:ascii="新宋体" w:hAnsi="新宋体" w:eastAsia="新宋体"/>
                <w:sz w:val="24"/>
              </w:rPr>
              <w:t>（大写）</w:t>
            </w:r>
          </w:p>
        </w:tc>
        <w:tc>
          <w:tcPr>
            <w:tcW w:w="2783" w:type="dxa"/>
            <w:vAlign w:val="center"/>
          </w:tcPr>
          <w:p>
            <w:pPr>
              <w:rPr>
                <w:rFonts w:ascii="新宋体" w:hAnsi="新宋体" w:eastAsia="新宋体"/>
                <w:sz w:val="24"/>
              </w:rPr>
            </w:pPr>
            <w:r>
              <w:rPr>
                <w:rFonts w:hint="eastAsia" w:ascii="新宋体" w:hAnsi="新宋体" w:eastAsia="新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1" w:hRule="atLeast"/>
        </w:trPr>
        <w:tc>
          <w:tcPr>
            <w:tcW w:w="2916" w:type="dxa"/>
            <w:vMerge w:val="continue"/>
            <w:vAlign w:val="center"/>
          </w:tcPr>
          <w:p>
            <w:pPr>
              <w:jc w:val="center"/>
              <w:rPr>
                <w:rFonts w:ascii="新宋体" w:hAnsi="新宋体" w:eastAsia="新宋体"/>
                <w:sz w:val="24"/>
              </w:rPr>
            </w:pPr>
          </w:p>
        </w:tc>
        <w:tc>
          <w:tcPr>
            <w:tcW w:w="6222" w:type="dxa"/>
            <w:gridSpan w:val="6"/>
            <w:vAlign w:val="center"/>
          </w:tcPr>
          <w:p>
            <w:pPr>
              <w:spacing w:line="480" w:lineRule="exact"/>
              <w:rPr>
                <w:rFonts w:ascii="新宋体" w:hAnsi="新宋体" w:eastAsia="新宋体"/>
                <w:sz w:val="24"/>
              </w:rPr>
            </w:pPr>
            <w:r>
              <w:rPr>
                <w:rFonts w:hint="eastAsia" w:ascii="新宋体" w:hAnsi="新宋体" w:eastAsia="新宋体"/>
                <w:sz w:val="24"/>
              </w:rPr>
              <w:t>其中：</w:t>
            </w:r>
          </w:p>
          <w:p>
            <w:pPr>
              <w:spacing w:line="480" w:lineRule="exact"/>
              <w:ind w:firstLine="600" w:firstLineChars="250"/>
              <w:rPr>
                <w:rFonts w:ascii="新宋体" w:hAnsi="新宋体" w:eastAsia="新宋体"/>
                <w:sz w:val="24"/>
              </w:rPr>
            </w:pPr>
            <w:r>
              <w:rPr>
                <w:rFonts w:hint="eastAsia" w:ascii="新宋体" w:hAnsi="新宋体" w:eastAsia="新宋体"/>
                <w:sz w:val="24"/>
              </w:rPr>
              <w:t>规费RMB￥：元</w:t>
            </w:r>
          </w:p>
          <w:p>
            <w:pPr>
              <w:spacing w:line="480" w:lineRule="exact"/>
              <w:ind w:firstLine="600" w:firstLineChars="250"/>
              <w:rPr>
                <w:rFonts w:ascii="新宋体" w:hAnsi="新宋体" w:eastAsia="新宋体"/>
                <w:sz w:val="24"/>
              </w:rPr>
            </w:pPr>
            <w:r>
              <w:rPr>
                <w:rFonts w:hint="eastAsia" w:ascii="新宋体" w:hAnsi="新宋体" w:eastAsia="新宋体"/>
                <w:sz w:val="24"/>
              </w:rPr>
              <w:t>税金RMB￥：元</w:t>
            </w:r>
          </w:p>
          <w:p>
            <w:pPr>
              <w:ind w:firstLine="600" w:firstLineChars="250"/>
              <w:rPr>
                <w:rFonts w:ascii="新宋体" w:hAnsi="新宋体" w:eastAsia="新宋体"/>
                <w:sz w:val="24"/>
              </w:rPr>
            </w:pPr>
            <w:r>
              <w:rPr>
                <w:rFonts w:hint="eastAsia" w:ascii="新宋体" w:hAnsi="新宋体" w:eastAsia="新宋体"/>
                <w:sz w:val="24"/>
              </w:rPr>
              <w:t>安全文明措施费RMB￥：元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投标质量等级</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投标工期</w:t>
            </w:r>
          </w:p>
        </w:tc>
        <w:tc>
          <w:tcPr>
            <w:tcW w:w="6222" w:type="dxa"/>
            <w:gridSpan w:val="6"/>
            <w:vAlign w:val="center"/>
          </w:tcPr>
          <w:p>
            <w:pPr>
              <w:jc w:val="center"/>
              <w:rPr>
                <w:rFonts w:ascii="新宋体" w:hAnsi="新宋体" w:eastAsia="新宋体"/>
                <w:sz w:val="24"/>
              </w:rPr>
            </w:pPr>
            <w:r>
              <w:rPr>
                <w:rFonts w:hint="eastAsia" w:ascii="新宋体" w:hAnsi="新宋体" w:eastAsia="新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投标有效期</w:t>
            </w:r>
          </w:p>
        </w:tc>
        <w:tc>
          <w:tcPr>
            <w:tcW w:w="6222" w:type="dxa"/>
            <w:gridSpan w:val="6"/>
            <w:vAlign w:val="center"/>
          </w:tcPr>
          <w:p>
            <w:pPr>
              <w:jc w:val="center"/>
              <w:rPr>
                <w:rFonts w:ascii="新宋体" w:hAnsi="新宋体" w:eastAsia="新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6" w:hRule="atLeast"/>
        </w:trPr>
        <w:tc>
          <w:tcPr>
            <w:tcW w:w="9138" w:type="dxa"/>
            <w:gridSpan w:val="7"/>
          </w:tcPr>
          <w:p>
            <w:pPr>
              <w:rPr>
                <w:rFonts w:ascii="新宋体" w:hAnsi="新宋体" w:eastAsia="新宋体"/>
                <w:sz w:val="24"/>
              </w:rPr>
            </w:pPr>
            <w:r>
              <w:rPr>
                <w:rFonts w:hint="eastAsia" w:ascii="新宋体" w:hAnsi="新宋体" w:eastAsia="新宋体"/>
                <w:sz w:val="24"/>
              </w:rPr>
              <w:t xml:space="preserve"> 优惠与服务承诺：</w:t>
            </w: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r>
              <w:rPr>
                <w:rFonts w:hint="eastAsia" w:ascii="新宋体" w:hAnsi="新宋体" w:eastAsia="新宋体"/>
                <w:sz w:val="24"/>
              </w:rPr>
              <w:t>（包含优惠承诺、质量承诺、服务承诺及按扬尘污染整治标准进行各工序的施工）</w:t>
            </w:r>
          </w:p>
        </w:tc>
      </w:tr>
    </w:tbl>
    <w:p>
      <w:pPr>
        <w:ind w:right="955"/>
        <w:rPr>
          <w:sz w:val="24"/>
        </w:rPr>
      </w:pPr>
    </w:p>
    <w:p>
      <w:pPr>
        <w:spacing w:line="360" w:lineRule="auto"/>
        <w:ind w:right="47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tabs>
          <w:tab w:val="left" w:pos="7560"/>
          <w:tab w:val="right" w:pos="9008"/>
        </w:tabs>
        <w:spacing w:line="360" w:lineRule="auto"/>
        <w:ind w:right="630"/>
        <w:jc w:val="left"/>
        <w:rPr>
          <w:rFonts w:ascii="黑体" w:hAnsi="新宋体" w:eastAsia="黑体" w:cs="黑体"/>
          <w:sz w:val="28"/>
          <w:szCs w:val="28"/>
        </w:rPr>
      </w:pPr>
      <w:r>
        <w:rPr>
          <w:rFonts w:ascii="新宋体" w:hAnsi="新宋体" w:eastAsia="新宋体"/>
          <w:sz w:val="24"/>
        </w:rPr>
        <w:tab/>
      </w:r>
      <w:r>
        <w:rPr>
          <w:rFonts w:hint="eastAsia" w:ascii="新宋体" w:hAnsi="新宋体" w:eastAsia="新宋体"/>
          <w:sz w:val="24"/>
        </w:rPr>
        <w:t>年 月 日</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color w:val="0000FF"/>
          <w:sz w:val="28"/>
          <w:szCs w:val="28"/>
        </w:rPr>
      </w:pPr>
    </w:p>
    <w:p>
      <w:pPr>
        <w:autoSpaceDE w:val="0"/>
        <w:autoSpaceDN w:val="0"/>
        <w:adjustRightInd w:val="0"/>
        <w:spacing w:line="420" w:lineRule="exact"/>
        <w:jc w:val="center"/>
        <w:outlineLvl w:val="0"/>
        <w:rPr>
          <w:rFonts w:hAnsi="宋体" w:cs="仿宋_GB2312"/>
          <w:b/>
          <w:sz w:val="28"/>
          <w:szCs w:val="28"/>
        </w:rPr>
      </w:pPr>
      <w:r>
        <w:rPr>
          <w:rFonts w:hint="eastAsia" w:ascii="黑体" w:hAnsi="新宋体" w:eastAsia="黑体" w:cs="黑体"/>
          <w:sz w:val="28"/>
          <w:szCs w:val="28"/>
        </w:rPr>
        <w:t>三、</w:t>
      </w:r>
      <w:bookmarkEnd w:id="627"/>
      <w:r>
        <w:rPr>
          <w:rFonts w:hint="eastAsia" w:hAnsi="宋体" w:cs="仿宋_GB2312"/>
          <w:b/>
          <w:sz w:val="28"/>
          <w:szCs w:val="28"/>
        </w:rPr>
        <w:t>法定代表人身份证明、授权委托书；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629" w:name="_Toc271787731"/>
      <w:r>
        <w:rPr>
          <w:rFonts w:hint="eastAsia" w:ascii="黑体" w:hAnsi="新宋体" w:eastAsia="黑体" w:cs="黑体"/>
          <w:sz w:val="28"/>
          <w:szCs w:val="28"/>
        </w:rPr>
        <w:t>（一）法定代表人身份证明</w:t>
      </w:r>
      <w:bookmarkEnd w:id="629"/>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rPr>
        <w:t>_____</w:t>
      </w:r>
      <w:r>
        <w:rPr>
          <w:rFonts w:hint="eastAsia" w:hAnsi="宋体" w:cs="仿宋_GB2312"/>
          <w:sz w:val="24"/>
        </w:rPr>
        <w:t>性别：</w:t>
      </w:r>
      <w:r>
        <w:rPr>
          <w:rFonts w:hAnsi="宋体" w:cs="TimesNewRomanPSMT"/>
          <w:sz w:val="24"/>
        </w:rPr>
        <w:t>_____</w:t>
      </w:r>
      <w:r>
        <w:rPr>
          <w:rFonts w:hint="eastAsia" w:hAnsi="宋体" w:cs="仿宋_GB2312"/>
          <w:sz w:val="24"/>
        </w:rPr>
        <w:t>年龄：</w:t>
      </w:r>
      <w:r>
        <w:rPr>
          <w:rFonts w:hAnsi="宋体" w:cs="TimesNewRomanPSMT"/>
          <w:sz w:val="24"/>
        </w:rPr>
        <w:t>_____</w:t>
      </w:r>
      <w:r>
        <w:rPr>
          <w:rFonts w:hint="eastAsia" w:hAnsi="宋体" w:cs="仿宋_GB2312"/>
          <w:sz w:val="24"/>
        </w:rPr>
        <w:t>职务：</w:t>
      </w:r>
      <w:r>
        <w:rPr>
          <w:rFonts w:hAnsi="宋体" w:cs="TimesNewRomanPSMT"/>
          <w:sz w:val="24"/>
        </w:rPr>
        <w:t>_____</w:t>
      </w:r>
      <w:r>
        <w:rPr>
          <w:rFonts w:hint="eastAsia" w:hAnsi="宋体" w:cs="仿宋_GB2312"/>
          <w:sz w:val="24"/>
        </w:rPr>
        <w:t>系</w:t>
      </w:r>
      <w:r>
        <w:rPr>
          <w:rFonts w:hAnsi="宋体" w:cs="TimesNewRomanPSMT"/>
          <w:sz w:val="24"/>
        </w:rPr>
        <w:t>____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rPr>
        <w:t>_____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630" w:name="_Toc271787732"/>
      <w:r>
        <w:rPr>
          <w:rFonts w:hint="eastAsia" w:ascii="黑体" w:hAnsi="新宋体" w:eastAsia="黑体" w:cs="黑体"/>
          <w:sz w:val="28"/>
          <w:szCs w:val="28"/>
        </w:rPr>
        <w:t>（二）授权委托书</w:t>
      </w:r>
      <w:bookmarkEnd w:id="630"/>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b/>
          <w:sz w:val="32"/>
        </w:rPr>
      </w:pPr>
      <w:r>
        <w:rPr>
          <w:rFonts w:hint="eastAsia" w:hAnsi="宋体" w:cs="仿宋_GB2312"/>
          <w:sz w:val="24"/>
        </w:rPr>
        <w:t>年月日</w:t>
      </w:r>
    </w:p>
    <w:p>
      <w:pPr>
        <w:spacing w:line="360" w:lineRule="auto"/>
        <w:rPr>
          <w:rFonts w:hAnsi="宋体"/>
          <w:b/>
          <w:color w:val="0000FF"/>
          <w:sz w:val="32"/>
        </w:rPr>
      </w:pPr>
    </w:p>
    <w:p>
      <w:pPr>
        <w:spacing w:line="360" w:lineRule="auto"/>
        <w:jc w:val="center"/>
        <w:rPr>
          <w:rFonts w:hAnsi="宋体"/>
          <w:b/>
          <w:color w:val="0000FF"/>
          <w:sz w:val="32"/>
        </w:rPr>
      </w:pPr>
    </w:p>
    <w:p>
      <w:pPr>
        <w:spacing w:line="360" w:lineRule="auto"/>
        <w:jc w:val="center"/>
        <w:rPr>
          <w:rFonts w:hAnsi="宋体"/>
          <w:b/>
          <w:sz w:val="32"/>
        </w:rPr>
      </w:pPr>
      <w:r>
        <w:rPr>
          <w:rFonts w:hint="eastAsia" w:hAnsi="宋体"/>
          <w:b/>
          <w:bCs/>
          <w:sz w:val="32"/>
          <w:szCs w:val="32"/>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1"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b/>
          <w:bCs/>
          <w:sz w:val="32"/>
          <w:szCs w:val="32"/>
        </w:rPr>
        <w:t>四</w:t>
      </w:r>
      <w:r>
        <w:rPr>
          <w:rFonts w:hint="eastAsia" w:hAnsi="宋体"/>
          <w:b/>
          <w:sz w:val="32"/>
        </w:rPr>
        <w:t>、投标保证金</w:t>
      </w:r>
    </w:p>
    <w:p>
      <w:pPr>
        <w:autoSpaceDE w:val="0"/>
        <w:autoSpaceDN w:val="0"/>
        <w:adjustRightInd w:val="0"/>
        <w:spacing w:line="420" w:lineRule="exact"/>
        <w:jc w:val="left"/>
        <w:rPr>
          <w:rFonts w:hAnsi="宋体" w:cs="仿宋_GB2312"/>
          <w:szCs w:val="21"/>
        </w:rPr>
      </w:pPr>
      <w:r>
        <w:rPr>
          <w:rFonts w:hint="eastAsia" w:hAnsi="宋体" w:cs="仿宋_GB2312"/>
          <w:szCs w:val="21"/>
        </w:rPr>
        <w:t>……………………………………………………………………</w:t>
      </w:r>
    </w:p>
    <w:p>
      <w:pPr>
        <w:autoSpaceDE w:val="0"/>
        <w:autoSpaceDN w:val="0"/>
        <w:adjustRightInd w:val="0"/>
        <w:spacing w:line="420" w:lineRule="exact"/>
        <w:jc w:val="left"/>
        <w:rPr>
          <w:rFonts w:hAnsi="宋体" w:cs="仿宋_GB2312"/>
          <w:sz w:val="24"/>
          <w:szCs w:val="24"/>
        </w:rPr>
      </w:pPr>
      <w:r>
        <w:rPr>
          <w:rFonts w:hint="eastAsia" w:hAnsi="宋体" w:cs="仿宋_GB2312"/>
          <w:sz w:val="24"/>
          <w:szCs w:val="24"/>
        </w:rPr>
        <w:t>附投标保证金有效证明。</w:t>
      </w: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r>
        <w:rPr>
          <w:rFonts w:hint="eastAsia" w:hAnsi="宋体"/>
          <w:b/>
          <w:sz w:val="32"/>
        </w:rPr>
        <w:t>五、项目管理机构配备情况</w:t>
      </w:r>
    </w:p>
    <w:p>
      <w:pPr>
        <w:autoSpaceDE w:val="0"/>
        <w:autoSpaceDN w:val="0"/>
        <w:adjustRightInd w:val="0"/>
        <w:spacing w:line="360" w:lineRule="auto"/>
        <w:ind w:right="215" w:firstLine="420"/>
        <w:jc w:val="center"/>
        <w:rPr>
          <w:rFonts w:hAnsi="宋体"/>
          <w:b/>
          <w:sz w:val="28"/>
        </w:rPr>
      </w:pPr>
      <w:r>
        <w:rPr>
          <w:rFonts w:hint="eastAsia" w:hAnsi="宋体"/>
          <w:b/>
          <w:sz w:val="28"/>
        </w:rPr>
        <w:t>（一）项目管理机构组成表</w:t>
      </w:r>
    </w:p>
    <w:p>
      <w:pPr>
        <w:autoSpaceDE w:val="0"/>
        <w:autoSpaceDN w:val="0"/>
        <w:adjustRightInd w:val="0"/>
        <w:spacing w:line="360" w:lineRule="auto"/>
        <w:ind w:right="215" w:firstLine="420"/>
        <w:jc w:val="center"/>
        <w:rPr>
          <w:rFonts w:hAnsi="宋体"/>
          <w:b/>
          <w:sz w:val="24"/>
        </w:rPr>
      </w:pPr>
    </w:p>
    <w:tbl>
      <w:tblPr>
        <w:tblStyle w:val="29"/>
        <w:tblW w:w="9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职务</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职称</w:t>
            </w:r>
          </w:p>
        </w:tc>
        <w:tc>
          <w:tcPr>
            <w:tcW w:w="5729"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执业或职业资格证明</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1428" w:type="dxa"/>
            <w:vAlign w:val="center"/>
          </w:tcPr>
          <w:p>
            <w:pPr>
              <w:autoSpaceDE w:val="0"/>
              <w:autoSpaceDN w:val="0"/>
              <w:adjustRightInd w:val="0"/>
              <w:spacing w:line="360" w:lineRule="auto"/>
              <w:ind w:right="215"/>
              <w:jc w:val="center"/>
              <w:rPr>
                <w:rFonts w:hAnsi="宋体"/>
                <w:sz w:val="24"/>
              </w:rPr>
            </w:pPr>
            <w:r>
              <w:rPr>
                <w:rFonts w:hint="eastAsia" w:hAnsi="宋体"/>
                <w:sz w:val="24"/>
              </w:rPr>
              <w:t>证书名称</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级别</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证号</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专业</w:t>
            </w:r>
          </w:p>
        </w:tc>
        <w:tc>
          <w:tcPr>
            <w:tcW w:w="1421" w:type="dxa"/>
            <w:vAlign w:val="center"/>
          </w:tcPr>
          <w:p>
            <w:pPr>
              <w:autoSpaceDE w:val="0"/>
              <w:autoSpaceDN w:val="0"/>
              <w:adjustRightInd w:val="0"/>
              <w:spacing w:line="360" w:lineRule="auto"/>
              <w:ind w:right="215"/>
              <w:jc w:val="center"/>
              <w:rPr>
                <w:rFonts w:hAnsi="宋体"/>
                <w:sz w:val="24"/>
              </w:rPr>
            </w:pPr>
            <w:r>
              <w:rPr>
                <w:rFonts w:hint="eastAsia" w:hAnsi="宋体"/>
                <w:sz w:val="24"/>
              </w:rPr>
              <w:t>养老保险</w:t>
            </w:r>
          </w:p>
        </w:tc>
        <w:tc>
          <w:tcPr>
            <w:tcW w:w="960" w:type="dxa"/>
            <w:vAlign w:val="center"/>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r>
              <w:rPr>
                <w:rFonts w:hint="eastAsia" w:hAnsi="宋体"/>
                <w:sz w:val="24"/>
              </w:rPr>
              <w:t>……</w:t>
            </w: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bl>
    <w:p>
      <w:pPr>
        <w:spacing w:before="156" w:beforeLines="50" w:after="312" w:afterLines="100" w:line="420" w:lineRule="exact"/>
        <w:ind w:firstLine="2800" w:firstLineChars="1000"/>
        <w:rPr>
          <w:rFonts w:hAnsi="宋体"/>
          <w:b/>
          <w:sz w:val="28"/>
          <w:szCs w:val="28"/>
        </w:rPr>
      </w:pPr>
      <w:r>
        <w:rPr>
          <w:rFonts w:hint="eastAsia" w:hAnsi="宋体"/>
          <w:b/>
          <w:sz w:val="28"/>
          <w:szCs w:val="28"/>
        </w:rPr>
        <w:t>（二）主要人员简历表</w:t>
      </w:r>
    </w:p>
    <w:p>
      <w:pPr>
        <w:spacing w:line="420" w:lineRule="exact"/>
        <w:rPr>
          <w:rFonts w:ascii="黑体" w:hAnsi="宋体" w:eastAsia="黑体"/>
          <w:sz w:val="24"/>
        </w:rPr>
      </w:pPr>
      <w:r>
        <w:rPr>
          <w:rFonts w:hint="eastAsia" w:ascii="黑体" w:hAnsi="宋体" w:eastAsia="黑体"/>
          <w:sz w:val="24"/>
        </w:rPr>
        <w:t>附1：项目负责人简历表</w:t>
      </w:r>
    </w:p>
    <w:tbl>
      <w:tblPr>
        <w:tblStyle w:val="29"/>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姓  名</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年  龄</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学历</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职  称</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职  务</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拟在本工程任职</w:t>
            </w:r>
          </w:p>
        </w:tc>
        <w:tc>
          <w:tcPr>
            <w:tcW w:w="2391" w:type="dxa"/>
            <w:vAlign w:val="center"/>
          </w:tcPr>
          <w:p>
            <w:pPr>
              <w:jc w:val="center"/>
              <w:rPr>
                <w:rFonts w:hAnsi="宋体"/>
                <w:sz w:val="24"/>
              </w:rPr>
            </w:pPr>
            <w:r>
              <w:rPr>
                <w:rFonts w:hint="eastAsia"/>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注册建造师执业资格等级</w:t>
            </w:r>
          </w:p>
        </w:tc>
        <w:tc>
          <w:tcPr>
            <w:tcW w:w="1434" w:type="dxa"/>
            <w:vAlign w:val="center"/>
          </w:tcPr>
          <w:p>
            <w:pPr>
              <w:jc w:val="center"/>
              <w:rPr>
                <w:rFonts w:hAnsi="宋体"/>
                <w:sz w:val="24"/>
              </w:rPr>
            </w:pPr>
            <w:r>
              <w:rPr>
                <w:rFonts w:hint="eastAsia" w:hAnsi="宋体"/>
                <w:sz w:val="24"/>
              </w:rPr>
              <w:t xml:space="preserve">      级</w:t>
            </w:r>
          </w:p>
        </w:tc>
        <w:tc>
          <w:tcPr>
            <w:tcW w:w="2074" w:type="dxa"/>
            <w:vAlign w:val="center"/>
          </w:tcPr>
          <w:p>
            <w:pPr>
              <w:jc w:val="center"/>
              <w:rPr>
                <w:rFonts w:hAnsi="宋体"/>
                <w:sz w:val="24"/>
              </w:rPr>
            </w:pPr>
            <w:r>
              <w:rPr>
                <w:rFonts w:hint="eastAsia" w:hAnsi="宋体"/>
                <w:sz w:val="24"/>
              </w:rPr>
              <w:t>建造师专业</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安全生产考核合格证书</w:t>
            </w:r>
          </w:p>
        </w:tc>
        <w:tc>
          <w:tcPr>
            <w:tcW w:w="5899" w:type="dxa"/>
            <w:gridSpan w:val="3"/>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毕业学校</w:t>
            </w:r>
          </w:p>
        </w:tc>
        <w:tc>
          <w:tcPr>
            <w:tcW w:w="8339" w:type="dxa"/>
            <w:gridSpan w:val="5"/>
            <w:vAlign w:val="center"/>
          </w:tcPr>
          <w:p>
            <w:pPr>
              <w:ind w:firstLine="960" w:firstLineChars="400"/>
              <w:rPr>
                <w:rFonts w:hAnsi="宋体"/>
                <w:sz w:val="24"/>
              </w:rPr>
            </w:pPr>
            <w:r>
              <w:rPr>
                <w:rFonts w:hint="eastAsia" w:hAnsi="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9567" w:type="dxa"/>
            <w:gridSpan w:val="6"/>
            <w:vAlign w:val="center"/>
          </w:tcPr>
          <w:p>
            <w:pPr>
              <w:jc w:val="center"/>
              <w:rPr>
                <w:rFonts w:hAnsi="宋体"/>
                <w:sz w:val="24"/>
              </w:rPr>
            </w:pPr>
            <w:r>
              <w:rPr>
                <w:rFonts w:hint="eastAsia"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时  间</w:t>
            </w:r>
          </w:p>
        </w:tc>
        <w:tc>
          <w:tcPr>
            <w:tcW w:w="3874" w:type="dxa"/>
            <w:gridSpan w:val="3"/>
            <w:vAlign w:val="center"/>
          </w:tcPr>
          <w:p>
            <w:pPr>
              <w:jc w:val="center"/>
              <w:rPr>
                <w:rFonts w:hAnsi="宋体"/>
                <w:sz w:val="24"/>
              </w:rPr>
            </w:pPr>
            <w:r>
              <w:rPr>
                <w:rFonts w:hint="eastAsia" w:hAnsi="宋体"/>
                <w:sz w:val="24"/>
              </w:rPr>
              <w:t>参加过的类似项目名称</w:t>
            </w:r>
          </w:p>
        </w:tc>
        <w:tc>
          <w:tcPr>
            <w:tcW w:w="2074" w:type="dxa"/>
            <w:vAlign w:val="center"/>
          </w:tcPr>
          <w:p>
            <w:pPr>
              <w:jc w:val="center"/>
              <w:rPr>
                <w:rFonts w:hAnsi="宋体"/>
                <w:sz w:val="24"/>
              </w:rPr>
            </w:pPr>
            <w:r>
              <w:rPr>
                <w:rFonts w:hint="eastAsia" w:hAnsi="宋体"/>
                <w:sz w:val="24"/>
              </w:rPr>
              <w:t>工程概况说明</w:t>
            </w:r>
          </w:p>
        </w:tc>
        <w:tc>
          <w:tcPr>
            <w:tcW w:w="2391" w:type="dxa"/>
            <w:vAlign w:val="center"/>
          </w:tcPr>
          <w:p>
            <w:pPr>
              <w:jc w:val="center"/>
              <w:rPr>
                <w:rFonts w:hAnsi="宋体"/>
                <w:sz w:val="24"/>
              </w:rPr>
            </w:pPr>
            <w:r>
              <w:rPr>
                <w:rFonts w:hint="eastAsia" w:hAnsi="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bl>
    <w:p>
      <w:pPr>
        <w:spacing w:line="420" w:lineRule="exact"/>
        <w:rPr>
          <w:rFonts w:ascii="黑体" w:hAnsi="宋体" w:eastAsia="黑体"/>
          <w:sz w:val="24"/>
        </w:rPr>
      </w:pPr>
      <w:r>
        <w:rPr>
          <w:rFonts w:hAnsi="宋体"/>
          <w:szCs w:val="21"/>
        </w:rPr>
        <w:br w:type="page"/>
      </w:r>
      <w:r>
        <w:rPr>
          <w:rFonts w:hint="eastAsia" w:ascii="黑体" w:hAnsi="宋体" w:eastAsia="黑体"/>
          <w:sz w:val="24"/>
        </w:rPr>
        <w:t>附2：主要项目管理人员简历表</w:t>
      </w:r>
    </w:p>
    <w:p>
      <w:pPr>
        <w:spacing w:line="420" w:lineRule="exact"/>
        <w:rPr>
          <w:rFonts w:hAnsi="宋体"/>
          <w:sz w:val="24"/>
          <w:szCs w:val="24"/>
        </w:rPr>
      </w:pPr>
    </w:p>
    <w:tbl>
      <w:tblPr>
        <w:tblStyle w:val="29"/>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6" w:hRule="atLeast"/>
        </w:trPr>
        <w:tc>
          <w:tcPr>
            <w:tcW w:w="9514" w:type="dxa"/>
            <w:gridSpan w:val="3"/>
            <w:tcBorders>
              <w:bottom w:val="single" w:color="auto" w:sz="4" w:space="0"/>
            </w:tcBorders>
            <w:vAlign w:val="center"/>
          </w:tcPr>
          <w:p>
            <w:pPr>
              <w:spacing w:line="640" w:lineRule="exact"/>
              <w:rPr>
                <w:rFonts w:hAnsi="宋体"/>
                <w:sz w:val="24"/>
              </w:rPr>
            </w:pPr>
            <w:r>
              <w:rPr>
                <w:rFonts w:hint="eastAsia" w:hAnsi="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sz w:val="24"/>
              </w:rPr>
            </w:pPr>
            <w:r>
              <w:rPr>
                <w:rFonts w:hint="eastAsia" w:hAnsi="宋体"/>
                <w:sz w:val="24"/>
              </w:rPr>
              <w:t>姓    名</w:t>
            </w:r>
          </w:p>
        </w:tc>
        <w:tc>
          <w:tcPr>
            <w:tcW w:w="4884" w:type="dxa"/>
            <w:tcBorders>
              <w:left w:val="nil"/>
            </w:tcBorders>
            <w:vAlign w:val="center"/>
          </w:tcPr>
          <w:p>
            <w:pPr>
              <w:spacing w:line="640" w:lineRule="exact"/>
              <w:rPr>
                <w:rFonts w:hAnsi="宋体"/>
                <w:sz w:val="24"/>
              </w:rPr>
            </w:pPr>
            <w:r>
              <w:rPr>
                <w:rFonts w:hint="eastAsia" w:hAnsi="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性    别</w:t>
            </w:r>
          </w:p>
        </w:tc>
        <w:tc>
          <w:tcPr>
            <w:tcW w:w="4884" w:type="dxa"/>
            <w:vAlign w:val="center"/>
          </w:tcPr>
          <w:p>
            <w:pPr>
              <w:spacing w:line="640" w:lineRule="exact"/>
              <w:rPr>
                <w:rFonts w:hAnsi="宋体"/>
                <w:sz w:val="24"/>
              </w:rPr>
            </w:pPr>
            <w:r>
              <w:rPr>
                <w:rFonts w:hint="eastAsia" w:hAnsi="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学历和专业</w:t>
            </w:r>
          </w:p>
        </w:tc>
        <w:tc>
          <w:tcPr>
            <w:tcW w:w="4884" w:type="dxa"/>
            <w:vAlign w:val="center"/>
          </w:tcPr>
          <w:p>
            <w:pPr>
              <w:spacing w:line="640" w:lineRule="exact"/>
              <w:rPr>
                <w:rFonts w:hAnsi="宋体"/>
                <w:sz w:val="24"/>
              </w:rPr>
            </w:pPr>
            <w:r>
              <w:rPr>
                <w:rFonts w:hint="eastAsia" w:hAnsi="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sz w:val="24"/>
              </w:rPr>
            </w:pPr>
            <w:r>
              <w:rPr>
                <w:rFonts w:hint="eastAsia" w:hAnsi="宋体"/>
                <w:sz w:val="24"/>
              </w:rPr>
              <w:t>拥有的执业资格</w:t>
            </w:r>
          </w:p>
        </w:tc>
        <w:tc>
          <w:tcPr>
            <w:tcW w:w="4884" w:type="dxa"/>
            <w:vAlign w:val="center"/>
          </w:tcPr>
          <w:p>
            <w:pPr>
              <w:spacing w:line="640" w:lineRule="exact"/>
              <w:rPr>
                <w:rFonts w:hAnsi="宋体"/>
                <w:sz w:val="24"/>
              </w:rPr>
            </w:pPr>
            <w:r>
              <w:rPr>
                <w:rFonts w:hint="eastAsia" w:hAnsi="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sz w:val="24"/>
              </w:rPr>
            </w:pPr>
            <w:r>
              <w:rPr>
                <w:rFonts w:hint="eastAsia" w:hAnsi="宋体"/>
                <w:sz w:val="24"/>
              </w:rPr>
              <w:t>执业资格证书编号</w:t>
            </w:r>
          </w:p>
        </w:tc>
        <w:tc>
          <w:tcPr>
            <w:tcW w:w="4884" w:type="dxa"/>
            <w:vAlign w:val="center"/>
          </w:tcPr>
          <w:p>
            <w:pPr>
              <w:spacing w:line="640" w:lineRule="exact"/>
              <w:rPr>
                <w:rFonts w:hAnsi="宋体"/>
                <w:sz w:val="24"/>
              </w:rPr>
            </w:pPr>
            <w:r>
              <w:rPr>
                <w:rFonts w:hint="eastAsia" w:hAnsi="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6" w:hRule="atLeast"/>
        </w:trPr>
        <w:tc>
          <w:tcPr>
            <w:tcW w:w="1530" w:type="dxa"/>
          </w:tcPr>
          <w:p>
            <w:pPr>
              <w:jc w:val="left"/>
              <w:rPr>
                <w:rFonts w:hAnsi="宋体"/>
                <w:sz w:val="24"/>
              </w:rPr>
            </w:pPr>
            <w:r>
              <w:rPr>
                <w:rFonts w:hint="eastAsia" w:hAnsi="宋体"/>
                <w:sz w:val="24"/>
              </w:rPr>
              <w:t>主要</w:t>
            </w:r>
          </w:p>
          <w:p>
            <w:pPr>
              <w:jc w:val="left"/>
              <w:rPr>
                <w:rFonts w:hAnsi="宋体"/>
                <w:sz w:val="24"/>
              </w:rPr>
            </w:pPr>
            <w:r>
              <w:rPr>
                <w:rFonts w:hint="eastAsia" w:hAnsi="宋体"/>
                <w:sz w:val="24"/>
              </w:rPr>
              <w:t>工作</w:t>
            </w:r>
          </w:p>
          <w:p>
            <w:pPr>
              <w:jc w:val="left"/>
              <w:rPr>
                <w:rFonts w:hAnsi="宋体"/>
                <w:sz w:val="24"/>
              </w:rPr>
            </w:pPr>
            <w:r>
              <w:rPr>
                <w:rFonts w:hint="eastAsia" w:hAnsi="宋体"/>
                <w:sz w:val="24"/>
              </w:rPr>
              <w:t>业绩</w:t>
            </w:r>
          </w:p>
          <w:p>
            <w:pPr>
              <w:jc w:val="left"/>
              <w:rPr>
                <w:rFonts w:hAnsi="宋体"/>
                <w:sz w:val="24"/>
              </w:rPr>
            </w:pPr>
            <w:r>
              <w:rPr>
                <w:rFonts w:hint="eastAsia" w:hAnsi="宋体"/>
                <w:sz w:val="24"/>
              </w:rPr>
              <w:t>及担</w:t>
            </w:r>
          </w:p>
          <w:p>
            <w:pPr>
              <w:jc w:val="left"/>
              <w:rPr>
                <w:rFonts w:hAnsi="宋体"/>
                <w:sz w:val="24"/>
              </w:rPr>
            </w:pPr>
            <w:r>
              <w:rPr>
                <w:rFonts w:hint="eastAsia" w:hAnsi="宋体"/>
                <w:sz w:val="24"/>
              </w:rPr>
              <w:t>任的</w:t>
            </w:r>
          </w:p>
          <w:p>
            <w:pPr>
              <w:jc w:val="left"/>
              <w:rPr>
                <w:rFonts w:hAnsi="宋体"/>
                <w:sz w:val="24"/>
              </w:rPr>
            </w:pPr>
            <w:r>
              <w:rPr>
                <w:rFonts w:hint="eastAsia" w:hAnsi="宋体"/>
                <w:sz w:val="24"/>
              </w:rPr>
              <w:t>主要</w:t>
            </w:r>
          </w:p>
          <w:p>
            <w:pPr>
              <w:jc w:val="left"/>
              <w:rPr>
                <w:rFonts w:hAnsi="宋体"/>
                <w:sz w:val="24"/>
              </w:rPr>
            </w:pPr>
            <w:r>
              <w:rPr>
                <w:rFonts w:hint="eastAsia" w:hAnsi="宋体"/>
                <w:sz w:val="24"/>
              </w:rPr>
              <w:t>工作</w:t>
            </w:r>
          </w:p>
        </w:tc>
        <w:tc>
          <w:tcPr>
            <w:tcW w:w="7984" w:type="dxa"/>
            <w:gridSpan w:val="2"/>
          </w:tcPr>
          <w:p>
            <w:pPr>
              <w:rPr>
                <w:rFonts w:hAnsi="宋体"/>
                <w:sz w:val="24"/>
              </w:rPr>
            </w:pPr>
          </w:p>
        </w:tc>
      </w:tr>
    </w:tbl>
    <w:p>
      <w:pPr>
        <w:rPr>
          <w:rFonts w:ascii="黑体" w:hAnsi="宋体" w:eastAsia="黑体"/>
          <w:sz w:val="24"/>
        </w:rPr>
      </w:pPr>
    </w:p>
    <w:p>
      <w:pPr>
        <w:rPr>
          <w:rFonts w:ascii="黑体" w:hAnsi="宋体" w:eastAsia="黑体"/>
          <w:sz w:val="24"/>
        </w:rPr>
      </w:pPr>
    </w:p>
    <w:p>
      <w:pPr>
        <w:rPr>
          <w:rFonts w:ascii="黑体" w:hAnsi="宋体" w:eastAsia="黑体"/>
          <w:sz w:val="24"/>
        </w:rPr>
      </w:pPr>
      <w:r>
        <w:rPr>
          <w:rFonts w:hint="eastAsia" w:ascii="黑体" w:hAnsi="宋体" w:eastAsia="黑体"/>
          <w:sz w:val="24"/>
        </w:rPr>
        <w:t>附3：承诺书</w:t>
      </w:r>
    </w:p>
    <w:p>
      <w:pPr>
        <w:jc w:val="center"/>
        <w:rPr>
          <w:rFonts w:ascii="黑体" w:hAnsi="宋体" w:eastAsia="黑体"/>
          <w:sz w:val="24"/>
        </w:rPr>
      </w:pPr>
      <w:r>
        <w:rPr>
          <w:rFonts w:hint="eastAsia" w:ascii="黑体" w:hAnsi="宋体" w:eastAsia="黑体"/>
          <w:sz w:val="24"/>
        </w:rPr>
        <w:t>承诺书</w:t>
      </w:r>
    </w:p>
    <w:p>
      <w:pPr>
        <w:spacing w:after="312" w:afterLines="100" w:line="440" w:lineRule="exact"/>
        <w:rPr>
          <w:rFonts w:hAnsi="宋体"/>
          <w:sz w:val="24"/>
        </w:rPr>
      </w:pPr>
      <w:r>
        <w:rPr>
          <w:rFonts w:hint="eastAsia" w:hAnsi="宋体"/>
          <w:position w:val="-7"/>
          <w:sz w:val="24"/>
        </w:rPr>
        <w:t>————————</w:t>
      </w:r>
      <w:r>
        <w:rPr>
          <w:rFonts w:hint="eastAsia" w:hAnsi="宋体"/>
          <w:sz w:val="24"/>
        </w:rPr>
        <w:t>（招标人名称）：</w:t>
      </w:r>
    </w:p>
    <w:p>
      <w:pPr>
        <w:spacing w:line="440" w:lineRule="exact"/>
        <w:ind w:firstLine="480" w:firstLineChars="200"/>
        <w:rPr>
          <w:rFonts w:hAnsi="宋体"/>
          <w:sz w:val="24"/>
        </w:rPr>
      </w:pPr>
      <w:r>
        <w:rPr>
          <w:rFonts w:hint="eastAsia" w:hAnsi="宋体"/>
          <w:sz w:val="24"/>
        </w:rPr>
        <w:t>我方在此声明，我方拟派往（项目名称）（以下简称“本工程”）的</w:t>
      </w:r>
      <w:r>
        <w:rPr>
          <w:rFonts w:hint="eastAsia"/>
          <w:sz w:val="24"/>
        </w:rPr>
        <w:t>项目负责人</w:t>
      </w:r>
      <w:r>
        <w:rPr>
          <w:rFonts w:hint="eastAsia" w:hAnsi="宋体"/>
          <w:sz w:val="24"/>
        </w:rPr>
        <w:t>（</w:t>
      </w:r>
      <w:r>
        <w:rPr>
          <w:rFonts w:hint="eastAsia"/>
          <w:sz w:val="24"/>
        </w:rPr>
        <w:t>项目负责人</w:t>
      </w:r>
      <w:r>
        <w:rPr>
          <w:rFonts w:hint="eastAsia" w:hAnsi="宋体"/>
          <w:sz w:val="24"/>
        </w:rPr>
        <w:t>姓名）现阶段没有担任任何在施建设工程项目的</w:t>
      </w:r>
      <w:r>
        <w:rPr>
          <w:rFonts w:hint="eastAsia"/>
          <w:sz w:val="24"/>
        </w:rPr>
        <w:t>项目负责人</w:t>
      </w:r>
      <w:r>
        <w:rPr>
          <w:rFonts w:hint="eastAsia" w:hAnsi="宋体"/>
          <w:sz w:val="24"/>
        </w:rPr>
        <w:t>。</w:t>
      </w:r>
    </w:p>
    <w:p>
      <w:pPr>
        <w:spacing w:line="440" w:lineRule="exact"/>
        <w:ind w:firstLine="480" w:firstLineChars="200"/>
        <w:rPr>
          <w:rFonts w:hAnsi="宋体"/>
          <w:sz w:val="24"/>
        </w:rPr>
      </w:pPr>
      <w:r>
        <w:rPr>
          <w:rFonts w:hint="eastAsia" w:hAnsi="宋体"/>
          <w:sz w:val="24"/>
        </w:rPr>
        <w:t>我方保证上述信息的真实和准确，并愿意承担因我方就此弄虚作假所引起的一切法律后果。</w:t>
      </w:r>
    </w:p>
    <w:p>
      <w:pPr>
        <w:spacing w:line="440" w:lineRule="exact"/>
        <w:ind w:firstLine="480" w:firstLineChars="200"/>
        <w:rPr>
          <w:rFonts w:hAnsi="宋体"/>
          <w:sz w:val="24"/>
        </w:rPr>
      </w:pPr>
      <w:r>
        <w:rPr>
          <w:rFonts w:hint="eastAsia" w:hAnsi="宋体"/>
          <w:sz w:val="24"/>
        </w:rPr>
        <w:t>特此承诺</w:t>
      </w:r>
    </w:p>
    <w:p>
      <w:pPr>
        <w:spacing w:line="440" w:lineRule="exact"/>
        <w:jc w:val="right"/>
        <w:rPr>
          <w:rFonts w:hAnsi="宋体"/>
          <w:sz w:val="24"/>
        </w:rPr>
      </w:pPr>
      <w:r>
        <w:rPr>
          <w:rFonts w:hint="eastAsia" w:hAnsi="宋体"/>
          <w:sz w:val="24"/>
        </w:rPr>
        <w:t>投标人：（盖单位章）</w:t>
      </w:r>
    </w:p>
    <w:p>
      <w:pPr>
        <w:spacing w:line="440" w:lineRule="exact"/>
        <w:ind w:right="315"/>
        <w:jc w:val="right"/>
        <w:rPr>
          <w:rFonts w:hAnsi="宋体"/>
          <w:sz w:val="24"/>
        </w:rPr>
      </w:pPr>
      <w:r>
        <w:rPr>
          <w:rFonts w:hint="eastAsia" w:hAnsi="宋体"/>
          <w:sz w:val="24"/>
        </w:rPr>
        <w:t>法定代表人：</w:t>
      </w:r>
      <w:r>
        <w:rPr>
          <w:rFonts w:hint="eastAsia" w:ascii="新宋体" w:hAnsi="新宋体" w:eastAsia="新宋体"/>
          <w:sz w:val="24"/>
        </w:rPr>
        <w:t>（签字）</w:t>
      </w:r>
    </w:p>
    <w:p>
      <w:pPr>
        <w:spacing w:line="440" w:lineRule="exact"/>
        <w:jc w:val="right"/>
        <w:rPr>
          <w:rFonts w:hAnsi="宋体"/>
          <w:sz w:val="24"/>
        </w:rPr>
      </w:pPr>
      <w:r>
        <w:rPr>
          <w:rFonts w:hint="eastAsia" w:hAnsi="宋体"/>
          <w:sz w:val="24"/>
        </w:rPr>
        <w:t>年月日</w:t>
      </w: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b/>
          <w:color w:val="0000FF"/>
          <w:sz w:val="32"/>
        </w:rPr>
      </w:pPr>
    </w:p>
    <w:p>
      <w:pPr>
        <w:autoSpaceDE w:val="0"/>
        <w:autoSpaceDN w:val="0"/>
        <w:adjustRightInd w:val="0"/>
        <w:spacing w:line="360" w:lineRule="auto"/>
        <w:ind w:right="215" w:firstLine="420"/>
        <w:jc w:val="center"/>
        <w:rPr>
          <w:rFonts w:hAnsi="宋体"/>
          <w:b/>
          <w:color w:val="0000FF"/>
          <w:sz w:val="32"/>
        </w:rPr>
      </w:pPr>
    </w:p>
    <w:p>
      <w:pPr>
        <w:autoSpaceDE w:val="0"/>
        <w:autoSpaceDN w:val="0"/>
        <w:adjustRightInd w:val="0"/>
        <w:spacing w:line="360" w:lineRule="auto"/>
        <w:ind w:right="215" w:firstLine="420"/>
        <w:jc w:val="center"/>
        <w:rPr>
          <w:rFonts w:hAnsi="宋体"/>
          <w:sz w:val="24"/>
        </w:rPr>
      </w:pPr>
      <w:r>
        <w:rPr>
          <w:rFonts w:hint="eastAsia" w:hAnsi="宋体"/>
          <w:b/>
          <w:sz w:val="32"/>
        </w:rPr>
        <w:t>六、</w:t>
      </w:r>
      <w:r>
        <w:rPr>
          <w:rFonts w:hint="eastAsia" w:hAnsi="宋体"/>
          <w:b/>
          <w:sz w:val="32"/>
          <w:szCs w:val="32"/>
        </w:rPr>
        <w:t>投标单位基本信息表</w:t>
      </w:r>
    </w:p>
    <w:p>
      <w:pPr>
        <w:autoSpaceDE w:val="0"/>
        <w:autoSpaceDN w:val="0"/>
        <w:adjustRightInd w:val="0"/>
        <w:spacing w:line="360" w:lineRule="auto"/>
        <w:ind w:right="215" w:firstLine="420"/>
        <w:jc w:val="center"/>
        <w:rPr>
          <w:rFonts w:hAnsi="宋体"/>
          <w:b/>
          <w:sz w:val="28"/>
        </w:rPr>
      </w:pPr>
    </w:p>
    <w:tbl>
      <w:tblPr>
        <w:tblStyle w:val="29"/>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注册地址</w:t>
            </w:r>
          </w:p>
        </w:tc>
        <w:tc>
          <w:tcPr>
            <w:tcW w:w="4802" w:type="dxa"/>
            <w:gridSpan w:val="5"/>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邮政编码</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联系方式</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联系人</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sz w:val="24"/>
              </w:rPr>
            </w:pP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传真</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网址</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组织结构</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法定代表人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成立时间</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5209" w:type="dxa"/>
            <w:gridSpan w:val="6"/>
            <w:vAlign w:val="center"/>
          </w:tcPr>
          <w:p>
            <w:pPr>
              <w:autoSpaceDE w:val="0"/>
              <w:autoSpaceDN w:val="0"/>
              <w:adjustRightInd w:val="0"/>
              <w:spacing w:line="360" w:lineRule="auto"/>
              <w:ind w:right="215"/>
              <w:jc w:val="center"/>
              <w:rPr>
                <w:rFonts w:hAnsi="宋体"/>
                <w:sz w:val="24"/>
              </w:rPr>
            </w:pPr>
            <w:r>
              <w:rPr>
                <w:rFonts w:hint="eastAsia"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企业资质等级</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其中</w:t>
            </w: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sz w:val="24"/>
              </w:rPr>
              <w:t>注册建造师</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营业执照号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高级职称人员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注册资金</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中级职称人员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开户银行</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初级职称人员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账号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技工</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经营范围</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bl>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jc w:val="center"/>
        <w:rPr>
          <w:rFonts w:hAnsi="宋体"/>
          <w:b/>
          <w:sz w:val="28"/>
        </w:rPr>
      </w:pPr>
      <w:r>
        <w:rPr>
          <w:rFonts w:hint="eastAsia" w:hAnsi="宋体"/>
          <w:b/>
          <w:sz w:val="32"/>
        </w:rPr>
        <w:t>七、</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b/>
          <w:sz w:val="32"/>
          <w:szCs w:val="32"/>
        </w:rPr>
      </w:pPr>
    </w:p>
    <w:p>
      <w:pPr>
        <w:pStyle w:val="2"/>
        <w:ind w:firstLine="340"/>
      </w:pP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rPr>
        <w:t>八、正在施工的和新承接的项目情况</w:t>
      </w:r>
    </w:p>
    <w:p>
      <w:pPr>
        <w:autoSpaceDE w:val="0"/>
        <w:autoSpaceDN w:val="0"/>
        <w:adjustRightInd w:val="0"/>
        <w:spacing w:line="360" w:lineRule="auto"/>
        <w:ind w:right="215" w:firstLine="420"/>
        <w:jc w:val="center"/>
        <w:rPr>
          <w:rFonts w:hAnsi="宋体"/>
          <w:b/>
          <w:sz w:val="32"/>
          <w:szCs w:val="32"/>
        </w:rPr>
      </w:pPr>
    </w:p>
    <w:tbl>
      <w:tblPr>
        <w:tblStyle w:val="29"/>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签约合同价</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计划竣工日期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5"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675"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r>
        <w:rPr>
          <w:rFonts w:hint="eastAsia" w:hAnsi="宋体" w:cs="仿宋_GB2312"/>
          <w:b/>
          <w:sz w:val="32"/>
          <w:szCs w:val="32"/>
        </w:rPr>
        <w:t>九、其它材料（包含但不仅限于以下内容）</w:t>
      </w:r>
    </w:p>
    <w:p>
      <w:pPr>
        <w:autoSpaceDE w:val="0"/>
        <w:autoSpaceDN w:val="0"/>
        <w:adjustRightInd w:val="0"/>
        <w:spacing w:line="360" w:lineRule="auto"/>
        <w:ind w:right="215" w:firstLine="420"/>
        <w:rPr>
          <w:rFonts w:hAnsi="宋体"/>
          <w:b/>
          <w:sz w:val="30"/>
          <w:szCs w:val="30"/>
        </w:rPr>
      </w:pPr>
      <w:r>
        <w:rPr>
          <w:rFonts w:hint="eastAsia" w:hAnsi="宋体"/>
          <w:b/>
          <w:sz w:val="30"/>
          <w:szCs w:val="30"/>
        </w:rPr>
        <w:t>1、近年完成的类似项目情况</w:t>
      </w:r>
    </w:p>
    <w:tbl>
      <w:tblPr>
        <w:tblStyle w:val="29"/>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合同价格</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竣工日期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899" w:type="dxa"/>
            <w:vAlign w:val="center"/>
          </w:tcPr>
          <w:p>
            <w:pPr>
              <w:autoSpaceDE w:val="0"/>
              <w:autoSpaceDN w:val="0"/>
              <w:adjustRightInd w:val="0"/>
              <w:spacing w:line="360" w:lineRule="auto"/>
              <w:ind w:right="215"/>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899"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rPr>
          <w:rFonts w:hAnsi="宋体" w:cs="仿宋_GB2312"/>
          <w:b/>
          <w:sz w:val="32"/>
          <w:szCs w:val="32"/>
        </w:rPr>
      </w:pPr>
    </w:p>
    <w:p>
      <w:pPr>
        <w:autoSpaceDE w:val="0"/>
        <w:autoSpaceDN w:val="0"/>
        <w:adjustRightInd w:val="0"/>
        <w:spacing w:line="360" w:lineRule="auto"/>
        <w:ind w:right="215" w:firstLine="420"/>
        <w:rPr>
          <w:rFonts w:hAnsi="宋体"/>
          <w:b/>
          <w:sz w:val="30"/>
          <w:szCs w:val="30"/>
        </w:rPr>
      </w:pPr>
      <w:r>
        <w:rPr>
          <w:rFonts w:hint="eastAsia" w:hAnsi="宋体"/>
          <w:b/>
          <w:sz w:val="30"/>
          <w:szCs w:val="30"/>
        </w:rPr>
        <w:t>2、近年财务状况</w:t>
      </w:r>
    </w:p>
    <w:p>
      <w:pPr>
        <w:autoSpaceDE w:val="0"/>
        <w:autoSpaceDN w:val="0"/>
        <w:adjustRightInd w:val="0"/>
        <w:spacing w:line="360" w:lineRule="auto"/>
        <w:ind w:right="215" w:firstLine="420"/>
        <w:rPr>
          <w:rFonts w:hAnsi="宋体"/>
          <w:b/>
          <w:bCs/>
          <w:sz w:val="24"/>
          <w:szCs w:val="24"/>
        </w:rPr>
      </w:pPr>
      <w:r>
        <w:rPr>
          <w:rFonts w:hint="eastAsia" w:hAnsi="宋体"/>
          <w:sz w:val="24"/>
          <w:szCs w:val="24"/>
        </w:rPr>
        <w:t>备注：在此附经会计师事务所或审计机构审计的财务会计报表，具体年份要求见第二章“投标人须知”的规定。</w:t>
      </w:r>
    </w:p>
    <w:p>
      <w:pPr>
        <w:autoSpaceDE w:val="0"/>
        <w:autoSpaceDN w:val="0"/>
        <w:adjustRightInd w:val="0"/>
        <w:spacing w:line="360" w:lineRule="auto"/>
        <w:ind w:right="215" w:firstLine="420"/>
        <w:rPr>
          <w:rFonts w:hAnsi="宋体"/>
          <w:b/>
          <w:sz w:val="30"/>
          <w:szCs w:val="30"/>
        </w:rPr>
      </w:pPr>
      <w:r>
        <w:rPr>
          <w:rFonts w:hint="eastAsia" w:hAnsi="宋体"/>
          <w:b/>
          <w:sz w:val="30"/>
          <w:szCs w:val="30"/>
        </w:rPr>
        <w:t>3、近年来发生的诉讼及仲裁情况</w:t>
      </w:r>
    </w:p>
    <w:p>
      <w:pPr>
        <w:autoSpaceDE w:val="0"/>
        <w:autoSpaceDN w:val="0"/>
        <w:adjustRightInd w:val="0"/>
        <w:spacing w:line="360" w:lineRule="auto"/>
        <w:ind w:right="215" w:firstLine="420"/>
        <w:rPr>
          <w:rFonts w:hAnsi="宋体"/>
          <w:sz w:val="24"/>
          <w:szCs w:val="24"/>
        </w:rPr>
      </w:pPr>
      <w:r>
        <w:rPr>
          <w:rFonts w:hint="eastAsia" w:hAnsi="宋体"/>
          <w:sz w:val="24"/>
          <w:szCs w:val="24"/>
        </w:rPr>
        <w:t>格式可自行编制。</w:t>
      </w: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tabs>
          <w:tab w:val="center" w:pos="4739"/>
        </w:tabs>
        <w:ind w:left="180"/>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rPr>
          <w:color w:val="0000FF"/>
          <w:sz w:val="24"/>
        </w:rPr>
      </w:pPr>
    </w:p>
    <w:p>
      <w:pPr>
        <w:tabs>
          <w:tab w:val="center" w:pos="4739"/>
        </w:tabs>
        <w:ind w:left="180"/>
        <w:jc w:val="right"/>
        <w:rPr>
          <w:color w:val="0000FF"/>
          <w:sz w:val="24"/>
        </w:rPr>
      </w:pPr>
    </w:p>
    <w:p>
      <w:pPr>
        <w:autoSpaceDE w:val="0"/>
        <w:autoSpaceDN w:val="0"/>
        <w:adjustRightInd w:val="0"/>
        <w:jc w:val="right"/>
        <w:rPr>
          <w:rFonts w:hAnsi="宋体" w:cs="宋体"/>
          <w:sz w:val="24"/>
          <w:szCs w:val="21"/>
        </w:rPr>
      </w:pPr>
    </w:p>
    <w:p>
      <w:pPr>
        <w:autoSpaceDE w:val="0"/>
        <w:autoSpaceDN w:val="0"/>
        <w:adjustRightInd w:val="0"/>
        <w:jc w:val="right"/>
        <w:rPr>
          <w:rFonts w:hAnsi="宋体" w:cs="宋体"/>
          <w:sz w:val="23"/>
          <w:u w:val="single"/>
        </w:rPr>
      </w:pPr>
      <w:r>
        <w:rPr>
          <w:rFonts w:hint="eastAsia" w:hAnsi="宋体" w:cs="宋体"/>
          <w:sz w:val="24"/>
          <w:szCs w:val="21"/>
        </w:rPr>
        <w:t>正（副）本</w:t>
      </w:r>
    </w:p>
    <w:p>
      <w:pPr>
        <w:autoSpaceDE w:val="0"/>
        <w:autoSpaceDN w:val="0"/>
        <w:adjustRightInd w:val="0"/>
        <w:ind w:firstLine="3720" w:firstLineChars="1200"/>
        <w:jc w:val="left"/>
        <w:rPr>
          <w:rFonts w:hAnsi="宋体" w:cs="宋体"/>
          <w:sz w:val="28"/>
        </w:rPr>
      </w:pP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14:textFill>
            <w14:solidFill>
              <w14:schemeClr w14:val="tx1"/>
            </w14:solidFill>
          </w14:textFill>
        </w:rPr>
      </w:pPr>
      <w:r>
        <w:rPr>
          <w:rFonts w:hint="eastAsia" w:hAnsi="宋体" w:cs="宋体"/>
          <w:bCs/>
          <w:color w:val="000000" w:themeColor="text1"/>
          <w:sz w:val="32"/>
          <w:szCs w:val="22"/>
          <w14:textFill>
            <w14:solidFill>
              <w14:schemeClr w14:val="tx1"/>
            </w14:solidFill>
          </w14:textFill>
        </w:rPr>
        <w:t>建安建工公字〔2019〕</w:t>
      </w:r>
      <w:r>
        <w:rPr>
          <w:rFonts w:hint="eastAsia" w:hAnsi="宋体" w:cs="宋体"/>
          <w:bCs/>
          <w:color w:val="000000" w:themeColor="text1"/>
          <w:sz w:val="32"/>
          <w:szCs w:val="22"/>
          <w:lang w:val="en-US" w:eastAsia="zh-CN"/>
          <w14:textFill>
            <w14:solidFill>
              <w14:schemeClr w14:val="tx1"/>
            </w14:solidFill>
          </w14:textFill>
        </w:rPr>
        <w:t>100</w:t>
      </w:r>
      <w:r>
        <w:rPr>
          <w:rFonts w:hint="eastAsia" w:hAnsi="宋体" w:cs="宋体"/>
          <w:bCs/>
          <w:color w:val="000000" w:themeColor="text1"/>
          <w:sz w:val="32"/>
          <w:szCs w:val="22"/>
          <w14:textFill>
            <w14:solidFill>
              <w14:schemeClr w14:val="tx1"/>
            </w14:solidFill>
          </w14:textFill>
        </w:rPr>
        <w:t>号</w:t>
      </w:r>
    </w:p>
    <w:p>
      <w:pPr>
        <w:autoSpaceDE w:val="0"/>
        <w:autoSpaceDN w:val="0"/>
        <w:adjustRightInd w:val="0"/>
        <w:jc w:val="center"/>
        <w:rPr>
          <w:rFonts w:hAnsi="宋体" w:cs="宋体"/>
          <w:sz w:val="44"/>
        </w:rPr>
      </w:pPr>
      <w:r>
        <w:rPr>
          <w:rFonts w:hint="eastAsia" w:hAnsi="宋体" w:cs="宋体"/>
          <w:sz w:val="44"/>
        </w:rPr>
        <w:t>（技</w:t>
      </w:r>
      <w:bookmarkStart w:id="631" w:name="_GoBack"/>
      <w:bookmarkEnd w:id="631"/>
      <w:r>
        <w:rPr>
          <w:rFonts w:hint="eastAsia" w:hAnsi="宋体" w:cs="宋体"/>
          <w:sz w:val="44"/>
        </w:rPr>
        <w:t>术标）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pStyle w:val="2"/>
        <w:ind w:firstLine="440"/>
        <w:rPr>
          <w:rFonts w:hAnsi="宋体" w:cs="宋体"/>
          <w:sz w:val="44"/>
        </w:rPr>
      </w:pPr>
    </w:p>
    <w:p>
      <w:pPr>
        <w:pStyle w:val="2"/>
        <w:ind w:firstLine="440"/>
        <w:rPr>
          <w:rFonts w:hAnsi="宋体" w:cs="宋体"/>
          <w:sz w:val="44"/>
        </w:rPr>
      </w:pPr>
    </w:p>
    <w:p>
      <w:pPr>
        <w:autoSpaceDE w:val="0"/>
        <w:autoSpaceDN w:val="0"/>
        <w:adjustRightInd w:val="0"/>
        <w:spacing w:line="420" w:lineRule="exact"/>
        <w:jc w:val="center"/>
        <w:rPr>
          <w:rFonts w:hAnsi="宋体" w:cs="宋体"/>
          <w:sz w:val="44"/>
        </w:rPr>
      </w:pPr>
    </w:p>
    <w:p>
      <w:pPr>
        <w:pStyle w:val="67"/>
        <w:jc w:val="center"/>
        <w:rPr>
          <w:rFonts w:hAnsi="宋体"/>
          <w:color w:val="auto"/>
          <w:sz w:val="23"/>
          <w:u w:val="single"/>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u w:val="single"/>
        </w:rPr>
      </w:pPr>
      <w:r>
        <w:rPr>
          <w:rFonts w:hint="eastAsia" w:hAnsi="宋体"/>
          <w:color w:val="auto"/>
          <w:sz w:val="23"/>
        </w:rPr>
        <w:t>投标人：（盖单位章）</w:t>
      </w:r>
    </w:p>
    <w:p>
      <w:pPr>
        <w:pStyle w:val="67"/>
        <w:spacing w:line="400" w:lineRule="exact"/>
        <w:rPr>
          <w:rFonts w:hAnsi="宋体"/>
          <w:color w:val="auto"/>
          <w:sz w:val="23"/>
          <w:u w:val="single"/>
        </w:rPr>
      </w:pPr>
      <w:r>
        <w:rPr>
          <w:rFonts w:hint="eastAsia" w:hAnsi="宋体"/>
          <w:color w:val="auto"/>
          <w:sz w:val="23"/>
        </w:rPr>
        <w:t xml:space="preserve">                         法定代表人或其委托代理人：（签字）</w:t>
      </w:r>
    </w:p>
    <w:p>
      <w:pPr>
        <w:pStyle w:val="67"/>
        <w:spacing w:line="400" w:lineRule="exact"/>
        <w:jc w:val="center"/>
        <w:rPr>
          <w:rFonts w:hAnsi="宋体"/>
          <w:color w:val="auto"/>
          <w:sz w:val="23"/>
          <w:u w:val="single"/>
        </w:rPr>
      </w:pPr>
      <w:r>
        <w:rPr>
          <w:rFonts w:hint="eastAsia" w:hAnsi="宋体"/>
          <w:color w:val="auto"/>
          <w:sz w:val="23"/>
        </w:rPr>
        <w:t>年月日</w:t>
      </w:r>
    </w:p>
    <w:p>
      <w:pPr>
        <w:autoSpaceDE w:val="0"/>
        <w:autoSpaceDN w:val="0"/>
        <w:adjustRightInd w:val="0"/>
        <w:spacing w:line="420" w:lineRule="exact"/>
        <w:jc w:val="left"/>
        <w:rPr>
          <w:rFonts w:hAnsi="宋体" w:cs="宋体"/>
          <w:b/>
          <w:sz w:val="44"/>
        </w:rPr>
      </w:pPr>
    </w:p>
    <w:p>
      <w:pPr>
        <w:autoSpaceDE w:val="0"/>
        <w:autoSpaceDN w:val="0"/>
        <w:spacing w:line="540" w:lineRule="exact"/>
        <w:rPr>
          <w:rFonts w:hAnsi="宋体" w:cs="宋体"/>
          <w:b/>
          <w:sz w:val="36"/>
          <w:szCs w:val="36"/>
        </w:rPr>
      </w:pPr>
    </w:p>
    <w:p>
      <w:pPr>
        <w:autoSpaceDE w:val="0"/>
        <w:autoSpaceDN w:val="0"/>
        <w:spacing w:line="540" w:lineRule="exact"/>
        <w:jc w:val="center"/>
        <w:rPr>
          <w:rFonts w:hAnsi="宋体" w:cs="宋体"/>
          <w:b/>
          <w:sz w:val="36"/>
          <w:szCs w:val="36"/>
        </w:rPr>
      </w:pPr>
      <w:r>
        <w:rPr>
          <w:rFonts w:hint="eastAsia" w:hAnsi="宋体" w:cs="宋体"/>
          <w:b/>
          <w:sz w:val="36"/>
          <w:szCs w:val="36"/>
        </w:rPr>
        <w:t>技 术 标 目 录</w:t>
      </w:r>
    </w:p>
    <w:p>
      <w:pPr>
        <w:autoSpaceDE w:val="0"/>
        <w:autoSpaceDN w:val="0"/>
        <w:spacing w:line="360" w:lineRule="auto"/>
        <w:jc w:val="center"/>
        <w:rPr>
          <w:rFonts w:ascii="仿宋_GB2312" w:hAnsi="宋体" w:eastAsia="仿宋_GB2312" w:cs="宋体"/>
          <w:b/>
          <w:sz w:val="36"/>
          <w:szCs w:val="36"/>
        </w:rPr>
      </w:pPr>
    </w:p>
    <w:p>
      <w:pPr>
        <w:tabs>
          <w:tab w:val="center" w:pos="4739"/>
        </w:tabs>
        <w:ind w:left="180"/>
        <w:rPr>
          <w:rFonts w:hAnsi="宋体" w:cs="宋体"/>
          <w:b/>
          <w:sz w:val="26"/>
          <w:szCs w:val="26"/>
        </w:rPr>
      </w:pPr>
      <w:r>
        <w:rPr>
          <w:rFonts w:hint="eastAsia" w:hAnsi="宋体" w:cs="宋体"/>
          <w:b/>
          <w:sz w:val="26"/>
          <w:szCs w:val="26"/>
        </w:rPr>
        <w:t>（1）内容完整性和编制水平；</w:t>
      </w:r>
    </w:p>
    <w:p>
      <w:pPr>
        <w:tabs>
          <w:tab w:val="center" w:pos="4739"/>
        </w:tabs>
        <w:ind w:left="180"/>
        <w:rPr>
          <w:rFonts w:hAnsi="宋体" w:cs="宋体"/>
          <w:b/>
          <w:sz w:val="26"/>
          <w:szCs w:val="26"/>
        </w:rPr>
      </w:pPr>
      <w:r>
        <w:rPr>
          <w:rFonts w:hint="eastAsia" w:hAnsi="宋体" w:cs="宋体"/>
          <w:b/>
          <w:sz w:val="26"/>
          <w:szCs w:val="26"/>
        </w:rPr>
        <w:t>（2）施工方案和技术措施；</w:t>
      </w:r>
    </w:p>
    <w:p>
      <w:pPr>
        <w:tabs>
          <w:tab w:val="center" w:pos="4739"/>
        </w:tabs>
        <w:ind w:left="180"/>
        <w:rPr>
          <w:rFonts w:hAnsi="宋体" w:cs="宋体"/>
          <w:b/>
          <w:sz w:val="26"/>
          <w:szCs w:val="26"/>
        </w:rPr>
      </w:pPr>
      <w:r>
        <w:rPr>
          <w:rFonts w:hint="eastAsia" w:hAnsi="宋体" w:cs="宋体"/>
          <w:b/>
          <w:sz w:val="26"/>
          <w:szCs w:val="26"/>
        </w:rPr>
        <w:t>（3）质量管理体系与措施；</w:t>
      </w:r>
    </w:p>
    <w:p>
      <w:pPr>
        <w:tabs>
          <w:tab w:val="center" w:pos="4739"/>
        </w:tabs>
        <w:ind w:left="180"/>
        <w:rPr>
          <w:rFonts w:hAnsi="宋体" w:cs="宋体"/>
          <w:b/>
          <w:sz w:val="26"/>
          <w:szCs w:val="26"/>
        </w:rPr>
      </w:pPr>
      <w:r>
        <w:rPr>
          <w:rFonts w:hint="eastAsia" w:hAnsi="宋体" w:cs="宋体"/>
          <w:b/>
          <w:sz w:val="26"/>
          <w:szCs w:val="26"/>
        </w:rPr>
        <w:t>（4）安全管理体系与措施；</w:t>
      </w:r>
    </w:p>
    <w:p>
      <w:pPr>
        <w:tabs>
          <w:tab w:val="center" w:pos="4739"/>
        </w:tabs>
        <w:ind w:left="180"/>
        <w:rPr>
          <w:rFonts w:hAnsi="宋体" w:cs="宋体"/>
          <w:b/>
          <w:sz w:val="26"/>
          <w:szCs w:val="26"/>
        </w:rPr>
      </w:pPr>
      <w:r>
        <w:rPr>
          <w:rFonts w:hint="eastAsia" w:hAnsi="宋体" w:cs="宋体"/>
          <w:b/>
          <w:sz w:val="26"/>
          <w:szCs w:val="26"/>
        </w:rPr>
        <w:t>（5）环境保护管理体系与措施；</w:t>
      </w:r>
    </w:p>
    <w:p>
      <w:pPr>
        <w:tabs>
          <w:tab w:val="center" w:pos="4739"/>
        </w:tabs>
        <w:ind w:left="180"/>
        <w:rPr>
          <w:rFonts w:hAnsi="宋体" w:cs="宋体"/>
          <w:b/>
          <w:sz w:val="26"/>
          <w:szCs w:val="26"/>
        </w:rPr>
      </w:pPr>
      <w:r>
        <w:rPr>
          <w:rFonts w:hint="eastAsia" w:hAnsi="宋体" w:cs="宋体"/>
          <w:b/>
          <w:sz w:val="26"/>
          <w:szCs w:val="26"/>
        </w:rPr>
        <w:t>（6）工程进度计划与措施；</w:t>
      </w:r>
    </w:p>
    <w:p>
      <w:pPr>
        <w:tabs>
          <w:tab w:val="center" w:pos="4739"/>
        </w:tabs>
        <w:ind w:left="180"/>
        <w:rPr>
          <w:rFonts w:hAnsi="宋体" w:cs="宋体"/>
          <w:b/>
          <w:sz w:val="26"/>
          <w:szCs w:val="26"/>
        </w:rPr>
      </w:pPr>
      <w:r>
        <w:rPr>
          <w:rFonts w:hint="eastAsia" w:hAnsi="宋体" w:cs="宋体"/>
          <w:b/>
          <w:sz w:val="26"/>
          <w:szCs w:val="26"/>
        </w:rPr>
        <w:t>（7）拟投入资源配备计划；</w:t>
      </w:r>
    </w:p>
    <w:p>
      <w:pPr>
        <w:tabs>
          <w:tab w:val="center" w:pos="4739"/>
        </w:tabs>
        <w:ind w:left="180"/>
        <w:rPr>
          <w:rFonts w:hAnsi="宋体" w:cs="宋体"/>
          <w:b/>
          <w:sz w:val="26"/>
          <w:szCs w:val="26"/>
        </w:rPr>
      </w:pPr>
      <w:r>
        <w:rPr>
          <w:rFonts w:hint="eastAsia" w:hAnsi="宋体" w:cs="宋体"/>
          <w:b/>
          <w:sz w:val="26"/>
          <w:szCs w:val="26"/>
        </w:rPr>
        <w:t>（8）施工进度表或施工网络图；</w:t>
      </w:r>
    </w:p>
    <w:p>
      <w:pPr>
        <w:tabs>
          <w:tab w:val="center" w:pos="4739"/>
        </w:tabs>
        <w:ind w:left="180"/>
        <w:rPr>
          <w:rFonts w:hAnsi="宋体" w:cs="宋体"/>
          <w:b/>
          <w:sz w:val="26"/>
          <w:szCs w:val="26"/>
        </w:rPr>
      </w:pPr>
      <w:r>
        <w:rPr>
          <w:rFonts w:hint="eastAsia" w:hAnsi="宋体" w:cs="宋体"/>
          <w:b/>
          <w:sz w:val="26"/>
          <w:szCs w:val="26"/>
        </w:rPr>
        <w:t>（9）施工总平面布置图；</w:t>
      </w:r>
    </w:p>
    <w:p>
      <w:pPr>
        <w:tabs>
          <w:tab w:val="center" w:pos="4739"/>
        </w:tabs>
        <w:ind w:left="180"/>
        <w:rPr>
          <w:rFonts w:hAnsi="宋体" w:cs="宋体"/>
          <w:b/>
          <w:sz w:val="26"/>
          <w:szCs w:val="26"/>
        </w:rPr>
      </w:pPr>
      <w:r>
        <w:rPr>
          <w:rFonts w:hint="eastAsia" w:hAnsi="宋体" w:cs="宋体"/>
          <w:b/>
          <w:sz w:val="26"/>
          <w:szCs w:val="26"/>
        </w:rPr>
        <w:t>（10）在节能减排、绿色施工（含扬尘治理）、工艺创新方面针对本工程有具体措施或企业自有创新技术；</w:t>
      </w:r>
    </w:p>
    <w:p>
      <w:pPr>
        <w:tabs>
          <w:tab w:val="center" w:pos="4739"/>
        </w:tabs>
        <w:ind w:left="180"/>
        <w:rPr>
          <w:rFonts w:hAnsi="宋体" w:cs="宋体"/>
          <w:b/>
          <w:sz w:val="26"/>
          <w:szCs w:val="26"/>
        </w:rPr>
      </w:pPr>
      <w:r>
        <w:rPr>
          <w:rFonts w:hint="eastAsia" w:hAnsi="宋体" w:cs="宋体"/>
          <w:b/>
          <w:sz w:val="26"/>
          <w:szCs w:val="26"/>
        </w:rPr>
        <w:t>（11）新工艺、新技术、新设备、新材料的采用程度，其在确保质量、降低成本、缩短工期、减轻劳动强度、提高工效等方面的作用；</w:t>
      </w:r>
    </w:p>
    <w:p>
      <w:pPr>
        <w:tabs>
          <w:tab w:val="center" w:pos="4739"/>
        </w:tabs>
        <w:ind w:left="180"/>
        <w:rPr>
          <w:rFonts w:hAnsi="宋体" w:cs="宋体"/>
          <w:b/>
          <w:sz w:val="26"/>
          <w:szCs w:val="26"/>
        </w:rPr>
      </w:pPr>
      <w:r>
        <w:rPr>
          <w:rFonts w:hint="eastAsia" w:hAnsi="宋体" w:cs="宋体"/>
          <w:b/>
          <w:sz w:val="26"/>
          <w:szCs w:val="26"/>
        </w:rPr>
        <w:t>（12）企业具备信息化管理平台，能够使工程管理者对现场实施监控和数据处理。</w:t>
      </w:r>
    </w:p>
    <w:p>
      <w:pPr>
        <w:tabs>
          <w:tab w:val="center" w:pos="4739"/>
        </w:tabs>
        <w:ind w:left="180"/>
        <w:rPr>
          <w:rFonts w:hAnsi="宋体" w:cs="TimesNewRomanPSMT"/>
          <w:color w:val="0000FF"/>
          <w:sz w:val="18"/>
          <w:szCs w:val="18"/>
        </w:rPr>
      </w:pPr>
    </w:p>
    <w:p>
      <w:pPr>
        <w:autoSpaceDE w:val="0"/>
        <w:autoSpaceDN w:val="0"/>
        <w:adjustRightInd w:val="0"/>
        <w:spacing w:line="420" w:lineRule="exact"/>
        <w:rPr>
          <w:rFonts w:hAnsi="宋体" w:cs="宋体"/>
          <w:b/>
          <w:color w:val="0000FF"/>
          <w:sz w:val="26"/>
          <w:szCs w:val="26"/>
        </w:rPr>
      </w:pPr>
    </w:p>
    <w:sectPr>
      <w:footerReference r:id="rId9" w:type="first"/>
      <w:footerReference r:id="rId8" w:type="default"/>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imesNewRomanPSMT">
    <w:altName w:val="宋体"/>
    <w:panose1 w:val="00000000000000000000"/>
    <w:charset w:val="00"/>
    <w:family w:val="roman"/>
    <w:pitch w:val="default"/>
    <w:sig w:usb0="00000000" w:usb1="00000000" w:usb2="00000010" w:usb3="00000000" w:csb0="00040001"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文新魏">
    <w:panose1 w:val="02010800040101010101"/>
    <w:charset w:val="86"/>
    <w:family w:val="auto"/>
    <w:pitch w:val="default"/>
    <w:sig w:usb0="00000001" w:usb1="080F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auto"/>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8000012" w:usb3="00000000" w:csb0="0002009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0"/>
      </w:pBdr>
      <w:ind w:right="360"/>
      <w:jc w:val="center"/>
    </w:pPr>
    <w: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57785" cy="147955"/>
              <wp:effectExtent l="0" t="0" r="0" b="0"/>
              <wp:wrapNone/>
              <wp:docPr id="1" name="文本框 5"/>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a:effectLst/>
                    </wps:spPr>
                    <wps:txbx>
                      <w:txbxContent>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1.65pt;width:4.55pt;mso-position-horizontal:center;mso-position-horizontal-relative:margin;mso-wrap-style:none;z-index:251655168;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E7Vt9QAAAACAQAADwAAAAAAAAABACAAAAAiAAAAZHJzL2Rvd25yZXYueG1sUEsB&#10;AhQAFAAAAAgAh07iQOC84zLAAQAAYAMAAA4AAAAAAAAAAQAgAAAAIwEAAGRycy9lMm9Eb2MueG1s&#10;UEsFBgAAAAAGAAYAWQEAAFUFAAAAAA==&#10;">
              <v:fill on="f" focussize="0,0"/>
              <v:stroke on="f" weight="1.25pt"/>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31</w:t>
                          </w:r>
                          <w:r>
                            <w:rPr>
                              <w:rFonts w:hint="eastAsia"/>
                              <w:sz w:val="1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ADX7O+vAEAAGMDAAAOAAAAAAAAAAEAIAAAACIBAABkcnMvZTJvRG9jLnhtbFBLBQYA&#10;AAAABgAGAFkBAABQ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31</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0"/>
      </w:pBdr>
      <w:ind w:right="36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1">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oaYJL0wAAAAUBAAAPAAAAAAAAAAEAIAAAACIAAABkcnMvZG93bnJldi54bWxQSwECFAAU&#10;AAAACACHTuJAoFhpP70BAABkAwAADgAAAAAAAAABACAAAAAiAQAAZHJzL2Uyb0RvYy54bWxQSwUG&#10;AAAAAAYABgBZAQAAUQU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47955"/>
              <wp:effectExtent l="0" t="0" r="0" b="0"/>
              <wp:wrapNone/>
              <wp:docPr id="5" name="文本框 5"/>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a:effectLst/>
                    </wps:spPr>
                    <wps:txbx>
                      <w:txbxContent>
                        <w:p>
                          <w:pPr>
                            <w:snapToGrid w:val="0"/>
                            <w:rPr>
                              <w:sz w:val="18"/>
                            </w:rPr>
                          </w:pPr>
                          <w:r>
                            <w:rPr>
                              <w:rFonts w:hint="eastAsia"/>
                              <w:sz w:val="18"/>
                            </w:rPr>
                            <w:t>1</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65pt;width:4.55pt;mso-position-horizontal:center;mso-position-horizontal-relative:margin;mso-wrap-style:none;z-index:251658240;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E7Vt9QAAAACAQAADwAAAAAAAAABACAAAAAiAAAAZHJzL2Rvd25yZXYueG1sUEsB&#10;AhQAFAAAAAgAh07iQJVkfU/AAQAAYAMAAA4AAAAAAAAAAQAgAAAAIwEAAGRycy9lMm9Eb2MueG1s&#10;UEsFBgAAAAAGAAYAWQEAAFUFAAAAAA==&#10;">
              <v:fill on="f" focussize="0,0"/>
              <v:stroke on="f" weight="1.25pt"/>
              <v:imagedata o:title=""/>
              <o:lock v:ext="edit" aspectratio="f"/>
              <v:textbox inset="0mm,0mm,0mm,0mm" style="mso-fit-shape-to-text:t;">
                <w:txbxContent>
                  <w:p>
                    <w:pPr>
                      <w:snapToGrid w:val="0"/>
                      <w:rPr>
                        <w:sz w:val="18"/>
                      </w:rPr>
                    </w:pPr>
                    <w:r>
                      <w:rPr>
                        <w:rFonts w:hint="eastAsia"/>
                        <w:sz w:val="18"/>
                      </w:rPr>
                      <w:t>1</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0"/>
      </w:pBdr>
      <w:ind w:right="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60</w:t>
                          </w:r>
                          <w:r>
                            <w:rPr>
                              <w:rFonts w:hint="eastAsia"/>
                              <w:sz w:val="18"/>
                            </w:rPr>
                            <w:fldChar w:fldCharType="end"/>
                          </w:r>
                        </w:p>
                      </w:txbxContent>
                    </wps:txbx>
                    <wps:bodyPr wrap="none" lIns="0" tIns="0" rIns="0" bIns="0" upright="1">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hpgkvTAAAABQEAAA8AAAAAAAAAAQAgAAAAIgAAAGRycy9kb3ducmV2LnhtbFBLAQIU&#10;ABQAAAAIAIdO4kAApI6UvwEAAGQDAAAOAAAAAAAAAAEAIAAAACIBAABkcnMvZTJvRG9jLnhtbFBL&#10;BQYAAAAABgAGAFkBAABT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60</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7216" behindDoc="0" locked="0" layoutInCell="1" allowOverlap="1">
              <wp:simplePos x="0" y="0"/>
              <wp:positionH relativeFrom="margin">
                <wp:posOffset>3119755</wp:posOffset>
              </wp:positionH>
              <wp:positionV relativeFrom="paragraph">
                <wp:posOffset>-13335</wp:posOffset>
              </wp:positionV>
              <wp:extent cx="57785" cy="147955"/>
              <wp:effectExtent l="0" t="0" r="0" b="0"/>
              <wp:wrapNone/>
              <wp:docPr id="4" name="文本框 7"/>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a:effectLst/>
                    </wps:spPr>
                    <wps:txbx>
                      <w:txbxContent>
                        <w:p>
                          <w:pPr>
                            <w:snapToGrid w:val="0"/>
                            <w:rPr>
                              <w:sz w:val="18"/>
                            </w:rPr>
                          </w:pPr>
                        </w:p>
                      </w:txbxContent>
                    </wps:txbx>
                    <wps:bodyPr wrap="none" lIns="0" tIns="0" rIns="0" bIns="0" upright="1">
                      <a:spAutoFit/>
                    </wps:bodyPr>
                  </wps:wsp>
                </a:graphicData>
              </a:graphic>
            </wp:anchor>
          </w:drawing>
        </mc:Choice>
        <mc:Fallback>
          <w:pict>
            <v:shape id="文本框 7" o:spid="_x0000_s1026" o:spt="202" type="#_x0000_t202" style="position:absolute;left:0pt;margin-left:245.65pt;margin-top:-1.05pt;height:11.65pt;width:4.55pt;mso-position-horizontal-relative:margin;mso-wrap-style:none;z-index:251657216;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I2PNqLCAQAAYA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m5JF3oQjTiJ0aDxZcVgNR5YraHdIssdtaKjFdaVEf7Uo&#10;dlqc0fCjsRqNjfNq3WHLs1w9uKtNxOZyz6nCARa5pguOMbM+rlzak9f3nPXyYyy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GEtQvZAAAACQEAAA8AAAAAAAAAAQAgAAAAIgAAAGRycy9kb3ducmV2&#10;LnhtbFBLAQIUABQAAAAIAIdO4kCNjzaiwgEAAGADAAAOAAAAAAAAAAEAIAAAACgBAABkcnMvZTJv&#10;RG9jLnhtbFBLBQYAAAAABgAGAFkBAABcBQAAAAA=&#10;">
              <v:fill on="f" focussize="0,0"/>
              <v:stroke on="f" weight="1.25pt"/>
              <v:imagedata o:title=""/>
              <o:lock v:ext="edit" aspectratio="f"/>
              <v:textbox inset="0mm,0mm,0mm,0mm" style="mso-fit-shape-to-text:t;">
                <w:txbxContent>
                  <w:p>
                    <w:pPr>
                      <w:snapToGrid w:val="0"/>
                      <w:rPr>
                        <w:sz w:val="18"/>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1">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GmCS9MAAAAFAQAADwAAAAAAAAABACAAAAAiAAAAZHJzL2Rvd25yZXYueG1sUEsBAhQA&#10;FAAAAAgAh07iQNNrYFi+AQAAZAMAAA4AAAAAAAAAAQAgAAAAIgEAAGRycy9lMm9Eb2MueG1sUEsF&#10;BgAAAAAGAAYAWQEAAFIFA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6" w:space="0"/>
      </w:pBdr>
      <w:jc w:val="both"/>
      <w:rPr>
        <w:rFonts w:ascii="华文新魏" w:eastAsia="华文新魏"/>
        <w:b/>
      </w:rPr>
    </w:pPr>
    <w:r>
      <w:rPr>
        <w:rFonts w:hint="eastAsia" w:ascii="华文新魏" w:eastAsia="华文新魏"/>
        <w:b/>
      </w:rPr>
      <w:t xml:space="preserve">   ★施工招标文件★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4" w:space="0"/>
      </w:pBdr>
      <w:jc w:val="both"/>
      <w:rPr>
        <w:szCs w:val="21"/>
      </w:rPr>
    </w:pPr>
    <w:r>
      <w:rPr>
        <w:rFonts w:hint="eastAsia" w:ascii="华文新魏" w:eastAsia="华文新魏"/>
        <w:b/>
      </w:rPr>
      <w:t xml:space="preserve">     ★施工招标文件★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4AB042"/>
    <w:multiLevelType w:val="singleLevel"/>
    <w:tmpl w:val="894AB042"/>
    <w:lvl w:ilvl="0" w:tentative="0">
      <w:start w:val="4"/>
      <w:numFmt w:val="chineseCounting"/>
      <w:suff w:val="nothing"/>
      <w:lvlText w:val="（%1）"/>
      <w:lvlJc w:val="left"/>
      <w:rPr>
        <w:rFonts w:hint="eastAsia"/>
      </w:rPr>
    </w:lvl>
  </w:abstractNum>
  <w:abstractNum w:abstractNumId="1">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576405E1"/>
    <w:multiLevelType w:val="singleLevel"/>
    <w:tmpl w:val="576405E1"/>
    <w:lvl w:ilvl="0" w:tentative="0">
      <w:start w:val="2"/>
      <w:numFmt w:val="decimal"/>
      <w:suff w:val="nothing"/>
      <w:lvlText w:val="%1、"/>
      <w:lvlJc w:val="left"/>
    </w:lvl>
  </w:abstractNum>
  <w:abstractNum w:abstractNumId="3">
    <w:nsid w:val="576406D4"/>
    <w:multiLevelType w:val="singleLevel"/>
    <w:tmpl w:val="576406D4"/>
    <w:lvl w:ilvl="0" w:tentative="0">
      <w:start w:val="4"/>
      <w:numFmt w:val="decimal"/>
      <w:suff w:val="nothing"/>
      <w:lvlText w:val="%1、"/>
      <w:lvlJc w:val="left"/>
    </w:lvl>
  </w:abstractNum>
  <w:abstractNum w:abstractNumId="4">
    <w:nsid w:val="5A73B3EB"/>
    <w:multiLevelType w:val="singleLevel"/>
    <w:tmpl w:val="5A73B3EB"/>
    <w:lvl w:ilvl="0" w:tentative="0">
      <w:start w:val="1"/>
      <w:numFmt w:val="chineseCounting"/>
      <w:suff w:val="nothing"/>
      <w:lvlText w:val="%1、"/>
      <w:lvlJc w:val="left"/>
    </w:lvl>
  </w:abstractNum>
  <w:abstractNum w:abstractNumId="5">
    <w:nsid w:val="5A9F875C"/>
    <w:multiLevelType w:val="singleLevel"/>
    <w:tmpl w:val="5A9F875C"/>
    <w:lvl w:ilvl="0" w:tentative="0">
      <w:start w:val="1"/>
      <w:numFmt w:val="chineseCounting"/>
      <w:suff w:val="space"/>
      <w:lvlText w:val="第%1章"/>
      <w:lvlJc w:val="left"/>
    </w:lvl>
  </w:abstractNum>
  <w:abstractNum w:abstractNumId="6">
    <w:nsid w:val="7A188572"/>
    <w:multiLevelType w:val="singleLevel"/>
    <w:tmpl w:val="7A188572"/>
    <w:lvl w:ilvl="0" w:tentative="0">
      <w:start w:val="1"/>
      <w:numFmt w:val="chineseCounting"/>
      <w:suff w:val="space"/>
      <w:lvlText w:val="第%1章"/>
      <w:lvlJc w:val="left"/>
      <w:rPr>
        <w:rFonts w:hint="eastAsia"/>
      </w:rPr>
    </w:lvl>
  </w:abstractNum>
  <w:num w:numId="1">
    <w:abstractNumId w:val="6"/>
  </w:num>
  <w:num w:numId="2">
    <w:abstractNumId w:val="5"/>
  </w:num>
  <w:num w:numId="3">
    <w:abstractNumId w:val="1"/>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165"/>
    <w:rsid w:val="000206AB"/>
    <w:rsid w:val="00020C45"/>
    <w:rsid w:val="0002487C"/>
    <w:rsid w:val="000307B7"/>
    <w:rsid w:val="00053998"/>
    <w:rsid w:val="0005578B"/>
    <w:rsid w:val="00056F61"/>
    <w:rsid w:val="00061930"/>
    <w:rsid w:val="00061BCD"/>
    <w:rsid w:val="0008358D"/>
    <w:rsid w:val="000948C6"/>
    <w:rsid w:val="000A720A"/>
    <w:rsid w:val="000C5130"/>
    <w:rsid w:val="000D038F"/>
    <w:rsid w:val="000D70F0"/>
    <w:rsid w:val="000E7514"/>
    <w:rsid w:val="000F52B5"/>
    <w:rsid w:val="00141371"/>
    <w:rsid w:val="001617DE"/>
    <w:rsid w:val="001621DF"/>
    <w:rsid w:val="00170351"/>
    <w:rsid w:val="00172A27"/>
    <w:rsid w:val="00176F7E"/>
    <w:rsid w:val="00190A8C"/>
    <w:rsid w:val="001912DC"/>
    <w:rsid w:val="001A030E"/>
    <w:rsid w:val="001C7AF9"/>
    <w:rsid w:val="001C7C8B"/>
    <w:rsid w:val="00205C6A"/>
    <w:rsid w:val="002171C8"/>
    <w:rsid w:val="002225A8"/>
    <w:rsid w:val="00223978"/>
    <w:rsid w:val="002330D7"/>
    <w:rsid w:val="00262141"/>
    <w:rsid w:val="002838F3"/>
    <w:rsid w:val="00285179"/>
    <w:rsid w:val="00290A21"/>
    <w:rsid w:val="002941A4"/>
    <w:rsid w:val="002A38DB"/>
    <w:rsid w:val="002B449E"/>
    <w:rsid w:val="002B6CFD"/>
    <w:rsid w:val="002C349A"/>
    <w:rsid w:val="002E4AC4"/>
    <w:rsid w:val="002E5D21"/>
    <w:rsid w:val="0032098B"/>
    <w:rsid w:val="00344459"/>
    <w:rsid w:val="00352160"/>
    <w:rsid w:val="003666F0"/>
    <w:rsid w:val="00377806"/>
    <w:rsid w:val="00386B3C"/>
    <w:rsid w:val="00393239"/>
    <w:rsid w:val="003B04D0"/>
    <w:rsid w:val="003B483B"/>
    <w:rsid w:val="003E2B83"/>
    <w:rsid w:val="003E5FBF"/>
    <w:rsid w:val="003F06C8"/>
    <w:rsid w:val="003F16E6"/>
    <w:rsid w:val="003F292E"/>
    <w:rsid w:val="0041298A"/>
    <w:rsid w:val="00415BC0"/>
    <w:rsid w:val="00415F75"/>
    <w:rsid w:val="0042246F"/>
    <w:rsid w:val="00425C54"/>
    <w:rsid w:val="004501F4"/>
    <w:rsid w:val="00461496"/>
    <w:rsid w:val="004622E3"/>
    <w:rsid w:val="0047049E"/>
    <w:rsid w:val="004747FF"/>
    <w:rsid w:val="00477253"/>
    <w:rsid w:val="00497640"/>
    <w:rsid w:val="004A662C"/>
    <w:rsid w:val="004C2CFA"/>
    <w:rsid w:val="004D2B00"/>
    <w:rsid w:val="004D4388"/>
    <w:rsid w:val="004D4ACD"/>
    <w:rsid w:val="004E06CE"/>
    <w:rsid w:val="004E078F"/>
    <w:rsid w:val="004E3A03"/>
    <w:rsid w:val="004F1948"/>
    <w:rsid w:val="005046F1"/>
    <w:rsid w:val="00505474"/>
    <w:rsid w:val="0051467F"/>
    <w:rsid w:val="005203E6"/>
    <w:rsid w:val="00521D31"/>
    <w:rsid w:val="00567406"/>
    <w:rsid w:val="005711AF"/>
    <w:rsid w:val="00576DE9"/>
    <w:rsid w:val="005B35F4"/>
    <w:rsid w:val="005B4B16"/>
    <w:rsid w:val="005C2FC1"/>
    <w:rsid w:val="005C7B38"/>
    <w:rsid w:val="005C7D89"/>
    <w:rsid w:val="005D78FC"/>
    <w:rsid w:val="005E1B1D"/>
    <w:rsid w:val="005F5DB4"/>
    <w:rsid w:val="006069D8"/>
    <w:rsid w:val="0061138F"/>
    <w:rsid w:val="0061516E"/>
    <w:rsid w:val="00661C56"/>
    <w:rsid w:val="00681B19"/>
    <w:rsid w:val="006A30C0"/>
    <w:rsid w:val="006A3BD6"/>
    <w:rsid w:val="006C58EE"/>
    <w:rsid w:val="006D2897"/>
    <w:rsid w:val="006D5BAE"/>
    <w:rsid w:val="006E42B1"/>
    <w:rsid w:val="006F2F1D"/>
    <w:rsid w:val="00711825"/>
    <w:rsid w:val="00715420"/>
    <w:rsid w:val="00715CEE"/>
    <w:rsid w:val="007258B7"/>
    <w:rsid w:val="00751460"/>
    <w:rsid w:val="007545F3"/>
    <w:rsid w:val="00760E93"/>
    <w:rsid w:val="007675A2"/>
    <w:rsid w:val="007A03F6"/>
    <w:rsid w:val="007A249B"/>
    <w:rsid w:val="007C65BC"/>
    <w:rsid w:val="007E6E4C"/>
    <w:rsid w:val="007F00E2"/>
    <w:rsid w:val="008100C7"/>
    <w:rsid w:val="0081250A"/>
    <w:rsid w:val="0081767F"/>
    <w:rsid w:val="00827E47"/>
    <w:rsid w:val="00837836"/>
    <w:rsid w:val="00843389"/>
    <w:rsid w:val="00855EAA"/>
    <w:rsid w:val="0086256C"/>
    <w:rsid w:val="00877B51"/>
    <w:rsid w:val="008A6355"/>
    <w:rsid w:val="008B19B5"/>
    <w:rsid w:val="008D64E5"/>
    <w:rsid w:val="008D77C9"/>
    <w:rsid w:val="008F5961"/>
    <w:rsid w:val="00903E33"/>
    <w:rsid w:val="009046D3"/>
    <w:rsid w:val="00913652"/>
    <w:rsid w:val="00914023"/>
    <w:rsid w:val="00942D61"/>
    <w:rsid w:val="009532DF"/>
    <w:rsid w:val="00953E1B"/>
    <w:rsid w:val="00960292"/>
    <w:rsid w:val="009655EB"/>
    <w:rsid w:val="009702AD"/>
    <w:rsid w:val="009A54C5"/>
    <w:rsid w:val="009B0078"/>
    <w:rsid w:val="009B413B"/>
    <w:rsid w:val="009C15B6"/>
    <w:rsid w:val="009C4F96"/>
    <w:rsid w:val="009E399B"/>
    <w:rsid w:val="009E474B"/>
    <w:rsid w:val="009E6D32"/>
    <w:rsid w:val="009F6862"/>
    <w:rsid w:val="00A02446"/>
    <w:rsid w:val="00A11DD3"/>
    <w:rsid w:val="00A11E71"/>
    <w:rsid w:val="00A20EE8"/>
    <w:rsid w:val="00A23EC7"/>
    <w:rsid w:val="00A272E1"/>
    <w:rsid w:val="00A2754C"/>
    <w:rsid w:val="00A320C6"/>
    <w:rsid w:val="00A500A7"/>
    <w:rsid w:val="00A5380D"/>
    <w:rsid w:val="00A728AE"/>
    <w:rsid w:val="00A74405"/>
    <w:rsid w:val="00A76DFE"/>
    <w:rsid w:val="00A919DC"/>
    <w:rsid w:val="00A926DB"/>
    <w:rsid w:val="00A96183"/>
    <w:rsid w:val="00A976FA"/>
    <w:rsid w:val="00AA1746"/>
    <w:rsid w:val="00AA4E11"/>
    <w:rsid w:val="00AC4975"/>
    <w:rsid w:val="00AD7AC3"/>
    <w:rsid w:val="00AE432D"/>
    <w:rsid w:val="00AF1EF9"/>
    <w:rsid w:val="00B309E0"/>
    <w:rsid w:val="00B33A32"/>
    <w:rsid w:val="00B6140C"/>
    <w:rsid w:val="00B64709"/>
    <w:rsid w:val="00B84440"/>
    <w:rsid w:val="00B97E45"/>
    <w:rsid w:val="00BA1328"/>
    <w:rsid w:val="00BC2BAE"/>
    <w:rsid w:val="00BE3E23"/>
    <w:rsid w:val="00BF3412"/>
    <w:rsid w:val="00BF64FD"/>
    <w:rsid w:val="00C179DF"/>
    <w:rsid w:val="00C40DF7"/>
    <w:rsid w:val="00C45552"/>
    <w:rsid w:val="00C616A4"/>
    <w:rsid w:val="00C6289E"/>
    <w:rsid w:val="00C83852"/>
    <w:rsid w:val="00C840A3"/>
    <w:rsid w:val="00C94803"/>
    <w:rsid w:val="00C96F90"/>
    <w:rsid w:val="00CC16F6"/>
    <w:rsid w:val="00CD7C23"/>
    <w:rsid w:val="00CF4308"/>
    <w:rsid w:val="00CF455D"/>
    <w:rsid w:val="00D14B49"/>
    <w:rsid w:val="00D23424"/>
    <w:rsid w:val="00D30BB3"/>
    <w:rsid w:val="00D763A0"/>
    <w:rsid w:val="00D76418"/>
    <w:rsid w:val="00D827A3"/>
    <w:rsid w:val="00DA29A1"/>
    <w:rsid w:val="00DA2BDF"/>
    <w:rsid w:val="00DA3EDB"/>
    <w:rsid w:val="00DE66BC"/>
    <w:rsid w:val="00DF7149"/>
    <w:rsid w:val="00E03689"/>
    <w:rsid w:val="00E1107C"/>
    <w:rsid w:val="00E26CD1"/>
    <w:rsid w:val="00E33EE8"/>
    <w:rsid w:val="00E44B4D"/>
    <w:rsid w:val="00E52A0A"/>
    <w:rsid w:val="00E538F9"/>
    <w:rsid w:val="00E6459D"/>
    <w:rsid w:val="00EA5008"/>
    <w:rsid w:val="00EC4673"/>
    <w:rsid w:val="00EE50C2"/>
    <w:rsid w:val="00F01530"/>
    <w:rsid w:val="00F03446"/>
    <w:rsid w:val="00F10827"/>
    <w:rsid w:val="00F467A0"/>
    <w:rsid w:val="00F63C92"/>
    <w:rsid w:val="00F67CC6"/>
    <w:rsid w:val="00F70363"/>
    <w:rsid w:val="00F728FE"/>
    <w:rsid w:val="00F7314E"/>
    <w:rsid w:val="00F9261B"/>
    <w:rsid w:val="00FA109E"/>
    <w:rsid w:val="00FA563C"/>
    <w:rsid w:val="00FB52C0"/>
    <w:rsid w:val="00FC0C1C"/>
    <w:rsid w:val="00FC660B"/>
    <w:rsid w:val="00FD2C2A"/>
    <w:rsid w:val="00FF206D"/>
    <w:rsid w:val="00FF29C1"/>
    <w:rsid w:val="00FF2ECC"/>
    <w:rsid w:val="00FF7975"/>
    <w:rsid w:val="010719F3"/>
    <w:rsid w:val="010E73C0"/>
    <w:rsid w:val="01110E06"/>
    <w:rsid w:val="011922C1"/>
    <w:rsid w:val="011B5EC7"/>
    <w:rsid w:val="01234E3E"/>
    <w:rsid w:val="01296C1F"/>
    <w:rsid w:val="01325959"/>
    <w:rsid w:val="01486A70"/>
    <w:rsid w:val="014C4E4F"/>
    <w:rsid w:val="01530035"/>
    <w:rsid w:val="0158740A"/>
    <w:rsid w:val="016962E4"/>
    <w:rsid w:val="017436F5"/>
    <w:rsid w:val="017976CF"/>
    <w:rsid w:val="01865784"/>
    <w:rsid w:val="01916193"/>
    <w:rsid w:val="01961EEE"/>
    <w:rsid w:val="019C40A4"/>
    <w:rsid w:val="01A22F95"/>
    <w:rsid w:val="01A96207"/>
    <w:rsid w:val="01B47CC7"/>
    <w:rsid w:val="01B53613"/>
    <w:rsid w:val="01BC3552"/>
    <w:rsid w:val="01D772A3"/>
    <w:rsid w:val="01D922A2"/>
    <w:rsid w:val="01DA1011"/>
    <w:rsid w:val="01DD27AE"/>
    <w:rsid w:val="01E215A1"/>
    <w:rsid w:val="01F27C77"/>
    <w:rsid w:val="01FD58A9"/>
    <w:rsid w:val="01FE10E9"/>
    <w:rsid w:val="01FF5E25"/>
    <w:rsid w:val="020C401D"/>
    <w:rsid w:val="0212636B"/>
    <w:rsid w:val="02183BB5"/>
    <w:rsid w:val="02201428"/>
    <w:rsid w:val="02247BED"/>
    <w:rsid w:val="0225032D"/>
    <w:rsid w:val="02397D55"/>
    <w:rsid w:val="023A3804"/>
    <w:rsid w:val="023B5027"/>
    <w:rsid w:val="023B7FBB"/>
    <w:rsid w:val="023E6337"/>
    <w:rsid w:val="02431DC0"/>
    <w:rsid w:val="0248240F"/>
    <w:rsid w:val="02505855"/>
    <w:rsid w:val="02510E5A"/>
    <w:rsid w:val="025C776F"/>
    <w:rsid w:val="026223DF"/>
    <w:rsid w:val="02675512"/>
    <w:rsid w:val="026D004A"/>
    <w:rsid w:val="026D1F06"/>
    <w:rsid w:val="026E716C"/>
    <w:rsid w:val="027420B3"/>
    <w:rsid w:val="028277A1"/>
    <w:rsid w:val="029F01C5"/>
    <w:rsid w:val="02A420A1"/>
    <w:rsid w:val="02AD6176"/>
    <w:rsid w:val="02B071B5"/>
    <w:rsid w:val="02B27D4B"/>
    <w:rsid w:val="02B31B9E"/>
    <w:rsid w:val="02BB15E3"/>
    <w:rsid w:val="02CD1577"/>
    <w:rsid w:val="02D1725A"/>
    <w:rsid w:val="02E87DC4"/>
    <w:rsid w:val="02EC4F7B"/>
    <w:rsid w:val="02F679FE"/>
    <w:rsid w:val="02FD37F2"/>
    <w:rsid w:val="03163FAD"/>
    <w:rsid w:val="03184DFA"/>
    <w:rsid w:val="031A2A62"/>
    <w:rsid w:val="03213611"/>
    <w:rsid w:val="032248BA"/>
    <w:rsid w:val="033B664C"/>
    <w:rsid w:val="033E4D02"/>
    <w:rsid w:val="034E4787"/>
    <w:rsid w:val="03514E17"/>
    <w:rsid w:val="037039DE"/>
    <w:rsid w:val="037571BD"/>
    <w:rsid w:val="03770009"/>
    <w:rsid w:val="03771167"/>
    <w:rsid w:val="037C3E90"/>
    <w:rsid w:val="038E41B6"/>
    <w:rsid w:val="03966709"/>
    <w:rsid w:val="03971F22"/>
    <w:rsid w:val="03985275"/>
    <w:rsid w:val="03A52BEF"/>
    <w:rsid w:val="03B20F4F"/>
    <w:rsid w:val="03B676B0"/>
    <w:rsid w:val="03C069E5"/>
    <w:rsid w:val="03C10F03"/>
    <w:rsid w:val="03E6007D"/>
    <w:rsid w:val="03E8463F"/>
    <w:rsid w:val="03F04217"/>
    <w:rsid w:val="03F5780A"/>
    <w:rsid w:val="03F630D5"/>
    <w:rsid w:val="04054A2B"/>
    <w:rsid w:val="04064707"/>
    <w:rsid w:val="040934D0"/>
    <w:rsid w:val="040B0093"/>
    <w:rsid w:val="04122E14"/>
    <w:rsid w:val="0414519C"/>
    <w:rsid w:val="041461E1"/>
    <w:rsid w:val="041729A1"/>
    <w:rsid w:val="042B2101"/>
    <w:rsid w:val="043738DE"/>
    <w:rsid w:val="0438675C"/>
    <w:rsid w:val="043E1CF5"/>
    <w:rsid w:val="04433B28"/>
    <w:rsid w:val="04475344"/>
    <w:rsid w:val="044B57FF"/>
    <w:rsid w:val="044F5570"/>
    <w:rsid w:val="045633D6"/>
    <w:rsid w:val="04605E2A"/>
    <w:rsid w:val="04621D19"/>
    <w:rsid w:val="04663D13"/>
    <w:rsid w:val="046A0239"/>
    <w:rsid w:val="046C195A"/>
    <w:rsid w:val="046E1037"/>
    <w:rsid w:val="048266DA"/>
    <w:rsid w:val="04865B1C"/>
    <w:rsid w:val="049F4EFD"/>
    <w:rsid w:val="04B43CCA"/>
    <w:rsid w:val="04B44F23"/>
    <w:rsid w:val="04B6403B"/>
    <w:rsid w:val="04B90108"/>
    <w:rsid w:val="04BC69BA"/>
    <w:rsid w:val="04C7430A"/>
    <w:rsid w:val="04C83562"/>
    <w:rsid w:val="04CE4631"/>
    <w:rsid w:val="04DF1FE0"/>
    <w:rsid w:val="04DF3FCB"/>
    <w:rsid w:val="04E05700"/>
    <w:rsid w:val="04E172CD"/>
    <w:rsid w:val="04EA3AA0"/>
    <w:rsid w:val="04F57CA3"/>
    <w:rsid w:val="04F61493"/>
    <w:rsid w:val="05003E46"/>
    <w:rsid w:val="05166C6E"/>
    <w:rsid w:val="05257C5A"/>
    <w:rsid w:val="05287F6C"/>
    <w:rsid w:val="052A72E0"/>
    <w:rsid w:val="05336A3F"/>
    <w:rsid w:val="05397558"/>
    <w:rsid w:val="053D00B6"/>
    <w:rsid w:val="055D7CA2"/>
    <w:rsid w:val="055E72FF"/>
    <w:rsid w:val="05674392"/>
    <w:rsid w:val="056C4502"/>
    <w:rsid w:val="057D235D"/>
    <w:rsid w:val="05893885"/>
    <w:rsid w:val="0596338A"/>
    <w:rsid w:val="05A07B6E"/>
    <w:rsid w:val="05B01A2F"/>
    <w:rsid w:val="05B2033B"/>
    <w:rsid w:val="05B2313E"/>
    <w:rsid w:val="05D011E8"/>
    <w:rsid w:val="05D3476D"/>
    <w:rsid w:val="05D63571"/>
    <w:rsid w:val="05DB0A9C"/>
    <w:rsid w:val="05E655CF"/>
    <w:rsid w:val="05F26614"/>
    <w:rsid w:val="05F810FA"/>
    <w:rsid w:val="06005707"/>
    <w:rsid w:val="06030411"/>
    <w:rsid w:val="060C6CC9"/>
    <w:rsid w:val="06150DBA"/>
    <w:rsid w:val="063425D2"/>
    <w:rsid w:val="063D0506"/>
    <w:rsid w:val="065B0E15"/>
    <w:rsid w:val="06672F0B"/>
    <w:rsid w:val="066D4902"/>
    <w:rsid w:val="066E53C9"/>
    <w:rsid w:val="066F7A1A"/>
    <w:rsid w:val="06717DA2"/>
    <w:rsid w:val="06783059"/>
    <w:rsid w:val="067F7AA5"/>
    <w:rsid w:val="06855742"/>
    <w:rsid w:val="069C1423"/>
    <w:rsid w:val="069F291D"/>
    <w:rsid w:val="06A7610C"/>
    <w:rsid w:val="06BC76FB"/>
    <w:rsid w:val="06C35BC3"/>
    <w:rsid w:val="06C942E0"/>
    <w:rsid w:val="06CA2DCC"/>
    <w:rsid w:val="06CB0E83"/>
    <w:rsid w:val="06D8271F"/>
    <w:rsid w:val="06DE05BF"/>
    <w:rsid w:val="06E767D9"/>
    <w:rsid w:val="06F15DAF"/>
    <w:rsid w:val="06FD59D4"/>
    <w:rsid w:val="0702214E"/>
    <w:rsid w:val="07023B66"/>
    <w:rsid w:val="07134E1A"/>
    <w:rsid w:val="07184851"/>
    <w:rsid w:val="072014E8"/>
    <w:rsid w:val="072221F1"/>
    <w:rsid w:val="07256731"/>
    <w:rsid w:val="07281AD5"/>
    <w:rsid w:val="07341714"/>
    <w:rsid w:val="07391A2B"/>
    <w:rsid w:val="073C7BB4"/>
    <w:rsid w:val="073F684C"/>
    <w:rsid w:val="07407105"/>
    <w:rsid w:val="074C551B"/>
    <w:rsid w:val="07507E9C"/>
    <w:rsid w:val="07576188"/>
    <w:rsid w:val="075A37C9"/>
    <w:rsid w:val="075B1A0B"/>
    <w:rsid w:val="076056E2"/>
    <w:rsid w:val="07637D7E"/>
    <w:rsid w:val="07757831"/>
    <w:rsid w:val="077617AB"/>
    <w:rsid w:val="07766C19"/>
    <w:rsid w:val="077B15AC"/>
    <w:rsid w:val="07855785"/>
    <w:rsid w:val="078D2E7D"/>
    <w:rsid w:val="078E7D56"/>
    <w:rsid w:val="07950733"/>
    <w:rsid w:val="0798655B"/>
    <w:rsid w:val="079E78C0"/>
    <w:rsid w:val="07A37F61"/>
    <w:rsid w:val="07AC1D67"/>
    <w:rsid w:val="07AE7D61"/>
    <w:rsid w:val="07B04D4B"/>
    <w:rsid w:val="07B53603"/>
    <w:rsid w:val="07BC0724"/>
    <w:rsid w:val="07BE6268"/>
    <w:rsid w:val="07C22432"/>
    <w:rsid w:val="07C86864"/>
    <w:rsid w:val="07CD0FB4"/>
    <w:rsid w:val="07D17C7C"/>
    <w:rsid w:val="07D461E0"/>
    <w:rsid w:val="07E50E7A"/>
    <w:rsid w:val="07ED0064"/>
    <w:rsid w:val="07FA1B0E"/>
    <w:rsid w:val="08115F74"/>
    <w:rsid w:val="0812095C"/>
    <w:rsid w:val="081258F1"/>
    <w:rsid w:val="08165D36"/>
    <w:rsid w:val="0819051C"/>
    <w:rsid w:val="082433A7"/>
    <w:rsid w:val="082A30ED"/>
    <w:rsid w:val="082D0BA9"/>
    <w:rsid w:val="083A5177"/>
    <w:rsid w:val="083E562A"/>
    <w:rsid w:val="08581DFD"/>
    <w:rsid w:val="085F666B"/>
    <w:rsid w:val="08641845"/>
    <w:rsid w:val="086F58A5"/>
    <w:rsid w:val="087A2652"/>
    <w:rsid w:val="08812725"/>
    <w:rsid w:val="089B0FEE"/>
    <w:rsid w:val="089C4071"/>
    <w:rsid w:val="08A272BD"/>
    <w:rsid w:val="08AB7C23"/>
    <w:rsid w:val="08BA55B6"/>
    <w:rsid w:val="08BD0C5B"/>
    <w:rsid w:val="08BE771E"/>
    <w:rsid w:val="08C14C8E"/>
    <w:rsid w:val="08CD7F6B"/>
    <w:rsid w:val="08E535C2"/>
    <w:rsid w:val="08E6490B"/>
    <w:rsid w:val="08E77B89"/>
    <w:rsid w:val="08ED341D"/>
    <w:rsid w:val="08F91555"/>
    <w:rsid w:val="091017BD"/>
    <w:rsid w:val="09132DF8"/>
    <w:rsid w:val="09172DBC"/>
    <w:rsid w:val="0924576C"/>
    <w:rsid w:val="09276536"/>
    <w:rsid w:val="092B3D47"/>
    <w:rsid w:val="093E67D4"/>
    <w:rsid w:val="094165A9"/>
    <w:rsid w:val="095143AD"/>
    <w:rsid w:val="09545365"/>
    <w:rsid w:val="095A3F9A"/>
    <w:rsid w:val="095D72A0"/>
    <w:rsid w:val="09631DBD"/>
    <w:rsid w:val="096562DB"/>
    <w:rsid w:val="09680FEA"/>
    <w:rsid w:val="0970682C"/>
    <w:rsid w:val="09792BE7"/>
    <w:rsid w:val="09795606"/>
    <w:rsid w:val="097F7B39"/>
    <w:rsid w:val="09867DBC"/>
    <w:rsid w:val="09893804"/>
    <w:rsid w:val="09922ABE"/>
    <w:rsid w:val="09924611"/>
    <w:rsid w:val="09944D89"/>
    <w:rsid w:val="09982958"/>
    <w:rsid w:val="09AE600E"/>
    <w:rsid w:val="09B7116B"/>
    <w:rsid w:val="09BE29A7"/>
    <w:rsid w:val="09D14A07"/>
    <w:rsid w:val="09DA7B97"/>
    <w:rsid w:val="09DB37A4"/>
    <w:rsid w:val="09E04BA7"/>
    <w:rsid w:val="09E337AF"/>
    <w:rsid w:val="09F94093"/>
    <w:rsid w:val="09FD10FA"/>
    <w:rsid w:val="09FE2D36"/>
    <w:rsid w:val="0A0D690A"/>
    <w:rsid w:val="0A1B6DFC"/>
    <w:rsid w:val="0A583F9A"/>
    <w:rsid w:val="0A662DDE"/>
    <w:rsid w:val="0A680F13"/>
    <w:rsid w:val="0A6A72D1"/>
    <w:rsid w:val="0A702524"/>
    <w:rsid w:val="0A7304EB"/>
    <w:rsid w:val="0A731C56"/>
    <w:rsid w:val="0A753374"/>
    <w:rsid w:val="0A7E0176"/>
    <w:rsid w:val="0A8D02F5"/>
    <w:rsid w:val="0A9109E9"/>
    <w:rsid w:val="0A96082D"/>
    <w:rsid w:val="0A9A5D3D"/>
    <w:rsid w:val="0A9B67F9"/>
    <w:rsid w:val="0AA349C7"/>
    <w:rsid w:val="0AB647B0"/>
    <w:rsid w:val="0AB66913"/>
    <w:rsid w:val="0ABE5AFE"/>
    <w:rsid w:val="0ABF34E4"/>
    <w:rsid w:val="0ABF36A1"/>
    <w:rsid w:val="0AC709E5"/>
    <w:rsid w:val="0ACB45ED"/>
    <w:rsid w:val="0AD97181"/>
    <w:rsid w:val="0AE9299A"/>
    <w:rsid w:val="0AF92D82"/>
    <w:rsid w:val="0AFD100C"/>
    <w:rsid w:val="0AFD4675"/>
    <w:rsid w:val="0AFE4389"/>
    <w:rsid w:val="0B036B82"/>
    <w:rsid w:val="0B0978FC"/>
    <w:rsid w:val="0B0D3507"/>
    <w:rsid w:val="0B0F6AB9"/>
    <w:rsid w:val="0B1109DE"/>
    <w:rsid w:val="0B15582D"/>
    <w:rsid w:val="0B1F6E7A"/>
    <w:rsid w:val="0B363484"/>
    <w:rsid w:val="0B3C1ABE"/>
    <w:rsid w:val="0B405E34"/>
    <w:rsid w:val="0B422C4E"/>
    <w:rsid w:val="0B444D3C"/>
    <w:rsid w:val="0B45475C"/>
    <w:rsid w:val="0B495A95"/>
    <w:rsid w:val="0B4A0D9A"/>
    <w:rsid w:val="0B4A3D67"/>
    <w:rsid w:val="0B5F5790"/>
    <w:rsid w:val="0B6364EE"/>
    <w:rsid w:val="0B6539A0"/>
    <w:rsid w:val="0B6F76B9"/>
    <w:rsid w:val="0B8111F7"/>
    <w:rsid w:val="0B893108"/>
    <w:rsid w:val="0B8D3B33"/>
    <w:rsid w:val="0B8F0F8E"/>
    <w:rsid w:val="0B9D4A61"/>
    <w:rsid w:val="0BA0157F"/>
    <w:rsid w:val="0BAE64FD"/>
    <w:rsid w:val="0BAF573C"/>
    <w:rsid w:val="0BBC52C8"/>
    <w:rsid w:val="0BD306C1"/>
    <w:rsid w:val="0BD31DE1"/>
    <w:rsid w:val="0BD629CF"/>
    <w:rsid w:val="0BE926FE"/>
    <w:rsid w:val="0BF0362D"/>
    <w:rsid w:val="0BF607AA"/>
    <w:rsid w:val="0C057449"/>
    <w:rsid w:val="0C071F7A"/>
    <w:rsid w:val="0C123464"/>
    <w:rsid w:val="0C2F476E"/>
    <w:rsid w:val="0C355D3B"/>
    <w:rsid w:val="0C3C46BF"/>
    <w:rsid w:val="0C49492D"/>
    <w:rsid w:val="0C511332"/>
    <w:rsid w:val="0C5C550B"/>
    <w:rsid w:val="0C5D2D71"/>
    <w:rsid w:val="0C71462B"/>
    <w:rsid w:val="0C75458E"/>
    <w:rsid w:val="0C763DC9"/>
    <w:rsid w:val="0CA273F1"/>
    <w:rsid w:val="0CB11936"/>
    <w:rsid w:val="0CB90931"/>
    <w:rsid w:val="0CC27407"/>
    <w:rsid w:val="0CC75002"/>
    <w:rsid w:val="0CCC5C04"/>
    <w:rsid w:val="0CD827C5"/>
    <w:rsid w:val="0CDB2A0A"/>
    <w:rsid w:val="0CDB7DFA"/>
    <w:rsid w:val="0CE10B81"/>
    <w:rsid w:val="0CE12681"/>
    <w:rsid w:val="0CEF24BA"/>
    <w:rsid w:val="0D032F9E"/>
    <w:rsid w:val="0D065361"/>
    <w:rsid w:val="0D0D6A84"/>
    <w:rsid w:val="0D245BED"/>
    <w:rsid w:val="0D2E7CDE"/>
    <w:rsid w:val="0D511D9B"/>
    <w:rsid w:val="0D52544D"/>
    <w:rsid w:val="0D536475"/>
    <w:rsid w:val="0D631BA2"/>
    <w:rsid w:val="0D761084"/>
    <w:rsid w:val="0D7B7B4A"/>
    <w:rsid w:val="0D823BCC"/>
    <w:rsid w:val="0D851495"/>
    <w:rsid w:val="0D8F1F77"/>
    <w:rsid w:val="0D924CCC"/>
    <w:rsid w:val="0D93090C"/>
    <w:rsid w:val="0D98121C"/>
    <w:rsid w:val="0DA22EBD"/>
    <w:rsid w:val="0DAC557C"/>
    <w:rsid w:val="0DD31D8F"/>
    <w:rsid w:val="0DDE19E8"/>
    <w:rsid w:val="0DDF3681"/>
    <w:rsid w:val="0DE21B55"/>
    <w:rsid w:val="0DE8177F"/>
    <w:rsid w:val="0DEC2ADB"/>
    <w:rsid w:val="0DED5D18"/>
    <w:rsid w:val="0DF45C0B"/>
    <w:rsid w:val="0E093FE9"/>
    <w:rsid w:val="0E0C2AFD"/>
    <w:rsid w:val="0E0E47F0"/>
    <w:rsid w:val="0E0F5D1B"/>
    <w:rsid w:val="0E121D9A"/>
    <w:rsid w:val="0E1B2CC9"/>
    <w:rsid w:val="0E2E6AB6"/>
    <w:rsid w:val="0E3B7750"/>
    <w:rsid w:val="0E3D49A9"/>
    <w:rsid w:val="0E510D62"/>
    <w:rsid w:val="0E5160EF"/>
    <w:rsid w:val="0E63199B"/>
    <w:rsid w:val="0E7A2736"/>
    <w:rsid w:val="0E7A66D6"/>
    <w:rsid w:val="0E8E60DC"/>
    <w:rsid w:val="0E8F739E"/>
    <w:rsid w:val="0E9F1C21"/>
    <w:rsid w:val="0EA744AE"/>
    <w:rsid w:val="0EA76951"/>
    <w:rsid w:val="0EAB77A0"/>
    <w:rsid w:val="0EB35AAD"/>
    <w:rsid w:val="0ED11811"/>
    <w:rsid w:val="0EDE27F8"/>
    <w:rsid w:val="0EE911F1"/>
    <w:rsid w:val="0EEA2A90"/>
    <w:rsid w:val="0EFB25D1"/>
    <w:rsid w:val="0EFC7454"/>
    <w:rsid w:val="0F0119F6"/>
    <w:rsid w:val="0F022EE4"/>
    <w:rsid w:val="0F0239DF"/>
    <w:rsid w:val="0F0361C8"/>
    <w:rsid w:val="0F097F32"/>
    <w:rsid w:val="0F1C38A1"/>
    <w:rsid w:val="0F1D044C"/>
    <w:rsid w:val="0F251FFC"/>
    <w:rsid w:val="0F273C3B"/>
    <w:rsid w:val="0F2F5FE6"/>
    <w:rsid w:val="0F367B25"/>
    <w:rsid w:val="0F3E5340"/>
    <w:rsid w:val="0F4E38F5"/>
    <w:rsid w:val="0F540BFC"/>
    <w:rsid w:val="0F5B51AF"/>
    <w:rsid w:val="0F5C51B5"/>
    <w:rsid w:val="0F5E193B"/>
    <w:rsid w:val="0F5E1E20"/>
    <w:rsid w:val="0F7125D5"/>
    <w:rsid w:val="0F794915"/>
    <w:rsid w:val="0F7E2308"/>
    <w:rsid w:val="0F8D1D66"/>
    <w:rsid w:val="0F8D6E18"/>
    <w:rsid w:val="0F8E634C"/>
    <w:rsid w:val="0F923D51"/>
    <w:rsid w:val="0F960DE0"/>
    <w:rsid w:val="0FAC1D9A"/>
    <w:rsid w:val="0FB0737F"/>
    <w:rsid w:val="0FB1386B"/>
    <w:rsid w:val="0FB35CCF"/>
    <w:rsid w:val="0FCE6FEC"/>
    <w:rsid w:val="0FE47F4E"/>
    <w:rsid w:val="0FEB6B2A"/>
    <w:rsid w:val="0FEC6591"/>
    <w:rsid w:val="100C0C63"/>
    <w:rsid w:val="10215FFC"/>
    <w:rsid w:val="10251309"/>
    <w:rsid w:val="10261BAA"/>
    <w:rsid w:val="102B15CE"/>
    <w:rsid w:val="103379B6"/>
    <w:rsid w:val="103C6776"/>
    <w:rsid w:val="104A034A"/>
    <w:rsid w:val="104C047B"/>
    <w:rsid w:val="106306D4"/>
    <w:rsid w:val="10660739"/>
    <w:rsid w:val="1069565E"/>
    <w:rsid w:val="106F11B4"/>
    <w:rsid w:val="10762B17"/>
    <w:rsid w:val="108B5B30"/>
    <w:rsid w:val="10957BCE"/>
    <w:rsid w:val="10965B95"/>
    <w:rsid w:val="109B7E33"/>
    <w:rsid w:val="10B06F61"/>
    <w:rsid w:val="10B477E1"/>
    <w:rsid w:val="10B70E7E"/>
    <w:rsid w:val="10B95554"/>
    <w:rsid w:val="10BE6DF1"/>
    <w:rsid w:val="10BF5AF0"/>
    <w:rsid w:val="10C40D6A"/>
    <w:rsid w:val="10CC1D6A"/>
    <w:rsid w:val="10CF1CAA"/>
    <w:rsid w:val="10D8551E"/>
    <w:rsid w:val="10DC070D"/>
    <w:rsid w:val="10DC2540"/>
    <w:rsid w:val="10F93E88"/>
    <w:rsid w:val="11067954"/>
    <w:rsid w:val="11113331"/>
    <w:rsid w:val="1112518B"/>
    <w:rsid w:val="11397FCC"/>
    <w:rsid w:val="11545FB1"/>
    <w:rsid w:val="11596574"/>
    <w:rsid w:val="11963AC1"/>
    <w:rsid w:val="119D1C43"/>
    <w:rsid w:val="11B14483"/>
    <w:rsid w:val="11B1770D"/>
    <w:rsid w:val="11B96845"/>
    <w:rsid w:val="11CE0716"/>
    <w:rsid w:val="11CF78D8"/>
    <w:rsid w:val="11D65CBA"/>
    <w:rsid w:val="11D7231C"/>
    <w:rsid w:val="11DA3CE7"/>
    <w:rsid w:val="11DD0788"/>
    <w:rsid w:val="11E70DCC"/>
    <w:rsid w:val="11FE1B55"/>
    <w:rsid w:val="11FE239A"/>
    <w:rsid w:val="12023388"/>
    <w:rsid w:val="12105780"/>
    <w:rsid w:val="12151C60"/>
    <w:rsid w:val="121762E9"/>
    <w:rsid w:val="123021D6"/>
    <w:rsid w:val="124567D1"/>
    <w:rsid w:val="124B3A99"/>
    <w:rsid w:val="1253458F"/>
    <w:rsid w:val="12551EAD"/>
    <w:rsid w:val="126322CB"/>
    <w:rsid w:val="12691E05"/>
    <w:rsid w:val="12735ED9"/>
    <w:rsid w:val="12766327"/>
    <w:rsid w:val="12791006"/>
    <w:rsid w:val="127C2CBD"/>
    <w:rsid w:val="128428CC"/>
    <w:rsid w:val="1287602C"/>
    <w:rsid w:val="129528F2"/>
    <w:rsid w:val="129B402D"/>
    <w:rsid w:val="129E1CBC"/>
    <w:rsid w:val="12A5368B"/>
    <w:rsid w:val="12A67371"/>
    <w:rsid w:val="12AC6B78"/>
    <w:rsid w:val="12C77051"/>
    <w:rsid w:val="12C95AA1"/>
    <w:rsid w:val="12DF1D8A"/>
    <w:rsid w:val="12E073E8"/>
    <w:rsid w:val="12EE7D04"/>
    <w:rsid w:val="12F17637"/>
    <w:rsid w:val="13040A65"/>
    <w:rsid w:val="1306646C"/>
    <w:rsid w:val="13396B15"/>
    <w:rsid w:val="136A0D4C"/>
    <w:rsid w:val="136B4255"/>
    <w:rsid w:val="13701D45"/>
    <w:rsid w:val="13863E79"/>
    <w:rsid w:val="13AB2902"/>
    <w:rsid w:val="13B100AE"/>
    <w:rsid w:val="13BA5348"/>
    <w:rsid w:val="13BB084C"/>
    <w:rsid w:val="13EA60C2"/>
    <w:rsid w:val="13F46A94"/>
    <w:rsid w:val="13F6333A"/>
    <w:rsid w:val="14010277"/>
    <w:rsid w:val="140247CC"/>
    <w:rsid w:val="14053D54"/>
    <w:rsid w:val="14066A71"/>
    <w:rsid w:val="141A56D9"/>
    <w:rsid w:val="141B4934"/>
    <w:rsid w:val="14216B57"/>
    <w:rsid w:val="14232092"/>
    <w:rsid w:val="142E066E"/>
    <w:rsid w:val="143E0E51"/>
    <w:rsid w:val="143F5E76"/>
    <w:rsid w:val="14475CB7"/>
    <w:rsid w:val="146B646A"/>
    <w:rsid w:val="14772DD6"/>
    <w:rsid w:val="1477508C"/>
    <w:rsid w:val="148515B6"/>
    <w:rsid w:val="1487448F"/>
    <w:rsid w:val="14881C0A"/>
    <w:rsid w:val="14A21E4F"/>
    <w:rsid w:val="14A23DCB"/>
    <w:rsid w:val="14A87F51"/>
    <w:rsid w:val="14B15ED6"/>
    <w:rsid w:val="14B450AE"/>
    <w:rsid w:val="14B67BFC"/>
    <w:rsid w:val="14B7210E"/>
    <w:rsid w:val="14BD28E4"/>
    <w:rsid w:val="14C14B89"/>
    <w:rsid w:val="14C5569E"/>
    <w:rsid w:val="14C57506"/>
    <w:rsid w:val="14C6316A"/>
    <w:rsid w:val="14CF0D4A"/>
    <w:rsid w:val="14D7056E"/>
    <w:rsid w:val="14E56C94"/>
    <w:rsid w:val="14EF073D"/>
    <w:rsid w:val="14F36498"/>
    <w:rsid w:val="14F36FB6"/>
    <w:rsid w:val="1509154F"/>
    <w:rsid w:val="150B34E4"/>
    <w:rsid w:val="151E3969"/>
    <w:rsid w:val="15282B11"/>
    <w:rsid w:val="15303351"/>
    <w:rsid w:val="15343A2B"/>
    <w:rsid w:val="153D3AF3"/>
    <w:rsid w:val="153E0259"/>
    <w:rsid w:val="15432082"/>
    <w:rsid w:val="154A550F"/>
    <w:rsid w:val="154A7E7E"/>
    <w:rsid w:val="154C5FD5"/>
    <w:rsid w:val="15523C6B"/>
    <w:rsid w:val="156311D8"/>
    <w:rsid w:val="15656850"/>
    <w:rsid w:val="157B5D24"/>
    <w:rsid w:val="157B72EF"/>
    <w:rsid w:val="158D4130"/>
    <w:rsid w:val="15911664"/>
    <w:rsid w:val="15993788"/>
    <w:rsid w:val="1599417E"/>
    <w:rsid w:val="159B180C"/>
    <w:rsid w:val="15A1341C"/>
    <w:rsid w:val="15B73BFA"/>
    <w:rsid w:val="15BE121B"/>
    <w:rsid w:val="15CD667A"/>
    <w:rsid w:val="15DE28B3"/>
    <w:rsid w:val="15EB0836"/>
    <w:rsid w:val="1608380C"/>
    <w:rsid w:val="161530BC"/>
    <w:rsid w:val="16180A85"/>
    <w:rsid w:val="161E22D2"/>
    <w:rsid w:val="1626019B"/>
    <w:rsid w:val="16436DF1"/>
    <w:rsid w:val="164B320D"/>
    <w:rsid w:val="164D5330"/>
    <w:rsid w:val="164E7E96"/>
    <w:rsid w:val="16577F5B"/>
    <w:rsid w:val="166646C0"/>
    <w:rsid w:val="167230F0"/>
    <w:rsid w:val="1684632F"/>
    <w:rsid w:val="169C0001"/>
    <w:rsid w:val="169F1E9B"/>
    <w:rsid w:val="16AA34E3"/>
    <w:rsid w:val="16B14473"/>
    <w:rsid w:val="16B76D7A"/>
    <w:rsid w:val="16BB0206"/>
    <w:rsid w:val="16DA63EA"/>
    <w:rsid w:val="16DB2A4C"/>
    <w:rsid w:val="16E44891"/>
    <w:rsid w:val="16F75C6C"/>
    <w:rsid w:val="16FD68E3"/>
    <w:rsid w:val="17040016"/>
    <w:rsid w:val="17080E12"/>
    <w:rsid w:val="170E2DF2"/>
    <w:rsid w:val="170F2832"/>
    <w:rsid w:val="170F75FB"/>
    <w:rsid w:val="17212FDD"/>
    <w:rsid w:val="1727520B"/>
    <w:rsid w:val="172E5971"/>
    <w:rsid w:val="17357DFC"/>
    <w:rsid w:val="17364AED"/>
    <w:rsid w:val="174342F4"/>
    <w:rsid w:val="174972AA"/>
    <w:rsid w:val="17612E51"/>
    <w:rsid w:val="176150E8"/>
    <w:rsid w:val="177E7E5E"/>
    <w:rsid w:val="1790532E"/>
    <w:rsid w:val="17907896"/>
    <w:rsid w:val="17912484"/>
    <w:rsid w:val="17937A67"/>
    <w:rsid w:val="17A15379"/>
    <w:rsid w:val="17A44464"/>
    <w:rsid w:val="17A72250"/>
    <w:rsid w:val="17C337B8"/>
    <w:rsid w:val="17CE0C4A"/>
    <w:rsid w:val="17D61088"/>
    <w:rsid w:val="17D7530A"/>
    <w:rsid w:val="17E04FBA"/>
    <w:rsid w:val="17F2486F"/>
    <w:rsid w:val="180462DC"/>
    <w:rsid w:val="181513AA"/>
    <w:rsid w:val="181A3C74"/>
    <w:rsid w:val="18375583"/>
    <w:rsid w:val="1839097D"/>
    <w:rsid w:val="184D386A"/>
    <w:rsid w:val="18564AEC"/>
    <w:rsid w:val="185C2A97"/>
    <w:rsid w:val="18631BD8"/>
    <w:rsid w:val="187C067D"/>
    <w:rsid w:val="18874C0B"/>
    <w:rsid w:val="18952A8A"/>
    <w:rsid w:val="189916D9"/>
    <w:rsid w:val="189D0AEC"/>
    <w:rsid w:val="18A80767"/>
    <w:rsid w:val="18AD14A5"/>
    <w:rsid w:val="18B6371F"/>
    <w:rsid w:val="18C3514A"/>
    <w:rsid w:val="18DD6A2D"/>
    <w:rsid w:val="18E72DBC"/>
    <w:rsid w:val="18EE4A1B"/>
    <w:rsid w:val="18F1219C"/>
    <w:rsid w:val="18F616EF"/>
    <w:rsid w:val="18FF026F"/>
    <w:rsid w:val="190C3ACE"/>
    <w:rsid w:val="19112AB7"/>
    <w:rsid w:val="191A476F"/>
    <w:rsid w:val="191B720E"/>
    <w:rsid w:val="19376D41"/>
    <w:rsid w:val="19392087"/>
    <w:rsid w:val="1945534D"/>
    <w:rsid w:val="19583B9C"/>
    <w:rsid w:val="195C774E"/>
    <w:rsid w:val="19607D44"/>
    <w:rsid w:val="196175B7"/>
    <w:rsid w:val="1962311B"/>
    <w:rsid w:val="196D1BA8"/>
    <w:rsid w:val="198037EE"/>
    <w:rsid w:val="19855D16"/>
    <w:rsid w:val="19870DCB"/>
    <w:rsid w:val="198C0BF4"/>
    <w:rsid w:val="198E3A86"/>
    <w:rsid w:val="1992391C"/>
    <w:rsid w:val="1998712F"/>
    <w:rsid w:val="19992E8B"/>
    <w:rsid w:val="19A45E5C"/>
    <w:rsid w:val="19B078C5"/>
    <w:rsid w:val="19C309CE"/>
    <w:rsid w:val="19C373F7"/>
    <w:rsid w:val="19CB729E"/>
    <w:rsid w:val="19CD3561"/>
    <w:rsid w:val="19D0374E"/>
    <w:rsid w:val="19DB7DF8"/>
    <w:rsid w:val="19DF239C"/>
    <w:rsid w:val="19E33D56"/>
    <w:rsid w:val="19ED6518"/>
    <w:rsid w:val="19F55C70"/>
    <w:rsid w:val="19FA7739"/>
    <w:rsid w:val="1A031C47"/>
    <w:rsid w:val="1A0E0CDF"/>
    <w:rsid w:val="1A1148C1"/>
    <w:rsid w:val="1A1623AD"/>
    <w:rsid w:val="1A1C3F78"/>
    <w:rsid w:val="1A2227AC"/>
    <w:rsid w:val="1A273344"/>
    <w:rsid w:val="1A30182C"/>
    <w:rsid w:val="1A361478"/>
    <w:rsid w:val="1A3C006F"/>
    <w:rsid w:val="1A467EA1"/>
    <w:rsid w:val="1A4A02D3"/>
    <w:rsid w:val="1A5C6ED4"/>
    <w:rsid w:val="1A6F7BF0"/>
    <w:rsid w:val="1A733F51"/>
    <w:rsid w:val="1A79456A"/>
    <w:rsid w:val="1A7A480D"/>
    <w:rsid w:val="1ACE1D43"/>
    <w:rsid w:val="1AD663FE"/>
    <w:rsid w:val="1AD82CE0"/>
    <w:rsid w:val="1AD86972"/>
    <w:rsid w:val="1AE60DFC"/>
    <w:rsid w:val="1AEA6440"/>
    <w:rsid w:val="1AF2794D"/>
    <w:rsid w:val="1B04344D"/>
    <w:rsid w:val="1B186FF4"/>
    <w:rsid w:val="1B193FEE"/>
    <w:rsid w:val="1B2120AC"/>
    <w:rsid w:val="1B2E1AD0"/>
    <w:rsid w:val="1B3B41D5"/>
    <w:rsid w:val="1B3C7AAD"/>
    <w:rsid w:val="1B450A79"/>
    <w:rsid w:val="1B464F5B"/>
    <w:rsid w:val="1B6453EE"/>
    <w:rsid w:val="1B7A7EE5"/>
    <w:rsid w:val="1B8A146C"/>
    <w:rsid w:val="1B904B94"/>
    <w:rsid w:val="1BA31A9E"/>
    <w:rsid w:val="1BAA7CD3"/>
    <w:rsid w:val="1BAB3ECE"/>
    <w:rsid w:val="1BB7733B"/>
    <w:rsid w:val="1BB83851"/>
    <w:rsid w:val="1BBF0327"/>
    <w:rsid w:val="1BC042DC"/>
    <w:rsid w:val="1BC847A1"/>
    <w:rsid w:val="1BCA58EB"/>
    <w:rsid w:val="1BCC11B8"/>
    <w:rsid w:val="1BD16561"/>
    <w:rsid w:val="1BD522B1"/>
    <w:rsid w:val="1BE85788"/>
    <w:rsid w:val="1BEC5941"/>
    <w:rsid w:val="1BF37A2F"/>
    <w:rsid w:val="1BF51208"/>
    <w:rsid w:val="1BFC7947"/>
    <w:rsid w:val="1C147CF8"/>
    <w:rsid w:val="1C166285"/>
    <w:rsid w:val="1C191124"/>
    <w:rsid w:val="1C1A1197"/>
    <w:rsid w:val="1C262C17"/>
    <w:rsid w:val="1C2A0049"/>
    <w:rsid w:val="1C3155A1"/>
    <w:rsid w:val="1C394F6A"/>
    <w:rsid w:val="1C3A2222"/>
    <w:rsid w:val="1C3A685C"/>
    <w:rsid w:val="1C414F4E"/>
    <w:rsid w:val="1C4B07DE"/>
    <w:rsid w:val="1C4C7A56"/>
    <w:rsid w:val="1C4F1B55"/>
    <w:rsid w:val="1C5E0AF6"/>
    <w:rsid w:val="1C5F3259"/>
    <w:rsid w:val="1C667C91"/>
    <w:rsid w:val="1C6A08AC"/>
    <w:rsid w:val="1C6B0F54"/>
    <w:rsid w:val="1C7249B2"/>
    <w:rsid w:val="1C724DAA"/>
    <w:rsid w:val="1C8708CB"/>
    <w:rsid w:val="1C8A2073"/>
    <w:rsid w:val="1C8A7A1D"/>
    <w:rsid w:val="1C8C66C0"/>
    <w:rsid w:val="1C982728"/>
    <w:rsid w:val="1C9D5B1D"/>
    <w:rsid w:val="1CA31BB6"/>
    <w:rsid w:val="1CBE3616"/>
    <w:rsid w:val="1CD03BB1"/>
    <w:rsid w:val="1CE27D7E"/>
    <w:rsid w:val="1CE37191"/>
    <w:rsid w:val="1CEC79F8"/>
    <w:rsid w:val="1CF068D4"/>
    <w:rsid w:val="1CF35E70"/>
    <w:rsid w:val="1CFA3C34"/>
    <w:rsid w:val="1D00278C"/>
    <w:rsid w:val="1D01346C"/>
    <w:rsid w:val="1D074E61"/>
    <w:rsid w:val="1D135A95"/>
    <w:rsid w:val="1D140A55"/>
    <w:rsid w:val="1D236B78"/>
    <w:rsid w:val="1D2A793C"/>
    <w:rsid w:val="1D305317"/>
    <w:rsid w:val="1D3869FB"/>
    <w:rsid w:val="1D3C3646"/>
    <w:rsid w:val="1D44451B"/>
    <w:rsid w:val="1D5505BA"/>
    <w:rsid w:val="1D564F60"/>
    <w:rsid w:val="1D5740FE"/>
    <w:rsid w:val="1D5F04A2"/>
    <w:rsid w:val="1D6842C7"/>
    <w:rsid w:val="1D882E0F"/>
    <w:rsid w:val="1DA97E12"/>
    <w:rsid w:val="1DAE5B43"/>
    <w:rsid w:val="1DB57FB2"/>
    <w:rsid w:val="1DB95EDE"/>
    <w:rsid w:val="1DC30883"/>
    <w:rsid w:val="1DC62049"/>
    <w:rsid w:val="1DCF706E"/>
    <w:rsid w:val="1DD90759"/>
    <w:rsid w:val="1DE44FE9"/>
    <w:rsid w:val="1DFB6858"/>
    <w:rsid w:val="1E102EB0"/>
    <w:rsid w:val="1E1A6A12"/>
    <w:rsid w:val="1E366A51"/>
    <w:rsid w:val="1E3B54C6"/>
    <w:rsid w:val="1E481202"/>
    <w:rsid w:val="1E524C7C"/>
    <w:rsid w:val="1E5B7470"/>
    <w:rsid w:val="1E685A1E"/>
    <w:rsid w:val="1E7B46D3"/>
    <w:rsid w:val="1E8A2FC9"/>
    <w:rsid w:val="1E99010B"/>
    <w:rsid w:val="1EAE5F28"/>
    <w:rsid w:val="1EB35614"/>
    <w:rsid w:val="1EC834A7"/>
    <w:rsid w:val="1EE07F36"/>
    <w:rsid w:val="1EF20664"/>
    <w:rsid w:val="1F015DC2"/>
    <w:rsid w:val="1F183936"/>
    <w:rsid w:val="1F2B290F"/>
    <w:rsid w:val="1F366C08"/>
    <w:rsid w:val="1F3A315D"/>
    <w:rsid w:val="1F3A3294"/>
    <w:rsid w:val="1F4479BB"/>
    <w:rsid w:val="1F4A5920"/>
    <w:rsid w:val="1F591517"/>
    <w:rsid w:val="1F6911D4"/>
    <w:rsid w:val="1F7034ED"/>
    <w:rsid w:val="1F841DB6"/>
    <w:rsid w:val="1FA32B7B"/>
    <w:rsid w:val="1FB74F77"/>
    <w:rsid w:val="1FB9107D"/>
    <w:rsid w:val="1FC05FD6"/>
    <w:rsid w:val="1FCC3593"/>
    <w:rsid w:val="1FE012CC"/>
    <w:rsid w:val="1FEE261E"/>
    <w:rsid w:val="1FF82369"/>
    <w:rsid w:val="1FFB371A"/>
    <w:rsid w:val="1FFC521A"/>
    <w:rsid w:val="200D51E2"/>
    <w:rsid w:val="20151119"/>
    <w:rsid w:val="202366AA"/>
    <w:rsid w:val="202A7D3E"/>
    <w:rsid w:val="20317B98"/>
    <w:rsid w:val="203C22F6"/>
    <w:rsid w:val="204614FA"/>
    <w:rsid w:val="20466DCB"/>
    <w:rsid w:val="204671D0"/>
    <w:rsid w:val="20497170"/>
    <w:rsid w:val="204D63F5"/>
    <w:rsid w:val="204F032B"/>
    <w:rsid w:val="20506FFB"/>
    <w:rsid w:val="20537C02"/>
    <w:rsid w:val="206D114B"/>
    <w:rsid w:val="2072643A"/>
    <w:rsid w:val="20772799"/>
    <w:rsid w:val="20780077"/>
    <w:rsid w:val="207E798A"/>
    <w:rsid w:val="2083429A"/>
    <w:rsid w:val="20A278EC"/>
    <w:rsid w:val="20AE2E6A"/>
    <w:rsid w:val="20AE37FE"/>
    <w:rsid w:val="20B14A46"/>
    <w:rsid w:val="20D1397F"/>
    <w:rsid w:val="20D3484E"/>
    <w:rsid w:val="20D47DB9"/>
    <w:rsid w:val="20D50477"/>
    <w:rsid w:val="20DD35B1"/>
    <w:rsid w:val="20E65367"/>
    <w:rsid w:val="20E8638E"/>
    <w:rsid w:val="20F35474"/>
    <w:rsid w:val="20FA25EC"/>
    <w:rsid w:val="20FA52BF"/>
    <w:rsid w:val="20FC542B"/>
    <w:rsid w:val="21035CC4"/>
    <w:rsid w:val="2109469F"/>
    <w:rsid w:val="210D59B1"/>
    <w:rsid w:val="211439E6"/>
    <w:rsid w:val="211C5EC9"/>
    <w:rsid w:val="212F6029"/>
    <w:rsid w:val="2155633D"/>
    <w:rsid w:val="216350A7"/>
    <w:rsid w:val="2192795E"/>
    <w:rsid w:val="219F1645"/>
    <w:rsid w:val="21A35923"/>
    <w:rsid w:val="21A96C58"/>
    <w:rsid w:val="21B8400D"/>
    <w:rsid w:val="21DF071A"/>
    <w:rsid w:val="21E57530"/>
    <w:rsid w:val="21E73D68"/>
    <w:rsid w:val="21F93AE4"/>
    <w:rsid w:val="2202624C"/>
    <w:rsid w:val="220E226E"/>
    <w:rsid w:val="221F345A"/>
    <w:rsid w:val="22214561"/>
    <w:rsid w:val="2223235D"/>
    <w:rsid w:val="22286427"/>
    <w:rsid w:val="223148ED"/>
    <w:rsid w:val="22397D8C"/>
    <w:rsid w:val="223C3819"/>
    <w:rsid w:val="224D7197"/>
    <w:rsid w:val="22523CD8"/>
    <w:rsid w:val="22530AAC"/>
    <w:rsid w:val="226024E1"/>
    <w:rsid w:val="226C1E57"/>
    <w:rsid w:val="227E5E14"/>
    <w:rsid w:val="228251F5"/>
    <w:rsid w:val="228846EE"/>
    <w:rsid w:val="228B490B"/>
    <w:rsid w:val="228B4C9B"/>
    <w:rsid w:val="228C6115"/>
    <w:rsid w:val="22992C2A"/>
    <w:rsid w:val="229B6663"/>
    <w:rsid w:val="229D33E4"/>
    <w:rsid w:val="22A43600"/>
    <w:rsid w:val="22AC5A58"/>
    <w:rsid w:val="22BD0427"/>
    <w:rsid w:val="22D06408"/>
    <w:rsid w:val="22D51AF8"/>
    <w:rsid w:val="22D572D0"/>
    <w:rsid w:val="22DB4D64"/>
    <w:rsid w:val="22DC7091"/>
    <w:rsid w:val="22DE1EF7"/>
    <w:rsid w:val="22FD1612"/>
    <w:rsid w:val="230F581C"/>
    <w:rsid w:val="23273BD2"/>
    <w:rsid w:val="23350AE4"/>
    <w:rsid w:val="23457434"/>
    <w:rsid w:val="234C745B"/>
    <w:rsid w:val="23515C2D"/>
    <w:rsid w:val="235B7F38"/>
    <w:rsid w:val="23606E4D"/>
    <w:rsid w:val="236503B6"/>
    <w:rsid w:val="23850B41"/>
    <w:rsid w:val="239F2CDA"/>
    <w:rsid w:val="23AA5BAD"/>
    <w:rsid w:val="23BA6F2A"/>
    <w:rsid w:val="23C0578B"/>
    <w:rsid w:val="23CD679A"/>
    <w:rsid w:val="23E63240"/>
    <w:rsid w:val="23E94B05"/>
    <w:rsid w:val="23EA683F"/>
    <w:rsid w:val="23ED5BF9"/>
    <w:rsid w:val="23F342FF"/>
    <w:rsid w:val="23F97828"/>
    <w:rsid w:val="23FD080D"/>
    <w:rsid w:val="23FE4E88"/>
    <w:rsid w:val="23FE4EB2"/>
    <w:rsid w:val="240C3267"/>
    <w:rsid w:val="24151319"/>
    <w:rsid w:val="24253A31"/>
    <w:rsid w:val="24465FD6"/>
    <w:rsid w:val="244C7F99"/>
    <w:rsid w:val="244F0613"/>
    <w:rsid w:val="245453D0"/>
    <w:rsid w:val="245625A7"/>
    <w:rsid w:val="245D5736"/>
    <w:rsid w:val="248C7020"/>
    <w:rsid w:val="249969C6"/>
    <w:rsid w:val="249C35F9"/>
    <w:rsid w:val="24A528B4"/>
    <w:rsid w:val="24AE1BC0"/>
    <w:rsid w:val="24B804FF"/>
    <w:rsid w:val="24C23897"/>
    <w:rsid w:val="24C343F9"/>
    <w:rsid w:val="24CA0360"/>
    <w:rsid w:val="24DC0D82"/>
    <w:rsid w:val="24E87553"/>
    <w:rsid w:val="24ED5C2B"/>
    <w:rsid w:val="24EF3B68"/>
    <w:rsid w:val="24F36739"/>
    <w:rsid w:val="251329BB"/>
    <w:rsid w:val="2517331B"/>
    <w:rsid w:val="25173C39"/>
    <w:rsid w:val="25341659"/>
    <w:rsid w:val="254F243E"/>
    <w:rsid w:val="25523B88"/>
    <w:rsid w:val="2561798B"/>
    <w:rsid w:val="25792C4E"/>
    <w:rsid w:val="257A07AF"/>
    <w:rsid w:val="257B5775"/>
    <w:rsid w:val="25816168"/>
    <w:rsid w:val="258D5089"/>
    <w:rsid w:val="259B532E"/>
    <w:rsid w:val="259C6915"/>
    <w:rsid w:val="25A502DE"/>
    <w:rsid w:val="25AB6CB7"/>
    <w:rsid w:val="25B7075E"/>
    <w:rsid w:val="25B81442"/>
    <w:rsid w:val="25C833D5"/>
    <w:rsid w:val="25CA1A5E"/>
    <w:rsid w:val="25D96974"/>
    <w:rsid w:val="25DC1FEA"/>
    <w:rsid w:val="25DD2CB4"/>
    <w:rsid w:val="25E93DA5"/>
    <w:rsid w:val="26087595"/>
    <w:rsid w:val="26202E33"/>
    <w:rsid w:val="26206288"/>
    <w:rsid w:val="26286BA8"/>
    <w:rsid w:val="262B336A"/>
    <w:rsid w:val="264D3C46"/>
    <w:rsid w:val="265C39F8"/>
    <w:rsid w:val="265D3A52"/>
    <w:rsid w:val="267D5F5A"/>
    <w:rsid w:val="2683726B"/>
    <w:rsid w:val="2689690A"/>
    <w:rsid w:val="268E0AD7"/>
    <w:rsid w:val="26A402D7"/>
    <w:rsid w:val="26A61982"/>
    <w:rsid w:val="26AC6103"/>
    <w:rsid w:val="26B47208"/>
    <w:rsid w:val="26C44C55"/>
    <w:rsid w:val="26C45967"/>
    <w:rsid w:val="26CA775F"/>
    <w:rsid w:val="26DD3567"/>
    <w:rsid w:val="26DD4248"/>
    <w:rsid w:val="26F10FC3"/>
    <w:rsid w:val="26FB070C"/>
    <w:rsid w:val="26FD2231"/>
    <w:rsid w:val="26FD44DF"/>
    <w:rsid w:val="27075B1E"/>
    <w:rsid w:val="2713651F"/>
    <w:rsid w:val="271543AD"/>
    <w:rsid w:val="271D34AE"/>
    <w:rsid w:val="274134FB"/>
    <w:rsid w:val="2743510B"/>
    <w:rsid w:val="275128D9"/>
    <w:rsid w:val="27597D4F"/>
    <w:rsid w:val="276A723B"/>
    <w:rsid w:val="2770629A"/>
    <w:rsid w:val="27911478"/>
    <w:rsid w:val="279219D6"/>
    <w:rsid w:val="27946DDD"/>
    <w:rsid w:val="27995BD4"/>
    <w:rsid w:val="27A04ED3"/>
    <w:rsid w:val="27A516D7"/>
    <w:rsid w:val="27A54D07"/>
    <w:rsid w:val="27B7398D"/>
    <w:rsid w:val="27BD3038"/>
    <w:rsid w:val="27C424FA"/>
    <w:rsid w:val="27C75F63"/>
    <w:rsid w:val="27C87524"/>
    <w:rsid w:val="27F01DF4"/>
    <w:rsid w:val="27F53979"/>
    <w:rsid w:val="27FE0E3E"/>
    <w:rsid w:val="28066B2F"/>
    <w:rsid w:val="280A6527"/>
    <w:rsid w:val="28120868"/>
    <w:rsid w:val="281E0FE5"/>
    <w:rsid w:val="28275824"/>
    <w:rsid w:val="282934CD"/>
    <w:rsid w:val="2835363B"/>
    <w:rsid w:val="283D569E"/>
    <w:rsid w:val="28434B2F"/>
    <w:rsid w:val="28466F3C"/>
    <w:rsid w:val="284E25DA"/>
    <w:rsid w:val="285B0BE4"/>
    <w:rsid w:val="285B3D41"/>
    <w:rsid w:val="285C6EF8"/>
    <w:rsid w:val="287E7D01"/>
    <w:rsid w:val="287F5677"/>
    <w:rsid w:val="288524EF"/>
    <w:rsid w:val="288C5967"/>
    <w:rsid w:val="288F1EE2"/>
    <w:rsid w:val="28927C9B"/>
    <w:rsid w:val="289A661F"/>
    <w:rsid w:val="28AC3FE1"/>
    <w:rsid w:val="28AE707D"/>
    <w:rsid w:val="28B44B90"/>
    <w:rsid w:val="28B5571D"/>
    <w:rsid w:val="28BD7362"/>
    <w:rsid w:val="28BE7C77"/>
    <w:rsid w:val="28C078DB"/>
    <w:rsid w:val="28C73850"/>
    <w:rsid w:val="28E90A1D"/>
    <w:rsid w:val="28EB0CDA"/>
    <w:rsid w:val="28F51407"/>
    <w:rsid w:val="290D2880"/>
    <w:rsid w:val="291D05F5"/>
    <w:rsid w:val="292B2876"/>
    <w:rsid w:val="29326EC8"/>
    <w:rsid w:val="29360B91"/>
    <w:rsid w:val="293A6D89"/>
    <w:rsid w:val="29592753"/>
    <w:rsid w:val="29682B59"/>
    <w:rsid w:val="29684BCA"/>
    <w:rsid w:val="296B0A15"/>
    <w:rsid w:val="296C0DB5"/>
    <w:rsid w:val="29716689"/>
    <w:rsid w:val="297341AF"/>
    <w:rsid w:val="297E5F1B"/>
    <w:rsid w:val="299A1F40"/>
    <w:rsid w:val="299B4CCE"/>
    <w:rsid w:val="29A10CA3"/>
    <w:rsid w:val="29A52ADA"/>
    <w:rsid w:val="29AB498E"/>
    <w:rsid w:val="29B51BCE"/>
    <w:rsid w:val="29C34847"/>
    <w:rsid w:val="29C35AF7"/>
    <w:rsid w:val="29C61F0A"/>
    <w:rsid w:val="29D82573"/>
    <w:rsid w:val="29D827B0"/>
    <w:rsid w:val="29D90988"/>
    <w:rsid w:val="29EA52EF"/>
    <w:rsid w:val="29EA62C6"/>
    <w:rsid w:val="29EF08CA"/>
    <w:rsid w:val="29F75DA1"/>
    <w:rsid w:val="29FF038E"/>
    <w:rsid w:val="2A082E16"/>
    <w:rsid w:val="2A1E78CA"/>
    <w:rsid w:val="2A220BA5"/>
    <w:rsid w:val="2A2437B5"/>
    <w:rsid w:val="2A2D6002"/>
    <w:rsid w:val="2A3C2B26"/>
    <w:rsid w:val="2A3F2FF8"/>
    <w:rsid w:val="2A4C2F9E"/>
    <w:rsid w:val="2A4F2715"/>
    <w:rsid w:val="2A5038D6"/>
    <w:rsid w:val="2A5100A0"/>
    <w:rsid w:val="2A632225"/>
    <w:rsid w:val="2A687735"/>
    <w:rsid w:val="2A755986"/>
    <w:rsid w:val="2A792D4F"/>
    <w:rsid w:val="2A7A4318"/>
    <w:rsid w:val="2A815035"/>
    <w:rsid w:val="2A8D6977"/>
    <w:rsid w:val="2A933AED"/>
    <w:rsid w:val="2A97216E"/>
    <w:rsid w:val="2A9A64F8"/>
    <w:rsid w:val="2A9C18D8"/>
    <w:rsid w:val="2AAA76E2"/>
    <w:rsid w:val="2ABA0981"/>
    <w:rsid w:val="2ADE189C"/>
    <w:rsid w:val="2AEA1D81"/>
    <w:rsid w:val="2AEF66A5"/>
    <w:rsid w:val="2AF730EF"/>
    <w:rsid w:val="2B053E3F"/>
    <w:rsid w:val="2B0F6C2E"/>
    <w:rsid w:val="2B0F7D39"/>
    <w:rsid w:val="2B104C7C"/>
    <w:rsid w:val="2B193D23"/>
    <w:rsid w:val="2B1C2E31"/>
    <w:rsid w:val="2B204A27"/>
    <w:rsid w:val="2B235D5E"/>
    <w:rsid w:val="2B2903A3"/>
    <w:rsid w:val="2B2926C1"/>
    <w:rsid w:val="2B330D22"/>
    <w:rsid w:val="2B332BF9"/>
    <w:rsid w:val="2B351489"/>
    <w:rsid w:val="2B3730FC"/>
    <w:rsid w:val="2B3B1481"/>
    <w:rsid w:val="2B3E003D"/>
    <w:rsid w:val="2B5A0AC6"/>
    <w:rsid w:val="2B661A55"/>
    <w:rsid w:val="2B6645EF"/>
    <w:rsid w:val="2B6724FA"/>
    <w:rsid w:val="2B6C0A85"/>
    <w:rsid w:val="2B6D3B7B"/>
    <w:rsid w:val="2B74678C"/>
    <w:rsid w:val="2B8C1610"/>
    <w:rsid w:val="2B967A5F"/>
    <w:rsid w:val="2BB84E97"/>
    <w:rsid w:val="2BC9015F"/>
    <w:rsid w:val="2BD72421"/>
    <w:rsid w:val="2BDB7F43"/>
    <w:rsid w:val="2BE45464"/>
    <w:rsid w:val="2BE85CD5"/>
    <w:rsid w:val="2BEA25E7"/>
    <w:rsid w:val="2BF47537"/>
    <w:rsid w:val="2C032849"/>
    <w:rsid w:val="2C033E72"/>
    <w:rsid w:val="2C2B116D"/>
    <w:rsid w:val="2C3711D5"/>
    <w:rsid w:val="2C41373D"/>
    <w:rsid w:val="2C4338B1"/>
    <w:rsid w:val="2C443D3B"/>
    <w:rsid w:val="2C626AE7"/>
    <w:rsid w:val="2C6732B9"/>
    <w:rsid w:val="2C775CEF"/>
    <w:rsid w:val="2C816614"/>
    <w:rsid w:val="2C865271"/>
    <w:rsid w:val="2C940DDF"/>
    <w:rsid w:val="2C9B1E2A"/>
    <w:rsid w:val="2CA32136"/>
    <w:rsid w:val="2CA42CD9"/>
    <w:rsid w:val="2CA84783"/>
    <w:rsid w:val="2CBD63FA"/>
    <w:rsid w:val="2CCE1A70"/>
    <w:rsid w:val="2CD83023"/>
    <w:rsid w:val="2CDC1FF2"/>
    <w:rsid w:val="2CE43AFB"/>
    <w:rsid w:val="2CED1B47"/>
    <w:rsid w:val="2CF17367"/>
    <w:rsid w:val="2CF7030B"/>
    <w:rsid w:val="2D0529D6"/>
    <w:rsid w:val="2D110A42"/>
    <w:rsid w:val="2D191BFC"/>
    <w:rsid w:val="2D1C41CB"/>
    <w:rsid w:val="2D277C67"/>
    <w:rsid w:val="2D2F04EF"/>
    <w:rsid w:val="2D3A170F"/>
    <w:rsid w:val="2D3D26C4"/>
    <w:rsid w:val="2D433999"/>
    <w:rsid w:val="2D45096D"/>
    <w:rsid w:val="2D581AE2"/>
    <w:rsid w:val="2D81716B"/>
    <w:rsid w:val="2D8D5DBA"/>
    <w:rsid w:val="2D9804E1"/>
    <w:rsid w:val="2DA53C82"/>
    <w:rsid w:val="2DB95849"/>
    <w:rsid w:val="2DBB3BC7"/>
    <w:rsid w:val="2DC44641"/>
    <w:rsid w:val="2DC76AB5"/>
    <w:rsid w:val="2DE24E4E"/>
    <w:rsid w:val="2E011683"/>
    <w:rsid w:val="2E013850"/>
    <w:rsid w:val="2E243782"/>
    <w:rsid w:val="2E262EE4"/>
    <w:rsid w:val="2E272B04"/>
    <w:rsid w:val="2E31770C"/>
    <w:rsid w:val="2E453C48"/>
    <w:rsid w:val="2E4C12F6"/>
    <w:rsid w:val="2E544482"/>
    <w:rsid w:val="2E54560E"/>
    <w:rsid w:val="2E594F14"/>
    <w:rsid w:val="2E607D45"/>
    <w:rsid w:val="2E7178B9"/>
    <w:rsid w:val="2E7841CC"/>
    <w:rsid w:val="2E9E3FF0"/>
    <w:rsid w:val="2EA41BDC"/>
    <w:rsid w:val="2EAD42E7"/>
    <w:rsid w:val="2EB9479F"/>
    <w:rsid w:val="2ECC4378"/>
    <w:rsid w:val="2ED14AA3"/>
    <w:rsid w:val="2EDF2A3C"/>
    <w:rsid w:val="2EE41D09"/>
    <w:rsid w:val="2EFA7EAE"/>
    <w:rsid w:val="2F055CA7"/>
    <w:rsid w:val="2F0D4075"/>
    <w:rsid w:val="2F0D4BF4"/>
    <w:rsid w:val="2F1A008D"/>
    <w:rsid w:val="2F1E5DC6"/>
    <w:rsid w:val="2F23132D"/>
    <w:rsid w:val="2F2D68C1"/>
    <w:rsid w:val="2F2E5819"/>
    <w:rsid w:val="2F342845"/>
    <w:rsid w:val="2F3625BB"/>
    <w:rsid w:val="2F421719"/>
    <w:rsid w:val="2F467BC3"/>
    <w:rsid w:val="2F5475A7"/>
    <w:rsid w:val="2F5523B9"/>
    <w:rsid w:val="2F5A7294"/>
    <w:rsid w:val="2F5E31C7"/>
    <w:rsid w:val="2F6556ED"/>
    <w:rsid w:val="2F893DD9"/>
    <w:rsid w:val="2F8B1FAF"/>
    <w:rsid w:val="2F8C1BAD"/>
    <w:rsid w:val="2F925B7F"/>
    <w:rsid w:val="2FA302D9"/>
    <w:rsid w:val="2FA4482C"/>
    <w:rsid w:val="2FB053ED"/>
    <w:rsid w:val="2FBE38BB"/>
    <w:rsid w:val="2FD1570F"/>
    <w:rsid w:val="2FE44C40"/>
    <w:rsid w:val="2FE80C2E"/>
    <w:rsid w:val="2FF16FA4"/>
    <w:rsid w:val="30033829"/>
    <w:rsid w:val="300A19BE"/>
    <w:rsid w:val="301559D3"/>
    <w:rsid w:val="301C047E"/>
    <w:rsid w:val="3026060C"/>
    <w:rsid w:val="302927B4"/>
    <w:rsid w:val="302D0111"/>
    <w:rsid w:val="303323D8"/>
    <w:rsid w:val="303954A2"/>
    <w:rsid w:val="3045040E"/>
    <w:rsid w:val="3052270D"/>
    <w:rsid w:val="30531075"/>
    <w:rsid w:val="305D2A59"/>
    <w:rsid w:val="306F6E51"/>
    <w:rsid w:val="30721749"/>
    <w:rsid w:val="307675B4"/>
    <w:rsid w:val="308222E9"/>
    <w:rsid w:val="30837237"/>
    <w:rsid w:val="309040EF"/>
    <w:rsid w:val="309350DF"/>
    <w:rsid w:val="30944861"/>
    <w:rsid w:val="30952777"/>
    <w:rsid w:val="309D6DED"/>
    <w:rsid w:val="30A95DB2"/>
    <w:rsid w:val="30AE5FFA"/>
    <w:rsid w:val="30B37BCC"/>
    <w:rsid w:val="30B530FB"/>
    <w:rsid w:val="30BB211F"/>
    <w:rsid w:val="30C51FAF"/>
    <w:rsid w:val="30C83242"/>
    <w:rsid w:val="30CF31E3"/>
    <w:rsid w:val="30DB047B"/>
    <w:rsid w:val="30E57D00"/>
    <w:rsid w:val="30E620E5"/>
    <w:rsid w:val="30EE5F87"/>
    <w:rsid w:val="30EE6E8E"/>
    <w:rsid w:val="30F34025"/>
    <w:rsid w:val="31006CF4"/>
    <w:rsid w:val="3102177B"/>
    <w:rsid w:val="31064FE4"/>
    <w:rsid w:val="310E5C94"/>
    <w:rsid w:val="310F08BA"/>
    <w:rsid w:val="31117FAF"/>
    <w:rsid w:val="311E3B79"/>
    <w:rsid w:val="31293894"/>
    <w:rsid w:val="312C43CB"/>
    <w:rsid w:val="3139415B"/>
    <w:rsid w:val="314C2934"/>
    <w:rsid w:val="31590B77"/>
    <w:rsid w:val="315C55CC"/>
    <w:rsid w:val="316164CB"/>
    <w:rsid w:val="317633E6"/>
    <w:rsid w:val="317923F6"/>
    <w:rsid w:val="317A18D0"/>
    <w:rsid w:val="317F3368"/>
    <w:rsid w:val="31830E9D"/>
    <w:rsid w:val="31840C06"/>
    <w:rsid w:val="31881145"/>
    <w:rsid w:val="318A5BA2"/>
    <w:rsid w:val="319266F0"/>
    <w:rsid w:val="31A6072E"/>
    <w:rsid w:val="31A815F8"/>
    <w:rsid w:val="31A9113B"/>
    <w:rsid w:val="31B87014"/>
    <w:rsid w:val="31BD40F2"/>
    <w:rsid w:val="31CA7244"/>
    <w:rsid w:val="31D315D8"/>
    <w:rsid w:val="31D51DB8"/>
    <w:rsid w:val="31EE7AC2"/>
    <w:rsid w:val="31F17843"/>
    <w:rsid w:val="32001232"/>
    <w:rsid w:val="3209485F"/>
    <w:rsid w:val="320D00ED"/>
    <w:rsid w:val="321102D9"/>
    <w:rsid w:val="321A7D0D"/>
    <w:rsid w:val="32240DA9"/>
    <w:rsid w:val="322435D5"/>
    <w:rsid w:val="322922F9"/>
    <w:rsid w:val="322B1A70"/>
    <w:rsid w:val="32304530"/>
    <w:rsid w:val="324313EB"/>
    <w:rsid w:val="32442781"/>
    <w:rsid w:val="3253513C"/>
    <w:rsid w:val="325E29B0"/>
    <w:rsid w:val="325F1436"/>
    <w:rsid w:val="326852F8"/>
    <w:rsid w:val="326C4966"/>
    <w:rsid w:val="3272116A"/>
    <w:rsid w:val="327927E4"/>
    <w:rsid w:val="32817C37"/>
    <w:rsid w:val="32836ECF"/>
    <w:rsid w:val="32875ACB"/>
    <w:rsid w:val="328B7E74"/>
    <w:rsid w:val="32A362BB"/>
    <w:rsid w:val="32B15B54"/>
    <w:rsid w:val="32B35085"/>
    <w:rsid w:val="32B402F8"/>
    <w:rsid w:val="32C9672E"/>
    <w:rsid w:val="32D977A7"/>
    <w:rsid w:val="32DB1358"/>
    <w:rsid w:val="32DC197F"/>
    <w:rsid w:val="32DC3B5D"/>
    <w:rsid w:val="32DE5A9D"/>
    <w:rsid w:val="32E25E1F"/>
    <w:rsid w:val="32E31088"/>
    <w:rsid w:val="32E8155B"/>
    <w:rsid w:val="32F9789E"/>
    <w:rsid w:val="330316C9"/>
    <w:rsid w:val="33164755"/>
    <w:rsid w:val="332417BF"/>
    <w:rsid w:val="33411A71"/>
    <w:rsid w:val="33526C43"/>
    <w:rsid w:val="335D58AD"/>
    <w:rsid w:val="33755A20"/>
    <w:rsid w:val="337E24E4"/>
    <w:rsid w:val="338C545C"/>
    <w:rsid w:val="33A231C7"/>
    <w:rsid w:val="33AF11CD"/>
    <w:rsid w:val="33B71897"/>
    <w:rsid w:val="33B81DE3"/>
    <w:rsid w:val="33BA23C1"/>
    <w:rsid w:val="33BB050F"/>
    <w:rsid w:val="33BD26B7"/>
    <w:rsid w:val="33C10D9C"/>
    <w:rsid w:val="33C24013"/>
    <w:rsid w:val="33C91265"/>
    <w:rsid w:val="33CE5CA0"/>
    <w:rsid w:val="33D134FA"/>
    <w:rsid w:val="33DE12F1"/>
    <w:rsid w:val="33DF0F3E"/>
    <w:rsid w:val="33E54E09"/>
    <w:rsid w:val="33EF3E4F"/>
    <w:rsid w:val="33F43B4D"/>
    <w:rsid w:val="33F63062"/>
    <w:rsid w:val="33F95E02"/>
    <w:rsid w:val="342E2586"/>
    <w:rsid w:val="343417B6"/>
    <w:rsid w:val="34345869"/>
    <w:rsid w:val="343D6A23"/>
    <w:rsid w:val="344E57CE"/>
    <w:rsid w:val="34614A70"/>
    <w:rsid w:val="34695860"/>
    <w:rsid w:val="347528E8"/>
    <w:rsid w:val="347B06D5"/>
    <w:rsid w:val="347E5E4E"/>
    <w:rsid w:val="348D776C"/>
    <w:rsid w:val="348E0446"/>
    <w:rsid w:val="34976062"/>
    <w:rsid w:val="34B3040F"/>
    <w:rsid w:val="34B462E0"/>
    <w:rsid w:val="34C93E6E"/>
    <w:rsid w:val="34CF0EBB"/>
    <w:rsid w:val="34D3018A"/>
    <w:rsid w:val="34DB3478"/>
    <w:rsid w:val="34DB7451"/>
    <w:rsid w:val="34DE0455"/>
    <w:rsid w:val="34DE70CB"/>
    <w:rsid w:val="34E462C8"/>
    <w:rsid w:val="34E970C5"/>
    <w:rsid w:val="34EB34AC"/>
    <w:rsid w:val="350267A3"/>
    <w:rsid w:val="3504539E"/>
    <w:rsid w:val="35291E25"/>
    <w:rsid w:val="352A4911"/>
    <w:rsid w:val="352E232D"/>
    <w:rsid w:val="352E5990"/>
    <w:rsid w:val="35347E5E"/>
    <w:rsid w:val="3543129D"/>
    <w:rsid w:val="354541DE"/>
    <w:rsid w:val="354E2EFD"/>
    <w:rsid w:val="35662417"/>
    <w:rsid w:val="35675FFE"/>
    <w:rsid w:val="356E7DF2"/>
    <w:rsid w:val="357120E6"/>
    <w:rsid w:val="357A61BB"/>
    <w:rsid w:val="358F2BB8"/>
    <w:rsid w:val="35914F63"/>
    <w:rsid w:val="35AB322A"/>
    <w:rsid w:val="35AD6B9C"/>
    <w:rsid w:val="35AF065E"/>
    <w:rsid w:val="35C3323B"/>
    <w:rsid w:val="35CC783D"/>
    <w:rsid w:val="35D04464"/>
    <w:rsid w:val="35EE4B3B"/>
    <w:rsid w:val="35F6773F"/>
    <w:rsid w:val="35FE439C"/>
    <w:rsid w:val="36087603"/>
    <w:rsid w:val="361E5551"/>
    <w:rsid w:val="362004FF"/>
    <w:rsid w:val="363858C6"/>
    <w:rsid w:val="364411F3"/>
    <w:rsid w:val="365605AB"/>
    <w:rsid w:val="3665213D"/>
    <w:rsid w:val="36652728"/>
    <w:rsid w:val="36664758"/>
    <w:rsid w:val="36707940"/>
    <w:rsid w:val="367B33FE"/>
    <w:rsid w:val="367C0C5C"/>
    <w:rsid w:val="36832176"/>
    <w:rsid w:val="36843FF0"/>
    <w:rsid w:val="36A80D1E"/>
    <w:rsid w:val="36B13142"/>
    <w:rsid w:val="36B932B8"/>
    <w:rsid w:val="36BC2F77"/>
    <w:rsid w:val="36BE69F6"/>
    <w:rsid w:val="36CF33EE"/>
    <w:rsid w:val="36CF3A06"/>
    <w:rsid w:val="36D014BD"/>
    <w:rsid w:val="36DA4188"/>
    <w:rsid w:val="36E357BF"/>
    <w:rsid w:val="36E432D2"/>
    <w:rsid w:val="36E45E61"/>
    <w:rsid w:val="36F157FC"/>
    <w:rsid w:val="370B7F8A"/>
    <w:rsid w:val="37142FA4"/>
    <w:rsid w:val="373F129E"/>
    <w:rsid w:val="37481961"/>
    <w:rsid w:val="375D1E3E"/>
    <w:rsid w:val="3762597F"/>
    <w:rsid w:val="377320B8"/>
    <w:rsid w:val="377A37C0"/>
    <w:rsid w:val="377A3F50"/>
    <w:rsid w:val="377D4703"/>
    <w:rsid w:val="377F2132"/>
    <w:rsid w:val="37825137"/>
    <w:rsid w:val="37854B5B"/>
    <w:rsid w:val="3786773A"/>
    <w:rsid w:val="37932AD8"/>
    <w:rsid w:val="3795431C"/>
    <w:rsid w:val="379B733A"/>
    <w:rsid w:val="37A06F15"/>
    <w:rsid w:val="37A27E43"/>
    <w:rsid w:val="37A47B03"/>
    <w:rsid w:val="37A9530D"/>
    <w:rsid w:val="37AF1E47"/>
    <w:rsid w:val="37B3163C"/>
    <w:rsid w:val="37C84EE8"/>
    <w:rsid w:val="37C85DE6"/>
    <w:rsid w:val="37CE237E"/>
    <w:rsid w:val="37DE20C8"/>
    <w:rsid w:val="37ED6756"/>
    <w:rsid w:val="37EE7E8B"/>
    <w:rsid w:val="37FE503C"/>
    <w:rsid w:val="380C136C"/>
    <w:rsid w:val="3815162A"/>
    <w:rsid w:val="38180BCC"/>
    <w:rsid w:val="381B2FD0"/>
    <w:rsid w:val="381B7852"/>
    <w:rsid w:val="381F0F23"/>
    <w:rsid w:val="38213656"/>
    <w:rsid w:val="38246319"/>
    <w:rsid w:val="382F4F00"/>
    <w:rsid w:val="3834728A"/>
    <w:rsid w:val="383F7F2E"/>
    <w:rsid w:val="384905DE"/>
    <w:rsid w:val="385023B1"/>
    <w:rsid w:val="3878042E"/>
    <w:rsid w:val="38784F89"/>
    <w:rsid w:val="38A1506C"/>
    <w:rsid w:val="38A32A62"/>
    <w:rsid w:val="38AE517B"/>
    <w:rsid w:val="38D63519"/>
    <w:rsid w:val="38E35F12"/>
    <w:rsid w:val="38F71600"/>
    <w:rsid w:val="38F81758"/>
    <w:rsid w:val="38FB486B"/>
    <w:rsid w:val="39056723"/>
    <w:rsid w:val="39190F1B"/>
    <w:rsid w:val="39190F4C"/>
    <w:rsid w:val="391E2C91"/>
    <w:rsid w:val="3926422B"/>
    <w:rsid w:val="39331A89"/>
    <w:rsid w:val="3940391C"/>
    <w:rsid w:val="394B386E"/>
    <w:rsid w:val="394B5136"/>
    <w:rsid w:val="394C2F1C"/>
    <w:rsid w:val="39547C01"/>
    <w:rsid w:val="39567274"/>
    <w:rsid w:val="395D1721"/>
    <w:rsid w:val="39627EB7"/>
    <w:rsid w:val="39705634"/>
    <w:rsid w:val="39832BA5"/>
    <w:rsid w:val="39906819"/>
    <w:rsid w:val="39935C42"/>
    <w:rsid w:val="399E3F57"/>
    <w:rsid w:val="399E6655"/>
    <w:rsid w:val="39BF1AE9"/>
    <w:rsid w:val="39C935EA"/>
    <w:rsid w:val="39CA20D6"/>
    <w:rsid w:val="39CF6562"/>
    <w:rsid w:val="39DA2C71"/>
    <w:rsid w:val="39DF3F96"/>
    <w:rsid w:val="39E94462"/>
    <w:rsid w:val="39F1790B"/>
    <w:rsid w:val="3A021774"/>
    <w:rsid w:val="3A1550DB"/>
    <w:rsid w:val="3A1917B8"/>
    <w:rsid w:val="3A195548"/>
    <w:rsid w:val="3A1A2B85"/>
    <w:rsid w:val="3A1B55B0"/>
    <w:rsid w:val="3A372CE7"/>
    <w:rsid w:val="3A3F2FC0"/>
    <w:rsid w:val="3A426B31"/>
    <w:rsid w:val="3A5771CA"/>
    <w:rsid w:val="3A580210"/>
    <w:rsid w:val="3A5F5373"/>
    <w:rsid w:val="3A60120E"/>
    <w:rsid w:val="3A8457E9"/>
    <w:rsid w:val="3A8F767A"/>
    <w:rsid w:val="3A952F9B"/>
    <w:rsid w:val="3AA45EAC"/>
    <w:rsid w:val="3ABD7B89"/>
    <w:rsid w:val="3AC50924"/>
    <w:rsid w:val="3ACD004F"/>
    <w:rsid w:val="3ACF4766"/>
    <w:rsid w:val="3AD34183"/>
    <w:rsid w:val="3AD37D3F"/>
    <w:rsid w:val="3AE34D93"/>
    <w:rsid w:val="3AE96818"/>
    <w:rsid w:val="3AF2191D"/>
    <w:rsid w:val="3AF64793"/>
    <w:rsid w:val="3AF9279E"/>
    <w:rsid w:val="3B256524"/>
    <w:rsid w:val="3B303AA0"/>
    <w:rsid w:val="3B3234C8"/>
    <w:rsid w:val="3B3B0C01"/>
    <w:rsid w:val="3B3C7DA5"/>
    <w:rsid w:val="3B41130E"/>
    <w:rsid w:val="3B4C3DB2"/>
    <w:rsid w:val="3B504B09"/>
    <w:rsid w:val="3B5102FE"/>
    <w:rsid w:val="3B651539"/>
    <w:rsid w:val="3B656DBF"/>
    <w:rsid w:val="3B6B5142"/>
    <w:rsid w:val="3B73751E"/>
    <w:rsid w:val="3B792376"/>
    <w:rsid w:val="3B7C2DEA"/>
    <w:rsid w:val="3B81545F"/>
    <w:rsid w:val="3B8B47CF"/>
    <w:rsid w:val="3B9059FD"/>
    <w:rsid w:val="3BA052D2"/>
    <w:rsid w:val="3BA92EF9"/>
    <w:rsid w:val="3BAA58B1"/>
    <w:rsid w:val="3BB829D4"/>
    <w:rsid w:val="3BB863FA"/>
    <w:rsid w:val="3BBF6814"/>
    <w:rsid w:val="3BC64F5A"/>
    <w:rsid w:val="3BCB1D59"/>
    <w:rsid w:val="3BD15A61"/>
    <w:rsid w:val="3BE6193C"/>
    <w:rsid w:val="3BF43C28"/>
    <w:rsid w:val="3BFC0F79"/>
    <w:rsid w:val="3BFF5BC2"/>
    <w:rsid w:val="3C020B65"/>
    <w:rsid w:val="3C04169E"/>
    <w:rsid w:val="3C043ACB"/>
    <w:rsid w:val="3C07395E"/>
    <w:rsid w:val="3C0A747E"/>
    <w:rsid w:val="3C0F2C7B"/>
    <w:rsid w:val="3C1079DE"/>
    <w:rsid w:val="3C123ACC"/>
    <w:rsid w:val="3C1975A9"/>
    <w:rsid w:val="3C416BDA"/>
    <w:rsid w:val="3C43573C"/>
    <w:rsid w:val="3C4444C3"/>
    <w:rsid w:val="3C4D305E"/>
    <w:rsid w:val="3C60438C"/>
    <w:rsid w:val="3C6732A7"/>
    <w:rsid w:val="3C68401C"/>
    <w:rsid w:val="3C6B6092"/>
    <w:rsid w:val="3C7E6FB3"/>
    <w:rsid w:val="3C81764B"/>
    <w:rsid w:val="3C8A45FC"/>
    <w:rsid w:val="3CA93680"/>
    <w:rsid w:val="3CB17DFC"/>
    <w:rsid w:val="3CBB7816"/>
    <w:rsid w:val="3CBD72CF"/>
    <w:rsid w:val="3CC2265C"/>
    <w:rsid w:val="3CCE2163"/>
    <w:rsid w:val="3CD066AB"/>
    <w:rsid w:val="3CDB78F3"/>
    <w:rsid w:val="3CE70D6B"/>
    <w:rsid w:val="3CE90FFD"/>
    <w:rsid w:val="3CEB5F2A"/>
    <w:rsid w:val="3CF276C6"/>
    <w:rsid w:val="3D0728FF"/>
    <w:rsid w:val="3D140CF3"/>
    <w:rsid w:val="3D154BA8"/>
    <w:rsid w:val="3D1F43C9"/>
    <w:rsid w:val="3D25676B"/>
    <w:rsid w:val="3D2E0B45"/>
    <w:rsid w:val="3D357BDB"/>
    <w:rsid w:val="3D3C3F6B"/>
    <w:rsid w:val="3D3F09DA"/>
    <w:rsid w:val="3D624AB6"/>
    <w:rsid w:val="3D757922"/>
    <w:rsid w:val="3D8728DF"/>
    <w:rsid w:val="3DB27522"/>
    <w:rsid w:val="3DBA0DE7"/>
    <w:rsid w:val="3DD439B5"/>
    <w:rsid w:val="3DE610AB"/>
    <w:rsid w:val="3DE70C04"/>
    <w:rsid w:val="3DE95942"/>
    <w:rsid w:val="3DF22DEE"/>
    <w:rsid w:val="3DFB53FC"/>
    <w:rsid w:val="3E05197D"/>
    <w:rsid w:val="3E074FBE"/>
    <w:rsid w:val="3E0811A4"/>
    <w:rsid w:val="3E0C41BF"/>
    <w:rsid w:val="3E146692"/>
    <w:rsid w:val="3E16694F"/>
    <w:rsid w:val="3E1F0990"/>
    <w:rsid w:val="3E29681C"/>
    <w:rsid w:val="3E2F2825"/>
    <w:rsid w:val="3E314FFD"/>
    <w:rsid w:val="3E3A6C92"/>
    <w:rsid w:val="3E5B03AA"/>
    <w:rsid w:val="3E65104A"/>
    <w:rsid w:val="3E6F504D"/>
    <w:rsid w:val="3E72712D"/>
    <w:rsid w:val="3E991461"/>
    <w:rsid w:val="3E9D334D"/>
    <w:rsid w:val="3E9F43A0"/>
    <w:rsid w:val="3EA0125E"/>
    <w:rsid w:val="3EA12C1D"/>
    <w:rsid w:val="3EAC6066"/>
    <w:rsid w:val="3EC0764D"/>
    <w:rsid w:val="3EC84ED0"/>
    <w:rsid w:val="3EC9788D"/>
    <w:rsid w:val="3ED27288"/>
    <w:rsid w:val="3ED830C1"/>
    <w:rsid w:val="3ED94147"/>
    <w:rsid w:val="3EEA5FB7"/>
    <w:rsid w:val="3EEE7261"/>
    <w:rsid w:val="3EF04038"/>
    <w:rsid w:val="3EF73FE5"/>
    <w:rsid w:val="3F067E66"/>
    <w:rsid w:val="3F1E4F89"/>
    <w:rsid w:val="3F2D158E"/>
    <w:rsid w:val="3F314CBD"/>
    <w:rsid w:val="3F4021D2"/>
    <w:rsid w:val="3F540E52"/>
    <w:rsid w:val="3F5F5B0A"/>
    <w:rsid w:val="3F6E75BE"/>
    <w:rsid w:val="3F6F3B4F"/>
    <w:rsid w:val="3F7B0C3E"/>
    <w:rsid w:val="3F812801"/>
    <w:rsid w:val="3F86163E"/>
    <w:rsid w:val="3F867AE0"/>
    <w:rsid w:val="3F922F0E"/>
    <w:rsid w:val="3F942AE1"/>
    <w:rsid w:val="3FB803BC"/>
    <w:rsid w:val="3FBB7C2B"/>
    <w:rsid w:val="3FD225D7"/>
    <w:rsid w:val="3FD67A02"/>
    <w:rsid w:val="3FE301C3"/>
    <w:rsid w:val="3FE9328C"/>
    <w:rsid w:val="3FEB0156"/>
    <w:rsid w:val="3FED5807"/>
    <w:rsid w:val="3FEF10D8"/>
    <w:rsid w:val="4004250A"/>
    <w:rsid w:val="40092082"/>
    <w:rsid w:val="401457BD"/>
    <w:rsid w:val="401E51CD"/>
    <w:rsid w:val="40220712"/>
    <w:rsid w:val="402F2E6D"/>
    <w:rsid w:val="40300D0E"/>
    <w:rsid w:val="40452EB0"/>
    <w:rsid w:val="40493F46"/>
    <w:rsid w:val="40531097"/>
    <w:rsid w:val="40585729"/>
    <w:rsid w:val="40602524"/>
    <w:rsid w:val="40756BFA"/>
    <w:rsid w:val="40825FDC"/>
    <w:rsid w:val="40833C36"/>
    <w:rsid w:val="408712BA"/>
    <w:rsid w:val="40874723"/>
    <w:rsid w:val="40981A85"/>
    <w:rsid w:val="409E301A"/>
    <w:rsid w:val="40A66A9E"/>
    <w:rsid w:val="40A76EF3"/>
    <w:rsid w:val="40AB5D79"/>
    <w:rsid w:val="40C71E28"/>
    <w:rsid w:val="40D87256"/>
    <w:rsid w:val="40D97543"/>
    <w:rsid w:val="40E67EF3"/>
    <w:rsid w:val="410B7871"/>
    <w:rsid w:val="41373F3E"/>
    <w:rsid w:val="41380022"/>
    <w:rsid w:val="41396733"/>
    <w:rsid w:val="413A7595"/>
    <w:rsid w:val="413A779B"/>
    <w:rsid w:val="413D6CEB"/>
    <w:rsid w:val="414119BC"/>
    <w:rsid w:val="414B7C4E"/>
    <w:rsid w:val="41606074"/>
    <w:rsid w:val="4168294E"/>
    <w:rsid w:val="4171572A"/>
    <w:rsid w:val="41792E20"/>
    <w:rsid w:val="417B145C"/>
    <w:rsid w:val="41851BD1"/>
    <w:rsid w:val="41937C94"/>
    <w:rsid w:val="41A236CB"/>
    <w:rsid w:val="41AB68E1"/>
    <w:rsid w:val="41AF72C1"/>
    <w:rsid w:val="41B14F4A"/>
    <w:rsid w:val="41C052B7"/>
    <w:rsid w:val="41C124F9"/>
    <w:rsid w:val="41D03CD9"/>
    <w:rsid w:val="41D20F6D"/>
    <w:rsid w:val="41D5766F"/>
    <w:rsid w:val="41D65682"/>
    <w:rsid w:val="41DD38CC"/>
    <w:rsid w:val="41EB0141"/>
    <w:rsid w:val="41F46F01"/>
    <w:rsid w:val="41F91632"/>
    <w:rsid w:val="420262DF"/>
    <w:rsid w:val="420A6E21"/>
    <w:rsid w:val="420B640A"/>
    <w:rsid w:val="420E4C15"/>
    <w:rsid w:val="420F73FB"/>
    <w:rsid w:val="42115848"/>
    <w:rsid w:val="4214321E"/>
    <w:rsid w:val="421C03B6"/>
    <w:rsid w:val="42271F26"/>
    <w:rsid w:val="42385A57"/>
    <w:rsid w:val="423B0C83"/>
    <w:rsid w:val="423E6CF6"/>
    <w:rsid w:val="423E710F"/>
    <w:rsid w:val="42453399"/>
    <w:rsid w:val="42534789"/>
    <w:rsid w:val="42545D27"/>
    <w:rsid w:val="42585005"/>
    <w:rsid w:val="425D4446"/>
    <w:rsid w:val="42756582"/>
    <w:rsid w:val="42800834"/>
    <w:rsid w:val="42861221"/>
    <w:rsid w:val="428845E4"/>
    <w:rsid w:val="42895E7D"/>
    <w:rsid w:val="428B3970"/>
    <w:rsid w:val="42931289"/>
    <w:rsid w:val="42947222"/>
    <w:rsid w:val="42974016"/>
    <w:rsid w:val="429806AD"/>
    <w:rsid w:val="429C4636"/>
    <w:rsid w:val="42A35F0F"/>
    <w:rsid w:val="42A41781"/>
    <w:rsid w:val="42AF6EAF"/>
    <w:rsid w:val="42BA127A"/>
    <w:rsid w:val="42C11694"/>
    <w:rsid w:val="42C7045F"/>
    <w:rsid w:val="42D15EE7"/>
    <w:rsid w:val="42E551A7"/>
    <w:rsid w:val="42E62140"/>
    <w:rsid w:val="43074B6B"/>
    <w:rsid w:val="430A0F7D"/>
    <w:rsid w:val="43101E90"/>
    <w:rsid w:val="431369D2"/>
    <w:rsid w:val="43155376"/>
    <w:rsid w:val="431A04FB"/>
    <w:rsid w:val="431A322F"/>
    <w:rsid w:val="43267C44"/>
    <w:rsid w:val="432B03E6"/>
    <w:rsid w:val="43342D02"/>
    <w:rsid w:val="43515855"/>
    <w:rsid w:val="43575876"/>
    <w:rsid w:val="435E041F"/>
    <w:rsid w:val="436922F9"/>
    <w:rsid w:val="43785B1D"/>
    <w:rsid w:val="43814A52"/>
    <w:rsid w:val="43877EFB"/>
    <w:rsid w:val="438C24C3"/>
    <w:rsid w:val="43912DE8"/>
    <w:rsid w:val="439A5BE3"/>
    <w:rsid w:val="43A92F20"/>
    <w:rsid w:val="43AC68B2"/>
    <w:rsid w:val="43AF3496"/>
    <w:rsid w:val="43B07C6D"/>
    <w:rsid w:val="43D4154E"/>
    <w:rsid w:val="43DA51E7"/>
    <w:rsid w:val="43E95411"/>
    <w:rsid w:val="43EF3070"/>
    <w:rsid w:val="43F0750A"/>
    <w:rsid w:val="43FC4765"/>
    <w:rsid w:val="4413719D"/>
    <w:rsid w:val="44190BF7"/>
    <w:rsid w:val="441C3BED"/>
    <w:rsid w:val="44420C90"/>
    <w:rsid w:val="444314A3"/>
    <w:rsid w:val="4451561F"/>
    <w:rsid w:val="44537DBC"/>
    <w:rsid w:val="4456364C"/>
    <w:rsid w:val="44620122"/>
    <w:rsid w:val="44641E1F"/>
    <w:rsid w:val="44723672"/>
    <w:rsid w:val="447804CA"/>
    <w:rsid w:val="448F2375"/>
    <w:rsid w:val="4493779E"/>
    <w:rsid w:val="44965B61"/>
    <w:rsid w:val="44984C1A"/>
    <w:rsid w:val="44986569"/>
    <w:rsid w:val="449C6625"/>
    <w:rsid w:val="44AA2B6B"/>
    <w:rsid w:val="44AC5B1B"/>
    <w:rsid w:val="44C82EB7"/>
    <w:rsid w:val="44D14757"/>
    <w:rsid w:val="44E86CB8"/>
    <w:rsid w:val="44EA4F9E"/>
    <w:rsid w:val="44FD16E5"/>
    <w:rsid w:val="45270417"/>
    <w:rsid w:val="452C6D0B"/>
    <w:rsid w:val="45314EEE"/>
    <w:rsid w:val="45341515"/>
    <w:rsid w:val="45583629"/>
    <w:rsid w:val="455C770B"/>
    <w:rsid w:val="456A0E72"/>
    <w:rsid w:val="457734D8"/>
    <w:rsid w:val="458C013A"/>
    <w:rsid w:val="459267A0"/>
    <w:rsid w:val="459D734F"/>
    <w:rsid w:val="45B34E9E"/>
    <w:rsid w:val="45B5450C"/>
    <w:rsid w:val="45B97366"/>
    <w:rsid w:val="45BE14A0"/>
    <w:rsid w:val="45D75189"/>
    <w:rsid w:val="45E033B4"/>
    <w:rsid w:val="45E05619"/>
    <w:rsid w:val="45EA2A62"/>
    <w:rsid w:val="45F329DC"/>
    <w:rsid w:val="45F3766A"/>
    <w:rsid w:val="45F57645"/>
    <w:rsid w:val="460C76EA"/>
    <w:rsid w:val="462A0480"/>
    <w:rsid w:val="4634113C"/>
    <w:rsid w:val="464A3ADD"/>
    <w:rsid w:val="46597930"/>
    <w:rsid w:val="465C610C"/>
    <w:rsid w:val="465E1080"/>
    <w:rsid w:val="4666373F"/>
    <w:rsid w:val="466D7568"/>
    <w:rsid w:val="468C04B0"/>
    <w:rsid w:val="468C526C"/>
    <w:rsid w:val="46911A8F"/>
    <w:rsid w:val="469D1377"/>
    <w:rsid w:val="46A20458"/>
    <w:rsid w:val="46A67B8E"/>
    <w:rsid w:val="46B12B71"/>
    <w:rsid w:val="46BB61D7"/>
    <w:rsid w:val="46C171E3"/>
    <w:rsid w:val="46C22401"/>
    <w:rsid w:val="46D701D5"/>
    <w:rsid w:val="46DA52EC"/>
    <w:rsid w:val="46E061F1"/>
    <w:rsid w:val="46E74935"/>
    <w:rsid w:val="46E813ED"/>
    <w:rsid w:val="46F07C37"/>
    <w:rsid w:val="46F378CE"/>
    <w:rsid w:val="46FF00EE"/>
    <w:rsid w:val="46FF3AD6"/>
    <w:rsid w:val="470004BC"/>
    <w:rsid w:val="47017745"/>
    <w:rsid w:val="47041B32"/>
    <w:rsid w:val="470F6D4D"/>
    <w:rsid w:val="471200F7"/>
    <w:rsid w:val="472170BD"/>
    <w:rsid w:val="472D15C3"/>
    <w:rsid w:val="47375F45"/>
    <w:rsid w:val="473E7703"/>
    <w:rsid w:val="47451DFC"/>
    <w:rsid w:val="47531DD7"/>
    <w:rsid w:val="47645B43"/>
    <w:rsid w:val="47672F66"/>
    <w:rsid w:val="477751EC"/>
    <w:rsid w:val="47A84DA9"/>
    <w:rsid w:val="47AC2DC1"/>
    <w:rsid w:val="47B8584F"/>
    <w:rsid w:val="47BD4A55"/>
    <w:rsid w:val="47BE1862"/>
    <w:rsid w:val="47C660BC"/>
    <w:rsid w:val="47C759B2"/>
    <w:rsid w:val="47C84C3C"/>
    <w:rsid w:val="47CE01CE"/>
    <w:rsid w:val="47D567F9"/>
    <w:rsid w:val="47D84F6B"/>
    <w:rsid w:val="47DF7B25"/>
    <w:rsid w:val="47E133F8"/>
    <w:rsid w:val="47F856AA"/>
    <w:rsid w:val="48110298"/>
    <w:rsid w:val="48160AA7"/>
    <w:rsid w:val="4819425B"/>
    <w:rsid w:val="481B64AF"/>
    <w:rsid w:val="481D3C11"/>
    <w:rsid w:val="483C21EA"/>
    <w:rsid w:val="48465E78"/>
    <w:rsid w:val="48605458"/>
    <w:rsid w:val="48651BCD"/>
    <w:rsid w:val="487157FC"/>
    <w:rsid w:val="48745655"/>
    <w:rsid w:val="487E013D"/>
    <w:rsid w:val="487E3B6C"/>
    <w:rsid w:val="48A16E39"/>
    <w:rsid w:val="48AD22AA"/>
    <w:rsid w:val="48B2653C"/>
    <w:rsid w:val="48BA7D6D"/>
    <w:rsid w:val="48BE32E6"/>
    <w:rsid w:val="48BF0FEA"/>
    <w:rsid w:val="48C16362"/>
    <w:rsid w:val="48C20D29"/>
    <w:rsid w:val="48C721B6"/>
    <w:rsid w:val="48D91582"/>
    <w:rsid w:val="48ED4530"/>
    <w:rsid w:val="48EE12C1"/>
    <w:rsid w:val="48F0581F"/>
    <w:rsid w:val="48F13265"/>
    <w:rsid w:val="49004013"/>
    <w:rsid w:val="49032A86"/>
    <w:rsid w:val="490775B1"/>
    <w:rsid w:val="491F0A3D"/>
    <w:rsid w:val="491F4A2F"/>
    <w:rsid w:val="492B4677"/>
    <w:rsid w:val="49365140"/>
    <w:rsid w:val="493F1D69"/>
    <w:rsid w:val="49455943"/>
    <w:rsid w:val="49516A12"/>
    <w:rsid w:val="49594955"/>
    <w:rsid w:val="495C537B"/>
    <w:rsid w:val="495E7503"/>
    <w:rsid w:val="496144AA"/>
    <w:rsid w:val="49776CE4"/>
    <w:rsid w:val="497A7BC6"/>
    <w:rsid w:val="497B2B11"/>
    <w:rsid w:val="49A07A0C"/>
    <w:rsid w:val="49A75B36"/>
    <w:rsid w:val="49AA59B2"/>
    <w:rsid w:val="49C07148"/>
    <w:rsid w:val="49CD2A8D"/>
    <w:rsid w:val="49CF2911"/>
    <w:rsid w:val="49CF59B6"/>
    <w:rsid w:val="49D418B1"/>
    <w:rsid w:val="49E50628"/>
    <w:rsid w:val="49E93C46"/>
    <w:rsid w:val="49EB018C"/>
    <w:rsid w:val="49EC5AA5"/>
    <w:rsid w:val="49EF1699"/>
    <w:rsid w:val="49F30E9C"/>
    <w:rsid w:val="4A0C7F02"/>
    <w:rsid w:val="4A0F57C3"/>
    <w:rsid w:val="4A130855"/>
    <w:rsid w:val="4A1422DF"/>
    <w:rsid w:val="4A1A40F7"/>
    <w:rsid w:val="4A1A4CA7"/>
    <w:rsid w:val="4A2D6303"/>
    <w:rsid w:val="4A363EB8"/>
    <w:rsid w:val="4A3679A2"/>
    <w:rsid w:val="4A3B4BD8"/>
    <w:rsid w:val="4A4907E5"/>
    <w:rsid w:val="4A513344"/>
    <w:rsid w:val="4A5E387A"/>
    <w:rsid w:val="4A7527A0"/>
    <w:rsid w:val="4A7927AA"/>
    <w:rsid w:val="4A7B0D63"/>
    <w:rsid w:val="4A7D687D"/>
    <w:rsid w:val="4A8E7904"/>
    <w:rsid w:val="4A8F4094"/>
    <w:rsid w:val="4AA116D0"/>
    <w:rsid w:val="4AAF7853"/>
    <w:rsid w:val="4AB061E4"/>
    <w:rsid w:val="4AB11443"/>
    <w:rsid w:val="4ABB3920"/>
    <w:rsid w:val="4AC202BA"/>
    <w:rsid w:val="4AC859CA"/>
    <w:rsid w:val="4ADB3F9A"/>
    <w:rsid w:val="4ADD0CFA"/>
    <w:rsid w:val="4AEC4438"/>
    <w:rsid w:val="4AF51500"/>
    <w:rsid w:val="4B002A20"/>
    <w:rsid w:val="4B022E6D"/>
    <w:rsid w:val="4B0629C6"/>
    <w:rsid w:val="4B09475D"/>
    <w:rsid w:val="4B0F4F3E"/>
    <w:rsid w:val="4B157C35"/>
    <w:rsid w:val="4B1C09F4"/>
    <w:rsid w:val="4B1F0707"/>
    <w:rsid w:val="4B2129EE"/>
    <w:rsid w:val="4B2345AB"/>
    <w:rsid w:val="4B2E6623"/>
    <w:rsid w:val="4B3D17EB"/>
    <w:rsid w:val="4B3E7D00"/>
    <w:rsid w:val="4B410885"/>
    <w:rsid w:val="4B446569"/>
    <w:rsid w:val="4B50375B"/>
    <w:rsid w:val="4B514A9F"/>
    <w:rsid w:val="4B59231A"/>
    <w:rsid w:val="4B5D3849"/>
    <w:rsid w:val="4B6A1344"/>
    <w:rsid w:val="4B7756BC"/>
    <w:rsid w:val="4B8D7C37"/>
    <w:rsid w:val="4B91311E"/>
    <w:rsid w:val="4B980238"/>
    <w:rsid w:val="4BA6718C"/>
    <w:rsid w:val="4BCC521B"/>
    <w:rsid w:val="4BD00903"/>
    <w:rsid w:val="4BD6313B"/>
    <w:rsid w:val="4BDD46E0"/>
    <w:rsid w:val="4BDD56DC"/>
    <w:rsid w:val="4BDE6987"/>
    <w:rsid w:val="4BE34048"/>
    <w:rsid w:val="4BEA162C"/>
    <w:rsid w:val="4BEC39C9"/>
    <w:rsid w:val="4BF47C24"/>
    <w:rsid w:val="4BFA2D30"/>
    <w:rsid w:val="4BFD26C8"/>
    <w:rsid w:val="4BFF06A6"/>
    <w:rsid w:val="4C00610B"/>
    <w:rsid w:val="4C0064EB"/>
    <w:rsid w:val="4C014F35"/>
    <w:rsid w:val="4C055AF1"/>
    <w:rsid w:val="4C062B81"/>
    <w:rsid w:val="4C1206A3"/>
    <w:rsid w:val="4C2A71DA"/>
    <w:rsid w:val="4C3B516A"/>
    <w:rsid w:val="4C3D5BD1"/>
    <w:rsid w:val="4C3F71A8"/>
    <w:rsid w:val="4C447F3C"/>
    <w:rsid w:val="4C563314"/>
    <w:rsid w:val="4C5C54DA"/>
    <w:rsid w:val="4C5F28A1"/>
    <w:rsid w:val="4C7A067A"/>
    <w:rsid w:val="4C876F14"/>
    <w:rsid w:val="4C9301B2"/>
    <w:rsid w:val="4C9E207A"/>
    <w:rsid w:val="4CA14250"/>
    <w:rsid w:val="4CA430A0"/>
    <w:rsid w:val="4CB15826"/>
    <w:rsid w:val="4CBA7F11"/>
    <w:rsid w:val="4CCC6AD8"/>
    <w:rsid w:val="4CD63A4A"/>
    <w:rsid w:val="4CDC5370"/>
    <w:rsid w:val="4CEF557E"/>
    <w:rsid w:val="4D0101EC"/>
    <w:rsid w:val="4D0141E3"/>
    <w:rsid w:val="4D100485"/>
    <w:rsid w:val="4D11592D"/>
    <w:rsid w:val="4D153D64"/>
    <w:rsid w:val="4D2F59D2"/>
    <w:rsid w:val="4D363C0B"/>
    <w:rsid w:val="4D37685C"/>
    <w:rsid w:val="4D3B27B3"/>
    <w:rsid w:val="4D3B6DAA"/>
    <w:rsid w:val="4D41311F"/>
    <w:rsid w:val="4D687814"/>
    <w:rsid w:val="4D7F5C38"/>
    <w:rsid w:val="4D8E5F8B"/>
    <w:rsid w:val="4D9314BD"/>
    <w:rsid w:val="4D93304A"/>
    <w:rsid w:val="4D955331"/>
    <w:rsid w:val="4D9E716C"/>
    <w:rsid w:val="4DA023BB"/>
    <w:rsid w:val="4DA421BC"/>
    <w:rsid w:val="4DB23D18"/>
    <w:rsid w:val="4DB909AF"/>
    <w:rsid w:val="4DBC24D9"/>
    <w:rsid w:val="4DC539CD"/>
    <w:rsid w:val="4DCA08D0"/>
    <w:rsid w:val="4DD4508E"/>
    <w:rsid w:val="4DEF1903"/>
    <w:rsid w:val="4DFB0CA7"/>
    <w:rsid w:val="4DFD3A9D"/>
    <w:rsid w:val="4E0114DA"/>
    <w:rsid w:val="4E011D29"/>
    <w:rsid w:val="4E0C1D86"/>
    <w:rsid w:val="4E0F4B1C"/>
    <w:rsid w:val="4E350611"/>
    <w:rsid w:val="4E42201F"/>
    <w:rsid w:val="4E4A07D9"/>
    <w:rsid w:val="4E527C3D"/>
    <w:rsid w:val="4E59654F"/>
    <w:rsid w:val="4E5A5335"/>
    <w:rsid w:val="4E5D52F4"/>
    <w:rsid w:val="4E5E1C79"/>
    <w:rsid w:val="4E60303C"/>
    <w:rsid w:val="4E735915"/>
    <w:rsid w:val="4E7757DA"/>
    <w:rsid w:val="4E785588"/>
    <w:rsid w:val="4E810360"/>
    <w:rsid w:val="4E97377E"/>
    <w:rsid w:val="4EA04FCD"/>
    <w:rsid w:val="4EAF7AF8"/>
    <w:rsid w:val="4EB02AFA"/>
    <w:rsid w:val="4EB4678D"/>
    <w:rsid w:val="4EBD21EC"/>
    <w:rsid w:val="4ECC0A63"/>
    <w:rsid w:val="4ECD2B22"/>
    <w:rsid w:val="4ED11A46"/>
    <w:rsid w:val="4EDD509D"/>
    <w:rsid w:val="4EE52AC1"/>
    <w:rsid w:val="4EE601DB"/>
    <w:rsid w:val="4EE77E17"/>
    <w:rsid w:val="4EFC4532"/>
    <w:rsid w:val="4F033E62"/>
    <w:rsid w:val="4F036A55"/>
    <w:rsid w:val="4F0B4416"/>
    <w:rsid w:val="4F0E6AC9"/>
    <w:rsid w:val="4F121B0B"/>
    <w:rsid w:val="4F143918"/>
    <w:rsid w:val="4F172E60"/>
    <w:rsid w:val="4F2159C0"/>
    <w:rsid w:val="4F2B024A"/>
    <w:rsid w:val="4F2F3D4F"/>
    <w:rsid w:val="4F507011"/>
    <w:rsid w:val="4F680013"/>
    <w:rsid w:val="4F692200"/>
    <w:rsid w:val="4F6A3BA4"/>
    <w:rsid w:val="4F760AE0"/>
    <w:rsid w:val="4F817B37"/>
    <w:rsid w:val="4FD001FE"/>
    <w:rsid w:val="4FF66C9B"/>
    <w:rsid w:val="50100886"/>
    <w:rsid w:val="5026270C"/>
    <w:rsid w:val="502974C8"/>
    <w:rsid w:val="503F19CC"/>
    <w:rsid w:val="50471891"/>
    <w:rsid w:val="50506634"/>
    <w:rsid w:val="50543A73"/>
    <w:rsid w:val="50583DB2"/>
    <w:rsid w:val="505F79C0"/>
    <w:rsid w:val="50660E2A"/>
    <w:rsid w:val="50665A2B"/>
    <w:rsid w:val="50673B5C"/>
    <w:rsid w:val="50681DF5"/>
    <w:rsid w:val="506A4060"/>
    <w:rsid w:val="50760C36"/>
    <w:rsid w:val="507A0041"/>
    <w:rsid w:val="508274F8"/>
    <w:rsid w:val="508B158A"/>
    <w:rsid w:val="508F125B"/>
    <w:rsid w:val="50960658"/>
    <w:rsid w:val="50982913"/>
    <w:rsid w:val="50A335EC"/>
    <w:rsid w:val="50AA2150"/>
    <w:rsid w:val="50AB1BC0"/>
    <w:rsid w:val="50BB28BF"/>
    <w:rsid w:val="50BF52A8"/>
    <w:rsid w:val="50C01B39"/>
    <w:rsid w:val="50C161BA"/>
    <w:rsid w:val="50C21833"/>
    <w:rsid w:val="50C76721"/>
    <w:rsid w:val="50CB0142"/>
    <w:rsid w:val="50CE42A9"/>
    <w:rsid w:val="50D91C6D"/>
    <w:rsid w:val="50DD752B"/>
    <w:rsid w:val="50DE1A2C"/>
    <w:rsid w:val="50E878A3"/>
    <w:rsid w:val="50FD6417"/>
    <w:rsid w:val="510420F7"/>
    <w:rsid w:val="51107F2E"/>
    <w:rsid w:val="5112310D"/>
    <w:rsid w:val="5120133B"/>
    <w:rsid w:val="512821C5"/>
    <w:rsid w:val="512E43EE"/>
    <w:rsid w:val="51307FF0"/>
    <w:rsid w:val="513460FC"/>
    <w:rsid w:val="513C33D8"/>
    <w:rsid w:val="513D34B8"/>
    <w:rsid w:val="513F24F9"/>
    <w:rsid w:val="51402B46"/>
    <w:rsid w:val="5143219A"/>
    <w:rsid w:val="5144455F"/>
    <w:rsid w:val="514B43E3"/>
    <w:rsid w:val="51567631"/>
    <w:rsid w:val="51600F7C"/>
    <w:rsid w:val="5162639F"/>
    <w:rsid w:val="517902DF"/>
    <w:rsid w:val="518668E5"/>
    <w:rsid w:val="51882D23"/>
    <w:rsid w:val="51927225"/>
    <w:rsid w:val="519D79E5"/>
    <w:rsid w:val="51AA21BB"/>
    <w:rsid w:val="51B539F5"/>
    <w:rsid w:val="51BA7944"/>
    <w:rsid w:val="51BB248E"/>
    <w:rsid w:val="51C27787"/>
    <w:rsid w:val="51C42F09"/>
    <w:rsid w:val="51CF463C"/>
    <w:rsid w:val="51D20A7D"/>
    <w:rsid w:val="51D23F0C"/>
    <w:rsid w:val="51DA52E1"/>
    <w:rsid w:val="51DD5042"/>
    <w:rsid w:val="51E60E87"/>
    <w:rsid w:val="51E82B86"/>
    <w:rsid w:val="51E87B8B"/>
    <w:rsid w:val="51F66CD0"/>
    <w:rsid w:val="520324A0"/>
    <w:rsid w:val="520E5624"/>
    <w:rsid w:val="521A4601"/>
    <w:rsid w:val="521F12B3"/>
    <w:rsid w:val="52291369"/>
    <w:rsid w:val="522B084B"/>
    <w:rsid w:val="52302EF8"/>
    <w:rsid w:val="523B4937"/>
    <w:rsid w:val="523E6488"/>
    <w:rsid w:val="52521258"/>
    <w:rsid w:val="525A455A"/>
    <w:rsid w:val="526577CA"/>
    <w:rsid w:val="52774857"/>
    <w:rsid w:val="52813BE7"/>
    <w:rsid w:val="528842CC"/>
    <w:rsid w:val="52A85A71"/>
    <w:rsid w:val="52AC49F5"/>
    <w:rsid w:val="52AD4347"/>
    <w:rsid w:val="52B353F4"/>
    <w:rsid w:val="52B95847"/>
    <w:rsid w:val="52C418ED"/>
    <w:rsid w:val="52C539EF"/>
    <w:rsid w:val="52C81E5C"/>
    <w:rsid w:val="52CA2BF0"/>
    <w:rsid w:val="52CD6BEF"/>
    <w:rsid w:val="52CE2E79"/>
    <w:rsid w:val="52D3439C"/>
    <w:rsid w:val="52D52FB2"/>
    <w:rsid w:val="52EB482F"/>
    <w:rsid w:val="52F879DD"/>
    <w:rsid w:val="52F90701"/>
    <w:rsid w:val="53006DA6"/>
    <w:rsid w:val="530242E2"/>
    <w:rsid w:val="53041ADB"/>
    <w:rsid w:val="53132328"/>
    <w:rsid w:val="531E6C37"/>
    <w:rsid w:val="53242CA4"/>
    <w:rsid w:val="532C5BCA"/>
    <w:rsid w:val="532D0D25"/>
    <w:rsid w:val="532D147E"/>
    <w:rsid w:val="53357AEE"/>
    <w:rsid w:val="535F5BDA"/>
    <w:rsid w:val="536C09DF"/>
    <w:rsid w:val="536D7784"/>
    <w:rsid w:val="53705D5C"/>
    <w:rsid w:val="53722266"/>
    <w:rsid w:val="53773CBD"/>
    <w:rsid w:val="53783DC1"/>
    <w:rsid w:val="538F188D"/>
    <w:rsid w:val="53940B95"/>
    <w:rsid w:val="53975176"/>
    <w:rsid w:val="539D34A5"/>
    <w:rsid w:val="53A02B1B"/>
    <w:rsid w:val="53C13E8F"/>
    <w:rsid w:val="53D704E3"/>
    <w:rsid w:val="53E2517A"/>
    <w:rsid w:val="53F26FC1"/>
    <w:rsid w:val="53F6679C"/>
    <w:rsid w:val="53F77D7A"/>
    <w:rsid w:val="53FC307D"/>
    <w:rsid w:val="53FE1486"/>
    <w:rsid w:val="540160FF"/>
    <w:rsid w:val="54021BCD"/>
    <w:rsid w:val="540A3735"/>
    <w:rsid w:val="54113E11"/>
    <w:rsid w:val="54131042"/>
    <w:rsid w:val="54146842"/>
    <w:rsid w:val="54153A4D"/>
    <w:rsid w:val="541F323F"/>
    <w:rsid w:val="543040A5"/>
    <w:rsid w:val="54523C16"/>
    <w:rsid w:val="54532076"/>
    <w:rsid w:val="54563723"/>
    <w:rsid w:val="54640B2F"/>
    <w:rsid w:val="54657C06"/>
    <w:rsid w:val="54665733"/>
    <w:rsid w:val="54671A1B"/>
    <w:rsid w:val="546D6DB6"/>
    <w:rsid w:val="54716B27"/>
    <w:rsid w:val="547E706C"/>
    <w:rsid w:val="54824034"/>
    <w:rsid w:val="548B31D4"/>
    <w:rsid w:val="54972EB4"/>
    <w:rsid w:val="54984846"/>
    <w:rsid w:val="549A0AF6"/>
    <w:rsid w:val="54A473D2"/>
    <w:rsid w:val="54A93422"/>
    <w:rsid w:val="54B222BC"/>
    <w:rsid w:val="54B70268"/>
    <w:rsid w:val="54C00AB1"/>
    <w:rsid w:val="54C42D14"/>
    <w:rsid w:val="54C96D05"/>
    <w:rsid w:val="54CB5F4D"/>
    <w:rsid w:val="54CB6BA1"/>
    <w:rsid w:val="54E030F4"/>
    <w:rsid w:val="54E32C80"/>
    <w:rsid w:val="54E6138D"/>
    <w:rsid w:val="54E95BBC"/>
    <w:rsid w:val="54F43F8A"/>
    <w:rsid w:val="552C5EB3"/>
    <w:rsid w:val="55382DAD"/>
    <w:rsid w:val="553B530B"/>
    <w:rsid w:val="55470307"/>
    <w:rsid w:val="554A0ACF"/>
    <w:rsid w:val="555979C7"/>
    <w:rsid w:val="555C1034"/>
    <w:rsid w:val="555C2BCF"/>
    <w:rsid w:val="556F26F3"/>
    <w:rsid w:val="557B2F88"/>
    <w:rsid w:val="557C712F"/>
    <w:rsid w:val="558E61C5"/>
    <w:rsid w:val="55973DC5"/>
    <w:rsid w:val="559D6AD4"/>
    <w:rsid w:val="55A6717A"/>
    <w:rsid w:val="55A74E70"/>
    <w:rsid w:val="55B04A57"/>
    <w:rsid w:val="55B202EF"/>
    <w:rsid w:val="55BB39D9"/>
    <w:rsid w:val="55C3006B"/>
    <w:rsid w:val="55C80C4F"/>
    <w:rsid w:val="55CB0D1D"/>
    <w:rsid w:val="55CD0C94"/>
    <w:rsid w:val="55D01BA6"/>
    <w:rsid w:val="55DF5717"/>
    <w:rsid w:val="55E159A4"/>
    <w:rsid w:val="55E910B6"/>
    <w:rsid w:val="55EF4CC6"/>
    <w:rsid w:val="55F113A2"/>
    <w:rsid w:val="55F877EC"/>
    <w:rsid w:val="55F93EBA"/>
    <w:rsid w:val="55F940B7"/>
    <w:rsid w:val="55FD2A54"/>
    <w:rsid w:val="55FD470E"/>
    <w:rsid w:val="56065100"/>
    <w:rsid w:val="561070CE"/>
    <w:rsid w:val="561A6B64"/>
    <w:rsid w:val="5624589E"/>
    <w:rsid w:val="563649DD"/>
    <w:rsid w:val="563655E8"/>
    <w:rsid w:val="56365C2E"/>
    <w:rsid w:val="563674B5"/>
    <w:rsid w:val="56367B62"/>
    <w:rsid w:val="563826DB"/>
    <w:rsid w:val="56392021"/>
    <w:rsid w:val="56453ECA"/>
    <w:rsid w:val="56483DB6"/>
    <w:rsid w:val="564A7E16"/>
    <w:rsid w:val="564F43C7"/>
    <w:rsid w:val="5655638C"/>
    <w:rsid w:val="56572FEC"/>
    <w:rsid w:val="565F44D3"/>
    <w:rsid w:val="56607F78"/>
    <w:rsid w:val="5668211A"/>
    <w:rsid w:val="567300E6"/>
    <w:rsid w:val="56754E44"/>
    <w:rsid w:val="56770197"/>
    <w:rsid w:val="567B1F2B"/>
    <w:rsid w:val="56867CAC"/>
    <w:rsid w:val="568F3023"/>
    <w:rsid w:val="569E7D57"/>
    <w:rsid w:val="56A17A26"/>
    <w:rsid w:val="56B82F30"/>
    <w:rsid w:val="56B94260"/>
    <w:rsid w:val="56CB030D"/>
    <w:rsid w:val="56D227CA"/>
    <w:rsid w:val="56D51AEF"/>
    <w:rsid w:val="56D93732"/>
    <w:rsid w:val="56EC26FD"/>
    <w:rsid w:val="57025219"/>
    <w:rsid w:val="570526CD"/>
    <w:rsid w:val="570D0347"/>
    <w:rsid w:val="570F47BE"/>
    <w:rsid w:val="571A030C"/>
    <w:rsid w:val="57231F21"/>
    <w:rsid w:val="57330FE1"/>
    <w:rsid w:val="5733441B"/>
    <w:rsid w:val="574040F3"/>
    <w:rsid w:val="57433831"/>
    <w:rsid w:val="5754051B"/>
    <w:rsid w:val="575E5C30"/>
    <w:rsid w:val="57690E4F"/>
    <w:rsid w:val="576A7713"/>
    <w:rsid w:val="57774733"/>
    <w:rsid w:val="5781789E"/>
    <w:rsid w:val="57835026"/>
    <w:rsid w:val="578C46D3"/>
    <w:rsid w:val="5791008B"/>
    <w:rsid w:val="57935A23"/>
    <w:rsid w:val="579920D9"/>
    <w:rsid w:val="579A2E34"/>
    <w:rsid w:val="57AC2E7B"/>
    <w:rsid w:val="57B02BD0"/>
    <w:rsid w:val="57B45167"/>
    <w:rsid w:val="57CA5074"/>
    <w:rsid w:val="57D769D6"/>
    <w:rsid w:val="57DA3005"/>
    <w:rsid w:val="57DC3D85"/>
    <w:rsid w:val="57E74B54"/>
    <w:rsid w:val="57F1178B"/>
    <w:rsid w:val="57F1635C"/>
    <w:rsid w:val="57F44CAC"/>
    <w:rsid w:val="57F51D84"/>
    <w:rsid w:val="57F60E39"/>
    <w:rsid w:val="57FF0F4F"/>
    <w:rsid w:val="58042A56"/>
    <w:rsid w:val="58085C3D"/>
    <w:rsid w:val="580A6EDB"/>
    <w:rsid w:val="5821289C"/>
    <w:rsid w:val="5830091C"/>
    <w:rsid w:val="5839077A"/>
    <w:rsid w:val="583A705A"/>
    <w:rsid w:val="583B74D0"/>
    <w:rsid w:val="583E5434"/>
    <w:rsid w:val="58564B23"/>
    <w:rsid w:val="5863420A"/>
    <w:rsid w:val="5867330A"/>
    <w:rsid w:val="587C036F"/>
    <w:rsid w:val="5890707C"/>
    <w:rsid w:val="58957B8C"/>
    <w:rsid w:val="589859D5"/>
    <w:rsid w:val="58A52C6D"/>
    <w:rsid w:val="58C117B1"/>
    <w:rsid w:val="58C462F4"/>
    <w:rsid w:val="58D44CF7"/>
    <w:rsid w:val="58DC7A23"/>
    <w:rsid w:val="58E120C2"/>
    <w:rsid w:val="58F87A38"/>
    <w:rsid w:val="58FC22F8"/>
    <w:rsid w:val="59253B12"/>
    <w:rsid w:val="5929788E"/>
    <w:rsid w:val="59313B43"/>
    <w:rsid w:val="59351AA3"/>
    <w:rsid w:val="5938606F"/>
    <w:rsid w:val="593A75C5"/>
    <w:rsid w:val="593B05DA"/>
    <w:rsid w:val="5943699B"/>
    <w:rsid w:val="5948761B"/>
    <w:rsid w:val="594C242A"/>
    <w:rsid w:val="594E748C"/>
    <w:rsid w:val="59583D39"/>
    <w:rsid w:val="59703F84"/>
    <w:rsid w:val="598B6C27"/>
    <w:rsid w:val="59AA7F0E"/>
    <w:rsid w:val="59B53395"/>
    <w:rsid w:val="59B718F9"/>
    <w:rsid w:val="59C30A60"/>
    <w:rsid w:val="59C43B2B"/>
    <w:rsid w:val="59CF6921"/>
    <w:rsid w:val="59DA2D49"/>
    <w:rsid w:val="59DF69ED"/>
    <w:rsid w:val="59E60E2A"/>
    <w:rsid w:val="5A040B17"/>
    <w:rsid w:val="5A075673"/>
    <w:rsid w:val="5A0D04AE"/>
    <w:rsid w:val="5A103B90"/>
    <w:rsid w:val="5A123C35"/>
    <w:rsid w:val="5A1A2C4A"/>
    <w:rsid w:val="5A1E48C2"/>
    <w:rsid w:val="5A232EE3"/>
    <w:rsid w:val="5A246664"/>
    <w:rsid w:val="5A3728F0"/>
    <w:rsid w:val="5A434151"/>
    <w:rsid w:val="5A45179C"/>
    <w:rsid w:val="5A471F60"/>
    <w:rsid w:val="5A4907E4"/>
    <w:rsid w:val="5A4A12C4"/>
    <w:rsid w:val="5A4D136F"/>
    <w:rsid w:val="5A5574BB"/>
    <w:rsid w:val="5A557EB5"/>
    <w:rsid w:val="5A5D411C"/>
    <w:rsid w:val="5A602845"/>
    <w:rsid w:val="5A664A8A"/>
    <w:rsid w:val="5A681BF1"/>
    <w:rsid w:val="5A6E398A"/>
    <w:rsid w:val="5A9676AC"/>
    <w:rsid w:val="5A987FB9"/>
    <w:rsid w:val="5A9F3D40"/>
    <w:rsid w:val="5AA862DB"/>
    <w:rsid w:val="5AB204D6"/>
    <w:rsid w:val="5ABA380B"/>
    <w:rsid w:val="5AE32AE6"/>
    <w:rsid w:val="5AE412C2"/>
    <w:rsid w:val="5AE83649"/>
    <w:rsid w:val="5AF01F35"/>
    <w:rsid w:val="5AF3320E"/>
    <w:rsid w:val="5B264F16"/>
    <w:rsid w:val="5B3E502A"/>
    <w:rsid w:val="5B3F06DB"/>
    <w:rsid w:val="5B4D464F"/>
    <w:rsid w:val="5B54445B"/>
    <w:rsid w:val="5B565EED"/>
    <w:rsid w:val="5B6349B8"/>
    <w:rsid w:val="5B7149F1"/>
    <w:rsid w:val="5B7D3D4C"/>
    <w:rsid w:val="5B801E98"/>
    <w:rsid w:val="5B930800"/>
    <w:rsid w:val="5BA25E62"/>
    <w:rsid w:val="5BA46E39"/>
    <w:rsid w:val="5BA50AD1"/>
    <w:rsid w:val="5BB31251"/>
    <w:rsid w:val="5BC04523"/>
    <w:rsid w:val="5BC97DE9"/>
    <w:rsid w:val="5BD514F1"/>
    <w:rsid w:val="5BE104FC"/>
    <w:rsid w:val="5BE43AD3"/>
    <w:rsid w:val="5BE518DC"/>
    <w:rsid w:val="5BEF0E43"/>
    <w:rsid w:val="5BF279CB"/>
    <w:rsid w:val="5BFF0BB6"/>
    <w:rsid w:val="5C010172"/>
    <w:rsid w:val="5C047C0C"/>
    <w:rsid w:val="5C0800A1"/>
    <w:rsid w:val="5C0A6022"/>
    <w:rsid w:val="5C1E7FB5"/>
    <w:rsid w:val="5C226B2B"/>
    <w:rsid w:val="5C244811"/>
    <w:rsid w:val="5C306AB3"/>
    <w:rsid w:val="5C341906"/>
    <w:rsid w:val="5C4A08CE"/>
    <w:rsid w:val="5C62120F"/>
    <w:rsid w:val="5C671D5D"/>
    <w:rsid w:val="5C764759"/>
    <w:rsid w:val="5C780D81"/>
    <w:rsid w:val="5C7A4359"/>
    <w:rsid w:val="5C7E21C5"/>
    <w:rsid w:val="5CA2483B"/>
    <w:rsid w:val="5CA514E5"/>
    <w:rsid w:val="5CAF3518"/>
    <w:rsid w:val="5CB010EE"/>
    <w:rsid w:val="5CB31365"/>
    <w:rsid w:val="5CB3331F"/>
    <w:rsid w:val="5CB55472"/>
    <w:rsid w:val="5CBB4A10"/>
    <w:rsid w:val="5CBF2642"/>
    <w:rsid w:val="5CC231C7"/>
    <w:rsid w:val="5CD70A5F"/>
    <w:rsid w:val="5CDB4FC8"/>
    <w:rsid w:val="5CDE267A"/>
    <w:rsid w:val="5CEA3521"/>
    <w:rsid w:val="5CFA4F77"/>
    <w:rsid w:val="5D011A97"/>
    <w:rsid w:val="5D09133D"/>
    <w:rsid w:val="5D190519"/>
    <w:rsid w:val="5D280E92"/>
    <w:rsid w:val="5D2D3341"/>
    <w:rsid w:val="5D397725"/>
    <w:rsid w:val="5D3D435A"/>
    <w:rsid w:val="5D4E6909"/>
    <w:rsid w:val="5D4F5BC3"/>
    <w:rsid w:val="5D573EE8"/>
    <w:rsid w:val="5D5B03C3"/>
    <w:rsid w:val="5D616801"/>
    <w:rsid w:val="5D624A8F"/>
    <w:rsid w:val="5D6E22AC"/>
    <w:rsid w:val="5D6E6800"/>
    <w:rsid w:val="5D6F0E21"/>
    <w:rsid w:val="5D7842D3"/>
    <w:rsid w:val="5D7A4431"/>
    <w:rsid w:val="5D8164DD"/>
    <w:rsid w:val="5D886297"/>
    <w:rsid w:val="5D9B36D0"/>
    <w:rsid w:val="5DA40E8D"/>
    <w:rsid w:val="5DCA24E7"/>
    <w:rsid w:val="5DDB710D"/>
    <w:rsid w:val="5DDD54BF"/>
    <w:rsid w:val="5DE01715"/>
    <w:rsid w:val="5DE03BCF"/>
    <w:rsid w:val="5DEE3AC0"/>
    <w:rsid w:val="5DF07B1E"/>
    <w:rsid w:val="5DF32DBE"/>
    <w:rsid w:val="5DF6271C"/>
    <w:rsid w:val="5DFA4F4B"/>
    <w:rsid w:val="5E0851AC"/>
    <w:rsid w:val="5E0E0922"/>
    <w:rsid w:val="5E137B60"/>
    <w:rsid w:val="5E2872E8"/>
    <w:rsid w:val="5E340FC7"/>
    <w:rsid w:val="5E3762D9"/>
    <w:rsid w:val="5E38357C"/>
    <w:rsid w:val="5E387A14"/>
    <w:rsid w:val="5E421222"/>
    <w:rsid w:val="5E4A59E7"/>
    <w:rsid w:val="5E4E5934"/>
    <w:rsid w:val="5E503703"/>
    <w:rsid w:val="5E5C408E"/>
    <w:rsid w:val="5E6838D1"/>
    <w:rsid w:val="5E6D0203"/>
    <w:rsid w:val="5E7205D5"/>
    <w:rsid w:val="5E7F6F4D"/>
    <w:rsid w:val="5E8054AC"/>
    <w:rsid w:val="5E8D5E03"/>
    <w:rsid w:val="5E905DE9"/>
    <w:rsid w:val="5E99223B"/>
    <w:rsid w:val="5EA20588"/>
    <w:rsid w:val="5EA26A35"/>
    <w:rsid w:val="5EA309BC"/>
    <w:rsid w:val="5EB132A7"/>
    <w:rsid w:val="5EB22BF1"/>
    <w:rsid w:val="5EBA6B40"/>
    <w:rsid w:val="5EBC22A1"/>
    <w:rsid w:val="5EC7232D"/>
    <w:rsid w:val="5EC97EE0"/>
    <w:rsid w:val="5ED60635"/>
    <w:rsid w:val="5ED7582B"/>
    <w:rsid w:val="5EE93B70"/>
    <w:rsid w:val="5EF069FA"/>
    <w:rsid w:val="5EF9119B"/>
    <w:rsid w:val="5EFA1D84"/>
    <w:rsid w:val="5EFC3C5C"/>
    <w:rsid w:val="5F0345EF"/>
    <w:rsid w:val="5F0E6504"/>
    <w:rsid w:val="5F1624A0"/>
    <w:rsid w:val="5F2464EA"/>
    <w:rsid w:val="5F2556F8"/>
    <w:rsid w:val="5F361247"/>
    <w:rsid w:val="5F3F7625"/>
    <w:rsid w:val="5F450A54"/>
    <w:rsid w:val="5F472817"/>
    <w:rsid w:val="5F4E3E35"/>
    <w:rsid w:val="5F65126D"/>
    <w:rsid w:val="5F7C76CB"/>
    <w:rsid w:val="5F8209F5"/>
    <w:rsid w:val="5F851A81"/>
    <w:rsid w:val="5F870CD7"/>
    <w:rsid w:val="5F934D13"/>
    <w:rsid w:val="5FA54418"/>
    <w:rsid w:val="5FAA7F21"/>
    <w:rsid w:val="5FAB2CE3"/>
    <w:rsid w:val="5FAD7579"/>
    <w:rsid w:val="5FBE3C12"/>
    <w:rsid w:val="5FC05838"/>
    <w:rsid w:val="5FCB2E0F"/>
    <w:rsid w:val="5FCF0510"/>
    <w:rsid w:val="5FD641A2"/>
    <w:rsid w:val="5FD95C28"/>
    <w:rsid w:val="5FE5156B"/>
    <w:rsid w:val="5FE65A16"/>
    <w:rsid w:val="5FEA7D16"/>
    <w:rsid w:val="5FEB396E"/>
    <w:rsid w:val="5FFC3ABA"/>
    <w:rsid w:val="600123DB"/>
    <w:rsid w:val="60057BD0"/>
    <w:rsid w:val="6015568F"/>
    <w:rsid w:val="60182510"/>
    <w:rsid w:val="601B39F0"/>
    <w:rsid w:val="602D3B2B"/>
    <w:rsid w:val="602E4ABD"/>
    <w:rsid w:val="602E7D42"/>
    <w:rsid w:val="60396726"/>
    <w:rsid w:val="60434110"/>
    <w:rsid w:val="604B66AB"/>
    <w:rsid w:val="6052100F"/>
    <w:rsid w:val="60527275"/>
    <w:rsid w:val="6053567B"/>
    <w:rsid w:val="6070725C"/>
    <w:rsid w:val="607238A5"/>
    <w:rsid w:val="60761768"/>
    <w:rsid w:val="608B51EA"/>
    <w:rsid w:val="60B400EC"/>
    <w:rsid w:val="60B905F3"/>
    <w:rsid w:val="60C345AA"/>
    <w:rsid w:val="60C45FFD"/>
    <w:rsid w:val="60C50406"/>
    <w:rsid w:val="60C818AE"/>
    <w:rsid w:val="60C90BD3"/>
    <w:rsid w:val="60D53DCF"/>
    <w:rsid w:val="60ED1F9C"/>
    <w:rsid w:val="60F47202"/>
    <w:rsid w:val="610415BB"/>
    <w:rsid w:val="61114351"/>
    <w:rsid w:val="61180D94"/>
    <w:rsid w:val="611A1B2F"/>
    <w:rsid w:val="611E6DB7"/>
    <w:rsid w:val="61207857"/>
    <w:rsid w:val="61327616"/>
    <w:rsid w:val="61335E3E"/>
    <w:rsid w:val="613B24A1"/>
    <w:rsid w:val="61412469"/>
    <w:rsid w:val="61584C85"/>
    <w:rsid w:val="615F388A"/>
    <w:rsid w:val="615F4317"/>
    <w:rsid w:val="61631D18"/>
    <w:rsid w:val="61702885"/>
    <w:rsid w:val="61725C54"/>
    <w:rsid w:val="6175595E"/>
    <w:rsid w:val="61786C61"/>
    <w:rsid w:val="6179504F"/>
    <w:rsid w:val="618D6B11"/>
    <w:rsid w:val="619D52EF"/>
    <w:rsid w:val="61A66F89"/>
    <w:rsid w:val="61B4342B"/>
    <w:rsid w:val="61B7146B"/>
    <w:rsid w:val="61C03A37"/>
    <w:rsid w:val="61CF38F8"/>
    <w:rsid w:val="61E251F3"/>
    <w:rsid w:val="61E55E53"/>
    <w:rsid w:val="61E572CA"/>
    <w:rsid w:val="61E6165E"/>
    <w:rsid w:val="61F265D3"/>
    <w:rsid w:val="61F904BC"/>
    <w:rsid w:val="61FA24B9"/>
    <w:rsid w:val="61FE2896"/>
    <w:rsid w:val="62074F6D"/>
    <w:rsid w:val="620C3606"/>
    <w:rsid w:val="620E2701"/>
    <w:rsid w:val="62145A3E"/>
    <w:rsid w:val="621F41A4"/>
    <w:rsid w:val="62263F49"/>
    <w:rsid w:val="622F2460"/>
    <w:rsid w:val="62322573"/>
    <w:rsid w:val="62335B90"/>
    <w:rsid w:val="62363BD6"/>
    <w:rsid w:val="62431761"/>
    <w:rsid w:val="62512AD5"/>
    <w:rsid w:val="62536463"/>
    <w:rsid w:val="6255136F"/>
    <w:rsid w:val="62620E6D"/>
    <w:rsid w:val="62664464"/>
    <w:rsid w:val="62673636"/>
    <w:rsid w:val="62681508"/>
    <w:rsid w:val="6272555A"/>
    <w:rsid w:val="62730367"/>
    <w:rsid w:val="627A136F"/>
    <w:rsid w:val="627C640F"/>
    <w:rsid w:val="629B426B"/>
    <w:rsid w:val="62AF39C3"/>
    <w:rsid w:val="62B260A2"/>
    <w:rsid w:val="62B934ED"/>
    <w:rsid w:val="62BD1FE4"/>
    <w:rsid w:val="62C51493"/>
    <w:rsid w:val="62C878E8"/>
    <w:rsid w:val="62CA6F4A"/>
    <w:rsid w:val="62CC393B"/>
    <w:rsid w:val="62CE3AAD"/>
    <w:rsid w:val="62E06B83"/>
    <w:rsid w:val="62E719F2"/>
    <w:rsid w:val="62FF055C"/>
    <w:rsid w:val="62FF58E7"/>
    <w:rsid w:val="63033826"/>
    <w:rsid w:val="63046CD6"/>
    <w:rsid w:val="6307316B"/>
    <w:rsid w:val="63101FC3"/>
    <w:rsid w:val="63110BD7"/>
    <w:rsid w:val="63112E82"/>
    <w:rsid w:val="631471BD"/>
    <w:rsid w:val="63193B3E"/>
    <w:rsid w:val="631F350B"/>
    <w:rsid w:val="6322141E"/>
    <w:rsid w:val="6324439E"/>
    <w:rsid w:val="6327291C"/>
    <w:rsid w:val="634A2117"/>
    <w:rsid w:val="63613B44"/>
    <w:rsid w:val="63617C3F"/>
    <w:rsid w:val="63663411"/>
    <w:rsid w:val="63693E52"/>
    <w:rsid w:val="636E5379"/>
    <w:rsid w:val="636E5C0D"/>
    <w:rsid w:val="63725411"/>
    <w:rsid w:val="63764367"/>
    <w:rsid w:val="638C029E"/>
    <w:rsid w:val="63A931DA"/>
    <w:rsid w:val="63BF2AA4"/>
    <w:rsid w:val="63C91579"/>
    <w:rsid w:val="63D40918"/>
    <w:rsid w:val="63D430FA"/>
    <w:rsid w:val="63D873B3"/>
    <w:rsid w:val="63D91DAE"/>
    <w:rsid w:val="63F22584"/>
    <w:rsid w:val="64015898"/>
    <w:rsid w:val="64075E6E"/>
    <w:rsid w:val="641261B1"/>
    <w:rsid w:val="64163E99"/>
    <w:rsid w:val="641D53F9"/>
    <w:rsid w:val="641E3A4F"/>
    <w:rsid w:val="641F6C60"/>
    <w:rsid w:val="6436137F"/>
    <w:rsid w:val="64410544"/>
    <w:rsid w:val="644C4104"/>
    <w:rsid w:val="6452759F"/>
    <w:rsid w:val="645E347D"/>
    <w:rsid w:val="6469515D"/>
    <w:rsid w:val="646973C5"/>
    <w:rsid w:val="646A618C"/>
    <w:rsid w:val="64714BD8"/>
    <w:rsid w:val="6472228E"/>
    <w:rsid w:val="647B3489"/>
    <w:rsid w:val="64826FC0"/>
    <w:rsid w:val="648471BD"/>
    <w:rsid w:val="64940FF4"/>
    <w:rsid w:val="64980C6D"/>
    <w:rsid w:val="649D1428"/>
    <w:rsid w:val="64BC309B"/>
    <w:rsid w:val="64BF679A"/>
    <w:rsid w:val="64CA60B0"/>
    <w:rsid w:val="64D42B0D"/>
    <w:rsid w:val="64DE29BA"/>
    <w:rsid w:val="64DF0ED2"/>
    <w:rsid w:val="64E43804"/>
    <w:rsid w:val="64E72359"/>
    <w:rsid w:val="64F46FD2"/>
    <w:rsid w:val="64F549AC"/>
    <w:rsid w:val="64F7350D"/>
    <w:rsid w:val="64F8178D"/>
    <w:rsid w:val="650B7D2C"/>
    <w:rsid w:val="65124B66"/>
    <w:rsid w:val="65290E28"/>
    <w:rsid w:val="652E2E79"/>
    <w:rsid w:val="653D1103"/>
    <w:rsid w:val="65621FA1"/>
    <w:rsid w:val="65727D75"/>
    <w:rsid w:val="65A15117"/>
    <w:rsid w:val="65A2510B"/>
    <w:rsid w:val="65B33DA6"/>
    <w:rsid w:val="65BE45F7"/>
    <w:rsid w:val="65CF40BF"/>
    <w:rsid w:val="65DC2619"/>
    <w:rsid w:val="65DD16E3"/>
    <w:rsid w:val="65E20DFE"/>
    <w:rsid w:val="65F723A4"/>
    <w:rsid w:val="660727F2"/>
    <w:rsid w:val="660B7A30"/>
    <w:rsid w:val="66165B24"/>
    <w:rsid w:val="661C16C8"/>
    <w:rsid w:val="66222AF8"/>
    <w:rsid w:val="6627079F"/>
    <w:rsid w:val="662E3479"/>
    <w:rsid w:val="66340CB0"/>
    <w:rsid w:val="6641289B"/>
    <w:rsid w:val="664A6CD2"/>
    <w:rsid w:val="664B794E"/>
    <w:rsid w:val="664C0962"/>
    <w:rsid w:val="664D2E35"/>
    <w:rsid w:val="664F5244"/>
    <w:rsid w:val="666B61B3"/>
    <w:rsid w:val="666C1A5E"/>
    <w:rsid w:val="66751B8E"/>
    <w:rsid w:val="667F16D7"/>
    <w:rsid w:val="667F7D85"/>
    <w:rsid w:val="668101B0"/>
    <w:rsid w:val="66874D0B"/>
    <w:rsid w:val="66895425"/>
    <w:rsid w:val="668C08F1"/>
    <w:rsid w:val="66941030"/>
    <w:rsid w:val="6696674D"/>
    <w:rsid w:val="66974F3D"/>
    <w:rsid w:val="66A149C9"/>
    <w:rsid w:val="66A448F1"/>
    <w:rsid w:val="66B406FF"/>
    <w:rsid w:val="66BD000E"/>
    <w:rsid w:val="66C0211F"/>
    <w:rsid w:val="66CE5B10"/>
    <w:rsid w:val="66D654FF"/>
    <w:rsid w:val="66DE2157"/>
    <w:rsid w:val="66E819D7"/>
    <w:rsid w:val="66E90B52"/>
    <w:rsid w:val="67007FBE"/>
    <w:rsid w:val="670D09EB"/>
    <w:rsid w:val="67184EF8"/>
    <w:rsid w:val="671948F5"/>
    <w:rsid w:val="671E32F5"/>
    <w:rsid w:val="6738785E"/>
    <w:rsid w:val="67455C80"/>
    <w:rsid w:val="674E70DC"/>
    <w:rsid w:val="67580C06"/>
    <w:rsid w:val="675E7B94"/>
    <w:rsid w:val="675F7D11"/>
    <w:rsid w:val="67623859"/>
    <w:rsid w:val="67631224"/>
    <w:rsid w:val="6764785D"/>
    <w:rsid w:val="677A6913"/>
    <w:rsid w:val="677D2D55"/>
    <w:rsid w:val="67804BC2"/>
    <w:rsid w:val="67870B7B"/>
    <w:rsid w:val="678E07C6"/>
    <w:rsid w:val="678F3496"/>
    <w:rsid w:val="679D6FF4"/>
    <w:rsid w:val="67A105DD"/>
    <w:rsid w:val="67A272CA"/>
    <w:rsid w:val="67B15007"/>
    <w:rsid w:val="67C3013B"/>
    <w:rsid w:val="67C31474"/>
    <w:rsid w:val="67C44765"/>
    <w:rsid w:val="67C978D9"/>
    <w:rsid w:val="67CC7664"/>
    <w:rsid w:val="67D67C1A"/>
    <w:rsid w:val="67DF1A8A"/>
    <w:rsid w:val="67F12F74"/>
    <w:rsid w:val="680367D5"/>
    <w:rsid w:val="68093DB5"/>
    <w:rsid w:val="680E7CB8"/>
    <w:rsid w:val="68141A4C"/>
    <w:rsid w:val="681472ED"/>
    <w:rsid w:val="681E5881"/>
    <w:rsid w:val="68261ACF"/>
    <w:rsid w:val="682E2124"/>
    <w:rsid w:val="68331828"/>
    <w:rsid w:val="68371E87"/>
    <w:rsid w:val="68380A25"/>
    <w:rsid w:val="68400078"/>
    <w:rsid w:val="685435DF"/>
    <w:rsid w:val="6868116F"/>
    <w:rsid w:val="6889395B"/>
    <w:rsid w:val="68961081"/>
    <w:rsid w:val="68A64A61"/>
    <w:rsid w:val="68B73C3E"/>
    <w:rsid w:val="68BA4D89"/>
    <w:rsid w:val="68CA7775"/>
    <w:rsid w:val="68E9147C"/>
    <w:rsid w:val="68E958CC"/>
    <w:rsid w:val="68F80539"/>
    <w:rsid w:val="68FC26F7"/>
    <w:rsid w:val="69070A95"/>
    <w:rsid w:val="6911361A"/>
    <w:rsid w:val="69147C4F"/>
    <w:rsid w:val="691A37C6"/>
    <w:rsid w:val="69231813"/>
    <w:rsid w:val="692C606C"/>
    <w:rsid w:val="69517793"/>
    <w:rsid w:val="69541FA4"/>
    <w:rsid w:val="695C7531"/>
    <w:rsid w:val="69602EEE"/>
    <w:rsid w:val="69747D39"/>
    <w:rsid w:val="69804880"/>
    <w:rsid w:val="699E641D"/>
    <w:rsid w:val="69A76773"/>
    <w:rsid w:val="69A9357D"/>
    <w:rsid w:val="69B17D0A"/>
    <w:rsid w:val="69BF761B"/>
    <w:rsid w:val="69CB57AB"/>
    <w:rsid w:val="69D212D3"/>
    <w:rsid w:val="69DB27C0"/>
    <w:rsid w:val="69F513F8"/>
    <w:rsid w:val="6A002402"/>
    <w:rsid w:val="6A0D33C2"/>
    <w:rsid w:val="6A166966"/>
    <w:rsid w:val="6A297FFE"/>
    <w:rsid w:val="6A2E05EA"/>
    <w:rsid w:val="6A2F4124"/>
    <w:rsid w:val="6A335E50"/>
    <w:rsid w:val="6A3B18E7"/>
    <w:rsid w:val="6A4508B0"/>
    <w:rsid w:val="6A454483"/>
    <w:rsid w:val="6A4C62B8"/>
    <w:rsid w:val="6A512860"/>
    <w:rsid w:val="6A6055DE"/>
    <w:rsid w:val="6A664670"/>
    <w:rsid w:val="6A6A5430"/>
    <w:rsid w:val="6A837284"/>
    <w:rsid w:val="6A935230"/>
    <w:rsid w:val="6A9437D3"/>
    <w:rsid w:val="6A996742"/>
    <w:rsid w:val="6AA44825"/>
    <w:rsid w:val="6AB401A2"/>
    <w:rsid w:val="6AB47997"/>
    <w:rsid w:val="6AC72E1A"/>
    <w:rsid w:val="6ACC4372"/>
    <w:rsid w:val="6AE461AD"/>
    <w:rsid w:val="6AE65093"/>
    <w:rsid w:val="6AEF65E6"/>
    <w:rsid w:val="6AF43944"/>
    <w:rsid w:val="6AFC4D30"/>
    <w:rsid w:val="6B353C69"/>
    <w:rsid w:val="6B37755E"/>
    <w:rsid w:val="6B3F08AE"/>
    <w:rsid w:val="6B521BD5"/>
    <w:rsid w:val="6B5427FA"/>
    <w:rsid w:val="6B563B97"/>
    <w:rsid w:val="6B7D18E3"/>
    <w:rsid w:val="6B8E15AC"/>
    <w:rsid w:val="6B9E2AD3"/>
    <w:rsid w:val="6BA10998"/>
    <w:rsid w:val="6BA854E8"/>
    <w:rsid w:val="6BA97EFD"/>
    <w:rsid w:val="6BC409FB"/>
    <w:rsid w:val="6BC81A9A"/>
    <w:rsid w:val="6BC8480E"/>
    <w:rsid w:val="6BD95B85"/>
    <w:rsid w:val="6BDB61CD"/>
    <w:rsid w:val="6BDD1068"/>
    <w:rsid w:val="6BDE7655"/>
    <w:rsid w:val="6BE74E05"/>
    <w:rsid w:val="6BF72F38"/>
    <w:rsid w:val="6BF77D6C"/>
    <w:rsid w:val="6BF84EA6"/>
    <w:rsid w:val="6BFA717B"/>
    <w:rsid w:val="6C261D38"/>
    <w:rsid w:val="6C2A74A4"/>
    <w:rsid w:val="6C354FB6"/>
    <w:rsid w:val="6C387ED8"/>
    <w:rsid w:val="6C4718FB"/>
    <w:rsid w:val="6C5C2BAF"/>
    <w:rsid w:val="6C625036"/>
    <w:rsid w:val="6C6D295F"/>
    <w:rsid w:val="6C6D4A37"/>
    <w:rsid w:val="6C6D7262"/>
    <w:rsid w:val="6C6F0A37"/>
    <w:rsid w:val="6C8528C2"/>
    <w:rsid w:val="6C86041B"/>
    <w:rsid w:val="6C8979B1"/>
    <w:rsid w:val="6C8A45D5"/>
    <w:rsid w:val="6C8C49CF"/>
    <w:rsid w:val="6C9069CF"/>
    <w:rsid w:val="6C992E73"/>
    <w:rsid w:val="6CA22EBF"/>
    <w:rsid w:val="6CA4216E"/>
    <w:rsid w:val="6CA44DB8"/>
    <w:rsid w:val="6CA75AA2"/>
    <w:rsid w:val="6CAD6C02"/>
    <w:rsid w:val="6CB17564"/>
    <w:rsid w:val="6CB52B9E"/>
    <w:rsid w:val="6CC5455B"/>
    <w:rsid w:val="6CC62C2C"/>
    <w:rsid w:val="6CCD4A60"/>
    <w:rsid w:val="6CE82177"/>
    <w:rsid w:val="6CEB2609"/>
    <w:rsid w:val="6CFC572F"/>
    <w:rsid w:val="6CFE37CA"/>
    <w:rsid w:val="6CFE4E95"/>
    <w:rsid w:val="6D13285A"/>
    <w:rsid w:val="6D1C0FED"/>
    <w:rsid w:val="6D214955"/>
    <w:rsid w:val="6D24131E"/>
    <w:rsid w:val="6D261D0F"/>
    <w:rsid w:val="6D517BB9"/>
    <w:rsid w:val="6D531591"/>
    <w:rsid w:val="6D583F1A"/>
    <w:rsid w:val="6D595250"/>
    <w:rsid w:val="6D606442"/>
    <w:rsid w:val="6D612FC0"/>
    <w:rsid w:val="6D65485E"/>
    <w:rsid w:val="6D696FA7"/>
    <w:rsid w:val="6D6B6497"/>
    <w:rsid w:val="6D6C3FB3"/>
    <w:rsid w:val="6D6F583F"/>
    <w:rsid w:val="6D8831CF"/>
    <w:rsid w:val="6D8E6DC2"/>
    <w:rsid w:val="6DBA564E"/>
    <w:rsid w:val="6DC31716"/>
    <w:rsid w:val="6DC67B27"/>
    <w:rsid w:val="6DC80BA1"/>
    <w:rsid w:val="6DD20A32"/>
    <w:rsid w:val="6DDD2215"/>
    <w:rsid w:val="6DF16741"/>
    <w:rsid w:val="6DFF2523"/>
    <w:rsid w:val="6E047F0C"/>
    <w:rsid w:val="6E0E44AA"/>
    <w:rsid w:val="6E13664D"/>
    <w:rsid w:val="6E207B74"/>
    <w:rsid w:val="6E2A77E7"/>
    <w:rsid w:val="6E3762D4"/>
    <w:rsid w:val="6E386383"/>
    <w:rsid w:val="6E3B1B68"/>
    <w:rsid w:val="6E3C1CAB"/>
    <w:rsid w:val="6E5346EA"/>
    <w:rsid w:val="6E5B351E"/>
    <w:rsid w:val="6E647E42"/>
    <w:rsid w:val="6E671920"/>
    <w:rsid w:val="6E8221BD"/>
    <w:rsid w:val="6E8261C7"/>
    <w:rsid w:val="6E8A099C"/>
    <w:rsid w:val="6EA72D93"/>
    <w:rsid w:val="6EAA56F6"/>
    <w:rsid w:val="6EB312E3"/>
    <w:rsid w:val="6ECB0CA3"/>
    <w:rsid w:val="6ECE0B27"/>
    <w:rsid w:val="6ED02623"/>
    <w:rsid w:val="6ED92856"/>
    <w:rsid w:val="6EDB0A09"/>
    <w:rsid w:val="6EDF1AD6"/>
    <w:rsid w:val="6EE030A7"/>
    <w:rsid w:val="6EE50F58"/>
    <w:rsid w:val="6EEB2A66"/>
    <w:rsid w:val="6EF77132"/>
    <w:rsid w:val="6EFC3A87"/>
    <w:rsid w:val="6F084036"/>
    <w:rsid w:val="6F0913AC"/>
    <w:rsid w:val="6F0A702E"/>
    <w:rsid w:val="6F1C451C"/>
    <w:rsid w:val="6F1D4537"/>
    <w:rsid w:val="6F206148"/>
    <w:rsid w:val="6F2464EF"/>
    <w:rsid w:val="6F25291A"/>
    <w:rsid w:val="6F2A63C0"/>
    <w:rsid w:val="6F2C3765"/>
    <w:rsid w:val="6F322119"/>
    <w:rsid w:val="6F493831"/>
    <w:rsid w:val="6F597057"/>
    <w:rsid w:val="6F6531B8"/>
    <w:rsid w:val="6F6A4AC4"/>
    <w:rsid w:val="6F6C3DB3"/>
    <w:rsid w:val="6F795527"/>
    <w:rsid w:val="6F966872"/>
    <w:rsid w:val="6FAE1262"/>
    <w:rsid w:val="6FB90805"/>
    <w:rsid w:val="6FC73915"/>
    <w:rsid w:val="6FC76CC4"/>
    <w:rsid w:val="6FD155F6"/>
    <w:rsid w:val="6FE31149"/>
    <w:rsid w:val="6FE67123"/>
    <w:rsid w:val="6FE87618"/>
    <w:rsid w:val="6FEE322F"/>
    <w:rsid w:val="6FEF1BB1"/>
    <w:rsid w:val="6FF6577E"/>
    <w:rsid w:val="6FFC0ADF"/>
    <w:rsid w:val="70035DA9"/>
    <w:rsid w:val="700D4B56"/>
    <w:rsid w:val="70162C8F"/>
    <w:rsid w:val="70162F54"/>
    <w:rsid w:val="701B4DB5"/>
    <w:rsid w:val="701F1EAD"/>
    <w:rsid w:val="702833D2"/>
    <w:rsid w:val="70313725"/>
    <w:rsid w:val="703933B3"/>
    <w:rsid w:val="703C0CF7"/>
    <w:rsid w:val="703D225F"/>
    <w:rsid w:val="704558BD"/>
    <w:rsid w:val="7050763B"/>
    <w:rsid w:val="70530262"/>
    <w:rsid w:val="705E4EFE"/>
    <w:rsid w:val="70636245"/>
    <w:rsid w:val="708F44D3"/>
    <w:rsid w:val="70913C0B"/>
    <w:rsid w:val="709465EC"/>
    <w:rsid w:val="709C68B5"/>
    <w:rsid w:val="70A214DF"/>
    <w:rsid w:val="70A378AB"/>
    <w:rsid w:val="70AB74CF"/>
    <w:rsid w:val="70AE4BE5"/>
    <w:rsid w:val="70AF4A04"/>
    <w:rsid w:val="70B210DD"/>
    <w:rsid w:val="70B53817"/>
    <w:rsid w:val="70CC52BC"/>
    <w:rsid w:val="70D45145"/>
    <w:rsid w:val="70D919FC"/>
    <w:rsid w:val="70DB7E7B"/>
    <w:rsid w:val="70DD4D9F"/>
    <w:rsid w:val="70E009E1"/>
    <w:rsid w:val="70E439F9"/>
    <w:rsid w:val="70EA5495"/>
    <w:rsid w:val="70F03B20"/>
    <w:rsid w:val="70FB337F"/>
    <w:rsid w:val="70FF7A6F"/>
    <w:rsid w:val="710412A4"/>
    <w:rsid w:val="71092FED"/>
    <w:rsid w:val="71182D07"/>
    <w:rsid w:val="711A09DD"/>
    <w:rsid w:val="711F2443"/>
    <w:rsid w:val="7131641D"/>
    <w:rsid w:val="71402DF4"/>
    <w:rsid w:val="715044D6"/>
    <w:rsid w:val="71535003"/>
    <w:rsid w:val="715920CC"/>
    <w:rsid w:val="7164108C"/>
    <w:rsid w:val="71667CB7"/>
    <w:rsid w:val="71813D86"/>
    <w:rsid w:val="71863CBA"/>
    <w:rsid w:val="718A720D"/>
    <w:rsid w:val="71905E12"/>
    <w:rsid w:val="71935972"/>
    <w:rsid w:val="71940829"/>
    <w:rsid w:val="719D4006"/>
    <w:rsid w:val="719F3D15"/>
    <w:rsid w:val="71A2720D"/>
    <w:rsid w:val="71AD1FEA"/>
    <w:rsid w:val="71AE3FEB"/>
    <w:rsid w:val="71BE7204"/>
    <w:rsid w:val="71C15203"/>
    <w:rsid w:val="71CA35AD"/>
    <w:rsid w:val="71D97B23"/>
    <w:rsid w:val="71DB65D7"/>
    <w:rsid w:val="71E11088"/>
    <w:rsid w:val="71F56317"/>
    <w:rsid w:val="720553F4"/>
    <w:rsid w:val="72084708"/>
    <w:rsid w:val="720B5D39"/>
    <w:rsid w:val="721C7C17"/>
    <w:rsid w:val="72261643"/>
    <w:rsid w:val="723407DD"/>
    <w:rsid w:val="7236698E"/>
    <w:rsid w:val="723F67D6"/>
    <w:rsid w:val="724E22A2"/>
    <w:rsid w:val="7254789B"/>
    <w:rsid w:val="725C0D6D"/>
    <w:rsid w:val="726049E9"/>
    <w:rsid w:val="72671A98"/>
    <w:rsid w:val="72804322"/>
    <w:rsid w:val="72A43286"/>
    <w:rsid w:val="72BC7278"/>
    <w:rsid w:val="72CC7471"/>
    <w:rsid w:val="72D01440"/>
    <w:rsid w:val="72D647BB"/>
    <w:rsid w:val="72FA314C"/>
    <w:rsid w:val="72FB2114"/>
    <w:rsid w:val="72FE2838"/>
    <w:rsid w:val="730208D7"/>
    <w:rsid w:val="730E3A7E"/>
    <w:rsid w:val="73180030"/>
    <w:rsid w:val="731F610D"/>
    <w:rsid w:val="733077BC"/>
    <w:rsid w:val="73322890"/>
    <w:rsid w:val="733D6593"/>
    <w:rsid w:val="734F7676"/>
    <w:rsid w:val="736B1B21"/>
    <w:rsid w:val="73734CF6"/>
    <w:rsid w:val="73773105"/>
    <w:rsid w:val="737A69F2"/>
    <w:rsid w:val="737A6DD2"/>
    <w:rsid w:val="737C3B6E"/>
    <w:rsid w:val="737C789F"/>
    <w:rsid w:val="73847B59"/>
    <w:rsid w:val="738F55BE"/>
    <w:rsid w:val="739A5F82"/>
    <w:rsid w:val="73A063CB"/>
    <w:rsid w:val="73A100EF"/>
    <w:rsid w:val="73A3244B"/>
    <w:rsid w:val="73A90825"/>
    <w:rsid w:val="73C52127"/>
    <w:rsid w:val="73C52756"/>
    <w:rsid w:val="73CE3686"/>
    <w:rsid w:val="73D535AF"/>
    <w:rsid w:val="73DA381C"/>
    <w:rsid w:val="73F16F74"/>
    <w:rsid w:val="73F31EC7"/>
    <w:rsid w:val="73FA0CF7"/>
    <w:rsid w:val="73FB5521"/>
    <w:rsid w:val="74011C69"/>
    <w:rsid w:val="74024309"/>
    <w:rsid w:val="740435E5"/>
    <w:rsid w:val="74046BA3"/>
    <w:rsid w:val="742568CA"/>
    <w:rsid w:val="743C14C0"/>
    <w:rsid w:val="743C213A"/>
    <w:rsid w:val="743D795A"/>
    <w:rsid w:val="743E391D"/>
    <w:rsid w:val="74400FAE"/>
    <w:rsid w:val="74411D22"/>
    <w:rsid w:val="74431556"/>
    <w:rsid w:val="744B3786"/>
    <w:rsid w:val="746D1BD9"/>
    <w:rsid w:val="74713F3C"/>
    <w:rsid w:val="747B4797"/>
    <w:rsid w:val="747B5FBA"/>
    <w:rsid w:val="748C1F9B"/>
    <w:rsid w:val="748E6151"/>
    <w:rsid w:val="749144FC"/>
    <w:rsid w:val="74A421EA"/>
    <w:rsid w:val="74C0259A"/>
    <w:rsid w:val="74CE02B7"/>
    <w:rsid w:val="74CE7718"/>
    <w:rsid w:val="74EA3579"/>
    <w:rsid w:val="74EE29C3"/>
    <w:rsid w:val="74EF64DE"/>
    <w:rsid w:val="74F60883"/>
    <w:rsid w:val="75015128"/>
    <w:rsid w:val="7508592C"/>
    <w:rsid w:val="750C260C"/>
    <w:rsid w:val="751125FC"/>
    <w:rsid w:val="7516627A"/>
    <w:rsid w:val="75183776"/>
    <w:rsid w:val="75224721"/>
    <w:rsid w:val="75285460"/>
    <w:rsid w:val="752A5719"/>
    <w:rsid w:val="753003AF"/>
    <w:rsid w:val="75325F00"/>
    <w:rsid w:val="753700FE"/>
    <w:rsid w:val="753946E6"/>
    <w:rsid w:val="753D5763"/>
    <w:rsid w:val="75401CFE"/>
    <w:rsid w:val="755C4181"/>
    <w:rsid w:val="75706610"/>
    <w:rsid w:val="75811C68"/>
    <w:rsid w:val="75833722"/>
    <w:rsid w:val="758A6745"/>
    <w:rsid w:val="759048EF"/>
    <w:rsid w:val="75A41183"/>
    <w:rsid w:val="75B7596F"/>
    <w:rsid w:val="75BA0E35"/>
    <w:rsid w:val="75DC41A0"/>
    <w:rsid w:val="75DE7F2A"/>
    <w:rsid w:val="75E350FB"/>
    <w:rsid w:val="75E667B9"/>
    <w:rsid w:val="75EF4024"/>
    <w:rsid w:val="75F27FD0"/>
    <w:rsid w:val="760106CA"/>
    <w:rsid w:val="7604678A"/>
    <w:rsid w:val="76120049"/>
    <w:rsid w:val="761C3ADF"/>
    <w:rsid w:val="761D01B7"/>
    <w:rsid w:val="7622448D"/>
    <w:rsid w:val="76251C4A"/>
    <w:rsid w:val="7628203F"/>
    <w:rsid w:val="7648345E"/>
    <w:rsid w:val="764A5338"/>
    <w:rsid w:val="76634335"/>
    <w:rsid w:val="76675479"/>
    <w:rsid w:val="7668193E"/>
    <w:rsid w:val="767801D4"/>
    <w:rsid w:val="767D01C7"/>
    <w:rsid w:val="768A39B1"/>
    <w:rsid w:val="768A4847"/>
    <w:rsid w:val="768B52C6"/>
    <w:rsid w:val="768D1691"/>
    <w:rsid w:val="768D77BE"/>
    <w:rsid w:val="768F520A"/>
    <w:rsid w:val="769102CC"/>
    <w:rsid w:val="769179B7"/>
    <w:rsid w:val="76917BBE"/>
    <w:rsid w:val="76932D64"/>
    <w:rsid w:val="76A47B43"/>
    <w:rsid w:val="76A907DA"/>
    <w:rsid w:val="76AD2CC9"/>
    <w:rsid w:val="76B10C5B"/>
    <w:rsid w:val="76B11FB5"/>
    <w:rsid w:val="76B17AB7"/>
    <w:rsid w:val="76B85F4E"/>
    <w:rsid w:val="76C10CF8"/>
    <w:rsid w:val="76C40C69"/>
    <w:rsid w:val="76C830A5"/>
    <w:rsid w:val="76DC63F8"/>
    <w:rsid w:val="76DE7AB3"/>
    <w:rsid w:val="76E8081C"/>
    <w:rsid w:val="770B193F"/>
    <w:rsid w:val="77112CDA"/>
    <w:rsid w:val="771A4D86"/>
    <w:rsid w:val="771C533D"/>
    <w:rsid w:val="771D00D0"/>
    <w:rsid w:val="771F3FDE"/>
    <w:rsid w:val="77330784"/>
    <w:rsid w:val="773647B3"/>
    <w:rsid w:val="77406F97"/>
    <w:rsid w:val="77486AE3"/>
    <w:rsid w:val="77550D4B"/>
    <w:rsid w:val="77583604"/>
    <w:rsid w:val="77587D2E"/>
    <w:rsid w:val="7769365D"/>
    <w:rsid w:val="776C0B5A"/>
    <w:rsid w:val="77705083"/>
    <w:rsid w:val="7772175A"/>
    <w:rsid w:val="77B60902"/>
    <w:rsid w:val="77BA3908"/>
    <w:rsid w:val="77C11EE5"/>
    <w:rsid w:val="77CD498C"/>
    <w:rsid w:val="77DB7F41"/>
    <w:rsid w:val="77EB6576"/>
    <w:rsid w:val="77F447F0"/>
    <w:rsid w:val="77FF5915"/>
    <w:rsid w:val="7809335A"/>
    <w:rsid w:val="780B61C0"/>
    <w:rsid w:val="780C7E0C"/>
    <w:rsid w:val="78170BC1"/>
    <w:rsid w:val="781B0954"/>
    <w:rsid w:val="781E1935"/>
    <w:rsid w:val="78293A6F"/>
    <w:rsid w:val="782E0DAD"/>
    <w:rsid w:val="78513111"/>
    <w:rsid w:val="78525B74"/>
    <w:rsid w:val="785C23A0"/>
    <w:rsid w:val="785C39A9"/>
    <w:rsid w:val="78624F42"/>
    <w:rsid w:val="78627B1D"/>
    <w:rsid w:val="786B4684"/>
    <w:rsid w:val="78732CDB"/>
    <w:rsid w:val="7879271E"/>
    <w:rsid w:val="788E6C8E"/>
    <w:rsid w:val="789074A7"/>
    <w:rsid w:val="78A64BE2"/>
    <w:rsid w:val="78A6631A"/>
    <w:rsid w:val="78BB45EB"/>
    <w:rsid w:val="78BF346B"/>
    <w:rsid w:val="78CA1D23"/>
    <w:rsid w:val="78D1228F"/>
    <w:rsid w:val="78E12B75"/>
    <w:rsid w:val="78F24363"/>
    <w:rsid w:val="78F5477B"/>
    <w:rsid w:val="78F553B7"/>
    <w:rsid w:val="78FA50E8"/>
    <w:rsid w:val="78FE3063"/>
    <w:rsid w:val="79210330"/>
    <w:rsid w:val="79387950"/>
    <w:rsid w:val="793A45C1"/>
    <w:rsid w:val="793B70EF"/>
    <w:rsid w:val="7949656C"/>
    <w:rsid w:val="795311B6"/>
    <w:rsid w:val="79533802"/>
    <w:rsid w:val="79684193"/>
    <w:rsid w:val="796D0D69"/>
    <w:rsid w:val="796E3E74"/>
    <w:rsid w:val="797268E2"/>
    <w:rsid w:val="79732D72"/>
    <w:rsid w:val="79743FEA"/>
    <w:rsid w:val="797B6990"/>
    <w:rsid w:val="79802C90"/>
    <w:rsid w:val="7985514F"/>
    <w:rsid w:val="79870767"/>
    <w:rsid w:val="79901738"/>
    <w:rsid w:val="799553E2"/>
    <w:rsid w:val="79B20E02"/>
    <w:rsid w:val="79B50075"/>
    <w:rsid w:val="79C0220E"/>
    <w:rsid w:val="79D41DC3"/>
    <w:rsid w:val="79D544BA"/>
    <w:rsid w:val="79E14B83"/>
    <w:rsid w:val="79E7530B"/>
    <w:rsid w:val="79E95812"/>
    <w:rsid w:val="79EF427F"/>
    <w:rsid w:val="79FB71AC"/>
    <w:rsid w:val="7A0254DE"/>
    <w:rsid w:val="7A0550F6"/>
    <w:rsid w:val="7A080F43"/>
    <w:rsid w:val="7A135E80"/>
    <w:rsid w:val="7A214813"/>
    <w:rsid w:val="7A2150CD"/>
    <w:rsid w:val="7A2213F0"/>
    <w:rsid w:val="7A3326FC"/>
    <w:rsid w:val="7A374022"/>
    <w:rsid w:val="7A3C5AEC"/>
    <w:rsid w:val="7A452E08"/>
    <w:rsid w:val="7A4800B0"/>
    <w:rsid w:val="7A4938F7"/>
    <w:rsid w:val="7A5605FF"/>
    <w:rsid w:val="7A657225"/>
    <w:rsid w:val="7A6967B4"/>
    <w:rsid w:val="7A743833"/>
    <w:rsid w:val="7A7F15B6"/>
    <w:rsid w:val="7A845CC9"/>
    <w:rsid w:val="7A84797B"/>
    <w:rsid w:val="7A862C70"/>
    <w:rsid w:val="7AB36004"/>
    <w:rsid w:val="7AB377A7"/>
    <w:rsid w:val="7AB82515"/>
    <w:rsid w:val="7AB848D8"/>
    <w:rsid w:val="7ACA7F25"/>
    <w:rsid w:val="7AEC7422"/>
    <w:rsid w:val="7AED79A0"/>
    <w:rsid w:val="7AFF11C4"/>
    <w:rsid w:val="7B070F47"/>
    <w:rsid w:val="7B0E3CB5"/>
    <w:rsid w:val="7B143447"/>
    <w:rsid w:val="7B202ABE"/>
    <w:rsid w:val="7B291D9A"/>
    <w:rsid w:val="7B2A110A"/>
    <w:rsid w:val="7B2F7E3D"/>
    <w:rsid w:val="7B354869"/>
    <w:rsid w:val="7B3E4744"/>
    <w:rsid w:val="7B411A62"/>
    <w:rsid w:val="7B480220"/>
    <w:rsid w:val="7B4C4A7A"/>
    <w:rsid w:val="7B574266"/>
    <w:rsid w:val="7B5B3F81"/>
    <w:rsid w:val="7B5D0D19"/>
    <w:rsid w:val="7B682856"/>
    <w:rsid w:val="7B6F0F94"/>
    <w:rsid w:val="7B780220"/>
    <w:rsid w:val="7B7B0D20"/>
    <w:rsid w:val="7B8570C3"/>
    <w:rsid w:val="7B8B7ED8"/>
    <w:rsid w:val="7BA04387"/>
    <w:rsid w:val="7BA95364"/>
    <w:rsid w:val="7BAA57B2"/>
    <w:rsid w:val="7BAF52B1"/>
    <w:rsid w:val="7BB327A5"/>
    <w:rsid w:val="7BB76B8E"/>
    <w:rsid w:val="7BB92813"/>
    <w:rsid w:val="7BBD384A"/>
    <w:rsid w:val="7BC00391"/>
    <w:rsid w:val="7BC80383"/>
    <w:rsid w:val="7BD16595"/>
    <w:rsid w:val="7BD357BA"/>
    <w:rsid w:val="7BD83FC3"/>
    <w:rsid w:val="7BE85F13"/>
    <w:rsid w:val="7BED1CF4"/>
    <w:rsid w:val="7BFD0718"/>
    <w:rsid w:val="7C04013E"/>
    <w:rsid w:val="7C14707B"/>
    <w:rsid w:val="7C337676"/>
    <w:rsid w:val="7C36271E"/>
    <w:rsid w:val="7C3E1F10"/>
    <w:rsid w:val="7C442B6F"/>
    <w:rsid w:val="7C464EBB"/>
    <w:rsid w:val="7C4B2809"/>
    <w:rsid w:val="7C4C2430"/>
    <w:rsid w:val="7C557D34"/>
    <w:rsid w:val="7C5F5B96"/>
    <w:rsid w:val="7C7028B9"/>
    <w:rsid w:val="7C7A47F7"/>
    <w:rsid w:val="7C825640"/>
    <w:rsid w:val="7C852914"/>
    <w:rsid w:val="7C8B7EA7"/>
    <w:rsid w:val="7C920B2A"/>
    <w:rsid w:val="7C96018D"/>
    <w:rsid w:val="7C971CC7"/>
    <w:rsid w:val="7CB832FA"/>
    <w:rsid w:val="7CBE6CB9"/>
    <w:rsid w:val="7CC3762D"/>
    <w:rsid w:val="7CC96124"/>
    <w:rsid w:val="7CCF74E3"/>
    <w:rsid w:val="7CD05408"/>
    <w:rsid w:val="7CD478AC"/>
    <w:rsid w:val="7CD671BF"/>
    <w:rsid w:val="7CDE0FCD"/>
    <w:rsid w:val="7CE23CCF"/>
    <w:rsid w:val="7CE44F32"/>
    <w:rsid w:val="7CEF7951"/>
    <w:rsid w:val="7CF02B44"/>
    <w:rsid w:val="7CF30A0A"/>
    <w:rsid w:val="7CF36F5B"/>
    <w:rsid w:val="7CF40D3E"/>
    <w:rsid w:val="7CF613F9"/>
    <w:rsid w:val="7CF90AAA"/>
    <w:rsid w:val="7D03261C"/>
    <w:rsid w:val="7D0509A8"/>
    <w:rsid w:val="7D080696"/>
    <w:rsid w:val="7D143198"/>
    <w:rsid w:val="7D233D17"/>
    <w:rsid w:val="7D311055"/>
    <w:rsid w:val="7D437F94"/>
    <w:rsid w:val="7D4B305A"/>
    <w:rsid w:val="7D5D01DD"/>
    <w:rsid w:val="7D641950"/>
    <w:rsid w:val="7D657A81"/>
    <w:rsid w:val="7D696952"/>
    <w:rsid w:val="7D79759A"/>
    <w:rsid w:val="7D7B4CC5"/>
    <w:rsid w:val="7D833A86"/>
    <w:rsid w:val="7D880EDF"/>
    <w:rsid w:val="7DA47F91"/>
    <w:rsid w:val="7DAA3917"/>
    <w:rsid w:val="7DB0187C"/>
    <w:rsid w:val="7DBA3498"/>
    <w:rsid w:val="7DC033E3"/>
    <w:rsid w:val="7DD71768"/>
    <w:rsid w:val="7DE7294B"/>
    <w:rsid w:val="7DF007AE"/>
    <w:rsid w:val="7E0D7CD7"/>
    <w:rsid w:val="7E2030CC"/>
    <w:rsid w:val="7E2E2C0E"/>
    <w:rsid w:val="7E315B96"/>
    <w:rsid w:val="7E3172BF"/>
    <w:rsid w:val="7E320236"/>
    <w:rsid w:val="7E3261A0"/>
    <w:rsid w:val="7E485C46"/>
    <w:rsid w:val="7E540003"/>
    <w:rsid w:val="7E637970"/>
    <w:rsid w:val="7E7154F5"/>
    <w:rsid w:val="7E7B05F3"/>
    <w:rsid w:val="7E830B8C"/>
    <w:rsid w:val="7E8D6272"/>
    <w:rsid w:val="7E94037B"/>
    <w:rsid w:val="7EA102C3"/>
    <w:rsid w:val="7EA212D2"/>
    <w:rsid w:val="7EAD5D01"/>
    <w:rsid w:val="7EB94221"/>
    <w:rsid w:val="7EBA101D"/>
    <w:rsid w:val="7EC70552"/>
    <w:rsid w:val="7ECD371F"/>
    <w:rsid w:val="7ED60B31"/>
    <w:rsid w:val="7EDD1569"/>
    <w:rsid w:val="7EE23BBA"/>
    <w:rsid w:val="7EE32EB1"/>
    <w:rsid w:val="7EF030E0"/>
    <w:rsid w:val="7F002510"/>
    <w:rsid w:val="7F125C1D"/>
    <w:rsid w:val="7F2C695B"/>
    <w:rsid w:val="7F370F4F"/>
    <w:rsid w:val="7F5235FC"/>
    <w:rsid w:val="7F5363F5"/>
    <w:rsid w:val="7F656973"/>
    <w:rsid w:val="7F69027F"/>
    <w:rsid w:val="7F6A19C9"/>
    <w:rsid w:val="7F6E6D72"/>
    <w:rsid w:val="7F722445"/>
    <w:rsid w:val="7F73792C"/>
    <w:rsid w:val="7F7867D8"/>
    <w:rsid w:val="7F7E5012"/>
    <w:rsid w:val="7F8146A0"/>
    <w:rsid w:val="7F826B9A"/>
    <w:rsid w:val="7F89667C"/>
    <w:rsid w:val="7F991A6A"/>
    <w:rsid w:val="7F9D4939"/>
    <w:rsid w:val="7FC338D5"/>
    <w:rsid w:val="7FD21165"/>
    <w:rsid w:val="7FD22B8F"/>
    <w:rsid w:val="7FD327C3"/>
    <w:rsid w:val="7FD93C64"/>
    <w:rsid w:val="7FE23E0F"/>
    <w:rsid w:val="7FEF033A"/>
    <w:rsid w:val="7FF42D9D"/>
    <w:rsid w:val="7FF95C1C"/>
    <w:rsid w:val="7FFA17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40"/>
    <w:qFormat/>
    <w:uiPriority w:val="0"/>
    <w:pPr>
      <w:keepNext/>
      <w:keepLines/>
      <w:spacing w:before="260" w:after="260" w:line="416" w:lineRule="auto"/>
      <w:outlineLvl w:val="1"/>
    </w:pPr>
    <w:rPr>
      <w:rFonts w:ascii="Arial" w:hAnsi="Arial" w:eastAsia="黑体"/>
      <w:b/>
      <w:bCs/>
      <w:kern w:val="2"/>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line="360" w:lineRule="auto"/>
      <w:outlineLvl w:val="3"/>
    </w:pPr>
    <w:rPr>
      <w:rFonts w:ascii="Arial" w:hAnsi="Arial"/>
      <w:b/>
      <w:bCs/>
      <w:szCs w:val="28"/>
    </w:rPr>
  </w:style>
  <w:style w:type="paragraph" w:styleId="8">
    <w:name w:val="heading 5"/>
    <w:basedOn w:val="1"/>
    <w:next w:val="1"/>
    <w:qFormat/>
    <w:uiPriority w:val="0"/>
    <w:pPr>
      <w:keepNext/>
      <w:keepLines/>
      <w:spacing w:before="280" w:after="290" w:line="376" w:lineRule="auto"/>
      <w:outlineLvl w:val="4"/>
    </w:pPr>
    <w:rPr>
      <w:b/>
      <w:bCs/>
      <w:sz w:val="28"/>
      <w:szCs w:val="28"/>
    </w:rPr>
  </w:style>
  <w:style w:type="paragraph" w:styleId="9">
    <w:name w:val="heading 6"/>
    <w:basedOn w:val="1"/>
    <w:next w:val="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sz w:val="24"/>
    </w:rPr>
  </w:style>
  <w:style w:type="paragraph" w:styleId="10">
    <w:name w:val="heading 7"/>
    <w:basedOn w:val="1"/>
    <w:next w:val="1"/>
    <w:qFormat/>
    <w:uiPriority w:val="0"/>
    <w:pPr>
      <w:keepNext/>
      <w:keepLines/>
      <w:widowControl/>
      <w:tabs>
        <w:tab w:val="left" w:pos="2520"/>
      </w:tabs>
      <w:spacing w:before="240" w:after="64" w:line="320" w:lineRule="auto"/>
      <w:ind w:left="1296" w:hanging="1296"/>
      <w:jc w:val="left"/>
      <w:outlineLvl w:val="6"/>
    </w:pPr>
    <w:rPr>
      <w:b/>
      <w:bCs/>
      <w:sz w:val="24"/>
    </w:rPr>
  </w:style>
  <w:style w:type="paragraph" w:styleId="11">
    <w:name w:val="heading 8"/>
    <w:basedOn w:val="1"/>
    <w:next w:val="1"/>
    <w:qFormat/>
    <w:uiPriority w:val="0"/>
    <w:pPr>
      <w:keepNext/>
      <w:keepLines/>
      <w:widowControl/>
      <w:tabs>
        <w:tab w:val="left" w:pos="1440"/>
      </w:tabs>
      <w:spacing w:before="240" w:after="64" w:line="320" w:lineRule="auto"/>
      <w:ind w:left="1440" w:hanging="1440"/>
      <w:jc w:val="left"/>
      <w:outlineLvl w:val="7"/>
    </w:pPr>
    <w:rPr>
      <w:rFonts w:ascii="Arial" w:hAnsi="Arial" w:eastAsia="黑体"/>
      <w:sz w:val="24"/>
    </w:rPr>
  </w:style>
  <w:style w:type="paragraph" w:styleId="12">
    <w:name w:val="heading 9"/>
    <w:basedOn w:val="1"/>
    <w:next w:val="1"/>
    <w:qFormat/>
    <w:uiPriority w:val="0"/>
    <w:pPr>
      <w:keepNext/>
      <w:keepLines/>
      <w:widowControl/>
      <w:tabs>
        <w:tab w:val="left" w:pos="1584"/>
      </w:tabs>
      <w:spacing w:before="240" w:after="64" w:line="320" w:lineRule="auto"/>
      <w:ind w:left="1584" w:hanging="1584"/>
      <w:jc w:val="left"/>
      <w:outlineLvl w:val="8"/>
    </w:pPr>
    <w:rPr>
      <w:rFonts w:ascii="Arial" w:hAnsi="Arial" w:eastAsia="黑体"/>
      <w:szCs w:val="21"/>
    </w:rPr>
  </w:style>
  <w:style w:type="character" w:default="1" w:styleId="30">
    <w:name w:val="Default Paragraph Font"/>
    <w:semiHidden/>
    <w:unhideWhenUsed/>
    <w:uiPriority w:val="1"/>
  </w:style>
  <w:style w:type="table" w:default="1" w:styleId="29">
    <w:name w:val="Normal Table"/>
    <w:semiHidden/>
    <w:unhideWhenUsed/>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13">
    <w:name w:val="Normal Indent"/>
    <w:basedOn w:val="1"/>
    <w:qFormat/>
    <w:uiPriority w:val="0"/>
    <w:pPr>
      <w:ind w:firstLine="420" w:firstLineChars="200"/>
    </w:pPr>
  </w:style>
  <w:style w:type="paragraph" w:styleId="14">
    <w:name w:val="Document Map"/>
    <w:basedOn w:val="1"/>
    <w:semiHidden/>
    <w:qFormat/>
    <w:uiPriority w:val="0"/>
    <w:pPr>
      <w:shd w:val="clear" w:color="auto" w:fill="000080"/>
    </w:pPr>
  </w:style>
  <w:style w:type="paragraph" w:styleId="15">
    <w:name w:val="annotation text"/>
    <w:basedOn w:val="1"/>
    <w:qFormat/>
    <w:uiPriority w:val="0"/>
    <w:pPr>
      <w:jc w:val="left"/>
    </w:pPr>
  </w:style>
  <w:style w:type="paragraph" w:styleId="16">
    <w:name w:val="Body Text 3"/>
    <w:basedOn w:val="1"/>
    <w:qFormat/>
    <w:uiPriority w:val="0"/>
    <w:rPr>
      <w:sz w:val="24"/>
    </w:rPr>
  </w:style>
  <w:style w:type="paragraph" w:styleId="17">
    <w:name w:val="Body Text Indent"/>
    <w:basedOn w:val="1"/>
    <w:qFormat/>
    <w:uiPriority w:val="0"/>
    <w:pPr>
      <w:spacing w:after="120"/>
      <w:ind w:left="420" w:leftChars="200"/>
    </w:pPr>
  </w:style>
  <w:style w:type="paragraph" w:styleId="18">
    <w:name w:val="toc 3"/>
    <w:basedOn w:val="1"/>
    <w:next w:val="1"/>
    <w:semiHidden/>
    <w:qFormat/>
    <w:uiPriority w:val="0"/>
    <w:pPr>
      <w:ind w:left="840" w:leftChars="400"/>
    </w:pPr>
  </w:style>
  <w:style w:type="paragraph" w:styleId="19">
    <w:name w:val="Plain Text"/>
    <w:basedOn w:val="1"/>
    <w:link w:val="41"/>
    <w:qFormat/>
    <w:uiPriority w:val="0"/>
    <w:rPr>
      <w:rFonts w:hAnsi="Courier New" w:cs="Courier New"/>
      <w:kern w:val="2"/>
      <w:sz w:val="21"/>
      <w:szCs w:val="21"/>
    </w:rPr>
  </w:style>
  <w:style w:type="paragraph" w:styleId="20">
    <w:name w:val="Date"/>
    <w:basedOn w:val="1"/>
    <w:next w:val="1"/>
    <w:qFormat/>
    <w:uiPriority w:val="0"/>
    <w:pPr>
      <w:ind w:left="100" w:leftChars="2500"/>
    </w:pPr>
  </w:style>
  <w:style w:type="paragraph" w:styleId="21">
    <w:name w:val="Body Text Indent 2"/>
    <w:basedOn w:val="1"/>
    <w:qFormat/>
    <w:uiPriority w:val="0"/>
    <w:pPr>
      <w:spacing w:after="120" w:line="480" w:lineRule="auto"/>
      <w:ind w:left="420" w:leftChars="200"/>
    </w:pPr>
  </w:style>
  <w:style w:type="paragraph" w:styleId="22">
    <w:name w:val="Balloon Text"/>
    <w:basedOn w:val="1"/>
    <w:semiHidden/>
    <w:qFormat/>
    <w:uiPriority w:val="0"/>
    <w:rPr>
      <w:sz w:val="18"/>
      <w:szCs w:val="18"/>
    </w:rPr>
  </w:style>
  <w:style w:type="paragraph" w:styleId="23">
    <w:name w:val="footer"/>
    <w:basedOn w:val="1"/>
    <w:link w:val="50"/>
    <w:qFormat/>
    <w:uiPriority w:val="0"/>
    <w:pPr>
      <w:tabs>
        <w:tab w:val="center" w:pos="4153"/>
        <w:tab w:val="right" w:pos="8306"/>
      </w:tabs>
      <w:snapToGrid w:val="0"/>
      <w:jc w:val="left"/>
    </w:pPr>
    <w:rPr>
      <w:rFonts w:ascii="Times New Roman"/>
      <w:kern w:val="2"/>
      <w:sz w:val="18"/>
      <w:szCs w:val="18"/>
    </w:rPr>
  </w:style>
  <w:style w:type="paragraph" w:styleId="24">
    <w:name w:val="header"/>
    <w:basedOn w:val="1"/>
    <w:link w:val="82"/>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semiHidden/>
    <w:qFormat/>
    <w:uiPriority w:val="0"/>
    <w:pPr>
      <w:tabs>
        <w:tab w:val="right" w:leader="dot" w:pos="9060"/>
      </w:tabs>
      <w:spacing w:line="580" w:lineRule="exact"/>
    </w:pPr>
    <w:rPr>
      <w:rFonts w:ascii="黑体" w:hAnsi="宋体" w:eastAsia="黑体" w:cs="TimesNewRomanPSMT"/>
    </w:rPr>
  </w:style>
  <w:style w:type="paragraph" w:styleId="26">
    <w:name w:val="Body Text Indent 3"/>
    <w:basedOn w:val="1"/>
    <w:qFormat/>
    <w:uiPriority w:val="0"/>
    <w:pPr>
      <w:ind w:firstLine="420" w:firstLineChars="200"/>
    </w:pPr>
    <w:rPr>
      <w:rFonts w:hAnsi="宋体"/>
    </w:rPr>
  </w:style>
  <w:style w:type="paragraph" w:styleId="27">
    <w:name w:val="Normal (Web)"/>
    <w:basedOn w:val="1"/>
    <w:qFormat/>
    <w:uiPriority w:val="0"/>
    <w:pPr>
      <w:widowControl/>
      <w:spacing w:before="100" w:beforeAutospacing="1" w:after="100" w:afterAutospacing="1"/>
      <w:jc w:val="left"/>
    </w:pPr>
    <w:rPr>
      <w:rFonts w:hAnsi="宋体" w:cs="宋体"/>
      <w:sz w:val="24"/>
    </w:rPr>
  </w:style>
  <w:style w:type="paragraph" w:styleId="28">
    <w:name w:val="Title"/>
    <w:basedOn w:val="1"/>
    <w:qFormat/>
    <w:uiPriority w:val="0"/>
    <w:pPr>
      <w:adjustRightInd w:val="0"/>
      <w:spacing w:before="240" w:after="60" w:line="420" w:lineRule="atLeast"/>
      <w:jc w:val="center"/>
      <w:textAlignment w:val="baseline"/>
      <w:outlineLvl w:val="0"/>
    </w:pPr>
    <w:rPr>
      <w:rFonts w:ascii="Arial" w:hAnsi="Arial"/>
      <w:b/>
      <w:sz w:val="32"/>
    </w:rPr>
  </w:style>
  <w:style w:type="character" w:styleId="31">
    <w:name w:val="Strong"/>
    <w:qFormat/>
    <w:uiPriority w:val="22"/>
    <w:rPr>
      <w:b/>
      <w:bCs/>
    </w:rPr>
  </w:style>
  <w:style w:type="character" w:styleId="32">
    <w:name w:val="page number"/>
    <w:basedOn w:val="30"/>
    <w:qFormat/>
    <w:uiPriority w:val="0"/>
  </w:style>
  <w:style w:type="character" w:styleId="33">
    <w:name w:val="FollowedHyperlink"/>
    <w:qFormat/>
    <w:uiPriority w:val="0"/>
    <w:rPr>
      <w:color w:val="000000"/>
      <w:u w:val="none"/>
    </w:rPr>
  </w:style>
  <w:style w:type="character" w:styleId="34">
    <w:name w:val="Emphasis"/>
    <w:basedOn w:val="30"/>
    <w:qFormat/>
    <w:uiPriority w:val="0"/>
  </w:style>
  <w:style w:type="character" w:styleId="35">
    <w:name w:val="Hyperlink"/>
    <w:basedOn w:val="30"/>
    <w:qFormat/>
    <w:uiPriority w:val="0"/>
    <w:rPr>
      <w:color w:val="000000"/>
      <w:u w:val="none"/>
    </w:rPr>
  </w:style>
  <w:style w:type="character" w:customStyle="1" w:styleId="36">
    <w:name w:val="hover3"/>
    <w:qFormat/>
    <w:uiPriority w:val="0"/>
    <w:rPr>
      <w:bdr w:val="single" w:color="FFCC33" w:sz="6" w:space="0"/>
    </w:rPr>
  </w:style>
  <w:style w:type="character" w:customStyle="1" w:styleId="37">
    <w:name w:val="tit1"/>
    <w:basedOn w:val="30"/>
    <w:qFormat/>
    <w:uiPriority w:val="0"/>
  </w:style>
  <w:style w:type="character" w:customStyle="1" w:styleId="38">
    <w:name w:val="textcontents"/>
    <w:basedOn w:val="30"/>
    <w:qFormat/>
    <w:uiPriority w:val="0"/>
  </w:style>
  <w:style w:type="character" w:customStyle="1" w:styleId="39">
    <w:name w:val="down"/>
    <w:qFormat/>
    <w:uiPriority w:val="0"/>
    <w:rPr>
      <w:shd w:val="clear" w:color="auto" w:fill="DAEEF9"/>
    </w:rPr>
  </w:style>
  <w:style w:type="character" w:customStyle="1" w:styleId="40">
    <w:name w:val="标题 2 字符"/>
    <w:link w:val="5"/>
    <w:qFormat/>
    <w:uiPriority w:val="0"/>
    <w:rPr>
      <w:rFonts w:ascii="Arial" w:hAnsi="Arial" w:eastAsia="黑体"/>
      <w:b/>
      <w:bCs/>
      <w:kern w:val="2"/>
      <w:sz w:val="32"/>
      <w:szCs w:val="32"/>
      <w:lang w:val="en-US" w:eastAsia="zh-CN" w:bidi="ar-SA"/>
    </w:rPr>
  </w:style>
  <w:style w:type="character" w:customStyle="1" w:styleId="41">
    <w:name w:val="纯文本 字符"/>
    <w:link w:val="19"/>
    <w:qFormat/>
    <w:uiPriority w:val="0"/>
    <w:rPr>
      <w:rFonts w:ascii="宋体" w:hAnsi="Courier New" w:eastAsia="宋体" w:cs="Courier New"/>
      <w:kern w:val="2"/>
      <w:sz w:val="21"/>
      <w:szCs w:val="21"/>
      <w:lang w:val="en-US" w:eastAsia="zh-CN" w:bidi="ar-SA"/>
    </w:rPr>
  </w:style>
  <w:style w:type="character" w:customStyle="1" w:styleId="42">
    <w:name w:val="lsl"/>
    <w:basedOn w:val="30"/>
    <w:qFormat/>
    <w:uiPriority w:val="0"/>
  </w:style>
  <w:style w:type="character" w:customStyle="1" w:styleId="43">
    <w:name w:val="tit"/>
    <w:basedOn w:val="30"/>
    <w:qFormat/>
    <w:uiPriority w:val="0"/>
  </w:style>
  <w:style w:type="character" w:customStyle="1" w:styleId="44">
    <w:name w:val="sl"/>
    <w:basedOn w:val="30"/>
    <w:qFormat/>
    <w:uiPriority w:val="0"/>
  </w:style>
  <w:style w:type="character" w:customStyle="1" w:styleId="45">
    <w:name w:val="up"/>
    <w:basedOn w:val="30"/>
    <w:qFormat/>
    <w:uiPriority w:val="0"/>
  </w:style>
  <w:style w:type="character" w:customStyle="1" w:styleId="46">
    <w:name w:val="lsr"/>
    <w:basedOn w:val="30"/>
    <w:qFormat/>
    <w:uiPriority w:val="0"/>
  </w:style>
  <w:style w:type="character" w:customStyle="1" w:styleId="47">
    <w:name w:val="cpb"/>
    <w:qFormat/>
    <w:uiPriority w:val="0"/>
    <w:rPr>
      <w:color w:val="FFFFFF"/>
    </w:rPr>
  </w:style>
  <w:style w:type="character" w:customStyle="1" w:styleId="48">
    <w:name w:val="sr"/>
    <w:basedOn w:val="30"/>
    <w:qFormat/>
    <w:uiPriority w:val="0"/>
  </w:style>
  <w:style w:type="character" w:customStyle="1" w:styleId="49">
    <w:name w:val="apple-converted-space"/>
    <w:basedOn w:val="30"/>
    <w:qFormat/>
    <w:uiPriority w:val="0"/>
  </w:style>
  <w:style w:type="character" w:customStyle="1" w:styleId="50">
    <w:name w:val="页脚 字符"/>
    <w:link w:val="23"/>
    <w:qFormat/>
    <w:uiPriority w:val="0"/>
    <w:rPr>
      <w:kern w:val="2"/>
      <w:sz w:val="18"/>
      <w:szCs w:val="18"/>
    </w:rPr>
  </w:style>
  <w:style w:type="character" w:customStyle="1" w:styleId="51">
    <w:name w:val="font161"/>
    <w:qFormat/>
    <w:uiPriority w:val="0"/>
    <w:rPr>
      <w:b/>
      <w:bCs/>
      <w:sz w:val="32"/>
      <w:szCs w:val="32"/>
    </w:rPr>
  </w:style>
  <w:style w:type="paragraph" w:customStyle="1" w:styleId="52">
    <w:name w:val="z-窗体顶端1"/>
    <w:basedOn w:val="1"/>
    <w:next w:val="1"/>
    <w:qFormat/>
    <w:uiPriority w:val="0"/>
    <w:pPr>
      <w:pBdr>
        <w:bottom w:val="single" w:color="auto" w:sz="6" w:space="1"/>
      </w:pBdr>
      <w:jc w:val="center"/>
    </w:pPr>
    <w:rPr>
      <w:rFonts w:ascii="Arial"/>
      <w:vanish/>
      <w:sz w:val="16"/>
    </w:rPr>
  </w:style>
  <w:style w:type="paragraph" w:customStyle="1" w:styleId="53">
    <w:name w:val="表格"/>
    <w:basedOn w:val="1"/>
    <w:qFormat/>
    <w:uiPriority w:val="0"/>
    <w:pPr>
      <w:jc w:val="center"/>
      <w:textAlignment w:val="center"/>
    </w:pPr>
    <w:rPr>
      <w:rFonts w:ascii="华文细黑" w:hAnsi="华文细黑"/>
    </w:rPr>
  </w:style>
  <w:style w:type="paragraph" w:customStyle="1" w:styleId="54">
    <w:name w:val="Char Char Char Char Char Char Char Char Char Char Char Char Char Char Char Char"/>
    <w:basedOn w:val="1"/>
    <w:qFormat/>
    <w:uiPriority w:val="0"/>
    <w:pPr>
      <w:snapToGrid w:val="0"/>
      <w:spacing w:line="360" w:lineRule="auto"/>
      <w:ind w:firstLine="200" w:firstLineChars="200"/>
    </w:pPr>
    <w:rPr>
      <w:rFonts w:ascii="Times New Roman"/>
      <w:kern w:val="2"/>
      <w:sz w:val="21"/>
      <w:szCs w:val="24"/>
    </w:rPr>
  </w:style>
  <w:style w:type="paragraph" w:customStyle="1" w:styleId="55">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56">
    <w:name w:val="正文 + 自动设置"/>
    <w:basedOn w:val="4"/>
    <w:qFormat/>
    <w:uiPriority w:val="0"/>
    <w:pPr>
      <w:tabs>
        <w:tab w:val="left" w:pos="840"/>
      </w:tabs>
      <w:spacing w:before="360" w:after="360" w:line="480" w:lineRule="auto"/>
      <w:jc w:val="center"/>
    </w:pPr>
    <w:rPr>
      <w:rFonts w:eastAsia="黑体"/>
      <w:bCs w:val="0"/>
      <w:sz w:val="36"/>
      <w:szCs w:val="20"/>
    </w:rPr>
  </w:style>
  <w:style w:type="paragraph" w:customStyle="1" w:styleId="57">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58">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59">
    <w:name w:val="Char1"/>
    <w:basedOn w:val="1"/>
    <w:qFormat/>
    <w:uiPriority w:val="0"/>
    <w:pPr>
      <w:adjustRightInd w:val="0"/>
      <w:spacing w:line="600" w:lineRule="exact"/>
      <w:ind w:firstLine="560" w:firstLineChars="200"/>
      <w:jc w:val="center"/>
    </w:pPr>
  </w:style>
  <w:style w:type="paragraph" w:customStyle="1" w:styleId="60">
    <w:name w:val="Char"/>
    <w:basedOn w:val="1"/>
    <w:qFormat/>
    <w:uiPriority w:val="0"/>
    <w:rPr>
      <w:rFonts w:ascii="仿宋_GB2312" w:eastAsia="仿宋_GB2312"/>
      <w:b/>
      <w:sz w:val="32"/>
      <w:szCs w:val="32"/>
    </w:rPr>
  </w:style>
  <w:style w:type="paragraph" w:customStyle="1" w:styleId="61">
    <w:name w:val="p0"/>
    <w:basedOn w:val="1"/>
    <w:qFormat/>
    <w:uiPriority w:val="0"/>
    <w:pPr>
      <w:widowControl/>
      <w:spacing w:line="408" w:lineRule="auto"/>
      <w:ind w:left="1"/>
      <w:textAlignment w:val="bottom"/>
    </w:pPr>
    <w:rPr>
      <w:color w:val="000000"/>
    </w:rPr>
  </w:style>
  <w:style w:type="paragraph" w:customStyle="1" w:styleId="62">
    <w:name w:val="1"/>
    <w:basedOn w:val="1"/>
    <w:next w:val="1"/>
    <w:qFormat/>
    <w:uiPriority w:val="0"/>
  </w:style>
  <w:style w:type="paragraph" w:customStyle="1" w:styleId="63">
    <w:name w:val="默认段落字体 Para Char Char Char Char Char Char Char"/>
    <w:basedOn w:val="1"/>
    <w:qFormat/>
    <w:uiPriority w:val="0"/>
    <w:rPr>
      <w:rFonts w:ascii="Tahoma" w:hAnsi="Tahoma"/>
      <w:sz w:val="24"/>
    </w:rPr>
  </w:style>
  <w:style w:type="paragraph" w:customStyle="1" w:styleId="64">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65">
    <w:name w:val="表格文字"/>
    <w:basedOn w:val="1"/>
    <w:qFormat/>
    <w:uiPriority w:val="0"/>
    <w:pPr>
      <w:adjustRightInd w:val="0"/>
      <w:spacing w:line="420" w:lineRule="atLeast"/>
      <w:jc w:val="left"/>
      <w:textAlignment w:val="baseline"/>
    </w:pPr>
  </w:style>
  <w:style w:type="paragraph" w:customStyle="1" w:styleId="66">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6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8">
    <w:name w:val="z-窗体底端1"/>
    <w:basedOn w:val="1"/>
    <w:next w:val="1"/>
    <w:qFormat/>
    <w:uiPriority w:val="0"/>
    <w:pPr>
      <w:pBdr>
        <w:top w:val="single" w:color="auto" w:sz="6" w:space="1"/>
      </w:pBdr>
      <w:jc w:val="center"/>
    </w:pPr>
    <w:rPr>
      <w:rFonts w:ascii="Arial"/>
      <w:vanish/>
      <w:sz w:val="16"/>
    </w:rPr>
  </w:style>
  <w:style w:type="paragraph" w:customStyle="1" w:styleId="69">
    <w:name w:val="列出段落1"/>
    <w:basedOn w:val="1"/>
    <w:qFormat/>
    <w:uiPriority w:val="0"/>
    <w:pPr>
      <w:adjustRightInd w:val="0"/>
      <w:snapToGrid w:val="0"/>
      <w:spacing w:line="360" w:lineRule="auto"/>
      <w:ind w:firstLine="420" w:firstLineChars="200"/>
    </w:pPr>
    <w:rPr>
      <w:color w:val="000000"/>
      <w:szCs w:val="21"/>
    </w:rPr>
  </w:style>
  <w:style w:type="paragraph" w:customStyle="1" w:styleId="70">
    <w:name w:val="cjk"/>
    <w:basedOn w:val="1"/>
    <w:qFormat/>
    <w:uiPriority w:val="0"/>
    <w:pPr>
      <w:widowControl/>
      <w:jc w:val="left"/>
    </w:pPr>
    <w:rPr>
      <w:rFonts w:hAnsi="宋体" w:cs="宋体"/>
      <w:sz w:val="24"/>
      <w:szCs w:val="24"/>
    </w:rPr>
  </w:style>
  <w:style w:type="character" w:customStyle="1" w:styleId="71">
    <w:name w:val="15"/>
    <w:qFormat/>
    <w:uiPriority w:val="0"/>
    <w:rPr>
      <w:rFonts w:hint="default" w:ascii="Times New Roman" w:hAnsi="Times New Roman" w:cs="Times New Roman"/>
      <w:color w:val="0000FF"/>
      <w:u w:val="single"/>
    </w:rPr>
  </w:style>
  <w:style w:type="character" w:customStyle="1" w:styleId="72">
    <w:name w:val="blue"/>
    <w:basedOn w:val="30"/>
    <w:qFormat/>
    <w:uiPriority w:val="0"/>
    <w:rPr>
      <w:color w:val="0371C6"/>
      <w:sz w:val="21"/>
      <w:szCs w:val="21"/>
    </w:rPr>
  </w:style>
  <w:style w:type="character" w:customStyle="1" w:styleId="73">
    <w:name w:val="gb-jt"/>
    <w:basedOn w:val="30"/>
    <w:qFormat/>
    <w:uiPriority w:val="0"/>
  </w:style>
  <w:style w:type="character" w:customStyle="1" w:styleId="74">
    <w:name w:val="red"/>
    <w:basedOn w:val="30"/>
    <w:qFormat/>
    <w:uiPriority w:val="0"/>
    <w:rPr>
      <w:color w:val="FF0000"/>
      <w:sz w:val="18"/>
      <w:szCs w:val="18"/>
    </w:rPr>
  </w:style>
  <w:style w:type="character" w:customStyle="1" w:styleId="75">
    <w:name w:val="red1"/>
    <w:basedOn w:val="30"/>
    <w:qFormat/>
    <w:uiPriority w:val="0"/>
    <w:rPr>
      <w:color w:val="FF0000"/>
      <w:sz w:val="18"/>
      <w:szCs w:val="18"/>
    </w:rPr>
  </w:style>
  <w:style w:type="character" w:customStyle="1" w:styleId="76">
    <w:name w:val="red2"/>
    <w:basedOn w:val="30"/>
    <w:qFormat/>
    <w:uiPriority w:val="0"/>
    <w:rPr>
      <w:color w:val="FF0000"/>
    </w:rPr>
  </w:style>
  <w:style w:type="character" w:customStyle="1" w:styleId="77">
    <w:name w:val="green"/>
    <w:basedOn w:val="30"/>
    <w:qFormat/>
    <w:uiPriority w:val="0"/>
    <w:rPr>
      <w:color w:val="66AE00"/>
      <w:sz w:val="18"/>
      <w:szCs w:val="18"/>
    </w:rPr>
  </w:style>
  <w:style w:type="character" w:customStyle="1" w:styleId="78">
    <w:name w:val="green1"/>
    <w:basedOn w:val="30"/>
    <w:qFormat/>
    <w:uiPriority w:val="0"/>
    <w:rPr>
      <w:color w:val="66AE00"/>
      <w:sz w:val="18"/>
      <w:szCs w:val="18"/>
    </w:rPr>
  </w:style>
  <w:style w:type="character" w:customStyle="1" w:styleId="79">
    <w:name w:val="hover25"/>
    <w:basedOn w:val="30"/>
    <w:qFormat/>
    <w:uiPriority w:val="0"/>
  </w:style>
  <w:style w:type="character" w:customStyle="1" w:styleId="80">
    <w:name w:val="right"/>
    <w:basedOn w:val="30"/>
    <w:qFormat/>
    <w:uiPriority w:val="0"/>
    <w:rPr>
      <w:color w:val="999999"/>
      <w:sz w:val="18"/>
      <w:szCs w:val="18"/>
    </w:rPr>
  </w:style>
  <w:style w:type="character" w:customStyle="1" w:styleId="81">
    <w:name w:val="hover"/>
    <w:basedOn w:val="30"/>
    <w:qFormat/>
    <w:uiPriority w:val="0"/>
  </w:style>
  <w:style w:type="character" w:customStyle="1" w:styleId="82">
    <w:name w:val="页眉 字符"/>
    <w:basedOn w:val="30"/>
    <w:link w:val="24"/>
    <w:qFormat/>
    <w:uiPriority w:val="0"/>
    <w:rPr>
      <w:rFonts w:ascii="宋体"/>
      <w:sz w:val="18"/>
      <w:szCs w:val="18"/>
    </w:rPr>
  </w:style>
  <w:style w:type="character" w:customStyle="1" w:styleId="83">
    <w:name w:val="red3"/>
    <w:basedOn w:val="30"/>
    <w:qFormat/>
    <w:uiPriority w:val="0"/>
    <w:rPr>
      <w:color w:val="FF0000"/>
    </w:rPr>
  </w:style>
  <w:style w:type="character" w:customStyle="1" w:styleId="84">
    <w:name w:val="hover24"/>
    <w:basedOn w:val="30"/>
    <w:qFormat/>
    <w:uiPriority w:val="0"/>
  </w:style>
  <w:style w:type="paragraph" w:styleId="8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7D38BB-6604-4A12-BE60-35F8A932997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80</Pages>
  <Words>7937</Words>
  <Characters>45243</Characters>
  <Lines>377</Lines>
  <Paragraphs>106</Paragraphs>
  <TotalTime>2</TotalTime>
  <ScaleCrop>false</ScaleCrop>
  <LinksUpToDate>false</LinksUpToDate>
  <CharactersWithSpaces>53074</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2018-03-19T10:03:00Z</dcterms:created>
  <dc:creator>微软用户</dc:creator>
  <cp:lastModifiedBy>╲_/戀煋兒╰</cp:lastModifiedBy>
  <cp:lastPrinted>2019-06-12T08:37:00Z</cp:lastPrinted>
  <dcterms:modified xsi:type="dcterms:W3CDTF">2019-06-12T09:59:55Z</dcterms:modified>
  <dc:title>魏武大道曹操饮马河桥工程</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