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许昌市园林绿化管理处“纯电动多功能抑尘车”项目</w:t>
      </w:r>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隶书" w:eastAsia="隶书"/>
          <w:b/>
          <w:bCs/>
          <w:color w:val="000000"/>
          <w:sz w:val="36"/>
        </w:rPr>
        <w:t xml:space="preserve">   </w:t>
      </w:r>
      <w:r>
        <w:rPr>
          <w:rFonts w:hint="eastAsia" w:asciiTheme="majorEastAsia" w:hAnsiTheme="majorEastAsia" w:eastAsiaTheme="majorEastAsia" w:cstheme="majorEastAsia"/>
          <w:b/>
          <w:bCs/>
          <w:color w:val="000000"/>
          <w:sz w:val="36"/>
          <w:szCs w:val="36"/>
        </w:rPr>
        <w:t xml:space="preserve">   项目编号：ZFCG-G2019</w:t>
      </w:r>
      <w:r>
        <w:rPr>
          <w:rFonts w:hint="eastAsia" w:asciiTheme="majorEastAsia" w:hAnsiTheme="majorEastAsia" w:eastAsiaTheme="majorEastAsia" w:cstheme="majorEastAsia"/>
          <w:b/>
          <w:bCs/>
          <w:color w:val="000000"/>
          <w:sz w:val="36"/>
          <w:szCs w:val="36"/>
          <w:lang w:val="en-US" w:eastAsia="zh-CN"/>
        </w:rPr>
        <w:t>069</w:t>
      </w:r>
      <w:r>
        <w:rPr>
          <w:rFonts w:hint="eastAsia" w:asciiTheme="majorEastAsia" w:hAnsiTheme="majorEastAsia" w:eastAsiaTheme="majorEastAsia" w:cstheme="majorEastAsia"/>
          <w:b/>
          <w:bCs/>
          <w:color w:val="000000"/>
          <w:sz w:val="36"/>
          <w:szCs w:val="36"/>
        </w:rPr>
        <w:t>号</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采购单位：许昌市园林绿化管理处</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代理机构：许昌市政府采购中心</w:t>
      </w: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二〇一九年</w:t>
      </w:r>
      <w:r>
        <w:rPr>
          <w:rFonts w:hint="eastAsia" w:asciiTheme="majorEastAsia" w:hAnsiTheme="majorEastAsia" w:eastAsiaTheme="majorEastAsia" w:cstheme="majorEastAsia"/>
          <w:b/>
          <w:bCs/>
          <w:color w:val="000000"/>
          <w:sz w:val="36"/>
          <w:szCs w:val="36"/>
          <w:lang w:eastAsia="zh-CN"/>
        </w:rPr>
        <w:t>五</w:t>
      </w:r>
      <w:r>
        <w:rPr>
          <w:rFonts w:hint="eastAsia" w:asciiTheme="majorEastAsia" w:hAnsiTheme="majorEastAsia" w:eastAsiaTheme="majorEastAsia" w:cstheme="majorEastAsia"/>
          <w:b/>
          <w:bCs/>
          <w:color w:val="000000"/>
          <w:sz w:val="36"/>
          <w:szCs w:val="36"/>
        </w:rPr>
        <w:t>月</w:t>
      </w:r>
      <w:r>
        <w:rPr>
          <w:rFonts w:hint="eastAsia" w:asciiTheme="majorEastAsia" w:hAnsiTheme="majorEastAsia" w:eastAsiaTheme="majorEastAsia" w:cstheme="majorEastAsia"/>
          <w:b/>
          <w:bCs/>
          <w:color w:val="000000"/>
          <w:sz w:val="36"/>
          <w:szCs w:val="36"/>
          <w:lang w:eastAsia="zh-CN"/>
        </w:rPr>
        <w:t>十六</w:t>
      </w:r>
      <w:r>
        <w:rPr>
          <w:rFonts w:hint="eastAsia" w:asciiTheme="majorEastAsia" w:hAnsiTheme="majorEastAsia" w:eastAsiaTheme="majorEastAsia" w:cstheme="majorEastAsia"/>
          <w:b/>
          <w:bCs/>
          <w:color w:val="000000"/>
          <w:sz w:val="36"/>
          <w:szCs w:val="36"/>
        </w:rPr>
        <w:t>日</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0"/>
        <w:widowControl/>
        <w:shd w:val="clear" w:color="auto" w:fill="FFFFFF"/>
        <w:spacing w:line="315" w:lineRule="atLeast"/>
        <w:ind w:firstLine="420"/>
        <w:jc w:val="left"/>
        <w:rPr>
          <w:rFonts w:ascii="仿宋_GB2312" w:hAnsi="仿宋_GB2312" w:eastAsia="仿宋_GB2312" w:cs="仿宋_GB2312"/>
          <w:color w:val="000000"/>
          <w:sz w:val="32"/>
          <w:szCs w:val="32"/>
          <w:shd w:val="clear" w:color="auto" w:fill="FFFFFF"/>
        </w:rPr>
      </w:pPr>
    </w:p>
    <w:p>
      <w:pPr>
        <w:pStyle w:val="20"/>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（一）项目名称：纯电动多功能抑尘车</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（二）项目编号：ZFCG-G2019</w:t>
      </w:r>
      <w:r>
        <w:rPr>
          <w:rFonts w:hint="eastAsia" w:cs="仿宋_GB2312" w:asciiTheme="minorEastAsia" w:hAnsiTheme="minorEastAsia" w:eastAsiaTheme="minorEastAsia"/>
          <w:color w:val="000000"/>
          <w:sz w:val="21"/>
          <w:szCs w:val="21"/>
          <w:shd w:val="clear" w:color="auto" w:fill="FFFFFF"/>
          <w:lang w:val="en-US" w:eastAsia="zh-CN"/>
        </w:rPr>
        <w:t>069</w:t>
      </w:r>
      <w:r>
        <w:rPr>
          <w:rFonts w:hint="eastAsia" w:cs="仿宋_GB2312" w:asciiTheme="minorEastAsia" w:hAnsiTheme="minorEastAsia" w:eastAsiaTheme="minorEastAsia"/>
          <w:color w:val="000000"/>
          <w:sz w:val="21"/>
          <w:szCs w:val="21"/>
          <w:shd w:val="clear" w:color="auto" w:fill="FFFFFF"/>
        </w:rPr>
        <w:t xml:space="preserve">号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 xml:space="preserve">（三）采购方式：公开招标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（四）项目主要内容、数量及要求：纯电动多功能抑尘车两台</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（五）预算金额：</w:t>
      </w:r>
      <w:r>
        <w:rPr>
          <w:rFonts w:hint="eastAsia" w:cs="仿宋_GB2312" w:asciiTheme="minorEastAsia" w:hAnsiTheme="minorEastAsia" w:eastAsiaTheme="minorEastAsia"/>
          <w:color w:val="000000"/>
          <w:sz w:val="21"/>
          <w:szCs w:val="21"/>
          <w:shd w:val="clear" w:color="auto" w:fill="FFFFFF"/>
          <w:lang w:val="en-US" w:eastAsia="zh-CN"/>
        </w:rPr>
        <w:t>300万</w:t>
      </w:r>
      <w:r>
        <w:rPr>
          <w:rFonts w:hint="eastAsia" w:cs="仿宋_GB2312" w:asciiTheme="minorEastAsia" w:hAnsiTheme="minorEastAsia" w:eastAsiaTheme="minorEastAsia"/>
          <w:color w:val="000000"/>
          <w:sz w:val="21"/>
          <w:szCs w:val="21"/>
          <w:shd w:val="clear" w:color="auto" w:fill="FFFFFF"/>
        </w:rPr>
        <w:t>元。最高限价：</w:t>
      </w:r>
      <w:r>
        <w:rPr>
          <w:rFonts w:hint="eastAsia" w:cs="仿宋_GB2312" w:asciiTheme="minorEastAsia" w:hAnsiTheme="minorEastAsia" w:eastAsiaTheme="minorEastAsia"/>
          <w:color w:val="000000"/>
          <w:sz w:val="21"/>
          <w:szCs w:val="21"/>
          <w:shd w:val="clear" w:color="auto" w:fill="FFFFFF"/>
          <w:lang w:val="en-US" w:eastAsia="zh-CN"/>
        </w:rPr>
        <w:t>300万</w:t>
      </w:r>
      <w:r>
        <w:rPr>
          <w:rFonts w:hint="eastAsia" w:cs="仿宋_GB2312" w:asciiTheme="minorEastAsia" w:hAnsiTheme="minorEastAsia" w:eastAsiaTheme="minorEastAsia"/>
          <w:color w:val="000000"/>
          <w:sz w:val="21"/>
          <w:szCs w:val="21"/>
          <w:shd w:val="clear" w:color="auto" w:fill="FFFFFF"/>
        </w:rPr>
        <w:t>元。</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（六）交付（服务、完工）时间 ：自合同生效后十日历天</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（七）交付（服务、完工）地点：市园林处</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本项目落实中小微型企业、残疾人福利性单位扶持等相关政府采购政策。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三、投标人资格要求</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highlight w:val="none"/>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w:t>
      </w:r>
      <w:r>
        <w:rPr>
          <w:rFonts w:cs="仿宋_GB2312" w:asciiTheme="minorEastAsia" w:hAnsiTheme="minorEastAsia" w:eastAsiaTheme="minorEastAsia"/>
          <w:color w:val="000000"/>
          <w:sz w:val="21"/>
          <w:szCs w:val="21"/>
          <w:highlight w:val="none"/>
          <w:shd w:val="clear" w:color="auto" w:fill="FFFFFF"/>
        </w:rPr>
        <w:t>名单的投标人</w:t>
      </w:r>
      <w:r>
        <w:rPr>
          <w:rFonts w:hint="eastAsia" w:cs="仿宋_GB2312" w:asciiTheme="minorEastAsia" w:hAnsiTheme="minorEastAsia" w:eastAsiaTheme="minorEastAsia"/>
          <w:color w:val="000000"/>
          <w:sz w:val="21"/>
          <w:szCs w:val="21"/>
          <w:highlight w:val="none"/>
          <w:shd w:val="clear" w:color="auto" w:fill="FFFFFF"/>
        </w:rPr>
        <w:t>；</w:t>
      </w:r>
      <w:r>
        <w:rPr>
          <w:rFonts w:hint="eastAsia" w:cs="仿宋_GB2312" w:asciiTheme="minorEastAsia" w:hAnsiTheme="minorEastAsia" w:eastAsiaTheme="minorEastAsia"/>
          <w:color w:val="000000"/>
          <w:sz w:val="21"/>
          <w:szCs w:val="21"/>
          <w:highlight w:val="none"/>
        </w:rPr>
        <w:t>“国家企业信用公示系统”网站（</w:t>
      </w:r>
      <w:r>
        <w:rPr>
          <w:rFonts w:cs="仿宋_GB2312" w:asciiTheme="minorEastAsia" w:hAnsiTheme="minorEastAsia" w:eastAsiaTheme="minorEastAsia"/>
          <w:color w:val="000000"/>
          <w:sz w:val="21"/>
          <w:szCs w:val="21"/>
          <w:highlight w:val="none"/>
        </w:rPr>
        <w:t>www.gsxt.gov.cn</w:t>
      </w:r>
      <w:r>
        <w:rPr>
          <w:rFonts w:hint="eastAsia" w:cs="仿宋_GB2312" w:asciiTheme="minorEastAsia" w:hAnsiTheme="minorEastAsia" w:eastAsiaTheme="minorEastAsia"/>
          <w:color w:val="000000"/>
          <w:sz w:val="21"/>
          <w:szCs w:val="21"/>
          <w:highlight w:val="none"/>
        </w:rPr>
        <w:t>）严重违法失信企业名单（黑名单）的投标人</w:t>
      </w:r>
      <w:r>
        <w:rPr>
          <w:rFonts w:hint="eastAsia" w:cs="仿宋_GB2312" w:asciiTheme="minorEastAsia" w:hAnsiTheme="minorEastAsia" w:eastAsiaTheme="minorEastAsia"/>
          <w:color w:val="000000"/>
          <w:sz w:val="21"/>
          <w:szCs w:val="21"/>
          <w:highlight w:val="none"/>
          <w:shd w:val="clear" w:color="auto" w:fill="FFFFFF"/>
        </w:rPr>
        <w:t>；“中国社会组织公共服务平台”网站（</w:t>
      </w:r>
      <w:r>
        <w:rPr>
          <w:rFonts w:cs="仿宋_GB2312" w:asciiTheme="minorEastAsia" w:hAnsiTheme="minorEastAsia" w:eastAsiaTheme="minorEastAsia"/>
          <w:color w:val="000000"/>
          <w:sz w:val="21"/>
          <w:szCs w:val="21"/>
          <w:highlight w:val="none"/>
          <w:shd w:val="clear" w:color="auto" w:fill="FFFFFF"/>
        </w:rPr>
        <w:t>www.chinanpo.gov.cn</w:t>
      </w:r>
      <w:r>
        <w:rPr>
          <w:rFonts w:hint="eastAsia" w:cs="仿宋_GB2312" w:asciiTheme="minorEastAsia" w:hAnsiTheme="minorEastAsia" w:eastAsiaTheme="minorEastAsia"/>
          <w:color w:val="000000"/>
          <w:sz w:val="21"/>
          <w:szCs w:val="21"/>
          <w:highlight w:val="none"/>
          <w:shd w:val="clear" w:color="auto" w:fill="FFFFFF"/>
        </w:rPr>
        <w:t>）严重违法失信名单的投标人；</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w:t>
      </w:r>
      <w:r>
        <w:rPr>
          <w:rFonts w:hint="eastAsia" w:cs="仿宋_GB2312" w:asciiTheme="minorEastAsia" w:hAnsiTheme="minorEastAsia" w:eastAsiaTheme="minorEastAsia"/>
          <w:color w:val="000000"/>
          <w:sz w:val="21"/>
          <w:szCs w:val="21"/>
          <w:shd w:val="clear" w:color="auto" w:fill="FFFFFF"/>
          <w:lang w:eastAsia="zh-CN"/>
        </w:rPr>
        <w:t>三</w:t>
      </w:r>
      <w:r>
        <w:rPr>
          <w:rFonts w:hint="eastAsia" w:cs="仿宋_GB2312" w:asciiTheme="minorEastAsia" w:hAnsiTheme="minorEastAsia" w:eastAsiaTheme="minorEastAsia"/>
          <w:color w:val="000000"/>
          <w:sz w:val="21"/>
          <w:szCs w:val="21"/>
          <w:shd w:val="clear" w:color="auto" w:fill="FFFFFF"/>
        </w:rPr>
        <w:t>）本次招标不接受联合体投标。</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五、投标截止时间、开标时间及地点</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（一）投标截止及开标时间：2019年</w:t>
      </w:r>
      <w:r>
        <w:rPr>
          <w:rFonts w:hint="eastAsia" w:cs="仿宋_GB2312" w:asciiTheme="minorEastAsia" w:hAnsiTheme="minorEastAsia" w:eastAsiaTheme="minorEastAsia"/>
          <w:color w:val="000000"/>
          <w:sz w:val="21"/>
          <w:szCs w:val="21"/>
          <w:u w:val="single"/>
          <w:lang w:val="en-US" w:eastAsia="zh-CN"/>
        </w:rPr>
        <w:t>6</w:t>
      </w:r>
      <w:r>
        <w:rPr>
          <w:rFonts w:hint="eastAsia" w:cs="仿宋_GB2312" w:asciiTheme="minorEastAsia" w:hAnsiTheme="minorEastAsia" w:eastAsiaTheme="minorEastAsia"/>
          <w:color w:val="000000"/>
          <w:sz w:val="21"/>
          <w:szCs w:val="21"/>
        </w:rPr>
        <w:t>月</w:t>
      </w:r>
      <w:r>
        <w:rPr>
          <w:rFonts w:hint="eastAsia" w:cs="仿宋_GB2312" w:asciiTheme="minorEastAsia" w:hAnsiTheme="minorEastAsia" w:eastAsiaTheme="minorEastAsia"/>
          <w:color w:val="000000"/>
          <w:sz w:val="21"/>
          <w:szCs w:val="21"/>
          <w:u w:val="single"/>
          <w:lang w:val="en-US" w:eastAsia="zh-CN"/>
        </w:rPr>
        <w:t>10</w:t>
      </w:r>
      <w:r>
        <w:rPr>
          <w:rFonts w:hint="eastAsia" w:cs="仿宋_GB2312" w:asciiTheme="minorEastAsia" w:hAnsiTheme="minorEastAsia" w:eastAsiaTheme="minorEastAsia"/>
          <w:color w:val="000000"/>
          <w:sz w:val="21"/>
          <w:szCs w:val="21"/>
        </w:rPr>
        <w:t>日</w:t>
      </w:r>
      <w:r>
        <w:rPr>
          <w:rFonts w:hint="eastAsia" w:cs="仿宋_GB2312" w:asciiTheme="minorEastAsia" w:hAnsiTheme="minorEastAsia" w:eastAsiaTheme="minorEastAsia"/>
          <w:color w:val="000000"/>
          <w:sz w:val="21"/>
          <w:szCs w:val="21"/>
          <w:u w:val="single"/>
          <w:lang w:val="en-US" w:eastAsia="zh-CN"/>
        </w:rPr>
        <w:t>8</w:t>
      </w:r>
      <w:r>
        <w:rPr>
          <w:rFonts w:hint="eastAsia" w:cs="仿宋_GB2312" w:asciiTheme="minorEastAsia" w:hAnsiTheme="minorEastAsia" w:eastAsiaTheme="minorEastAsia"/>
          <w:color w:val="000000"/>
          <w:sz w:val="21"/>
          <w:szCs w:val="21"/>
        </w:rPr>
        <w:t>时</w:t>
      </w:r>
      <w:r>
        <w:rPr>
          <w:rFonts w:hint="eastAsia" w:cs="仿宋_GB2312" w:asciiTheme="minorEastAsia" w:hAnsiTheme="minorEastAsia" w:eastAsiaTheme="minorEastAsia"/>
          <w:color w:val="000000"/>
          <w:sz w:val="21"/>
          <w:szCs w:val="21"/>
          <w:u w:val="single"/>
          <w:lang w:val="en-US" w:eastAsia="zh-CN"/>
        </w:rPr>
        <w:t>30</w:t>
      </w:r>
      <w:r>
        <w:rPr>
          <w:rFonts w:hint="eastAsia" w:cs="仿宋_GB2312" w:asciiTheme="minorEastAsia" w:hAnsiTheme="minorEastAsia" w:eastAsiaTheme="minorEastAsia"/>
          <w:color w:val="000000"/>
          <w:sz w:val="21"/>
          <w:szCs w:val="21"/>
        </w:rPr>
        <w:t>分（北京时间），逾期提交或不符合规定的投标文件不予接受。</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（二）开标地点：许昌市公共资源交易中心（</w:t>
      </w:r>
      <w:r>
        <w:rPr>
          <w:rFonts w:cs="Arial" w:asciiTheme="minorEastAsia" w:hAnsiTheme="minorEastAsia" w:eastAsiaTheme="minorEastAsia"/>
          <w:color w:val="000000"/>
          <w:sz w:val="21"/>
          <w:szCs w:val="21"/>
        </w:rPr>
        <w:t>龙兴路与竹林路交汇处</w:t>
      </w:r>
      <w:r>
        <w:rPr>
          <w:rFonts w:hint="eastAsia" w:cs="仿宋_GB2312" w:asciiTheme="minorEastAsia" w:hAnsiTheme="minorEastAsia" w:eastAsiaTheme="minorEastAsia"/>
          <w:color w:val="000000"/>
          <w:sz w:val="21"/>
          <w:szCs w:val="21"/>
        </w:rPr>
        <w:t>公共资源大厦）三楼开标</w:t>
      </w:r>
      <w:r>
        <w:rPr>
          <w:rFonts w:hint="eastAsia" w:cs="仿宋_GB2312" w:asciiTheme="minorEastAsia" w:hAnsiTheme="minorEastAsia" w:eastAsiaTheme="minorEastAsia"/>
          <w:color w:val="000000"/>
          <w:sz w:val="21"/>
          <w:szCs w:val="21"/>
          <w:u w:val="none"/>
          <w:lang w:eastAsia="zh-CN"/>
        </w:rPr>
        <w:t>四</w:t>
      </w:r>
      <w:r>
        <w:rPr>
          <w:rFonts w:hint="eastAsia" w:cs="仿宋_GB2312" w:asciiTheme="minorEastAsia" w:hAnsiTheme="minorEastAsia" w:eastAsiaTheme="minorEastAsia"/>
          <w:color w:val="000000"/>
          <w:sz w:val="21"/>
          <w:szCs w:val="21"/>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（三） 本项目为全流程电子化交易项目，投标人须提交电子投标文件和纸质投标文件。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1、加密电子投标文件</w:t>
      </w:r>
      <w:r>
        <w:rPr>
          <w:rFonts w:hint="eastAsia" w:cs="宋体" w:asciiTheme="minorEastAsia" w:hAnsiTheme="minorEastAsia"/>
          <w:color w:val="000000"/>
          <w:sz w:val="21"/>
          <w:szCs w:val="21"/>
        </w:rPr>
        <w:t>（</w:t>
      </w:r>
      <w:r>
        <w:rPr>
          <w:rFonts w:asciiTheme="minorEastAsia" w:hAnsiTheme="minorEastAsia" w:eastAsiaTheme="minorEastAsia"/>
          <w:color w:val="000000"/>
          <w:sz w:val="21"/>
          <w:szCs w:val="21"/>
        </w:rPr>
        <w:t>.file</w:t>
      </w:r>
      <w:r>
        <w:rPr>
          <w:rFonts w:hint="eastAsia" w:cs="宋体" w:asciiTheme="minorEastAsia" w:hAnsiTheme="minorEastAsia"/>
          <w:color w:val="000000"/>
          <w:sz w:val="21"/>
          <w:szCs w:val="21"/>
        </w:rPr>
        <w:t>格式）须</w:t>
      </w:r>
      <w:r>
        <w:rPr>
          <w:rFonts w:hint="eastAsia" w:cs="仿宋_GB2312" w:asciiTheme="minorEastAsia" w:hAnsiTheme="minorEastAsia" w:eastAsiaTheme="minorEastAsia"/>
          <w:color w:val="000000"/>
          <w:sz w:val="21"/>
          <w:szCs w:val="21"/>
        </w:rPr>
        <w:t>在投标截止时间（开标时间）前通过《全国公共资源交易平台(河南省</w:t>
      </w:r>
      <w:r>
        <w:rPr>
          <w:rFonts w:hint="eastAsia" w:ascii="MS Mincho" w:hAnsi="MS Mincho" w:eastAsia="MS Mincho" w:cs="MS Mincho"/>
          <w:color w:val="000000"/>
          <w:sz w:val="21"/>
          <w:szCs w:val="21"/>
        </w:rPr>
        <w:t>▪</w:t>
      </w:r>
      <w:r>
        <w:rPr>
          <w:rFonts w:hint="eastAsia" w:ascii="宋体" w:hAnsi="宋体" w:cs="宋体"/>
          <w:color w:val="000000"/>
          <w:sz w:val="21"/>
          <w:szCs w:val="21"/>
        </w:rPr>
        <w:t>许昌市</w:t>
      </w:r>
      <w:r>
        <w:rPr>
          <w:rFonts w:hint="eastAsia" w:cs="仿宋_GB2312" w:asciiTheme="minorEastAsia" w:hAnsiTheme="minorEastAsia" w:eastAsiaTheme="minorEastAsia"/>
          <w:color w:val="000000"/>
          <w:sz w:val="21"/>
          <w:szCs w:val="21"/>
        </w:rPr>
        <w:t>)》公共资源交易系统成功上传。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pct10" w:color="auto" w:fill="FFFFFF"/>
        </w:rPr>
      </w:pPr>
      <w:r>
        <w:rPr>
          <w:rFonts w:hint="eastAsia" w:cs="仿宋_GB2312" w:asciiTheme="minorEastAsia" w:hAnsiTheme="minorEastAsia" w:eastAsiaTheme="minorEastAsia"/>
          <w:color w:val="000000"/>
          <w:sz w:val="21"/>
          <w:szCs w:val="21"/>
        </w:rPr>
        <w:t>2、纸质投标文件（正本、副本各1份）和备份文件1份</w:t>
      </w:r>
      <w:r>
        <w:rPr>
          <w:rFonts w:hint="eastAsia" w:hAnsi="宋体"/>
          <w:color w:val="000000"/>
          <w:sz w:val="21"/>
          <w:szCs w:val="21"/>
        </w:rPr>
        <w:t>（使用电子介质存储）</w:t>
      </w:r>
      <w:r>
        <w:rPr>
          <w:rFonts w:hint="eastAsia" w:cs="仿宋_GB2312" w:asciiTheme="minorEastAsia" w:hAnsiTheme="minorEastAsia" w:eastAsiaTheme="minorEastAsia"/>
          <w:color w:val="000000"/>
          <w:sz w:val="21"/>
          <w:szCs w:val="21"/>
        </w:rPr>
        <w:t>在投标截止时间（开标时间）前递交至本项目开标地点。</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adjustRightInd w:val="0"/>
        <w:spacing w:line="360" w:lineRule="auto"/>
        <w:ind w:firstLine="843"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ascii="宋体" w:hAnsi="宋体"/>
          <w:b/>
          <w:szCs w:val="21"/>
        </w:rPr>
        <w:t>采购人</w:t>
      </w:r>
      <w:r>
        <w:rPr>
          <w:rFonts w:hint="eastAsia" w:ascii="宋体" w:hAnsi="宋体"/>
          <w:szCs w:val="21"/>
        </w:rPr>
        <w:t>：</w:t>
      </w:r>
      <w:r>
        <w:rPr>
          <w:rFonts w:hint="eastAsia" w:cs="仿宋_GB2312" w:asciiTheme="minorEastAsia" w:hAnsiTheme="minorEastAsia" w:eastAsiaTheme="minorEastAsia"/>
          <w:color w:val="000000"/>
          <w:kern w:val="2"/>
          <w:sz w:val="21"/>
          <w:szCs w:val="21"/>
          <w:lang w:val="en-US" w:eastAsia="zh-CN" w:bidi="ar-SA"/>
        </w:rPr>
        <w:t>许昌市园林绿化管理处</w:t>
      </w:r>
    </w:p>
    <w:p>
      <w:pPr>
        <w:adjustRightInd w:val="0"/>
        <w:spacing w:line="360" w:lineRule="auto"/>
        <w:ind w:firstLine="840"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cs="仿宋_GB2312" w:asciiTheme="minorEastAsia" w:hAnsiTheme="minorEastAsia" w:eastAsiaTheme="minorEastAsia"/>
          <w:color w:val="000000"/>
          <w:kern w:val="2"/>
          <w:sz w:val="21"/>
          <w:szCs w:val="21"/>
          <w:lang w:val="en-US" w:eastAsia="zh-CN" w:bidi="ar-SA"/>
        </w:rPr>
        <w:t>地址：许昌市劳动路1072号</w:t>
      </w:r>
    </w:p>
    <w:p>
      <w:pPr>
        <w:adjustRightInd w:val="0"/>
        <w:spacing w:line="360" w:lineRule="auto"/>
        <w:ind w:firstLine="840"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cs="仿宋_GB2312" w:asciiTheme="minorEastAsia" w:hAnsiTheme="minorEastAsia" w:eastAsiaTheme="minorEastAsia"/>
          <w:color w:val="000000"/>
          <w:kern w:val="2"/>
          <w:sz w:val="21"/>
          <w:szCs w:val="21"/>
          <w:lang w:val="en-US" w:eastAsia="zh-CN" w:bidi="ar-SA"/>
        </w:rPr>
        <w:t>联系人：毕丽华                 联系电话：0374-2775308</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：许昌市政府采购中心 </w:t>
      </w:r>
    </w:p>
    <w:p>
      <w:pPr>
        <w:adjustRightInd w:val="0"/>
        <w:spacing w:line="360" w:lineRule="auto"/>
        <w:ind w:firstLine="840" w:firstLineChars="400"/>
        <w:contextualSpacing/>
        <w:jc w:val="left"/>
        <w:rPr>
          <w:rFonts w:ascii="宋体" w:hAnsi="宋体"/>
          <w:szCs w:val="21"/>
        </w:rPr>
      </w:pPr>
      <w:r>
        <w:rPr>
          <w:rFonts w:hint="eastAsia" w:ascii="宋体" w:hAnsi="宋体"/>
          <w:szCs w:val="21"/>
        </w:rPr>
        <w:t>地址：许昌市</w:t>
      </w:r>
      <w:r>
        <w:rPr>
          <w:rFonts w:cs="Arial" w:asciiTheme="minorEastAsia" w:hAnsiTheme="minorEastAsia"/>
          <w:color w:val="000000"/>
          <w:szCs w:val="21"/>
        </w:rPr>
        <w:t>龙兴路与竹林路交汇处</w:t>
      </w:r>
      <w:r>
        <w:rPr>
          <w:rFonts w:hint="eastAsia" w:cs="仿宋_GB2312" w:asciiTheme="minorEastAsia" w:hAnsiTheme="minorEastAsia"/>
          <w:color w:val="000000"/>
          <w:szCs w:val="21"/>
        </w:rPr>
        <w:t>公共资源大厦</w:t>
      </w:r>
    </w:p>
    <w:p>
      <w:pPr>
        <w:adjustRightInd w:val="0"/>
        <w:spacing w:line="360" w:lineRule="auto"/>
        <w:ind w:firstLine="840" w:firstLineChars="400"/>
        <w:contextualSpacing/>
        <w:jc w:val="left"/>
        <w:rPr>
          <w:rFonts w:hint="default" w:ascii="宋体" w:hAnsi="宋体" w:eastAsiaTheme="minorEastAsia"/>
          <w:szCs w:val="21"/>
          <w:lang w:val="en-US" w:eastAsia="zh-CN"/>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0" w:name="联系人电话"/>
      <w:r>
        <w:rPr>
          <w:rFonts w:ascii="宋体" w:hAnsi="宋体"/>
          <w:szCs w:val="21"/>
        </w:rPr>
        <w:t>0</w:t>
      </w:r>
      <w:bookmarkEnd w:id="0"/>
      <w:r>
        <w:rPr>
          <w:rFonts w:hint="eastAsia" w:ascii="宋体" w:hAnsi="宋体"/>
          <w:szCs w:val="21"/>
        </w:rPr>
        <w:t>374-</w:t>
      </w:r>
      <w:r>
        <w:rPr>
          <w:rFonts w:hint="eastAsia" w:ascii="宋体" w:hAnsi="宋体"/>
          <w:szCs w:val="21"/>
          <w:lang w:val="en-US" w:eastAsia="zh-CN"/>
        </w:rPr>
        <w:t>2962805</w:t>
      </w: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uto"/>
        <w:ind w:left="0" w:right="0" w:firstLine="960"/>
        <w:jc w:val="right"/>
        <w:rPr>
          <w:rFonts w:hint="eastAsia" w:cs="仿宋_GB2312" w:asciiTheme="minorEastAsia" w:hAnsiTheme="minorEastAsia" w:eastAsiaTheme="minorEastAsia"/>
          <w:color w:val="000000"/>
          <w:kern w:val="2"/>
          <w:sz w:val="21"/>
          <w:szCs w:val="21"/>
          <w:lang w:val="en-US" w:eastAsia="zh-CN" w:bidi="ar-SA"/>
        </w:rPr>
      </w:pPr>
      <w:r>
        <w:rPr>
          <w:rFonts w:hint="eastAsia" w:cs="仿宋_GB2312" w:asciiTheme="minorEastAsia" w:hAnsiTheme="minorEastAsia" w:eastAsiaTheme="minorEastAsia"/>
          <w:color w:val="000000"/>
          <w:kern w:val="2"/>
          <w:sz w:val="21"/>
          <w:szCs w:val="21"/>
          <w:lang w:val="en-US" w:eastAsia="zh-CN" w:bidi="ar-SA"/>
        </w:rPr>
        <w:t>许昌市园林绿化管理处</w:t>
      </w: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uto"/>
        <w:ind w:left="0" w:right="0" w:firstLine="960"/>
        <w:jc w:val="right"/>
        <w:rPr>
          <w:b w:val="0"/>
          <w:i w:val="0"/>
        </w:rPr>
      </w:pPr>
      <w:r>
        <w:rPr>
          <w:rFonts w:hint="eastAsia" w:ascii="宋体" w:hAnsi="宋体" w:eastAsia="宋体" w:cs="宋体"/>
          <w:b w:val="0"/>
          <w:i w:val="0"/>
          <w:color w:val="000000"/>
          <w:kern w:val="0"/>
          <w:sz w:val="24"/>
          <w:szCs w:val="24"/>
          <w:u w:val="none"/>
          <w:shd w:val="clear" w:fill="FFFFFF"/>
          <w:lang w:val="en-US" w:eastAsia="zh-CN" w:bidi="ar"/>
        </w:rPr>
        <w:t>二〇一九年五月十六日</w:t>
      </w: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1"/>
        <w:ind w:firstLine="321"/>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电子文件下载、制作、提交期间和开标（</w:t>
      </w:r>
      <w:r>
        <w:rPr>
          <w:rFonts w:hint="eastAsia" w:hAnsi="宋体"/>
          <w:szCs w:val="21"/>
        </w:rPr>
        <w:t>电子投标文件的解密</w:t>
      </w:r>
      <w:r>
        <w:rPr>
          <w:rFonts w:hint="eastAsia" w:hAnsi="宋体"/>
          <w:b/>
          <w:color w:val="000000"/>
          <w:szCs w:val="21"/>
        </w:rPr>
        <w:t>）环节，投标人须使用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电子投标文件的制作</w:t>
      </w:r>
    </w:p>
    <w:p>
      <w:pPr>
        <w:tabs>
          <w:tab w:val="left" w:pos="7095"/>
        </w:tabs>
        <w:spacing w:line="360" w:lineRule="auto"/>
        <w:ind w:firstLine="420" w:firstLineChars="200"/>
        <w:contextualSpacing/>
        <w:rPr>
          <w:rFonts w:hAnsi="宋体"/>
          <w:color w:val="000000"/>
          <w:szCs w:val="21"/>
          <w:highlight w:val="none"/>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投标人登录《全国公共资源交易平台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w:t>
      </w:r>
      <w:r>
        <w:rPr>
          <w:rFonts w:hint="eastAsia" w:ascii="宋体" w:hAnsi="宋体" w:eastAsia="宋体" w:cs="宋体"/>
          <w:color w:val="000000"/>
          <w:szCs w:val="21"/>
          <w:highlight w:val="none"/>
        </w:rPr>
        <w:t>昌市</w:t>
      </w:r>
      <w:r>
        <w:rPr>
          <w:rFonts w:hint="eastAsia" w:asciiTheme="minorEastAsia" w:hAnsiTheme="minorEastAsia"/>
          <w:color w:val="000000"/>
          <w:szCs w:val="21"/>
          <w:highlight w:val="none"/>
        </w:rPr>
        <w:t>)</w:t>
      </w:r>
      <w:r>
        <w:rPr>
          <w:rFonts w:hint="eastAsia" w:hAnsi="宋体"/>
          <w:color w:val="000000"/>
          <w:szCs w:val="21"/>
          <w:highlight w:val="none"/>
        </w:rPr>
        <w:t>》公共资源交易系统（</w:t>
      </w:r>
      <w:r>
        <w:rPr>
          <w:highlight w:val="none"/>
        </w:rPr>
        <w:fldChar w:fldCharType="begin"/>
      </w:r>
      <w:r>
        <w:rPr>
          <w:highlight w:val="none"/>
        </w:rPr>
        <w:instrText xml:space="preserve"> HYPERLINK "http://221.14.6.70:8088/ggzy/" </w:instrText>
      </w:r>
      <w:r>
        <w:rPr>
          <w:highlight w:val="none"/>
        </w:rPr>
        <w:fldChar w:fldCharType="separate"/>
      </w:r>
      <w:r>
        <w:rPr>
          <w:rStyle w:val="27"/>
          <w:rFonts w:hAnsi="宋体"/>
          <w:szCs w:val="21"/>
          <w:highlight w:val="none"/>
        </w:rPr>
        <w:t>http://221.14.6.70:8088/ggzy/</w:t>
      </w:r>
      <w:r>
        <w:rPr>
          <w:rStyle w:val="27"/>
          <w:rFonts w:hAnsi="宋体"/>
          <w:szCs w:val="21"/>
          <w:highlight w:val="none"/>
        </w:rPr>
        <w:fldChar w:fldCharType="end"/>
      </w:r>
      <w:r>
        <w:rPr>
          <w:rFonts w:hint="eastAsia" w:hAnsi="宋体"/>
          <w:color w:val="000000"/>
          <w:szCs w:val="21"/>
          <w:highlight w:val="none"/>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电子投标文件的制作，参考《全国公共资源交易平台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int="eastAsia" w:hAnsi="宋体"/>
          <w:color w:val="000000"/>
          <w:szCs w:val="21"/>
        </w:rPr>
        <w:t>投标人</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”的文件用于电子投标使用，后缀名为“.PDF”的文件用于打印纸质投标文件，名称为“备份”的文件夹使用电子介质存储，供开标现场备用。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电子投标文件的提交</w:t>
      </w:r>
    </w:p>
    <w:p>
      <w:pPr>
        <w:tabs>
          <w:tab w:val="left" w:pos="7095"/>
        </w:tabs>
        <w:spacing w:line="360" w:lineRule="auto"/>
        <w:contextualSpacing/>
        <w:rPr>
          <w:rFonts w:hAnsi="宋体"/>
          <w:color w:val="000000"/>
          <w:szCs w:val="21"/>
        </w:rPr>
      </w:pPr>
      <w:r>
        <w:rPr>
          <w:rFonts w:hint="eastAsia" w:hAnsi="宋体"/>
          <w:color w:val="000000"/>
          <w:szCs w:val="21"/>
        </w:rPr>
        <w:t xml:space="preserve">    </w:t>
      </w: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电子投标文件应在招标文件规定的投标截止时间（开标时间）之前成功提交至《全国公共资源交易平台(河南省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投标人应充分考虑并预留技术处理和上传数据所需时间。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电子投标文件成功提交后，投标人应打印“投标文件提交回执单”供开标现场备查。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评标依据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采用全流程电子化交易评标时，评标委员会以电子投标文件为依据评标。</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rPr>
          <w:rFonts w:cs="宋体" w:asciiTheme="majorEastAsia" w:hAnsiTheme="majorEastAsia" w:eastAsiaTheme="majorEastAsia"/>
          <w:b/>
          <w:kern w:val="0"/>
          <w:sz w:val="32"/>
          <w:szCs w:val="32"/>
        </w:rPr>
      </w:pPr>
    </w:p>
    <w:p>
      <w:pPr>
        <w:widowControl/>
        <w:numPr>
          <w:ilvl w:val="0"/>
          <w:numId w:val="5"/>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按照大气污染防治要求，采用环保除尘风送式喷雾机，定期对城市树木、绿篱叶面进行喷水冲洗，清除叶面积尘积灰，减少扬尘污染。</w:t>
      </w:r>
    </w:p>
    <w:p>
      <w:pPr>
        <w:widowControl/>
        <w:shd w:val="clear" w:color="auto" w:fill="FFFFFF"/>
        <w:spacing w:line="360" w:lineRule="auto"/>
        <w:ind w:firstLine="482" w:firstLineChars="200"/>
        <w:contextualSpacing/>
        <w:jc w:val="left"/>
        <w:rPr>
          <w:rFonts w:ascii="楷体" w:hAnsi="楷体" w:eastAsia="楷体" w:cs="宋体"/>
          <w:color w:val="000000"/>
          <w:kern w:val="0"/>
          <w:sz w:val="24"/>
          <w:szCs w:val="24"/>
          <w:lang w:val="zh-CN"/>
        </w:rPr>
      </w:pPr>
      <w:r>
        <w:rPr>
          <w:rFonts w:hint="eastAsia" w:cs="黑体" w:asciiTheme="minorEastAsia" w:hAnsiTheme="minorEastAsia"/>
          <w:b/>
          <w:bCs/>
          <w:color w:val="000000"/>
          <w:sz w:val="24"/>
          <w:szCs w:val="24"/>
          <w:shd w:val="clear" w:color="auto" w:fill="FFFFFF"/>
        </w:rPr>
        <w:t>二、采购清单</w:t>
      </w:r>
    </w:p>
    <w:p>
      <w:pPr>
        <w:pStyle w:val="3"/>
        <w:numPr>
          <w:ilvl w:val="1"/>
          <w:numId w:val="0"/>
        </w:numPr>
        <w:ind w:left="254" w:leftChars="0"/>
        <w:rPr>
          <w:rFonts w:hint="eastAsia" w:cs="仿宋_GB2312" w:asciiTheme="minorEastAsia" w:hAnsiTheme="minorEastAsia" w:eastAsiaTheme="minorEastAsia"/>
          <w:b w:val="0"/>
          <w:bCs w:val="0"/>
          <w:kern w:val="2"/>
          <w:sz w:val="24"/>
          <w:szCs w:val="24"/>
          <w:lang w:val="zh-CN" w:eastAsia="zh-CN" w:bidi="ar-SA"/>
        </w:rPr>
      </w:pPr>
      <w:bookmarkStart w:id="1" w:name="_Toc528595247"/>
      <w:r>
        <w:rPr>
          <w:rFonts w:hint="eastAsia" w:cs="仿宋_GB2312" w:asciiTheme="minorEastAsia" w:hAnsiTheme="minorEastAsia" w:eastAsiaTheme="minorEastAsia"/>
          <w:b w:val="0"/>
          <w:bCs w:val="0"/>
          <w:kern w:val="2"/>
          <w:sz w:val="24"/>
          <w:szCs w:val="24"/>
          <w:lang w:val="zh-CN" w:eastAsia="zh-CN" w:bidi="ar-SA"/>
        </w:rPr>
        <w:t>纯电动多功能抑尘车</w:t>
      </w:r>
      <w:bookmarkEnd w:id="1"/>
      <w:r>
        <w:rPr>
          <w:rFonts w:hint="eastAsia" w:cs="仿宋_GB2312" w:asciiTheme="minorEastAsia" w:hAnsiTheme="minorEastAsia" w:eastAsiaTheme="minorEastAsia"/>
          <w:b w:val="0"/>
          <w:bCs w:val="0"/>
          <w:kern w:val="2"/>
          <w:sz w:val="24"/>
          <w:szCs w:val="24"/>
          <w:lang w:val="zh-CN" w:eastAsia="zh-CN" w:bidi="ar-SA"/>
        </w:rPr>
        <w:t>2台（核心产品）</w:t>
      </w:r>
    </w:p>
    <w:tbl>
      <w:tblPr>
        <w:tblStyle w:val="22"/>
        <w:tblW w:w="8556" w:type="dxa"/>
        <w:tblInd w:w="-34" w:type="dxa"/>
        <w:tblLayout w:type="fixed"/>
        <w:tblCellMar>
          <w:top w:w="0" w:type="dxa"/>
          <w:left w:w="108" w:type="dxa"/>
          <w:bottom w:w="0" w:type="dxa"/>
          <w:right w:w="108" w:type="dxa"/>
        </w:tblCellMar>
      </w:tblPr>
      <w:tblGrid>
        <w:gridCol w:w="802"/>
        <w:gridCol w:w="1750"/>
        <w:gridCol w:w="2977"/>
        <w:gridCol w:w="3027"/>
      </w:tblGrid>
      <w:tr>
        <w:tblPrEx>
          <w:tblLayout w:type="fixed"/>
          <w:tblCellMar>
            <w:top w:w="0" w:type="dxa"/>
            <w:left w:w="108" w:type="dxa"/>
            <w:bottom w:w="0" w:type="dxa"/>
            <w:right w:w="108" w:type="dxa"/>
          </w:tblCellMar>
        </w:tblPrEx>
        <w:trPr>
          <w:trHeight w:val="480" w:hRule="atLeast"/>
        </w:trPr>
        <w:tc>
          <w:tcPr>
            <w:tcW w:w="80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序号</w:t>
            </w:r>
          </w:p>
        </w:tc>
        <w:tc>
          <w:tcPr>
            <w:tcW w:w="4727"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项目</w:t>
            </w:r>
          </w:p>
        </w:tc>
        <w:tc>
          <w:tcPr>
            <w:tcW w:w="3027" w:type="dxa"/>
            <w:tcBorders>
              <w:top w:val="single" w:color="auto" w:sz="4" w:space="0"/>
              <w:left w:val="nil"/>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参数</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w:t>
            </w:r>
          </w:p>
        </w:tc>
        <w:tc>
          <w:tcPr>
            <w:tcW w:w="1750"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整车尺寸参数（mm）</w:t>
            </w:r>
          </w:p>
        </w:tc>
        <w:tc>
          <w:tcPr>
            <w:tcW w:w="2977" w:type="dxa"/>
            <w:tcBorders>
              <w:top w:val="nil"/>
              <w:left w:val="nil"/>
              <w:bottom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长</w:t>
            </w:r>
          </w:p>
        </w:tc>
        <w:tc>
          <w:tcPr>
            <w:tcW w:w="3027" w:type="dxa"/>
            <w:tcBorders>
              <w:top w:val="nil"/>
              <w:left w:val="nil"/>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≤9570</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2</w:t>
            </w:r>
          </w:p>
        </w:tc>
        <w:tc>
          <w:tcPr>
            <w:tcW w:w="175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p>
        </w:tc>
        <w:tc>
          <w:tcPr>
            <w:tcW w:w="2977" w:type="dxa"/>
            <w:tcBorders>
              <w:top w:val="nil"/>
              <w:left w:val="nil"/>
              <w:bottom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宽</w:t>
            </w:r>
          </w:p>
        </w:tc>
        <w:tc>
          <w:tcPr>
            <w:tcW w:w="3027" w:type="dxa"/>
            <w:tcBorders>
              <w:top w:val="nil"/>
              <w:left w:val="nil"/>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≥2500</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3</w:t>
            </w:r>
          </w:p>
        </w:tc>
        <w:tc>
          <w:tcPr>
            <w:tcW w:w="175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p>
        </w:tc>
        <w:tc>
          <w:tcPr>
            <w:tcW w:w="2977" w:type="dxa"/>
            <w:tcBorders>
              <w:top w:val="nil"/>
              <w:left w:val="nil"/>
              <w:bottom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高</w:t>
            </w:r>
          </w:p>
        </w:tc>
        <w:tc>
          <w:tcPr>
            <w:tcW w:w="3027" w:type="dxa"/>
            <w:tcBorders>
              <w:top w:val="nil"/>
              <w:left w:val="nil"/>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≤3750</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4</w:t>
            </w:r>
          </w:p>
        </w:tc>
        <w:tc>
          <w:tcPr>
            <w:tcW w:w="175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p>
        </w:tc>
        <w:tc>
          <w:tcPr>
            <w:tcW w:w="2977" w:type="dxa"/>
            <w:tcBorders>
              <w:top w:val="nil"/>
              <w:left w:val="nil"/>
              <w:bottom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接近角/离去角（°）</w:t>
            </w:r>
          </w:p>
        </w:tc>
        <w:tc>
          <w:tcPr>
            <w:tcW w:w="3027" w:type="dxa"/>
            <w:tcBorders>
              <w:top w:val="nil"/>
              <w:left w:val="nil"/>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≥14/11</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5</w:t>
            </w:r>
          </w:p>
        </w:tc>
        <w:tc>
          <w:tcPr>
            <w:tcW w:w="1750"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整车质量参数（kg）</w:t>
            </w:r>
          </w:p>
        </w:tc>
        <w:tc>
          <w:tcPr>
            <w:tcW w:w="2977" w:type="dxa"/>
            <w:tcBorders>
              <w:top w:val="nil"/>
              <w:left w:val="nil"/>
              <w:bottom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总质量</w:t>
            </w:r>
          </w:p>
        </w:tc>
        <w:tc>
          <w:tcPr>
            <w:tcW w:w="3027" w:type="dxa"/>
            <w:tcBorders>
              <w:top w:val="nil"/>
              <w:left w:val="nil"/>
              <w:bottom w:val="single" w:color="000000" w:sz="4" w:space="0"/>
              <w:right w:val="single" w:color="000000"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≥18000</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6</w:t>
            </w:r>
          </w:p>
        </w:tc>
        <w:tc>
          <w:tcPr>
            <w:tcW w:w="175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p>
        </w:tc>
        <w:tc>
          <w:tcPr>
            <w:tcW w:w="2977" w:type="dxa"/>
            <w:tcBorders>
              <w:top w:val="nil"/>
              <w:left w:val="nil"/>
              <w:bottom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整备质量</w:t>
            </w:r>
          </w:p>
        </w:tc>
        <w:tc>
          <w:tcPr>
            <w:tcW w:w="3027" w:type="dxa"/>
            <w:tcBorders>
              <w:top w:val="nil"/>
              <w:left w:val="nil"/>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≥10200</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7</w:t>
            </w:r>
          </w:p>
        </w:tc>
        <w:tc>
          <w:tcPr>
            <w:tcW w:w="175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p>
        </w:tc>
        <w:tc>
          <w:tcPr>
            <w:tcW w:w="2977" w:type="dxa"/>
            <w:tcBorders>
              <w:top w:val="nil"/>
              <w:left w:val="nil"/>
              <w:bottom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额定载质量▲</w:t>
            </w:r>
          </w:p>
        </w:tc>
        <w:tc>
          <w:tcPr>
            <w:tcW w:w="3027" w:type="dxa"/>
            <w:tcBorders>
              <w:top w:val="nil"/>
              <w:left w:val="nil"/>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≥4250</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8</w:t>
            </w:r>
          </w:p>
        </w:tc>
        <w:tc>
          <w:tcPr>
            <w:tcW w:w="1750"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性能参数</w:t>
            </w:r>
          </w:p>
        </w:tc>
        <w:tc>
          <w:tcPr>
            <w:tcW w:w="2977" w:type="dxa"/>
            <w:tcBorders>
              <w:top w:val="nil"/>
              <w:left w:val="nil"/>
              <w:bottom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电池类型</w:t>
            </w:r>
          </w:p>
        </w:tc>
        <w:tc>
          <w:tcPr>
            <w:tcW w:w="3027" w:type="dxa"/>
            <w:tcBorders>
              <w:top w:val="nil"/>
              <w:left w:val="nil"/>
              <w:bottom w:val="single" w:color="000000" w:sz="4" w:space="0"/>
              <w:right w:val="single" w:color="000000"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磷酸铁锂</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9</w:t>
            </w:r>
          </w:p>
        </w:tc>
        <w:tc>
          <w:tcPr>
            <w:tcW w:w="175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p>
        </w:tc>
        <w:tc>
          <w:tcPr>
            <w:tcW w:w="2977" w:type="dxa"/>
            <w:tcBorders>
              <w:top w:val="nil"/>
              <w:left w:val="nil"/>
              <w:bottom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续航里程（km）▲</w:t>
            </w:r>
          </w:p>
        </w:tc>
        <w:tc>
          <w:tcPr>
            <w:tcW w:w="3027" w:type="dxa"/>
            <w:tcBorders>
              <w:top w:val="nil"/>
              <w:left w:val="nil"/>
              <w:bottom w:val="single" w:color="000000" w:sz="4" w:space="0"/>
              <w:right w:val="single" w:color="000000"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≥180</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10</w:t>
            </w:r>
          </w:p>
        </w:tc>
        <w:tc>
          <w:tcPr>
            <w:tcW w:w="175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p>
        </w:tc>
        <w:tc>
          <w:tcPr>
            <w:tcW w:w="2977" w:type="dxa"/>
            <w:tcBorders>
              <w:top w:val="nil"/>
              <w:left w:val="nil"/>
              <w:bottom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最高车速（km/h）</w:t>
            </w:r>
          </w:p>
        </w:tc>
        <w:tc>
          <w:tcPr>
            <w:tcW w:w="3027" w:type="dxa"/>
            <w:tcBorders>
              <w:top w:val="nil"/>
              <w:left w:val="nil"/>
              <w:bottom w:val="single" w:color="000000" w:sz="4" w:space="0"/>
              <w:right w:val="single" w:color="000000"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≥80</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11</w:t>
            </w:r>
          </w:p>
        </w:tc>
        <w:tc>
          <w:tcPr>
            <w:tcW w:w="1750" w:type="dxa"/>
            <w:vMerge w:val="restart"/>
            <w:tcBorders>
              <w:top w:val="nil"/>
              <w:left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专用装置参数</w:t>
            </w:r>
          </w:p>
        </w:tc>
        <w:tc>
          <w:tcPr>
            <w:tcW w:w="2977" w:type="dxa"/>
            <w:tcBorders>
              <w:top w:val="nil"/>
              <w:left w:val="nil"/>
              <w:bottom w:val="single" w:color="auto" w:sz="4" w:space="0"/>
              <w:right w:val="single" w:color="auto" w:sz="4" w:space="0"/>
            </w:tcBorders>
            <w:noWrap w:val="0"/>
            <w:vAlign w:val="center"/>
          </w:tcPr>
          <w:p>
            <w:pPr>
              <w:widowControl/>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水平最大射程（m）</w:t>
            </w:r>
          </w:p>
        </w:tc>
        <w:tc>
          <w:tcPr>
            <w:tcW w:w="3027" w:type="dxa"/>
            <w:tcBorders>
              <w:top w:val="nil"/>
              <w:left w:val="nil"/>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≥80</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12</w:t>
            </w:r>
          </w:p>
        </w:tc>
        <w:tc>
          <w:tcPr>
            <w:tcW w:w="1750" w:type="dxa"/>
            <w:vMerge w:val="continue"/>
            <w:tcBorders>
              <w:left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p>
        </w:tc>
        <w:tc>
          <w:tcPr>
            <w:tcW w:w="2977" w:type="dxa"/>
            <w:tcBorders>
              <w:top w:val="nil"/>
              <w:left w:val="nil"/>
              <w:bottom w:val="single" w:color="auto" w:sz="4" w:space="0"/>
              <w:right w:val="single" w:color="auto" w:sz="4" w:space="0"/>
            </w:tcBorders>
            <w:noWrap w:val="0"/>
            <w:vAlign w:val="center"/>
          </w:tcPr>
          <w:p>
            <w:pPr>
              <w:widowControl/>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风量（m³/min）</w:t>
            </w:r>
          </w:p>
        </w:tc>
        <w:tc>
          <w:tcPr>
            <w:tcW w:w="3027" w:type="dxa"/>
            <w:tcBorders>
              <w:top w:val="nil"/>
              <w:left w:val="nil"/>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≥1800</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13</w:t>
            </w:r>
          </w:p>
        </w:tc>
        <w:tc>
          <w:tcPr>
            <w:tcW w:w="1750" w:type="dxa"/>
            <w:vMerge w:val="continue"/>
            <w:tcBorders>
              <w:left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p>
        </w:tc>
        <w:tc>
          <w:tcPr>
            <w:tcW w:w="2977" w:type="dxa"/>
            <w:tcBorders>
              <w:top w:val="nil"/>
              <w:left w:val="nil"/>
              <w:bottom w:val="single" w:color="auto" w:sz="4" w:space="0"/>
              <w:right w:val="single" w:color="auto" w:sz="4" w:space="0"/>
            </w:tcBorders>
            <w:noWrap w:val="0"/>
            <w:vAlign w:val="center"/>
          </w:tcPr>
          <w:p>
            <w:pPr>
              <w:widowControl/>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俯仰角度（°）</w:t>
            </w:r>
          </w:p>
        </w:tc>
        <w:tc>
          <w:tcPr>
            <w:tcW w:w="3027" w:type="dxa"/>
            <w:tcBorders>
              <w:top w:val="nil"/>
              <w:left w:val="nil"/>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-10～40</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14</w:t>
            </w:r>
          </w:p>
        </w:tc>
        <w:tc>
          <w:tcPr>
            <w:tcW w:w="1750" w:type="dxa"/>
            <w:vMerge w:val="continue"/>
            <w:tcBorders>
              <w:left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p>
        </w:tc>
        <w:tc>
          <w:tcPr>
            <w:tcW w:w="2977" w:type="dxa"/>
            <w:tcBorders>
              <w:top w:val="nil"/>
              <w:left w:val="nil"/>
              <w:bottom w:val="single" w:color="auto" w:sz="4" w:space="0"/>
              <w:right w:val="single" w:color="auto" w:sz="4" w:space="0"/>
            </w:tcBorders>
            <w:noWrap w:val="0"/>
            <w:vAlign w:val="center"/>
          </w:tcPr>
          <w:p>
            <w:pPr>
              <w:widowControl/>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水平旋转角度（°）</w:t>
            </w:r>
          </w:p>
        </w:tc>
        <w:tc>
          <w:tcPr>
            <w:tcW w:w="3027" w:type="dxa"/>
            <w:tcBorders>
              <w:top w:val="nil"/>
              <w:left w:val="nil"/>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≥180</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15</w:t>
            </w:r>
          </w:p>
        </w:tc>
        <w:tc>
          <w:tcPr>
            <w:tcW w:w="1750" w:type="dxa"/>
            <w:vMerge w:val="continue"/>
            <w:tcBorders>
              <w:left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p>
        </w:tc>
        <w:tc>
          <w:tcPr>
            <w:tcW w:w="2977" w:type="dxa"/>
            <w:tcBorders>
              <w:top w:val="nil"/>
              <w:left w:val="nil"/>
              <w:bottom w:val="single" w:color="auto" w:sz="4" w:space="0"/>
              <w:right w:val="single" w:color="auto" w:sz="4" w:space="0"/>
            </w:tcBorders>
            <w:noWrap w:val="0"/>
            <w:vAlign w:val="center"/>
          </w:tcPr>
          <w:p>
            <w:pPr>
              <w:widowControl/>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控制方式</w:t>
            </w:r>
          </w:p>
        </w:tc>
        <w:tc>
          <w:tcPr>
            <w:tcW w:w="3027" w:type="dxa"/>
            <w:tcBorders>
              <w:top w:val="nil"/>
              <w:left w:val="nil"/>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手控/遥控/自动</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16</w:t>
            </w:r>
          </w:p>
        </w:tc>
        <w:tc>
          <w:tcPr>
            <w:tcW w:w="1750" w:type="dxa"/>
            <w:vMerge w:val="continue"/>
            <w:tcBorders>
              <w:left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p>
        </w:tc>
        <w:tc>
          <w:tcPr>
            <w:tcW w:w="2977" w:type="dxa"/>
            <w:tcBorders>
              <w:top w:val="nil"/>
              <w:left w:val="nil"/>
              <w:bottom w:val="single" w:color="auto" w:sz="4" w:space="0"/>
              <w:right w:val="single" w:color="auto" w:sz="4" w:space="0"/>
            </w:tcBorders>
            <w:noWrap w:val="0"/>
            <w:vAlign w:val="center"/>
          </w:tcPr>
          <w:p>
            <w:pPr>
              <w:widowControl/>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冲洗宽度（m）</w:t>
            </w:r>
          </w:p>
        </w:tc>
        <w:tc>
          <w:tcPr>
            <w:tcW w:w="3027" w:type="dxa"/>
            <w:tcBorders>
              <w:top w:val="nil"/>
              <w:left w:val="nil"/>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≥20</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17</w:t>
            </w:r>
          </w:p>
        </w:tc>
        <w:tc>
          <w:tcPr>
            <w:tcW w:w="1750" w:type="dxa"/>
            <w:vMerge w:val="continue"/>
            <w:tcBorders>
              <w:left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p>
        </w:tc>
        <w:tc>
          <w:tcPr>
            <w:tcW w:w="2977" w:type="dxa"/>
            <w:tcBorders>
              <w:top w:val="nil"/>
              <w:left w:val="nil"/>
              <w:bottom w:val="single" w:color="auto" w:sz="4" w:space="0"/>
              <w:right w:val="single" w:color="auto" w:sz="4" w:space="0"/>
            </w:tcBorders>
            <w:noWrap w:val="0"/>
            <w:vAlign w:val="center"/>
          </w:tcPr>
          <w:p>
            <w:pPr>
              <w:widowControl/>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洒水宽度（m）</w:t>
            </w:r>
          </w:p>
        </w:tc>
        <w:tc>
          <w:tcPr>
            <w:tcW w:w="3027" w:type="dxa"/>
            <w:tcBorders>
              <w:top w:val="nil"/>
              <w:left w:val="nil"/>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≥12</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18</w:t>
            </w:r>
          </w:p>
        </w:tc>
        <w:tc>
          <w:tcPr>
            <w:tcW w:w="1750" w:type="dxa"/>
            <w:vMerge w:val="continue"/>
            <w:tcBorders>
              <w:left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p>
        </w:tc>
        <w:tc>
          <w:tcPr>
            <w:tcW w:w="2977" w:type="dxa"/>
            <w:tcBorders>
              <w:top w:val="nil"/>
              <w:left w:val="nil"/>
              <w:bottom w:val="single" w:color="auto" w:sz="4" w:space="0"/>
              <w:right w:val="single" w:color="auto" w:sz="4" w:space="0"/>
            </w:tcBorders>
            <w:noWrap w:val="0"/>
            <w:vAlign w:val="center"/>
          </w:tcPr>
          <w:p>
            <w:pPr>
              <w:widowControl/>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水枪射程（m）</w:t>
            </w:r>
          </w:p>
        </w:tc>
        <w:tc>
          <w:tcPr>
            <w:tcW w:w="3027" w:type="dxa"/>
            <w:tcBorders>
              <w:top w:val="nil"/>
              <w:left w:val="nil"/>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≥32</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19</w:t>
            </w:r>
          </w:p>
        </w:tc>
        <w:tc>
          <w:tcPr>
            <w:tcW w:w="1750" w:type="dxa"/>
            <w:vMerge w:val="continue"/>
            <w:tcBorders>
              <w:left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p>
        </w:tc>
        <w:tc>
          <w:tcPr>
            <w:tcW w:w="2977" w:type="dxa"/>
            <w:tcBorders>
              <w:top w:val="nil"/>
              <w:left w:val="nil"/>
              <w:bottom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电机额定功率/峰值功率（kW）▲</w:t>
            </w:r>
          </w:p>
        </w:tc>
        <w:tc>
          <w:tcPr>
            <w:tcW w:w="3027" w:type="dxa"/>
            <w:tcBorders>
              <w:top w:val="nil"/>
              <w:left w:val="nil"/>
              <w:bottom w:val="single" w:color="000000" w:sz="4" w:space="0"/>
              <w:right w:val="single" w:color="000000"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≥100/170</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20</w:t>
            </w:r>
          </w:p>
        </w:tc>
        <w:tc>
          <w:tcPr>
            <w:tcW w:w="1750" w:type="dxa"/>
            <w:vMerge w:val="continue"/>
            <w:tcBorders>
              <w:left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p>
        </w:tc>
        <w:tc>
          <w:tcPr>
            <w:tcW w:w="2977" w:type="dxa"/>
            <w:tcBorders>
              <w:top w:val="nil"/>
              <w:left w:val="nil"/>
              <w:bottom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排放标准▲</w:t>
            </w:r>
          </w:p>
        </w:tc>
        <w:tc>
          <w:tcPr>
            <w:tcW w:w="3027" w:type="dxa"/>
            <w:tcBorders>
              <w:top w:val="nil"/>
              <w:left w:val="nil"/>
              <w:bottom w:val="single" w:color="000000" w:sz="4" w:space="0"/>
              <w:right w:val="single" w:color="000000"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纯电动、零排放</w:t>
            </w:r>
          </w:p>
        </w:tc>
      </w:tr>
      <w:tr>
        <w:tblPrEx>
          <w:tblLayout w:type="fixed"/>
          <w:tblCellMar>
            <w:top w:w="0" w:type="dxa"/>
            <w:left w:w="108" w:type="dxa"/>
            <w:bottom w:w="0" w:type="dxa"/>
            <w:right w:w="108" w:type="dxa"/>
          </w:tblCellMar>
        </w:tblPrEx>
        <w:trPr>
          <w:trHeight w:val="480" w:hRule="atLeast"/>
        </w:trPr>
        <w:tc>
          <w:tcPr>
            <w:tcW w:w="802" w:type="dxa"/>
            <w:tcBorders>
              <w:top w:val="nil"/>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21</w:t>
            </w:r>
          </w:p>
        </w:tc>
        <w:tc>
          <w:tcPr>
            <w:tcW w:w="1750" w:type="dxa"/>
            <w:vMerge w:val="continue"/>
            <w:tcBorders>
              <w:left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p>
        </w:tc>
        <w:tc>
          <w:tcPr>
            <w:tcW w:w="2977" w:type="dxa"/>
            <w:tcBorders>
              <w:top w:val="nil"/>
              <w:left w:val="nil"/>
              <w:bottom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驾驶室配置</w:t>
            </w:r>
          </w:p>
        </w:tc>
        <w:tc>
          <w:tcPr>
            <w:tcW w:w="3027" w:type="dxa"/>
            <w:tcBorders>
              <w:top w:val="nil"/>
              <w:left w:val="nil"/>
              <w:bottom w:val="single" w:color="auto" w:sz="4" w:space="0"/>
              <w:right w:val="single" w:color="000000"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冷暖空调</w:t>
            </w:r>
          </w:p>
        </w:tc>
      </w:tr>
      <w:tr>
        <w:tblPrEx>
          <w:tblLayout w:type="fixed"/>
          <w:tblCellMar>
            <w:top w:w="0" w:type="dxa"/>
            <w:left w:w="108" w:type="dxa"/>
            <w:bottom w:w="0" w:type="dxa"/>
            <w:right w:w="108" w:type="dxa"/>
          </w:tblCellMar>
        </w:tblPrEx>
        <w:trPr>
          <w:trHeight w:val="480" w:hRule="atLeast"/>
        </w:trPr>
        <w:tc>
          <w:tcPr>
            <w:tcW w:w="80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22</w:t>
            </w:r>
          </w:p>
        </w:tc>
        <w:tc>
          <w:tcPr>
            <w:tcW w:w="1750" w:type="dxa"/>
            <w:vMerge w:val="continue"/>
            <w:tcBorders>
              <w:left w:val="single" w:color="auto" w:sz="4" w:space="0"/>
              <w:bottom w:val="single" w:color="auto" w:sz="4" w:space="0"/>
              <w:right w:val="single" w:color="auto" w:sz="4" w:space="0"/>
            </w:tcBorders>
            <w:noWrap w:val="0"/>
            <w:vAlign w:val="center"/>
          </w:tcPr>
          <w:p>
            <w:pPr>
              <w:jc w:val="center"/>
              <w:rPr>
                <w:rFonts w:hint="eastAsia" w:cs="仿宋_GB2312" w:asciiTheme="minorEastAsia" w:hAnsiTheme="minorEastAsia" w:eastAsiaTheme="minorEastAsia"/>
                <w:b w:val="0"/>
                <w:bCs w:val="0"/>
                <w:kern w:val="2"/>
                <w:sz w:val="24"/>
                <w:szCs w:val="24"/>
                <w:lang w:val="zh-CN" w:eastAsia="zh-CN" w:bidi="ar-SA"/>
              </w:rPr>
            </w:pPr>
          </w:p>
        </w:tc>
        <w:tc>
          <w:tcPr>
            <w:tcW w:w="2977" w:type="dxa"/>
            <w:tcBorders>
              <w:top w:val="single" w:color="auto" w:sz="4" w:space="0"/>
              <w:left w:val="nil"/>
              <w:bottom w:val="single" w:color="auto" w:sz="4" w:space="0"/>
              <w:right w:val="single" w:color="auto" w:sz="4" w:space="0"/>
            </w:tcBorders>
            <w:noWrap w:val="0"/>
            <w:vAlign w:val="center"/>
          </w:tcPr>
          <w:p>
            <w:pPr>
              <w:widowControl/>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配套充电桩</w:t>
            </w:r>
          </w:p>
        </w:tc>
        <w:tc>
          <w:tcPr>
            <w:tcW w:w="3027" w:type="dxa"/>
            <w:tcBorders>
              <w:top w:val="single" w:color="auto" w:sz="4" w:space="0"/>
              <w:left w:val="nil"/>
              <w:bottom w:val="single" w:color="000000" w:sz="4" w:space="0"/>
              <w:right w:val="single" w:color="000000" w:sz="4" w:space="0"/>
            </w:tcBorders>
            <w:noWrap w:val="0"/>
            <w:vAlign w:val="center"/>
          </w:tcPr>
          <w:p>
            <w:pPr>
              <w:widowControl/>
              <w:jc w:val="center"/>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直流120V</w:t>
            </w:r>
          </w:p>
        </w:tc>
      </w:tr>
    </w:tbl>
    <w:p>
      <w:pPr>
        <w:spacing w:line="360" w:lineRule="auto"/>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技术要求：</w:t>
      </w:r>
    </w:p>
    <w:p>
      <w:pPr>
        <w:numPr>
          <w:ilvl w:val="0"/>
          <w:numId w:val="6"/>
        </w:numPr>
        <w:spacing w:line="360" w:lineRule="auto"/>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采用高能量密度磷酸铁锂电池，大功率永磁同步电机，整车控制系统和制动能量回馈系统，降低作业耗电量</w:t>
      </w:r>
      <w:r>
        <w:rPr>
          <w:rFonts w:hint="eastAsia" w:cs="仿宋_GB2312" w:asciiTheme="minorEastAsia" w:hAnsiTheme="minorEastAsia"/>
          <w:b w:val="0"/>
          <w:bCs w:val="0"/>
          <w:kern w:val="2"/>
          <w:sz w:val="24"/>
          <w:szCs w:val="24"/>
          <w:lang w:val="zh-CN" w:eastAsia="zh-CN" w:bidi="ar-SA"/>
        </w:rPr>
        <w:t>。</w:t>
      </w:r>
    </w:p>
    <w:p>
      <w:pPr>
        <w:numPr>
          <w:ilvl w:val="0"/>
          <w:numId w:val="6"/>
        </w:numPr>
        <w:spacing w:line="360" w:lineRule="auto"/>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采用环保除尘风送式喷雾机，结构紧凑，射程远，雾粒细小，覆盖面积大。</w:t>
      </w:r>
    </w:p>
    <w:p>
      <w:pPr>
        <w:numPr>
          <w:ilvl w:val="0"/>
          <w:numId w:val="6"/>
        </w:numPr>
        <w:spacing w:line="360" w:lineRule="auto"/>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配置有低压清洗系统，可实现前冲、后洒作业，并配备清洗水枪。</w:t>
      </w:r>
    </w:p>
    <w:p>
      <w:pPr>
        <w:numPr>
          <w:ilvl w:val="0"/>
          <w:numId w:val="6"/>
        </w:numPr>
        <w:spacing w:line="360" w:lineRule="auto"/>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 xml:space="preserve">上装纯电驱动，分别用两个永磁同步电机驱动水泵，节能环保。 </w:t>
      </w:r>
    </w:p>
    <w:p>
      <w:pPr>
        <w:pStyle w:val="39"/>
        <w:numPr>
          <w:ilvl w:val="0"/>
          <w:numId w:val="6"/>
        </w:numPr>
        <w:spacing w:line="360" w:lineRule="auto"/>
        <w:ind w:firstLineChars="0"/>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设置有无水停机保护装置，水位较低时可自动关闭水泵、喷雾机。</w:t>
      </w:r>
    </w:p>
    <w:p>
      <w:pPr>
        <w:numPr>
          <w:ilvl w:val="0"/>
          <w:numId w:val="6"/>
        </w:numPr>
        <w:spacing w:line="360" w:lineRule="auto"/>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全车水路操控采用高可靠性、无污染的先进气动系统，操作方便灵活。</w:t>
      </w:r>
    </w:p>
    <w:p>
      <w:pPr>
        <w:numPr>
          <w:ilvl w:val="0"/>
          <w:numId w:val="6"/>
        </w:numPr>
        <w:spacing w:line="360" w:lineRule="auto"/>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驾驶空间大,配备冷暖一体化空调、液压助力转向、定速巡航，驾驶舒适。</w:t>
      </w:r>
    </w:p>
    <w:p>
      <w:pPr>
        <w:numPr>
          <w:ilvl w:val="0"/>
          <w:numId w:val="6"/>
        </w:numPr>
        <w:spacing w:line="360" w:lineRule="auto"/>
        <w:jc w:val="left"/>
        <w:rPr>
          <w:rFonts w:hint="eastAsia" w:cs="仿宋_GB2312" w:asciiTheme="minorEastAsia" w:hAnsiTheme="minorEastAsia" w:eastAsiaTheme="minorEastAsia"/>
          <w:b w:val="0"/>
          <w:bCs w:val="0"/>
          <w:kern w:val="2"/>
          <w:sz w:val="24"/>
          <w:szCs w:val="24"/>
          <w:lang w:val="zh-CN" w:eastAsia="zh-CN" w:bidi="ar-SA"/>
        </w:rPr>
      </w:pPr>
      <w:r>
        <w:rPr>
          <w:rFonts w:hint="eastAsia" w:cs="仿宋_GB2312" w:asciiTheme="minorEastAsia" w:hAnsiTheme="minorEastAsia" w:eastAsiaTheme="minorEastAsia"/>
          <w:b w:val="0"/>
          <w:bCs w:val="0"/>
          <w:kern w:val="2"/>
          <w:sz w:val="24"/>
          <w:szCs w:val="24"/>
          <w:lang w:val="zh-CN" w:eastAsia="zh-CN" w:bidi="ar-SA"/>
        </w:rPr>
        <w:t>智能通信仪表通过CAN通讯网络采集并显示车辆运行信息，可以实时显示电机、电池等的运行参数。</w:t>
      </w:r>
    </w:p>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spacing w:line="360" w:lineRule="auto"/>
        <w:ind w:firstLine="422" w:firstLineChars="200"/>
        <w:contextualSpacing/>
        <w:rPr>
          <w:rFonts w:ascii="楷体" w:hAnsi="楷体" w:eastAsia="楷体" w:cs="宋体"/>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三、采购标的执行标准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1、国家标准：</w:t>
      </w:r>
    </w:p>
    <w:p>
      <w:pPr>
        <w:spacing w:line="360" w:lineRule="auto"/>
        <w:ind w:firstLine="480" w:firstLineChars="200"/>
        <w:contextualSpacing/>
        <w:rPr>
          <w:rFonts w:cs="仿宋_GB2312" w:asciiTheme="minorEastAsia" w:hAnsiTheme="minorEastAsia"/>
          <w:sz w:val="24"/>
          <w:szCs w:val="24"/>
          <w:lang w:val="zh-CN"/>
        </w:rPr>
      </w:pPr>
      <w:r>
        <w:rPr>
          <w:rFonts w:cs="仿宋_GB2312" w:asciiTheme="minorEastAsia" w:hAnsiTheme="minorEastAsia"/>
          <w:sz w:val="24"/>
          <w:szCs w:val="24"/>
          <w:lang w:val="zh-CN"/>
        </w:rPr>
        <w:t>强制性产品认证</w:t>
      </w:r>
    </w:p>
    <w:p>
      <w:pPr>
        <w:spacing w:line="360" w:lineRule="auto"/>
        <w:ind w:firstLine="480" w:firstLineChars="200"/>
        <w:contextualSpacing/>
        <w:rPr>
          <w:rFonts w:cs="宋体" w:asciiTheme="minorEastAsia" w:hAnsiTheme="minorEastAsia"/>
          <w:kern w:val="0"/>
          <w:sz w:val="24"/>
          <w:szCs w:val="24"/>
        </w:rPr>
      </w:pPr>
      <w:r>
        <w:rPr>
          <w:rFonts w:hint="eastAsia" w:cs="仿宋_GB2312" w:asciiTheme="minorEastAsia" w:hAnsiTheme="minorEastAsia"/>
          <w:sz w:val="24"/>
          <w:szCs w:val="24"/>
          <w:lang w:val="zh-CN"/>
        </w:rPr>
        <w:t>如投标人所投产品属于“中国强制性产品认证”（3C认证）范围内,则必须承诺采用</w:t>
      </w:r>
      <w:r>
        <w:rPr>
          <w:rFonts w:cs="仿宋_GB2312" w:asciiTheme="minorEastAsia" w:hAnsiTheme="minorEastAsia"/>
          <w:sz w:val="24"/>
          <w:szCs w:val="24"/>
          <w:lang w:val="zh-CN"/>
        </w:rPr>
        <w:t>《中华人民共和国实施强制性产品认证的产品目录》</w:t>
      </w:r>
      <w:r>
        <w:rPr>
          <w:rFonts w:hint="eastAsia" w:cs="仿宋_GB2312" w:asciiTheme="minorEastAsia" w:hAnsiTheme="minorEastAsia"/>
          <w:sz w:val="24"/>
          <w:szCs w:val="24"/>
          <w:lang w:val="zh-CN"/>
        </w:rPr>
        <w:t>并在有效期内的产品，应在投标文件中提供“所投产品符合国家强制性要求承诺函”并加盖投标人公章，否则将承担其投标被视为非实质性响应投标的风险。</w:t>
      </w:r>
    </w:p>
    <w:p>
      <w:pPr>
        <w:spacing w:line="360" w:lineRule="auto"/>
        <w:ind w:firstLine="422" w:firstLineChars="200"/>
        <w:contextualSpacing/>
        <w:rPr>
          <w:rFonts w:cs="宋体" w:asciiTheme="minorEastAsia" w:hAnsiTheme="minorEastAsia"/>
          <w:b/>
          <w:color w:val="000000"/>
          <w:kern w:val="0"/>
          <w:szCs w:val="21"/>
          <w:highlight w:val="none"/>
          <w:lang w:val="zh-CN"/>
        </w:rPr>
      </w:pPr>
      <w:r>
        <w:rPr>
          <w:rFonts w:hint="eastAsia" w:cs="微软雅黑" w:asciiTheme="minorEastAsia" w:hAnsiTheme="minorEastAsia"/>
          <w:b/>
          <w:color w:val="FF0000"/>
          <w:szCs w:val="21"/>
          <w:highlight w:val="none"/>
        </w:rPr>
        <w:t>★</w:t>
      </w:r>
      <w:r>
        <w:rPr>
          <w:rFonts w:hint="eastAsia" w:cs="宋体" w:asciiTheme="minorEastAsia" w:hAnsiTheme="minorEastAsia"/>
          <w:b/>
          <w:color w:val="000000"/>
          <w:kern w:val="0"/>
          <w:sz w:val="24"/>
          <w:szCs w:val="24"/>
          <w:highlight w:val="none"/>
          <w:lang w:val="zh-CN"/>
        </w:rPr>
        <w:t>四、服务标准、期限、效率等要求</w:t>
      </w:r>
    </w:p>
    <w:p>
      <w:pPr>
        <w:spacing w:line="360" w:lineRule="auto"/>
        <w:ind w:firstLine="480" w:firstLineChars="200"/>
        <w:contextualSpacing/>
        <w:rPr>
          <w:rFonts w:ascii="楷体" w:hAnsi="楷体" w:eastAsia="楷体" w:cs="宋体"/>
          <w:color w:val="000000"/>
          <w:kern w:val="0"/>
          <w:szCs w:val="21"/>
          <w:highlight w:val="none"/>
          <w:lang w:val="zh-CN"/>
        </w:rPr>
      </w:pPr>
      <w:r>
        <w:rPr>
          <w:rFonts w:hint="eastAsia" w:ascii="宋体" w:cs="宋体"/>
          <w:sz w:val="24"/>
          <w:highlight w:val="none"/>
          <w:lang w:val="zh-CN"/>
        </w:rPr>
        <w:t>质保期1年，在1小时响应，12小时到达现场，24小时内解决问题。</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Cs w:val="21"/>
          <w:highlight w:val="none"/>
          <w:lang w:val="zh-CN"/>
        </w:rPr>
      </w:pPr>
      <w:r>
        <w:rPr>
          <w:rFonts w:hint="eastAsia" w:cs="微软雅黑" w:asciiTheme="minorEastAsia" w:hAnsiTheme="minorEastAsia"/>
          <w:b/>
          <w:color w:val="FF0000"/>
          <w:szCs w:val="21"/>
          <w:highlight w:val="none"/>
        </w:rPr>
        <w:t>★</w:t>
      </w:r>
      <w:r>
        <w:rPr>
          <w:rFonts w:hint="eastAsia" w:cs="宋体" w:asciiTheme="minorEastAsia" w:hAnsiTheme="minorEastAsia"/>
          <w:b/>
          <w:color w:val="000000"/>
          <w:kern w:val="0"/>
          <w:sz w:val="24"/>
          <w:szCs w:val="24"/>
          <w:highlight w:val="none"/>
          <w:lang w:val="zh-CN"/>
        </w:rPr>
        <w:t>五、采购标的的其他技术、服务等要求</w:t>
      </w:r>
    </w:p>
    <w:p>
      <w:pPr>
        <w:wordWrap w:val="0"/>
        <w:topLinePunct/>
        <w:spacing w:line="360" w:lineRule="auto"/>
        <w:ind w:firstLine="480" w:firstLineChars="200"/>
        <w:rPr>
          <w:rFonts w:ascii="宋体" w:cs="宋体"/>
          <w:sz w:val="24"/>
          <w:highlight w:val="none"/>
          <w:lang w:val="zh-CN"/>
        </w:rPr>
      </w:pPr>
      <w:r>
        <w:rPr>
          <w:rFonts w:hint="eastAsia" w:ascii="宋体" w:cs="宋体"/>
          <w:sz w:val="24"/>
          <w:highlight w:val="none"/>
          <w:lang w:val="zh-CN"/>
        </w:rPr>
        <w:t>1、投标人须明确投标产品的厂家、产地、品牌、型号、详细参数，</w:t>
      </w:r>
      <w:r>
        <w:rPr>
          <w:rFonts w:hint="eastAsia" w:ascii="宋体" w:cs="宋体"/>
          <w:b/>
          <w:sz w:val="24"/>
          <w:highlight w:val="none"/>
          <w:lang w:val="zh-CN"/>
        </w:rPr>
        <w:t>否则为无效投标。</w:t>
      </w:r>
    </w:p>
    <w:p>
      <w:pPr>
        <w:wordWrap w:val="0"/>
        <w:topLinePunct/>
        <w:autoSpaceDE w:val="0"/>
        <w:autoSpaceDN w:val="0"/>
        <w:adjustRightInd w:val="0"/>
        <w:spacing w:line="360" w:lineRule="auto"/>
        <w:ind w:firstLine="482"/>
        <w:rPr>
          <w:rFonts w:ascii="宋体" w:cs="宋体"/>
          <w:b/>
          <w:sz w:val="24"/>
          <w:highlight w:val="none"/>
          <w:lang w:val="zh-CN"/>
        </w:rPr>
      </w:pPr>
      <w:r>
        <w:rPr>
          <w:rFonts w:hint="eastAsia" w:ascii="宋体" w:cs="宋体"/>
          <w:sz w:val="24"/>
          <w:highlight w:val="none"/>
          <w:lang w:val="zh-CN"/>
        </w:rPr>
        <w:t>2、投标人应就本项目完整投标，</w:t>
      </w:r>
      <w:r>
        <w:rPr>
          <w:rFonts w:hint="eastAsia" w:ascii="宋体" w:cs="宋体"/>
          <w:b/>
          <w:sz w:val="24"/>
          <w:highlight w:val="none"/>
          <w:lang w:val="zh-CN"/>
        </w:rPr>
        <w:t>否则为无效投标。</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zh-CN"/>
        </w:rPr>
        <w:t>3、所投产品必须符合国家质量检测标准和本招标文件规定标准的全新正品现货。</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zh-CN"/>
        </w:rPr>
        <w:t>4、本项目为交钥匙工程。</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en-US" w:eastAsia="zh-CN"/>
        </w:rPr>
        <w:t>5</w:t>
      </w:r>
      <w:r>
        <w:rPr>
          <w:rFonts w:hint="eastAsia" w:ascii="宋体" w:cs="宋体"/>
          <w:sz w:val="24"/>
          <w:highlight w:val="none"/>
          <w:lang w:val="zh-CN"/>
        </w:rPr>
        <w:t>、投标人须明确在接到服务要求时的响应时间。须明确维修点地址、负责人、联系人和联系电话，维修点具备何等维修能力等详细资料，</w:t>
      </w:r>
      <w:r>
        <w:rPr>
          <w:rFonts w:hint="eastAsia" w:ascii="宋体" w:cs="宋体"/>
          <w:b/>
          <w:bCs/>
          <w:sz w:val="24"/>
          <w:highlight w:val="none"/>
          <w:lang w:val="zh-CN"/>
        </w:rPr>
        <w:t>否则为无效投标。</w:t>
      </w:r>
      <w:r>
        <w:rPr>
          <w:rFonts w:hint="eastAsia" w:ascii="宋体" w:cs="宋体"/>
          <w:sz w:val="24"/>
          <w:highlight w:val="none"/>
          <w:lang w:val="zh-CN"/>
        </w:rPr>
        <w:t>保修期内提供24小时免费技术支持服务。</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en-US" w:eastAsia="zh-CN"/>
        </w:rPr>
        <w:t>6</w:t>
      </w:r>
      <w:r>
        <w:rPr>
          <w:rFonts w:hint="eastAsia" w:ascii="宋体" w:cs="宋体"/>
          <w:sz w:val="24"/>
          <w:highlight w:val="none"/>
          <w:lang w:val="zh-CN"/>
        </w:rPr>
        <w:t>、中标人应负责免费提供现场操作、运行、维护的培训方案及必需的培训资料，并对买方受训人员分批、分次进行免费操作培训，培训至所有参加培训人员可独立操作为止。</w:t>
      </w:r>
    </w:p>
    <w:p>
      <w:pPr>
        <w:wordWrap w:val="0"/>
        <w:topLinePunct/>
        <w:spacing w:line="360" w:lineRule="auto"/>
        <w:ind w:firstLine="480" w:firstLineChars="200"/>
        <w:rPr>
          <w:rFonts w:hint="eastAsia" w:ascii="仿宋" w:hAnsi="仿宋" w:eastAsia="仿宋" w:cs="宋体"/>
          <w:kern w:val="0"/>
          <w:sz w:val="30"/>
          <w:szCs w:val="30"/>
        </w:rPr>
      </w:pPr>
      <w:r>
        <w:rPr>
          <w:rFonts w:hint="eastAsia" w:ascii="宋体" w:cs="宋体"/>
          <w:sz w:val="24"/>
          <w:highlight w:val="none"/>
          <w:lang w:val="en-US" w:eastAsia="zh-CN"/>
        </w:rPr>
        <w:t>7</w:t>
      </w:r>
      <w:r>
        <w:rPr>
          <w:rFonts w:hint="eastAsia" w:ascii="宋体" w:cs="宋体"/>
          <w:sz w:val="24"/>
          <w:highlight w:val="none"/>
          <w:lang w:val="zh-CN"/>
        </w:rPr>
        <w:t>、投标人需提供采购标的的免征车辆购置税证明（需提供工信部发布的《免征车辆购置税的新能源汽车车型目录》证明）。</w:t>
      </w:r>
    </w:p>
    <w:p>
      <w:pPr>
        <w:widowControl/>
        <w:shd w:val="clear" w:color="auto" w:fill="FFFFFF"/>
        <w:spacing w:line="360" w:lineRule="auto"/>
        <w:ind w:firstLine="422" w:firstLineChars="200"/>
        <w:contextualSpacing/>
        <w:jc w:val="left"/>
        <w:rPr>
          <w:rFonts w:ascii="楷体" w:hAnsi="楷体" w:eastAsia="楷体" w:cs="宋体"/>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六、验收标准</w:t>
      </w:r>
    </w:p>
    <w:p>
      <w:pPr>
        <w:pStyle w:val="20"/>
        <w:widowControl/>
        <w:shd w:val="clear" w:color="auto" w:fill="FFFFFF"/>
        <w:spacing w:line="360" w:lineRule="auto"/>
        <w:ind w:firstLine="420"/>
        <w:contextualSpacing/>
        <w:jc w:val="left"/>
        <w:rPr>
          <w:rFonts w:hint="eastAsia" w:ascii="宋体" w:cs="宋体" w:hAnsiTheme="minorHAnsi" w:eastAsiaTheme="minorEastAsia"/>
          <w:kern w:val="2"/>
          <w:sz w:val="24"/>
          <w:szCs w:val="22"/>
          <w:highlight w:val="none"/>
          <w:lang w:val="zh-CN" w:eastAsia="zh-CN" w:bidi="ar-SA"/>
        </w:rPr>
      </w:pPr>
      <w:r>
        <w:rPr>
          <w:rFonts w:hint="eastAsia" w:ascii="宋体" w:cs="宋体" w:hAnsiTheme="minorHAnsi" w:eastAsiaTheme="minorEastAsia"/>
          <w:kern w:val="2"/>
          <w:sz w:val="24"/>
          <w:szCs w:val="22"/>
          <w:highlight w:val="none"/>
          <w:lang w:val="zh-CN" w:eastAsia="zh-CN" w:bidi="ar-SA"/>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微软雅黑" w:asciiTheme="minorEastAsia" w:hAnsiTheme="minorEastAsia" w:eastAsiaTheme="minorEastAsia"/>
          <w:b/>
          <w:color w:val="FF0000"/>
          <w:sz w:val="21"/>
          <w:szCs w:val="21"/>
        </w:rPr>
        <w:t>★</w:t>
      </w:r>
      <w:r>
        <w:rPr>
          <w:rFonts w:hint="eastAsia" w:cs="黑体" w:asciiTheme="minorEastAsia" w:hAnsiTheme="minorEastAsia" w:eastAsiaTheme="minorEastAsia"/>
          <w:b/>
          <w:bCs/>
          <w:color w:val="000000"/>
          <w:shd w:val="clear" w:color="auto" w:fill="FFFFFF"/>
        </w:rPr>
        <w:t>七、本项目预算金额</w:t>
      </w:r>
      <w:r>
        <w:rPr>
          <w:rFonts w:hint="eastAsia" w:cs="黑体" w:asciiTheme="minorEastAsia" w:hAnsiTheme="minorEastAsia" w:eastAsiaTheme="minorEastAsia"/>
          <w:b/>
          <w:bCs/>
          <w:color w:val="000000"/>
          <w:shd w:val="clear" w:color="auto" w:fill="FFFFFF"/>
          <w:lang w:val="en-US" w:eastAsia="zh-CN"/>
        </w:rPr>
        <w:t>300万</w:t>
      </w:r>
      <w:r>
        <w:rPr>
          <w:rFonts w:hint="eastAsia" w:cs="黑体" w:asciiTheme="minorEastAsia" w:hAnsiTheme="minorEastAsia" w:eastAsiaTheme="minorEastAsia"/>
          <w:b/>
          <w:bCs/>
          <w:color w:val="000000"/>
          <w:shd w:val="clear" w:color="auto" w:fill="FFFFFF"/>
        </w:rPr>
        <w:t>元。最高限价</w:t>
      </w:r>
      <w:r>
        <w:rPr>
          <w:rFonts w:hint="eastAsia" w:cs="黑体" w:asciiTheme="minorEastAsia" w:hAnsiTheme="minorEastAsia" w:eastAsiaTheme="minorEastAsia"/>
          <w:b/>
          <w:bCs/>
          <w:color w:val="000000"/>
          <w:shd w:val="clear" w:color="auto" w:fill="FFFFFF"/>
          <w:lang w:val="en-US" w:eastAsia="zh-CN"/>
        </w:rPr>
        <w:t>300万</w:t>
      </w:r>
      <w:r>
        <w:rPr>
          <w:rFonts w:hint="eastAsia" w:cs="宋体" w:asciiTheme="minorEastAsia" w:hAnsiTheme="minorEastAsia" w:eastAsiaTheme="minorEastAsia"/>
          <w:b/>
          <w:color w:val="000000"/>
          <w:kern w:val="0"/>
          <w:lang w:val="zh-CN"/>
        </w:rPr>
        <w:t>元。超出最高限价的投标无效。</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 w:val="24"/>
          <w:szCs w:val="24"/>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八、资金支付</w:t>
      </w:r>
    </w:p>
    <w:p>
      <w:pPr>
        <w:widowControl/>
        <w:shd w:val="clear" w:color="auto" w:fill="FFFFFF"/>
        <w:spacing w:line="360" w:lineRule="auto"/>
        <w:ind w:firstLine="480" w:firstLineChars="200"/>
        <w:contextualSpacing/>
        <w:jc w:val="left"/>
        <w:rPr>
          <w:rFonts w:hint="eastAsia" w:ascii="宋体" w:cs="宋体" w:hAnsiTheme="minorHAnsi" w:eastAsiaTheme="minorEastAsia"/>
          <w:kern w:val="2"/>
          <w:sz w:val="24"/>
          <w:szCs w:val="22"/>
          <w:highlight w:val="none"/>
          <w:lang w:val="zh-CN" w:eastAsia="zh-CN" w:bidi="ar-SA"/>
        </w:rPr>
      </w:pPr>
      <w:r>
        <w:rPr>
          <w:rFonts w:hint="eastAsia" w:cs="宋体" w:asciiTheme="minorEastAsia" w:hAnsiTheme="minorEastAsia"/>
          <w:color w:val="000000"/>
          <w:kern w:val="0"/>
          <w:sz w:val="24"/>
          <w:szCs w:val="24"/>
          <w:lang w:val="zh-CN"/>
        </w:rPr>
        <w:t>1、支付方式</w:t>
      </w:r>
      <w:r>
        <w:rPr>
          <w:rFonts w:hint="eastAsia" w:ascii="宋体" w:cs="宋体" w:hAnsiTheme="minorHAnsi" w:eastAsiaTheme="minorEastAsia"/>
          <w:kern w:val="2"/>
          <w:sz w:val="24"/>
          <w:szCs w:val="22"/>
          <w:highlight w:val="none"/>
          <w:lang w:val="zh-CN" w:eastAsia="zh-CN" w:bidi="ar-SA"/>
        </w:rPr>
        <w:t>：银行转账</w:t>
      </w:r>
    </w:p>
    <w:p>
      <w:pPr>
        <w:widowControl/>
        <w:shd w:val="clear" w:color="auto" w:fill="FFFFFF"/>
        <w:spacing w:line="360" w:lineRule="auto"/>
        <w:ind w:firstLine="480" w:firstLineChars="200"/>
        <w:contextualSpacing/>
        <w:jc w:val="left"/>
        <w:rPr>
          <w:rFonts w:hint="eastAsia" w:ascii="宋体" w:cs="宋体" w:hAnsiTheme="minorHAnsi" w:eastAsiaTheme="minorEastAsia"/>
          <w:kern w:val="2"/>
          <w:sz w:val="24"/>
          <w:szCs w:val="22"/>
          <w:highlight w:val="none"/>
          <w:lang w:val="zh-CN" w:eastAsia="zh-CN" w:bidi="ar-SA"/>
        </w:rPr>
      </w:pPr>
      <w:r>
        <w:rPr>
          <w:rFonts w:hint="eastAsia" w:ascii="宋体" w:cs="宋体" w:hAnsiTheme="minorHAnsi" w:eastAsiaTheme="minorEastAsia"/>
          <w:kern w:val="2"/>
          <w:sz w:val="24"/>
          <w:szCs w:val="22"/>
          <w:highlight w:val="none"/>
          <w:lang w:val="zh-CN" w:eastAsia="zh-CN" w:bidi="ar-SA"/>
        </w:rPr>
        <w:t>2、支付时间及条件：验收合格后支付总货款的95%，剩余5%在一年质保期结束后无质量问题一次性支付。</w:t>
      </w: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项目名称：纯电动多功能抑尘车</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项目编号：ZFCG-G2019</w:t>
            </w:r>
            <w:r>
              <w:rPr>
                <w:rFonts w:hint="eastAsia" w:cs="仿宋_GB2312" w:asciiTheme="minorEastAsia" w:hAnsiTheme="minorEastAsia"/>
                <w:szCs w:val="21"/>
                <w:lang w:val="en-US" w:eastAsia="zh-CN"/>
              </w:rPr>
              <w:t>069</w:t>
            </w:r>
            <w:r>
              <w:rPr>
                <w:rFonts w:hint="eastAsia" w:cs="仿宋_GB2312" w:asciiTheme="minorEastAsia" w:hAnsiTheme="minorEastAsia"/>
                <w:szCs w:val="21"/>
              </w:rPr>
              <w:t>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项目内容：纯电动多功能抑尘车两台</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项目地址：市园林处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名称：许昌市园林绿化管理处</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w:t>
            </w:r>
            <w:r>
              <w:rPr>
                <w:rFonts w:hint="eastAsia" w:cs="仿宋_GB2312" w:asciiTheme="minorEastAsia" w:hAnsiTheme="minorEastAsia"/>
                <w:szCs w:val="21"/>
                <w:lang w:val="en-US" w:eastAsia="zh-CN"/>
              </w:rPr>
              <w:t>许昌市劳动路1072号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联系人：毕丽华                    电话：0374－2775308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地址：许昌市龙兴路与竹林路交汇处公共资源大厦</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w:t>
            </w:r>
            <w:r>
              <w:rPr>
                <w:rFonts w:hint="eastAsia" w:cs="仿宋_GB2312" w:asciiTheme="minorEastAsia" w:hAnsiTheme="minorEastAsia"/>
                <w:szCs w:val="21"/>
                <w:lang w:val="en-US" w:eastAsia="zh-CN"/>
              </w:rPr>
              <w:t>2962805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lang w:val="zh-CN"/>
              </w:rPr>
              <w:t>4、个体工</w:t>
            </w:r>
            <w:r>
              <w:rPr>
                <w:rFonts w:hint="eastAsia" w:cs="宋体" w:asciiTheme="minorEastAsia" w:hAnsiTheme="minorEastAsia"/>
                <w:bCs/>
                <w:szCs w:val="21"/>
                <w:highlight w:val="none"/>
                <w:lang w:val="zh-CN"/>
              </w:rPr>
              <w:t>商户营业执照。（个体工商户投标提供）</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5、自然人身份证明。（自然人投标提供）</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6、民办非企业单位登记证书。（民办非企业单位投标提供）</w:t>
            </w:r>
          </w:p>
          <w:p>
            <w:pPr>
              <w:autoSpaceDE w:val="0"/>
              <w:autoSpaceDN w:val="0"/>
              <w:adjustRightInd w:val="0"/>
              <w:spacing w:line="360" w:lineRule="auto"/>
              <w:jc w:val="left"/>
              <w:rPr>
                <w:rFonts w:cs="仿宋_GB2312" w:asciiTheme="minorEastAsia" w:hAnsiTheme="minorEastAsia"/>
                <w:b/>
                <w:szCs w:val="21"/>
                <w:highlight w:val="none"/>
              </w:rPr>
            </w:pPr>
            <w:r>
              <w:rPr>
                <w:rFonts w:hint="eastAsia" w:cs="仿宋_GB2312" w:asciiTheme="minorEastAsia" w:hAnsiTheme="minorEastAsia"/>
                <w:b/>
                <w:szCs w:val="21"/>
                <w:highlight w:val="none"/>
              </w:rPr>
              <w:t>二、财务状况报告相关材料</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（1）投标人是法人（法人包括企业法人、机关法人、事业单位法人和社会团体法人），提供本单位：</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①2017或者2018年度经审计的财务报告，包括资产负债表、利润表、现金流量表、所有者权益变动表及其附注；</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②基本开户银行出具的资信证明；</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③财政部门认可的政府采购专业担保机构的证明文件和担保机构出具的投标担保函。</w:t>
            </w:r>
          </w:p>
          <w:p>
            <w:pPr>
              <w:spacing w:line="360" w:lineRule="auto"/>
              <w:rPr>
                <w:rFonts w:asciiTheme="minorEastAsia" w:hAnsiTheme="minorEastAsia"/>
                <w:bCs/>
                <w:szCs w:val="21"/>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①～③其中之一即可。</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（2）投标人（其他组织和自然人）提供本单位：</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①2017或者2018年度经审计的财务报告，包括资产负债表、利润表、现金流量表、所有者权益变动表及其附注；</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②银行出具的资信证明；</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①～③其中之一即可。</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仿宋_GB2312" w:asciiTheme="minorEastAsia" w:hAnsiTheme="minorEastAsia"/>
                <w:b/>
                <w:szCs w:val="21"/>
                <w:highlight w:val="none"/>
              </w:rPr>
              <w:t>三、依法缴纳税收相关材料</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hint="eastAsia" w:cs="仿宋_GB2312" w:asciiTheme="minorEastAsia" w:hAnsiTheme="minorEastAsia"/>
                <w:b/>
                <w:szCs w:val="21"/>
                <w:highlight w:val="none"/>
                <w:lang w:val="zh-CN"/>
              </w:rPr>
            </w:pPr>
            <w:r>
              <w:rPr>
                <w:rFonts w:hint="eastAsia" w:cs="仿宋_GB2312" w:asciiTheme="minorEastAsia" w:hAnsiTheme="minorEastAsia"/>
                <w:b/>
                <w:szCs w:val="21"/>
                <w:highlight w:val="none"/>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highlight w:val="none"/>
                <w:lang w:val="zh-CN"/>
              </w:rPr>
            </w:pPr>
            <w:r>
              <w:rPr>
                <w:rFonts w:hint="eastAsia" w:cs="宋体" w:asciiTheme="minorEastAsia" w:hAnsiTheme="minorEastAsia"/>
                <w:b/>
                <w:bCs/>
                <w:szCs w:val="21"/>
                <w:highlight w:val="none"/>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①相关设备的购置发票、专业技术人员职称证书、用工合同等；</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autoSpaceDE w:val="0"/>
              <w:autoSpaceDN w:val="0"/>
              <w:adjustRightInd w:val="0"/>
              <w:spacing w:line="360" w:lineRule="auto"/>
              <w:ind w:right="-11"/>
              <w:rPr>
                <w:rFonts w:cs="宋体" w:asciiTheme="minorEastAsia" w:hAnsiTheme="minorEastAsia"/>
                <w:b/>
                <w:bCs/>
                <w:szCs w:val="21"/>
                <w:highlight w:val="none"/>
                <w:lang w:val="zh-CN"/>
              </w:rPr>
            </w:pPr>
            <w:r>
              <w:rPr>
                <w:rFonts w:hint="eastAsia" w:cs="宋体" w:asciiTheme="minorEastAsia" w:hAnsiTheme="minorEastAsia"/>
                <w:b/>
                <w:kern w:val="0"/>
                <w:szCs w:val="21"/>
                <w:highlight w:val="none"/>
              </w:rPr>
              <w:t>六、</w:t>
            </w:r>
            <w:r>
              <w:rPr>
                <w:rFonts w:cs="宋体" w:asciiTheme="minorEastAsia" w:hAnsiTheme="minorEastAsia"/>
                <w:b/>
                <w:bCs/>
                <w:szCs w:val="21"/>
                <w:highlight w:val="none"/>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highlight w:val="none"/>
                <w:lang w:val="zh-CN"/>
              </w:rPr>
              <w:t>投标人“</w:t>
            </w:r>
            <w:r>
              <w:rPr>
                <w:rFonts w:cs="宋体" w:asciiTheme="minorEastAsia" w:hAnsiTheme="minorEastAsia"/>
                <w:bCs/>
                <w:szCs w:val="21"/>
                <w:highlight w:val="none"/>
                <w:lang w:val="zh-CN"/>
              </w:rPr>
              <w:t>参加政府采购活动前3年内在经营活动中没有重大违</w:t>
            </w:r>
            <w:r>
              <w:rPr>
                <w:rFonts w:cs="宋体" w:asciiTheme="minorEastAsia" w:hAnsiTheme="minorEastAsia"/>
                <w:bCs/>
                <w:szCs w:val="21"/>
                <w:lang w:val="zh-CN"/>
              </w:rPr>
              <w:t>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highlight w:val="none"/>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w:t>
            </w:r>
            <w:r>
              <w:rPr>
                <w:rFonts w:cs="仿宋_GB2312" w:asciiTheme="minorEastAsia" w:hAnsiTheme="minorEastAsia"/>
                <w:b/>
                <w:color w:val="000000"/>
                <w:szCs w:val="21"/>
                <w:highlight w:val="none"/>
                <w:shd w:val="clear" w:color="auto" w:fill="FFFFFF"/>
              </w:rPr>
              <w:t>p.gov.cn)政府采购严重违法失信行为记录名单的投标人</w:t>
            </w:r>
            <w:r>
              <w:rPr>
                <w:rFonts w:hint="eastAsia" w:cs="宋体" w:asciiTheme="minorEastAsia" w:hAnsiTheme="minorEastAsia"/>
                <w:b/>
                <w:bCs/>
                <w:szCs w:val="21"/>
                <w:highlight w:val="none"/>
                <w:lang w:val="zh-CN"/>
              </w:rPr>
              <w:t>；</w:t>
            </w:r>
            <w:r>
              <w:rPr>
                <w:rFonts w:hint="eastAsia" w:cs="仿宋_GB2312" w:asciiTheme="minorEastAsia" w:hAnsiTheme="minorEastAsia"/>
                <w:b/>
                <w:color w:val="000000"/>
                <w:szCs w:val="21"/>
                <w:highlight w:val="none"/>
                <w:shd w:val="clear" w:color="auto" w:fill="FFFFFF"/>
              </w:rPr>
              <w:t>“国家企业信用公示系统”网站（</w:t>
            </w:r>
            <w:r>
              <w:rPr>
                <w:rFonts w:cs="仿宋_GB2312" w:asciiTheme="minorEastAsia" w:hAnsiTheme="minorEastAsia"/>
                <w:b/>
                <w:color w:val="000000"/>
                <w:szCs w:val="21"/>
                <w:highlight w:val="none"/>
                <w:shd w:val="clear" w:color="auto" w:fill="FFFFFF"/>
              </w:rPr>
              <w:t>www.gsxt.gov.cn</w:t>
            </w:r>
            <w:r>
              <w:rPr>
                <w:rFonts w:hint="eastAsia" w:cs="仿宋_GB2312" w:asciiTheme="minorEastAsia" w:hAnsiTheme="minorEastAsia"/>
                <w:b/>
                <w:color w:val="000000"/>
                <w:szCs w:val="21"/>
                <w:highlight w:val="none"/>
                <w:shd w:val="clear" w:color="auto" w:fill="FFFFFF"/>
              </w:rPr>
              <w:t>）严重违法失信企业名单（黑名单）的投标人；“中国社会组织公共服务平台”网站（</w:t>
            </w:r>
            <w:r>
              <w:rPr>
                <w:rFonts w:cs="仿宋_GB2312" w:asciiTheme="minorEastAsia" w:hAnsiTheme="minorEastAsia"/>
                <w:b/>
                <w:color w:val="000000"/>
                <w:szCs w:val="21"/>
                <w:highlight w:val="none"/>
                <w:shd w:val="clear" w:color="auto" w:fill="FFFFFF"/>
              </w:rPr>
              <w:t>www.chinanpo.gov.cn</w:t>
            </w:r>
            <w:r>
              <w:rPr>
                <w:rFonts w:hint="eastAsia" w:cs="仿宋_GB2312" w:asciiTheme="minorEastAsia" w:hAnsiTheme="minorEastAsia"/>
                <w:b/>
                <w:color w:val="000000"/>
                <w:szCs w:val="21"/>
                <w:highlight w:val="none"/>
                <w:shd w:val="clear" w:color="auto" w:fill="FFFFFF"/>
              </w:rPr>
              <w:t>）严重违法失信社会组织名单的投标人（</w:t>
            </w:r>
            <w:r>
              <w:rPr>
                <w:rFonts w:hint="eastAsia" w:cs="宋体" w:asciiTheme="minorEastAsia" w:hAnsiTheme="minorEastAsia"/>
                <w:kern w:val="0"/>
                <w:szCs w:val="21"/>
                <w:highlight w:val="none"/>
              </w:rPr>
              <w:t>联合体形式投标的，联合体成员存在不良信用记录，视同联合体存在不良信用记录）。</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1、查询渠道：</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①“信用中国”网站（</w:t>
            </w:r>
            <w:r>
              <w:rPr>
                <w:highlight w:val="none"/>
              </w:rPr>
              <w:fldChar w:fldCharType="begin"/>
            </w:r>
            <w:r>
              <w:rPr>
                <w:highlight w:val="none"/>
              </w:rPr>
              <w:instrText xml:space="preserve"> HYPERLINK "http://www.creditchina.gov.cn" </w:instrText>
            </w:r>
            <w:r>
              <w:rPr>
                <w:highlight w:val="none"/>
              </w:rPr>
              <w:fldChar w:fldCharType="separate"/>
            </w:r>
            <w:r>
              <w:rPr>
                <w:rFonts w:hint="eastAsia" w:cs="宋体"/>
                <w:kern w:val="0"/>
                <w:highlight w:val="none"/>
              </w:rPr>
              <w:t>www.creditchina.gov.cn</w:t>
            </w:r>
            <w:r>
              <w:rPr>
                <w:rFonts w:hint="eastAsia" w:cs="宋体"/>
                <w:kern w:val="0"/>
                <w:highlight w:val="none"/>
              </w:rPr>
              <w:fldChar w:fldCharType="end"/>
            </w:r>
            <w:r>
              <w:rPr>
                <w:rFonts w:hint="eastAsia" w:cs="宋体" w:asciiTheme="minorEastAsia" w:hAnsiTheme="minorEastAsia"/>
                <w:kern w:val="0"/>
                <w:szCs w:val="21"/>
                <w:highlight w:val="none"/>
              </w:rPr>
              <w:t>）</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②“中国政府采购网”（www.ccgp.gov.cn）</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③“国家企业信用公示系统”网站（</w:t>
            </w:r>
            <w:r>
              <w:rPr>
                <w:highlight w:val="none"/>
              </w:rPr>
              <w:fldChar w:fldCharType="begin"/>
            </w:r>
            <w:r>
              <w:rPr>
                <w:highlight w:val="none"/>
              </w:rPr>
              <w:instrText xml:space="preserve"> HYPERLINK "http://www.gsxt.gov.cn" </w:instrText>
            </w:r>
            <w:r>
              <w:rPr>
                <w:highlight w:val="none"/>
              </w:rPr>
              <w:fldChar w:fldCharType="separate"/>
            </w:r>
            <w:r>
              <w:rPr>
                <w:rFonts w:cs="宋体"/>
                <w:kern w:val="0"/>
                <w:highlight w:val="none"/>
              </w:rPr>
              <w:t>www.gsxt.gov.cn</w:t>
            </w:r>
            <w:r>
              <w:rPr>
                <w:rFonts w:cs="宋体"/>
                <w:kern w:val="0"/>
                <w:highlight w:val="none"/>
              </w:rPr>
              <w:fldChar w:fldCharType="end"/>
            </w:r>
            <w:r>
              <w:rPr>
                <w:rFonts w:hint="eastAsia" w:cs="宋体" w:asciiTheme="minorEastAsia" w:hAnsiTheme="minorEastAsia"/>
                <w:kern w:val="0"/>
                <w:szCs w:val="21"/>
                <w:highlight w:val="none"/>
              </w:rPr>
              <w:t>）</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④“中国社会组织公共服务平台”网站（</w:t>
            </w:r>
            <w:r>
              <w:rPr>
                <w:rFonts w:cs="宋体" w:asciiTheme="minorEastAsia" w:hAnsiTheme="minorEastAsia"/>
                <w:kern w:val="0"/>
                <w:szCs w:val="21"/>
                <w:highlight w:val="none"/>
              </w:rPr>
              <w:t>www.chinanpo.gov.cn</w:t>
            </w:r>
            <w:r>
              <w:rPr>
                <w:rFonts w:hint="eastAsia" w:cs="宋体" w:asciiTheme="minorEastAsia" w:hAnsiTheme="minorEastAsia"/>
                <w:kern w:val="0"/>
                <w:szCs w:val="21"/>
                <w:highlight w:val="none"/>
              </w:rPr>
              <w:t>）（仅查询社会组织）；</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2、截止时间：同投标截止时间；</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rPr>
              <w:t>3、信用信息查询记录和证据留存具体方式：经采购人确认的查询结果网页截图作为查询记录和证据，与其他采</w:t>
            </w:r>
            <w:r>
              <w:rPr>
                <w:rFonts w:hint="eastAsia" w:cs="宋体" w:asciiTheme="minorEastAsia" w:hAnsiTheme="minorEastAsia"/>
                <w:kern w:val="0"/>
                <w:szCs w:val="21"/>
                <w:highlight w:val="none"/>
              </w:rPr>
              <w:t>购文件一并保存；</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4、信用信息的使用原则：经采购人认定的被列入失信被执行人、重大税收违法案件当事人名单、</w:t>
            </w:r>
            <w:r>
              <w:rPr>
                <w:rFonts w:cs="宋体" w:asciiTheme="minorEastAsia" w:hAnsiTheme="minorEastAsia"/>
                <w:kern w:val="0"/>
                <w:szCs w:val="21"/>
                <w:highlight w:val="none"/>
              </w:rPr>
              <w:t>政府采购严重违法失信名单</w:t>
            </w:r>
            <w:r>
              <w:rPr>
                <w:rFonts w:hint="eastAsia" w:cs="宋体" w:asciiTheme="minorEastAsia" w:hAnsiTheme="minorEastAsia"/>
                <w:kern w:val="0"/>
                <w:szCs w:val="21"/>
                <w:highlight w:val="none"/>
              </w:rPr>
              <w:t>、政府采购严重违法失信行为记录名单、严重违法失信企业名单（黑名单）、严重违法失信社会组织名单的投标人，将拒绝其参与本次政府采购活动。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highlight w:val="none"/>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300万</w:t>
            </w:r>
            <w:r>
              <w:rPr>
                <w:rFonts w:hint="eastAsia" w:cs="宋体" w:asciiTheme="minorEastAsia" w:hAnsiTheme="minorEastAsia"/>
                <w:bCs/>
                <w:szCs w:val="21"/>
                <w:lang w:val="zh-CN"/>
              </w:rPr>
              <w:t>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2019</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6</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10</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递交投标文件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及开标地点</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许昌市公共资源交易中心三楼开标</w:t>
            </w:r>
            <w:r>
              <w:rPr>
                <w:rFonts w:hint="eastAsia" w:cs="宋体" w:asciiTheme="minorEastAsia" w:hAnsiTheme="minorEastAsia"/>
                <w:bCs/>
                <w:szCs w:val="21"/>
                <w:u w:val="none"/>
                <w:lang w:val="zh-CN"/>
              </w:rPr>
              <w:t>四</w:t>
            </w:r>
            <w:r>
              <w:rPr>
                <w:rFonts w:hint="eastAsia" w:cs="宋体" w:asciiTheme="minorEastAsia" w:hAnsiTheme="minorEastAsia"/>
                <w:bCs/>
                <w:szCs w:val="21"/>
                <w:lang w:val="zh-CN"/>
              </w:rPr>
              <w:t>室（</w:t>
            </w:r>
            <w:r>
              <w:rPr>
                <w:rFonts w:cs="宋体" w:asciiTheme="minorEastAsia" w:hAnsiTheme="minorEastAsia"/>
                <w:bCs/>
                <w:szCs w:val="21"/>
                <w:lang w:val="zh-CN"/>
              </w:rPr>
              <w:t>龙兴路与竹林路交汇处</w:t>
            </w:r>
            <w:r>
              <w:rPr>
                <w:rFonts w:hint="eastAsia" w:cs="宋体" w:asciiTheme="minorEastAsia" w:hAnsiTheme="minorEastAsia"/>
                <w:bCs/>
                <w:szCs w:val="21"/>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缴纳截止时间：同投标截止时间。</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金额：陆万元（¥</w:t>
            </w:r>
            <w:r>
              <w:rPr>
                <w:rFonts w:hint="eastAsia" w:cs="仿宋_GB2312" w:asciiTheme="minorEastAsia" w:hAnsiTheme="minorEastAsia"/>
                <w:szCs w:val="21"/>
                <w:lang w:val="en-US" w:eastAsia="zh-CN"/>
              </w:rPr>
              <w:t>60000</w:t>
            </w:r>
            <w:r>
              <w:rPr>
                <w:rFonts w:hint="eastAsia" w:cs="仿宋_GB2312" w:asciiTheme="minorEastAsia" w:hAnsiTheme="minorEastAsia"/>
                <w:szCs w:val="21"/>
                <w:lang w:val="zh-CN"/>
              </w:rPr>
              <w:t>元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二、使用银行转帐形式的，于缴纳截止时间前通过投标人注册银行账户将款项一次足额递交、成功绑定，以收款人</w:t>
            </w:r>
            <w:bookmarkStart w:id="14" w:name="_GoBack"/>
            <w:bookmarkEnd w:id="14"/>
            <w:r>
              <w:rPr>
                <w:rFonts w:hint="eastAsia" w:cs="仿宋_GB2312" w:asciiTheme="minorEastAsia" w:hAnsiTheme="minorEastAsia"/>
                <w:szCs w:val="21"/>
                <w:lang w:val="zh-CN"/>
              </w:rPr>
              <w:t>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三、投标保证金缴纳方式：</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1、投标人网上下载招标文件后，登录</w:t>
            </w:r>
            <w:r>
              <w:fldChar w:fldCharType="begin"/>
            </w:r>
            <w:r>
              <w:instrText xml:space="preserve"> HYPERLINK "http://221.14.6.70:8088/ggzy" </w:instrText>
            </w:r>
            <w:r>
              <w:fldChar w:fldCharType="separate"/>
            </w:r>
            <w:r>
              <w:rPr>
                <w:rFonts w:hint="eastAsia" w:cs="仿宋_GB2312" w:asciiTheme="minorEastAsia" w:hAnsiTheme="minorEastAsia"/>
                <w:szCs w:val="21"/>
                <w:lang w:val="zh-CN"/>
              </w:rPr>
              <w:t>http://221.14.6.70:8088/ggzy</w:t>
            </w:r>
            <w:r>
              <w:rPr>
                <w:rFonts w:hint="eastAsia" w:cs="仿宋_GB2312" w:asciiTheme="minorEastAsia" w:hAnsiTheme="minorEastAsia"/>
                <w:szCs w:val="21"/>
                <w:lang w:val="zh-CN"/>
              </w:rPr>
              <w:fldChar w:fldCharType="end"/>
            </w:r>
            <w:r>
              <w:rPr>
                <w:rFonts w:hint="eastAsia" w:cs="仿宋_GB2312" w:asciiTheme="minorEastAsia" w:hAnsiTheme="minorEastAsia"/>
                <w:szCs w:val="21"/>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8、未按上述规定操作引起的无效投标，由投标人自行负责。</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szCs w:val="21"/>
                <w:highlight w:val="none"/>
                <w:lang w:val="zh-CN"/>
              </w:rPr>
            </w:pPr>
            <w:r>
              <w:rPr>
                <w:rFonts w:hint="eastAsia" w:cs="仿宋_GB2312" w:asciiTheme="minorEastAsia" w:hAnsiTheme="minorEastAsia"/>
                <w:szCs w:val="21"/>
                <w:lang w:val="zh-CN"/>
              </w:rPr>
              <w:t>四、凡投标人投标保证金交纳至同一标段相同子账号的，保证金暂不予退还，并依照《许昌市公共资源交易当事人不良行为管理暂行办法》（许公管委〔2017〕</w:t>
            </w:r>
            <w:r>
              <w:rPr>
                <w:rFonts w:hint="eastAsia" w:cs="仿宋_GB2312" w:asciiTheme="minorEastAsia" w:hAnsiTheme="minorEastAsia"/>
                <w:szCs w:val="21"/>
                <w:highlight w:val="none"/>
                <w:lang w:val="zh-CN"/>
              </w:rPr>
              <w:t>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五、投标保证金退还咨询电话：0374-2968027（许昌市公共资源交易中心交易见证部）。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招标公告、中标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电子投标文件：成功上传至《全国公共资源交易平台（河南省·许昌市）》公共资源交易系统加密电子投标文件1份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份，副本一份。使用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highlight w:val="none"/>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ascii="新宋体" w:hAnsi="新宋体" w:eastAsia="新宋体"/>
                <w:szCs w:val="21"/>
                <w:highlight w:val="none"/>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none"/>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ascii="新宋体" w:hAnsi="新宋体" w:eastAsia="新宋体"/>
                <w:szCs w:val="21"/>
                <w:highlight w:val="none"/>
              </w:rPr>
              <w:t>纸质投标文件：投标文件封面加盖投标人公章（投标文件是指投标人电子投标文件制作完成后生成的后缀名为</w:t>
            </w:r>
            <w:r>
              <w:rPr>
                <w:rFonts w:hint="eastAsia" w:hAnsi="宋体"/>
                <w:color w:val="000000"/>
                <w:szCs w:val="21"/>
                <w:highlight w:val="none"/>
              </w:rPr>
              <w:t>“.PDF”的文件</w:t>
            </w:r>
            <w:r>
              <w:rPr>
                <w:rFonts w:hint="eastAsia" w:ascii="新宋体" w:hAnsi="新宋体" w:eastAsia="新宋体"/>
                <w:szCs w:val="21"/>
                <w:highlight w:val="none"/>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szCs w:val="21"/>
                <w:highlight w:val="none"/>
                <w:lang w:val="zh-CN"/>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cs="仿宋_GB2312" w:asciiTheme="minorEastAsia" w:hAnsiTheme="minorEastAsia"/>
                <w:szCs w:val="21"/>
                <w:highlight w:val="none"/>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highlight w:val="none"/>
                <w:lang w:val="zh-CN"/>
              </w:rPr>
            </w:pPr>
            <w:r>
              <w:rPr>
                <w:rFonts w:hint="eastAsia" w:cs="仿宋_GB2312" w:asciiTheme="minorEastAsia" w:hAnsiTheme="minorEastAsia"/>
                <w:szCs w:val="21"/>
                <w:highlight w:val="none"/>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highlight w:val="none"/>
                <w:lang w:val="zh-CN"/>
              </w:rPr>
            </w:pPr>
            <w:r>
              <w:rPr>
                <w:rFonts w:cs="宋体" w:asciiTheme="minorEastAsia" w:hAnsiTheme="minorEastAsia"/>
                <w:b/>
                <w:color w:val="000000"/>
                <w:kern w:val="0"/>
                <w:szCs w:val="21"/>
                <w:highlight w:val="none"/>
                <w:lang w:val="zh-CN"/>
              </w:rPr>
              <w:fldChar w:fldCharType="begin"/>
            </w:r>
            <w:r>
              <w:rPr>
                <w:rFonts w:cs="宋体" w:asciiTheme="minorEastAsia" w:hAnsiTheme="minorEastAsia"/>
                <w:b/>
                <w:color w:val="000000"/>
                <w:kern w:val="0"/>
                <w:szCs w:val="21"/>
                <w:highlight w:val="none"/>
                <w:lang w:val="zh-CN"/>
              </w:rPr>
              <w:instrText xml:space="preserve"> </w:instrText>
            </w:r>
            <w:r>
              <w:rPr>
                <w:rFonts w:hint="eastAsia" w:cs="宋体" w:asciiTheme="minorEastAsia" w:hAnsiTheme="minorEastAsia"/>
                <w:b/>
                <w:color w:val="000000"/>
                <w:kern w:val="0"/>
                <w:szCs w:val="21"/>
                <w:highlight w:val="none"/>
                <w:lang w:val="zh-CN"/>
              </w:rPr>
              <w:instrText xml:space="preserve">eq \o\ac(□,</w:instrText>
            </w:r>
            <w:r>
              <w:rPr>
                <w:rFonts w:hint="eastAsia" w:cs="宋体" w:asciiTheme="minorEastAsia" w:hAnsiTheme="minorEastAsia"/>
                <w:b/>
                <w:color w:val="000000"/>
                <w:kern w:val="0"/>
                <w:position w:val="2"/>
                <w:szCs w:val="21"/>
                <w:highlight w:val="none"/>
                <w:lang w:val="zh-CN"/>
              </w:rPr>
              <w:instrText xml:space="preserve">√</w:instrText>
            </w:r>
            <w:r>
              <w:rPr>
                <w:rFonts w:hint="eastAsia" w:cs="宋体" w:asciiTheme="minorEastAsia" w:hAnsiTheme="minorEastAsia"/>
                <w:b/>
                <w:color w:val="000000"/>
                <w:kern w:val="0"/>
                <w:szCs w:val="21"/>
                <w:highlight w:val="none"/>
                <w:lang w:val="zh-CN"/>
              </w:rPr>
              <w:instrText xml:space="preserve">)</w:instrText>
            </w:r>
            <w:r>
              <w:rPr>
                <w:rFonts w:cs="宋体" w:asciiTheme="minorEastAsia" w:hAnsiTheme="minorEastAsia"/>
                <w:b/>
                <w:color w:val="000000"/>
                <w:kern w:val="0"/>
                <w:szCs w:val="21"/>
                <w:highlight w:val="none"/>
                <w:lang w:val="zh-CN"/>
              </w:rPr>
              <w:fldChar w:fldCharType="end"/>
            </w:r>
            <w:r>
              <w:rPr>
                <w:rFonts w:hint="eastAsia" w:cs="宋体" w:asciiTheme="minorEastAsia" w:hAnsiTheme="minorEastAsia"/>
                <w:bCs/>
                <w:szCs w:val="21"/>
                <w:highlight w:val="none"/>
                <w:lang w:val="zh-CN"/>
              </w:rPr>
              <w:t>无要求</w:t>
            </w:r>
          </w:p>
          <w:p>
            <w:pPr>
              <w:autoSpaceDE w:val="0"/>
              <w:autoSpaceDN w:val="0"/>
              <w:adjustRightInd w:val="0"/>
              <w:spacing w:line="360" w:lineRule="auto"/>
              <w:rPr>
                <w:rFonts w:cs="宋体" w:asciiTheme="minorEastAsia" w:hAnsiTheme="minorEastAsia"/>
                <w:bCs/>
                <w:szCs w:val="21"/>
                <w:highlight w:val="none"/>
                <w:lang w:val="zh-CN"/>
              </w:rPr>
            </w:pPr>
            <w:r>
              <w:rPr>
                <w:rFonts w:hint="eastAsia" w:cs="宋体" w:asciiTheme="minorEastAsia" w:hAnsiTheme="minorEastAsia"/>
                <w:b/>
                <w:bCs/>
                <w:szCs w:val="21"/>
                <w:highlight w:val="none"/>
                <w:lang w:val="zh-CN"/>
              </w:rPr>
              <w:t>□</w:t>
            </w:r>
            <w:r>
              <w:rPr>
                <w:rFonts w:hint="eastAsia" w:cs="宋体" w:asciiTheme="minorEastAsia" w:hAnsiTheme="minorEastAsia"/>
                <w:color w:val="333333"/>
                <w:szCs w:val="21"/>
                <w:highlight w:val="none"/>
              </w:rPr>
              <w:t>要求提交。履约保证金的数额为合同金额</w:t>
            </w:r>
            <w:r>
              <w:rPr>
                <w:rFonts w:hint="eastAsia" w:ascii="新宋体" w:hAnsi="新宋体" w:eastAsia="新宋体"/>
                <w:szCs w:val="21"/>
                <w:highlight w:val="none"/>
              </w:rPr>
              <w:t>的10%</w:t>
            </w:r>
            <w:r>
              <w:rPr>
                <w:rFonts w:hint="eastAsia" w:cs="宋体" w:asciiTheme="minorEastAsia" w:hAnsiTheme="minorEastAsia"/>
                <w:color w:val="333333"/>
                <w:szCs w:val="21"/>
                <w:highlight w:val="none"/>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中标人需提交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中标人在接到中标通知时，须</w:t>
            </w:r>
            <w:r>
              <w:rPr>
                <w:rFonts w:hint="eastAsia" w:ascii="新宋体" w:hAnsi="新宋体" w:eastAsia="新宋体"/>
                <w:szCs w:val="21"/>
                <w:highlight w:val="none"/>
              </w:rPr>
              <w:t>向许昌市公共资源交易中心交易见证部发</w:t>
            </w:r>
            <w:r>
              <w:rPr>
                <w:rFonts w:hint="eastAsia" w:cs="宋体" w:asciiTheme="minorEastAsia" w:hAnsiTheme="minorEastAsia"/>
                <w:bCs/>
                <w:szCs w:val="21"/>
                <w:highlight w:val="none"/>
                <w:lang w:val="zh-CN"/>
              </w:rPr>
              <w:t xml:space="preserve">送投标报价及分项报价一览表（包含主要中标标的的名称、规格型号、数量、单价、服务要求等）电子文档，并同时通知交易见证部。联系电话：0374-2968027；邮箱：jzb2968027@163.com。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□否。投标人投标时须提供纸质投标文件。投标人资质、业绩、荣誉及相关人员证明材料等资料原件根据招标文件要求提供。</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39"/>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39"/>
        <w:autoSpaceDE w:val="0"/>
        <w:autoSpaceDN w:val="0"/>
        <w:spacing w:line="360" w:lineRule="auto"/>
        <w:ind w:left="780"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39"/>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39"/>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、政府采购严重违法失信行为记录名单、严重违法失信企业名单（黑名单）、严重违法失信社会组织名单（联合体形式投标的，联合体成员存在不良信用记录，视同联合体存在不良信用记录）。</w:t>
      </w:r>
    </w:p>
    <w:p>
      <w:pPr>
        <w:pStyle w:val="39"/>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39"/>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pStyle w:val="39"/>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pStyle w:val="39"/>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、政府采购严重违法失信行为记录名单、严重违法失信企业名单（黑名单）、严重违法失信社会组织名单的投标人，将拒绝其参与本次政府采购活动。</w:t>
      </w:r>
    </w:p>
    <w:p>
      <w:pPr>
        <w:pStyle w:val="39"/>
        <w:autoSpaceDE w:val="0"/>
        <w:autoSpaceDN w:val="0"/>
        <w:spacing w:line="360" w:lineRule="auto"/>
        <w:ind w:left="850" w:leftChars="405" w:firstLine="0"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单位负责人为同一人或者存在直接控股、管理关系的不同供应商，不得同时参加本项目投标。违反规定的，相关投标均无效。</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为采购项目提供整体设计、规范编制或者项目管理、监理、检测等服务的供应商，不得再参加该采购项目的其他采购活动。</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“投标邀请”和“投标人须知前附表”规定接受联合体投标的，除应符合本章第</w:t>
      </w:r>
      <w:r>
        <w:rPr>
          <w:rFonts w:cs="宋体" w:asciiTheme="minorEastAsia" w:hAnsiTheme="minorEastAsia"/>
          <w:kern w:val="0"/>
          <w:szCs w:val="21"/>
          <w:highlight w:val="none"/>
        </w:rPr>
        <w:t>3.1</w:t>
      </w:r>
      <w:r>
        <w:rPr>
          <w:rFonts w:hint="eastAsia" w:cs="宋体" w:asciiTheme="minorEastAsia" w:hAnsiTheme="minorEastAsia"/>
          <w:kern w:val="0"/>
          <w:szCs w:val="21"/>
          <w:highlight w:val="none"/>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（1）在投标文件中向采购人提交联合体协议书，明确联合体各方承担的工作和义务；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（2）联合体中有同类资质的供应商按联合体分工承担相同工作的，应当按照资质等级较低的供应商确定资质等级；</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（3）招标人根据采购项目的特殊要求规定投标人特定条件的，联合体各方中至少应当有一方符合采购规定的特定条件。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（4）联合体各方不得再单独参加或者与其他供应商另外组成联合体参加同一合同项下的政府采购活动。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39"/>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w:t>
      </w:r>
      <w:r>
        <w:rPr>
          <w:rFonts w:hint="eastAsia" w:cs="宋体" w:asciiTheme="minorEastAsia" w:hAnsiTheme="minorEastAsia"/>
          <w:kern w:val="0"/>
          <w:szCs w:val="21"/>
          <w:highlight w:val="none"/>
        </w:rPr>
        <w:t>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highlight w:val="none"/>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highlight w:val="none"/>
        </w:rPr>
        <w:t>采购代理机构代理费用收取标准和方式</w:t>
      </w:r>
    </w:p>
    <w:p>
      <w:pPr>
        <w:pStyle w:val="39"/>
        <w:numPr>
          <w:ilvl w:val="0"/>
          <w:numId w:val="9"/>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收取标准：不收取。详见投标人须知前附表。</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highlight w:val="none"/>
        </w:rPr>
        <w:t>收取方式：一次性以银</w:t>
      </w:r>
      <w:r>
        <w:rPr>
          <w:rFonts w:hint="eastAsia" w:cs="宋体" w:asciiTheme="minorEastAsia" w:hAnsiTheme="minorEastAsia"/>
          <w:kern w:val="0"/>
          <w:szCs w:val="21"/>
        </w:rPr>
        <w:t>行划账、电汇、汇票或支票的形式支付。</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投标有效期内投标人撤销投标文件的，招标人将不退还投标保证金。</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投标人根据招标文件的规定和采购项目的实际情</w:t>
      </w:r>
      <w:r>
        <w:rPr>
          <w:rFonts w:hint="eastAsia" w:cs="宋体" w:asciiTheme="minorEastAsia" w:hAnsiTheme="minorEastAsia"/>
          <w:kern w:val="0"/>
          <w:szCs w:val="21"/>
          <w:highlight w:val="none"/>
        </w:rPr>
        <w:t>况，拟在中标后将中标项目的非主体、非关键性工作分包的，应当在投标文件中载明分包承担主体，分包承担主体应当具备相应资质条件且不得再次分包。</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highlight w:val="none"/>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Pr>
          <w:rFonts w:cs="宋体" w:asciiTheme="minorEastAsia" w:hAnsiTheme="minorEastAsia"/>
          <w:kern w:val="0"/>
          <w:szCs w:val="21"/>
          <w:highlight w:val="none"/>
        </w:rPr>
        <w:t>.file</w:t>
      </w:r>
      <w:r>
        <w:rPr>
          <w:rFonts w:hint="eastAsia" w:cs="宋体" w:asciiTheme="minorEastAsia" w:hAnsiTheme="minorEastAsia"/>
          <w:kern w:val="0"/>
          <w:szCs w:val="21"/>
          <w:highlight w:val="none"/>
        </w:rPr>
        <w:t>”的文件用于电子投标使用，后缀名为“.PDF”的文件用于打印纸质投</w:t>
      </w:r>
      <w:r>
        <w:rPr>
          <w:rFonts w:hint="eastAsia" w:cs="宋体" w:asciiTheme="minorEastAsia" w:hAnsiTheme="minorEastAsia"/>
          <w:kern w:val="0"/>
          <w:szCs w:val="21"/>
        </w:rPr>
        <w:t>标文件，名称为“备份”的文件夹使用电子介质存储，供开标现场备用。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电子投标文件制作技术咨询：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投标文件格式</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39"/>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（1）投标人应按“投标人须知前附表”规定时间及金额提交投标保证金，并作为其投标的一部分。未按要求提交投标保证金的投标文件为无效投标。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（2）投标保证金用于避免和减少本次招标由于投标人的行为而给采购人带来的损失。</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（5）投标保证金缴纳方式：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投标人网上下载招标文件后，登录</w:t>
      </w:r>
      <w:r>
        <w:fldChar w:fldCharType="begin"/>
      </w:r>
      <w:r>
        <w:instrText xml:space="preserve"> HYPERLINK "http://221.14.6.70:8088/ggzy" </w:instrText>
      </w:r>
      <w:r>
        <w:fldChar w:fldCharType="separate"/>
      </w:r>
      <w:r>
        <w:rPr>
          <w:rFonts w:hint="eastAsia" w:cs="宋体" w:asciiTheme="minorEastAsia" w:hAnsiTheme="minorEastAsia"/>
          <w:kern w:val="0"/>
          <w:szCs w:val="21"/>
        </w:rPr>
        <w:t>http://221.14.6.70:8088/ggzy</w:t>
      </w:r>
      <w:r>
        <w:rPr>
          <w:rFonts w:hint="eastAsia" w:cs="宋体" w:asciiTheme="minorEastAsia" w:hAnsiTheme="minorEastAsia"/>
          <w:kern w:val="0"/>
          <w:szCs w:val="21"/>
        </w:rPr>
        <w:fldChar w:fldCharType="end"/>
      </w:r>
      <w:r>
        <w:rPr>
          <w:rFonts w:hint="eastAsia" w:cs="宋体" w:asciiTheme="minorEastAsia" w:hAnsiTheme="minorEastAsia"/>
          <w:kern w:val="0"/>
          <w:szCs w:val="21"/>
        </w:rPr>
        <w:t>系统，依次点击“会员向导”→“参与投标”→“费用缴纳说明”→“保证金缴纳说明单”，获取缴费说明单，根据每个标段的缴纳说明单在缴纳截止时间前缴纳；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成功缴纳后重新登录前述系统，依次点击“会员向导”→“参与投标”→“保证金绑定”→“绑定”进行投标保证金绑定。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《保证金缴纳绑定操作指南》获取方法：登录许昌公共资源交易系统-组件下载-《保证金缴纳绑定操作指南》。</w:t>
      </w:r>
    </w:p>
    <w:p>
      <w:pPr>
        <w:autoSpaceDE w:val="0"/>
        <w:autoSpaceDN w:val="0"/>
        <w:spacing w:line="360" w:lineRule="auto"/>
        <w:ind w:left="964"/>
        <w:contextualSpacing/>
        <w:rPr>
          <w:rFonts w:cs="仿宋_GB2312" w:asciiTheme="minorEastAsia" w:hAnsiTheme="minorEastAsia"/>
          <w:szCs w:val="21"/>
          <w:lang w:val="zh-CN"/>
        </w:rPr>
      </w:pPr>
      <w:r>
        <w:rPr>
          <w:rFonts w:hint="eastAsia" w:cs="宋体" w:asciiTheme="minorEastAsia" w:hAnsiTheme="minor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每个投标人每个项目每个标段只有唯一缴纳账号，切勿重复缴纳或错误缴纳。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投标人所提交的投标保证金仅限当次投标项目（标段）有效，不得重复替代使用。一个招标项目有多个标段或者有多个项目同时招标的，投标人必须按项目、标段分别提交投标保证金。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 不同投标人的投标保证金不得从同一单位或者个人的账户转出。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 未按上述规定操作引起的无效投标，由投标人自行负责。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（10） 汇款凭证无需备注项目编号和项目名称。</w:t>
      </w:r>
    </w:p>
    <w:p>
      <w:pPr>
        <w:pStyle w:val="39"/>
        <w:numPr>
          <w:ilvl w:val="1"/>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退还投标保证金时，区别中标与否，按不同时序由银行按来款途径退还原账户。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自中标通知书发出之日起</w:t>
      </w:r>
      <w:r>
        <w:rPr>
          <w:rFonts w:cs="宋体" w:asciiTheme="minorEastAsia" w:hAnsiTheme="minorEastAsia"/>
          <w:kern w:val="0"/>
          <w:szCs w:val="21"/>
        </w:rPr>
        <w:t>5</w:t>
      </w:r>
      <w:r>
        <w:rPr>
          <w:rFonts w:hint="eastAsia" w:cs="宋体" w:asciiTheme="minorEastAsia" w:hAnsiTheme="minorEastAsia"/>
          <w:kern w:val="0"/>
          <w:szCs w:val="21"/>
        </w:rPr>
        <w:t>个工作日内退还未中标人的投标保证金。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自采购合同签订之日起</w:t>
      </w:r>
      <w:r>
        <w:rPr>
          <w:rFonts w:cs="宋体" w:asciiTheme="minorEastAsia" w:hAnsiTheme="minorEastAsia"/>
          <w:kern w:val="0"/>
          <w:szCs w:val="21"/>
        </w:rPr>
        <w:t>5</w:t>
      </w:r>
      <w:r>
        <w:rPr>
          <w:rFonts w:hint="eastAsia" w:cs="宋体" w:asciiTheme="minorEastAsia" w:hAnsiTheme="minorEastAsia"/>
          <w:kern w:val="0"/>
          <w:szCs w:val="21"/>
        </w:rPr>
        <w:t>个工作日内退还中标人的投标保证金。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因投标人自身原因无法及时退还投标保证金，滞留三年以上的，投标保证金上缴财政。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有下列情形之一的，投标保证金不予退还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投标有效期内投标人撤销投标文件的；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投标人在投标文件中提供虚假材料的；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除因不可抗力或招标文件认可的情形以外，中标人不与采购人签订合同的；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投标人与采购人、其他投标人或者采购代理机构恶意串通的；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e. 法律法规及招标文件规定的其他情形。</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投标文件的数量和签署盖章</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投标人应提交投标文件份数见“投标人须知前附表”。</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在招标文件中已明示需盖章及签名之处，电子投标文件应按招标文件要求加盖投标人电子印章和法人电子印章或授权代表电子印章。</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纸质投标文件是指投标人电子投标文件制作完成后生成的后缀名为“.PDF”的文件打印的投标文件。纸质投标文件正本和副本封面上应清楚标明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字样；一旦正本和副本内容不一致时，以正本为准。纸质投标文件的正本及所有副本的封面均须由投标人加盖投标人公章。</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四、投标文件的递交</w:t>
      </w: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投标文件的密封</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投标人应将纸质投标文件“正本”、“ 副本”密封包装。使用电子介质存储的投标文件单独密封包装，并随纸质投标文件一并提交。</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投标文件如果未按规定密封，招标人将拒绝接收。</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投标截止时间</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投标人必须在“投标邀请”和“投标人须知前附表”中规定的投标截止时间前，将所有投标文件送达招标文件指定的开标地点。</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招标人收到投标文件后，应当如实记载投标文件的送达时间和密封情况，签收保存，并向投标人出具签收回执。任何单位和个人不得在开标前开启投标文件。</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迟交的投标文件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投标截止时间之后送达/上传的投标文件，招标人将拒绝接收。</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投标文件的修改和撤回</w:t>
      </w:r>
    </w:p>
    <w:p>
      <w:pPr>
        <w:pStyle w:val="39"/>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投标人在投标截止时间前，对所递交的纸质投标文件进行补充、修改或者撤回的，须书面通知招标人。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投标人应当在投标截止时间前完成电子投标文件的提交，可以补充、修改或撤回。投标截止时间前未完成电子投标文件提交、取得“投标文件提交回执单”的，视为撤回投标文件。</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投标人补充、修改的内容并作为投标文件的组成部分。补充或修改应当按招标文件要求签署、盖章、密封、递交，并应注明“修改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投标人在递交纸质投标文件后，可以撤回其投标，但投标人必须在规定的投标截止时间前以书面形式告知招标人。</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投标人不得在投标有效期内撤销投标文件，否则招标人将不退还其投标保证金。</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五、开标和评标</w:t>
      </w: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开标</w:t>
      </w:r>
    </w:p>
    <w:p>
      <w:pPr>
        <w:pStyle w:val="39"/>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招标人将按招标文件规定的时间和地点组织公开开标。开标由代理机构主持，邀请投标人参加。评标委员会成员不得参加开标活动。</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招标人应当对开标、评标现场活动进行全程录音录像。录音录像应当清晰可辨，音像资料作为采购文件一并存档。</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（1）电子投标文件的解密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全流程电子化交易项目电子投标文件采用双重加密。解密需分标段进行两次解密。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投标人解密：投标人使用本单位CA数字证书远程或现场进行解密。需开标现场使用一体机进行解密的，请在代理机构引导下进行。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代理机构解密：代理机构</w:t>
      </w:r>
      <w:r>
        <w:rPr>
          <w:rFonts w:cs="宋体" w:asciiTheme="minorEastAsia" w:hAnsiTheme="minorEastAsia"/>
          <w:kern w:val="0"/>
          <w:szCs w:val="21"/>
        </w:rPr>
        <w:t>按</w:t>
      </w:r>
      <w:r>
        <w:rPr>
          <w:rFonts w:hint="eastAsia" w:cs="宋体" w:asciiTheme="minorEastAsia" w:hAnsiTheme="minorEastAsia"/>
          <w:kern w:val="0"/>
          <w:szCs w:val="21"/>
        </w:rPr>
        <w:t>电子</w:t>
      </w:r>
      <w:r>
        <w:rPr>
          <w:rFonts w:cs="宋体" w:asciiTheme="minorEastAsia" w:hAnsiTheme="minorEastAsia"/>
          <w:kern w:val="0"/>
          <w:szCs w:val="21"/>
        </w:rPr>
        <w:t>投标</w:t>
      </w:r>
      <w:r>
        <w:rPr>
          <w:rFonts w:hint="eastAsia" w:cs="宋体" w:asciiTheme="minorEastAsia" w:hAnsiTheme="minorEastAsia"/>
          <w:kern w:val="0"/>
          <w:szCs w:val="21"/>
        </w:rPr>
        <w:t>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电子投标文件解密异常情况处理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因电子交易系统异常无法解密电子投标文件的，使用纸质投标文件以人工方式进行。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投标人不足3家的，不得开标。</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开标过程由采购代理机构负责记录，由参加开标的各投标人代表和相关工作人员签字确认后随采购文件一并存档。</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投标人未参加开标的，视同认可开标结果。</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rPr>
        <w:t>评标委员会的组成</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left="991" w:leftChars="202" w:hanging="567" w:hangingChars="27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26.1.1  招标人将依法组建评标委员会，评标委员会由评审专家组成，成员人数应当为5人以上单数。评审专家依法从政府采购评审专家库中随机抽取。</w:t>
      </w:r>
    </w:p>
    <w:p>
      <w:pPr>
        <w:autoSpaceDE w:val="0"/>
        <w:autoSpaceDN w:val="0"/>
        <w:spacing w:line="360" w:lineRule="auto"/>
        <w:ind w:left="426"/>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26.1.2  采购项目符合下列情形之一的，评标委员会成员人数应当为7人以上单数：</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（1）采购预算金额在1000万元以上；</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（2）技术复杂；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（3）社会影响较大。</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评审专家对本单位的采购项目只能作为采购人代表参与评标。采购代理机构工作人员不得参加由本机构代理的政府采购项目的评标。</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（1）参加采购活动前三年内,与供应商存在劳动关系,或者担任过供应商的董事、监事,或者是供应商的控股股东或实际控制人；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（2）与供应商的法定代表人或者负责人有夫妻、直系血亲、三代以内旁系血亲或者近姻亲关系；</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（3）与供应商有其他可能影响政府采购活动公平、公正进行的关系。</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（1）投标文件中开标一览表(报价表)内容与投标文件中相应内容不一致的，以开标一览表(报价表)为准；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（2）大写金额和小写金额不一致的，以大写金额为准；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单价金额小数点或者百分比有明显错位的，以开标一览表的总价为准，并修改单价；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39"/>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（1）未按照招标文件的规定提交投标保证金的；</w:t>
      </w:r>
      <w:r>
        <w:rPr>
          <w:rFonts w:cs="宋体" w:asciiTheme="minorEastAsia" w:hAnsiTheme="minorEastAsia"/>
          <w:kern w:val="0"/>
          <w:szCs w:val="21"/>
        </w:rPr>
        <w:t xml:space="preserve">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投标文件未按招标文件要求签署、盖章的；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不具备招标文件中规定的资格要求的；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报价超过招标文件中规定的预算金额或者最高限价的；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（5） </w:t>
      </w: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不同投标人的投标文件由同一单位或者个人编制；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不同投标人委托同一单位或者个人办理投标事宜；</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不同投标人的投标文件载明的项目管理成员或者联系人员为同一人；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不同投标人的投标文件异常一致或者投标报价呈规律性差异；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不同投标人的投标文件相互混装；</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不同投标人的投标保证金从同一单位或者个人的账户转出。</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法律、法规和招标文件规定的其他无效情形。</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39"/>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最低评标价法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最低评标价法，是指投标文件满足招标文件全部实质性要求，且投标报价最低的投标人为中标候选人的评标方法。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采用最低评标价法评标时，除了算术修正和落实政府采购政策需进行的价格扣除外，不能对投标人的投标价格进行任何调整。</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综合评分法，是指投标文件满足招标文件全部实质性要求，且按照评审因素的量化指标评审得分最高的投标人为中标候选人的评标方法。</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评标过程中，不得去掉报价中的最高报价和最低报价。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因落实政府采购政策进行价格调整的，以调整后的价格计算评标基准价和投标报价。</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确定参与评标至评标结束前私自接触投标人；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接受投标人提出的与投标文件不一致的澄清或者说明，《投标人须知》26条规定的情形除外；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违反评标纪律发表倾向性意见或者征询采购人的倾向性意见；</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对需要专业判断的主观评审因素协商评分；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在评标过程中擅离职守，影响评标程序正常进行的；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记录、复制或者带走任何评标资料；</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其他不遵守评标纪律的行为。</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39"/>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39"/>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39"/>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39"/>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r>
        <w:rPr>
          <w:rFonts w:hint="eastAsia" w:cs="宋体" w:asciiTheme="minorEastAsia" w:hAnsiTheme="minorEastAsia"/>
          <w:kern w:val="0"/>
          <w:szCs w:val="21"/>
        </w:rPr>
        <w:br w:type="textWrapping"/>
      </w:r>
      <w:r>
        <w:rPr>
          <w:rFonts w:hint="eastAsia" w:cs="宋体" w:asciiTheme="minorEastAsia" w:hAnsiTheme="minorEastAsia"/>
          <w:kern w:val="0"/>
          <w:szCs w:val="21"/>
        </w:rPr>
        <w:t>（2） 对采购过程提出质疑的，为各采购程序环节结束之日起七个工作日内，以书面形式向采购人和采购代理机构一次性提出；</w:t>
      </w:r>
      <w:r>
        <w:rPr>
          <w:rFonts w:hint="eastAsia" w:cs="宋体" w:asciiTheme="minorEastAsia" w:hAnsiTheme="minorEastAsia"/>
          <w:kern w:val="0"/>
          <w:szCs w:val="21"/>
        </w:rPr>
        <w:br w:type="textWrapping"/>
      </w:r>
      <w:r>
        <w:rPr>
          <w:rFonts w:hint="eastAsia" w:cs="宋体" w:asciiTheme="minorEastAsia" w:hAnsiTheme="minorEastAsia"/>
          <w:kern w:val="0"/>
          <w:szCs w:val="21"/>
        </w:rPr>
        <w:t>（3） 对中标结果提出质疑的，为中标结果公告期限届满之日起七个工作日内，以书面形式向采购人和采购代理机构一次性提出。</w:t>
      </w:r>
    </w:p>
    <w:p>
      <w:pPr>
        <w:pStyle w:val="39"/>
        <w:numPr>
          <w:ilvl w:val="1"/>
          <w:numId w:val="7"/>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（1） </w:t>
      </w: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（2） </w:t>
      </w: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lang w:val="zh-CN"/>
        </w:rPr>
        <w:t>根据《中华人民共</w:t>
      </w:r>
      <w:r>
        <w:rPr>
          <w:rFonts w:hint="eastAsia" w:cs="仿宋_GB2312" w:asciiTheme="minorEastAsia" w:hAnsiTheme="minorEastAsia"/>
          <w:szCs w:val="21"/>
          <w:highlight w:val="none"/>
          <w:lang w:val="zh-CN"/>
        </w:rPr>
        <w:t>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highlight w:val="none"/>
          <w:lang w:val="zh-CN"/>
        </w:rPr>
      </w:pPr>
      <w:r>
        <w:rPr>
          <w:rFonts w:hint="eastAsia" w:cs="仿宋_GB2312" w:asciiTheme="minorEastAsia" w:hAnsiTheme="minorEastAsia" w:eastAsiaTheme="minorEastAsia"/>
          <w:b/>
          <w:sz w:val="21"/>
          <w:szCs w:val="21"/>
          <w:highlight w:val="none"/>
          <w:lang w:val="zh-CN"/>
        </w:rPr>
        <w:t>一、</w:t>
      </w:r>
      <w:r>
        <w:rPr>
          <w:rFonts w:hint="eastAsia" w:cs="仿宋_GB2312" w:asciiTheme="minorEastAsia" w:hAnsiTheme="minorEastAsia"/>
          <w:b/>
          <w:sz w:val="21"/>
          <w:szCs w:val="21"/>
          <w:highlight w:val="none"/>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1、按照财政部、工业和信息化部发布的《政府采购促进中小企业发展暂行办法》（财库[2011]181号）规定，本项目为非专门面向</w:t>
      </w:r>
      <w:r>
        <w:rPr>
          <w:rFonts w:hint="eastAsia" w:cs="仿宋_GB2312" w:asciiTheme="minorEastAsia" w:hAnsiTheme="minorEastAsia"/>
          <w:szCs w:val="21"/>
          <w:lang w:val="zh-CN"/>
        </w:rPr>
        <w:t>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2" w:name="OLE_LINK6"/>
      <w:r>
        <w:rPr>
          <w:rFonts w:hint="eastAsia" w:cs="仿宋_GB2312" w:asciiTheme="minorEastAsia" w:hAnsiTheme="minorEastAsia"/>
          <w:szCs w:val="21"/>
          <w:lang w:val="zh-CN"/>
        </w:rPr>
        <w:t>财库[2014]68号</w:t>
      </w:r>
      <w:bookmarkEnd w:id="2"/>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highlight w:val="none"/>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highlight w:val="none"/>
        </w:rPr>
      </w:pPr>
      <w:r>
        <w:rPr>
          <w:rFonts w:hint="eastAsia" w:asciiTheme="minorEastAsia" w:hAnsiTheme="minorEastAsia"/>
          <w:bCs/>
          <w:szCs w:val="21"/>
          <w:highlight w:val="none"/>
        </w:rPr>
        <w:t>（一）</w:t>
      </w:r>
      <w:r>
        <w:rPr>
          <w:rFonts w:asciiTheme="minorEastAsia" w:hAnsiTheme="minorEastAsia"/>
          <w:bCs/>
          <w:szCs w:val="21"/>
          <w:highlight w:val="none"/>
        </w:rPr>
        <w:t>开标结束后，</w:t>
      </w:r>
      <w:r>
        <w:rPr>
          <w:rFonts w:hint="eastAsia" w:asciiTheme="minorEastAsia" w:hAnsiTheme="minorEastAsia"/>
          <w:bCs/>
          <w:szCs w:val="21"/>
          <w:highlight w:val="none"/>
        </w:rPr>
        <w:t>采购人依法对投标人资格进行审查</w:t>
      </w:r>
      <w:r>
        <w:rPr>
          <w:rFonts w:asciiTheme="minorEastAsia" w:hAnsiTheme="minorEastAsia"/>
          <w:bCs/>
          <w:szCs w:val="21"/>
          <w:highlight w:val="none"/>
        </w:rPr>
        <w:t>。</w:t>
      </w:r>
      <w:r>
        <w:rPr>
          <w:rFonts w:hint="eastAsia" w:asciiTheme="minorEastAsia" w:hAnsiTheme="minorEastAsia"/>
          <w:bCs/>
          <w:szCs w:val="21"/>
          <w:highlight w:val="none"/>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（3）执业许可证。（非企业专业服务机构投标提供）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（5）自然人身份证明。（自然人投标提供）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①与本项目投标相关设备的购置发票、专业技术人员职称证书、用工合同等；</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②投标人具备履行合同所必须的设备和专业技术能力承诺函或声明（承诺函或声明格式自拟）。</w:t>
            </w:r>
          </w:p>
          <w:p>
            <w:pPr>
              <w:spacing w:line="360" w:lineRule="auto"/>
              <w:rPr>
                <w:rFonts w:asciiTheme="minorEastAsia" w:hAnsiTheme="minorEastAsia"/>
                <w:b/>
                <w:bCs/>
                <w:szCs w:val="21"/>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政府采购活动中查询及使用投标人信用记录的具体要求为：投标人未被列入</w:t>
            </w:r>
            <w:r>
              <w:rPr>
                <w:rFonts w:asciiTheme="minorEastAsia" w:hAnsiTheme="minorEastAsia"/>
                <w:bCs/>
                <w:szCs w:val="21"/>
                <w:highlight w:val="none"/>
              </w:rPr>
              <w:t>“信用中国”网站</w:t>
            </w:r>
            <w:r>
              <w:rPr>
                <w:rFonts w:hint="eastAsia" w:asciiTheme="minorEastAsia" w:hAnsiTheme="minorEastAsia"/>
                <w:bCs/>
                <w:szCs w:val="21"/>
                <w:highlight w:val="none"/>
              </w:rPr>
              <w:t>失信被执行人、重大税收违法案件当事人名单、</w:t>
            </w:r>
            <w:r>
              <w:rPr>
                <w:rFonts w:asciiTheme="minorEastAsia" w:hAnsiTheme="minorEastAsia"/>
                <w:bCs/>
                <w:szCs w:val="21"/>
                <w:highlight w:val="none"/>
              </w:rPr>
              <w:t>政府采购严重违法失信名单</w:t>
            </w:r>
            <w:r>
              <w:rPr>
                <w:rFonts w:hint="eastAsia" w:asciiTheme="minorEastAsia" w:hAnsiTheme="minorEastAsia"/>
                <w:bCs/>
                <w:szCs w:val="21"/>
                <w:highlight w:val="none"/>
              </w:rPr>
              <w:t>、“</w:t>
            </w:r>
            <w:r>
              <w:rPr>
                <w:rFonts w:asciiTheme="minorEastAsia" w:hAnsiTheme="minorEastAsia"/>
                <w:bCs/>
                <w:szCs w:val="21"/>
                <w:highlight w:val="none"/>
              </w:rPr>
              <w:t>中国政府采购网</w:t>
            </w:r>
            <w:r>
              <w:rPr>
                <w:rFonts w:hint="eastAsia" w:asciiTheme="minorEastAsia" w:hAnsiTheme="minorEastAsia"/>
                <w:bCs/>
                <w:szCs w:val="21"/>
                <w:highlight w:val="none"/>
              </w:rPr>
              <w:t>”政府采购严重违法失信行为记录名单、“国家企业信用公示系统”网站严重违法失信企业名单（黑名单）、</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）严重违法失信社会组织名单的投标人</w:t>
            </w:r>
            <w:r>
              <w:rPr>
                <w:rFonts w:hint="eastAsia" w:cs="仿宋_GB2312" w:asciiTheme="minorEastAsia" w:hAnsiTheme="minorEastAsia"/>
                <w:b/>
                <w:color w:val="000000"/>
                <w:szCs w:val="21"/>
                <w:highlight w:val="none"/>
              </w:rPr>
              <w:t>；</w:t>
            </w:r>
            <w:r>
              <w:rPr>
                <w:rFonts w:hint="eastAsia" w:asciiTheme="minorEastAsia" w:hAnsiTheme="minorEastAsia"/>
                <w:bCs/>
                <w:szCs w:val="21"/>
                <w:highlight w:val="none"/>
              </w:rPr>
              <w:t>（联合体形式投标的，联合体成员存在不良信用记录，视同联合体存在不良信用记录）。</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（1）查询渠道：</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①“信用中国”网站（</w:t>
            </w:r>
            <w:r>
              <w:rPr>
                <w:highlight w:val="none"/>
              </w:rPr>
              <w:fldChar w:fldCharType="begin"/>
            </w:r>
            <w:r>
              <w:rPr>
                <w:highlight w:val="none"/>
              </w:rPr>
              <w:instrText xml:space="preserve"> HYPERLINK "http://www.creditchina.gov.cn" </w:instrText>
            </w:r>
            <w:r>
              <w:rPr>
                <w:highlight w:val="none"/>
              </w:rPr>
              <w:fldChar w:fldCharType="separate"/>
            </w:r>
            <w:r>
              <w:rPr>
                <w:rStyle w:val="27"/>
                <w:rFonts w:hint="eastAsia" w:asciiTheme="minorEastAsia" w:hAnsiTheme="minorEastAsia"/>
                <w:bCs/>
                <w:szCs w:val="21"/>
                <w:highlight w:val="none"/>
              </w:rPr>
              <w:t>www.creditchina.gov.cn</w:t>
            </w:r>
            <w:r>
              <w:rPr>
                <w:rStyle w:val="27"/>
                <w:rFonts w:hint="eastAsia"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②“中国政府采购网”（www.ccgp.gov.cn）</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③“国家企业信用公示系统”网站（</w:t>
            </w:r>
            <w:r>
              <w:rPr>
                <w:highlight w:val="none"/>
              </w:rPr>
              <w:fldChar w:fldCharType="begin"/>
            </w:r>
            <w:r>
              <w:rPr>
                <w:highlight w:val="none"/>
              </w:rPr>
              <w:instrText xml:space="preserve"> HYPERLINK "http://www.gsxt.gov.cn" </w:instrText>
            </w:r>
            <w:r>
              <w:rPr>
                <w:highlight w:val="none"/>
              </w:rPr>
              <w:fldChar w:fldCharType="separate"/>
            </w:r>
            <w:r>
              <w:rPr>
                <w:rStyle w:val="27"/>
                <w:rFonts w:asciiTheme="minorEastAsia" w:hAnsiTheme="minorEastAsia"/>
                <w:bCs/>
                <w:szCs w:val="21"/>
                <w:highlight w:val="none"/>
              </w:rPr>
              <w:t>www.gsxt.gov.cn</w:t>
            </w:r>
            <w:r>
              <w:rPr>
                <w:rStyle w:val="27"/>
                <w:rFonts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④</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）（仅查询社会组织）</w:t>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（2）截止时间：同投标截止时间；</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（3）信用信息查询记录和证据留存具体方式：经采购人确认的查询结果网页截图作为查询记录和证据，与其他采购文件一并保存；</w:t>
            </w:r>
          </w:p>
          <w:p>
            <w:pPr>
              <w:spacing w:line="360" w:lineRule="auto"/>
              <w:rPr>
                <w:rFonts w:asciiTheme="minorEastAsia" w:hAnsiTheme="minorEastAsia"/>
                <w:b/>
                <w:bCs/>
                <w:szCs w:val="21"/>
                <w:highlight w:val="none"/>
              </w:rPr>
            </w:pPr>
            <w:r>
              <w:rPr>
                <w:rFonts w:hint="eastAsia" w:asciiTheme="minorEastAsia" w:hAnsiTheme="minorEastAsia"/>
                <w:bCs/>
                <w:szCs w:val="21"/>
                <w:highlight w:val="none"/>
              </w:rPr>
              <w:t>（4）信用信息的使用原则：经采购人认定的被列入失信被执行人、重大税收违法案件当事人名单、政府采购严重违法失信行为记录名单的投标人，严重违法失信企业名单（黑名单）、</w:t>
            </w:r>
            <w:r>
              <w:rPr>
                <w:rFonts w:hint="eastAsia" w:cs="仿宋_GB2312" w:asciiTheme="minorEastAsia" w:hAnsiTheme="minorEastAsia"/>
                <w:color w:val="000000"/>
                <w:szCs w:val="21"/>
                <w:highlight w:val="none"/>
              </w:rPr>
              <w:t>严重违法失信社会组织</w:t>
            </w:r>
            <w:r>
              <w:rPr>
                <w:rFonts w:hint="eastAsia" w:asciiTheme="minorEastAsia" w:hAnsiTheme="minorEastAsia"/>
                <w:bCs/>
                <w:szCs w:val="21"/>
                <w:highlight w:val="none"/>
              </w:rPr>
              <w:t>的投标人，将拒绝其参与本次政府采购活动。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3" w:name="baidusnap2"/>
            <w:bookmarkEnd w:id="3"/>
            <w:r>
              <w:rPr>
                <w:rFonts w:hint="eastAsia" w:cs="仿宋_GB2312" w:asciiTheme="minorEastAsia" w:hAnsiTheme="minorEastAsia"/>
                <w:szCs w:val="21"/>
                <w:lang w:val="zh-CN"/>
              </w:rPr>
              <w:t>提供未为本项目提供整体设计、</w:t>
            </w:r>
            <w:bookmarkStart w:id="4" w:name="baidusnap9"/>
            <w:bookmarkEnd w:id="4"/>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3"/>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3"/>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20" w:firstLineChars="200"/>
        <w:contextualSpacing/>
        <w:rPr>
          <w:rFonts w:hint="eastAsia" w:cs="仿宋_GB2312" w:asciiTheme="minorEastAsia" w:hAnsiTheme="minorEastAsia" w:eastAsiaTheme="minorEastAsia"/>
          <w:sz w:val="21"/>
          <w:szCs w:val="21"/>
          <w:highlight w:val="none"/>
          <w:lang w:val="zh-CN"/>
        </w:rPr>
      </w:pPr>
      <w:r>
        <w:rPr>
          <w:rFonts w:hint="eastAsia" w:cs="仿宋_GB2312" w:asciiTheme="minorEastAsia" w:hAnsiTheme="minorEastAsia" w:eastAsiaTheme="minorEastAsia"/>
          <w:sz w:val="21"/>
          <w:szCs w:val="21"/>
          <w:highlight w:val="none"/>
          <w:lang w:val="zh-CN"/>
        </w:rPr>
        <w:t>小型和微型企业不包含民办非企业单位。</w:t>
      </w:r>
    </w:p>
    <w:p>
      <w:pPr>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cs="仿宋_GB2312" w:asciiTheme="minorEastAsia" w:hAnsiTheme="minorEastAsia" w:eastAsiaTheme="minorEastAsia"/>
          <w:b/>
          <w:sz w:val="21"/>
          <w:szCs w:val="21"/>
          <w:lang w:val="zh-CN"/>
        </w:rPr>
        <w:t>关于相同品牌产品</w:t>
      </w:r>
      <w:r>
        <w:rPr>
          <w:rFonts w:cs="仿宋_GB2312" w:asciiTheme="minorEastAsia" w:hAnsiTheme="minorEastAsia" w:eastAsiaTheme="minorEastAsia"/>
          <w:b/>
          <w:bCs/>
          <w:sz w:val="21"/>
          <w:szCs w:val="21"/>
          <w:lang w:val="zh-CN"/>
        </w:rPr>
        <w:t>（服务类项目不适用本条款规定）</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（3）关于强制性产品认证</w:t>
      </w:r>
    </w:p>
    <w:p>
      <w:pPr>
        <w:spacing w:line="360" w:lineRule="auto"/>
        <w:ind w:firstLine="420" w:firstLineChars="200"/>
        <w:contextualSpacing/>
        <w:rPr>
          <w:rFonts w:cs="宋体" w:asciiTheme="minorEastAsia" w:hAnsiTheme="minorEastAsia"/>
          <w:kern w:val="0"/>
          <w:szCs w:val="21"/>
          <w:highlight w:val="none"/>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宋体" w:asciiTheme="minorEastAsia" w:hAnsiTheme="minorEastAsia"/>
          <w:kern w:val="0"/>
          <w:szCs w:val="21"/>
          <w:highlight w:val="none"/>
        </w:rPr>
        <w:t>2)投标人所投产品如被列入</w:t>
      </w:r>
      <w:r>
        <w:rPr>
          <w:rFonts w:cs="宋体" w:asciiTheme="minorEastAsia" w:hAnsiTheme="minorEastAsia"/>
          <w:kern w:val="0"/>
          <w:szCs w:val="21"/>
          <w:highlight w:val="none"/>
        </w:rPr>
        <w:t>《信息安全产品强制性认证目录》，</w:t>
      </w:r>
      <w:r>
        <w:rPr>
          <w:rFonts w:hint="eastAsia" w:cs="仿宋_GB2312" w:asciiTheme="minorEastAsia" w:hAnsiTheme="minorEastAsia"/>
          <w:szCs w:val="21"/>
          <w:highlight w:val="none"/>
          <w:lang w:val="zh-CN"/>
        </w:rPr>
        <w:t>则投标文件中应根据本项目招标文件“第二章 项目需求”</w:t>
      </w:r>
      <w:r>
        <w:rPr>
          <w:rFonts w:cs="仿宋_GB2312" w:asciiTheme="minorEastAsia" w:hAnsiTheme="minorEastAsia"/>
          <w:szCs w:val="21"/>
          <w:highlight w:val="none"/>
          <w:lang w:val="zh-CN"/>
        </w:rPr>
        <w:t>提供</w:t>
      </w:r>
      <w:r>
        <w:rPr>
          <w:rFonts w:hint="eastAsia" w:cs="仿宋_GB2312" w:asciiTheme="minorEastAsia" w:hAnsiTheme="minorEastAsia"/>
          <w:szCs w:val="21"/>
          <w:highlight w:val="none"/>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①中国信息安全认证中心官网（</w:t>
      </w:r>
      <w:r>
        <w:rPr>
          <w:rFonts w:cs="宋体" w:asciiTheme="minorEastAsia" w:hAnsiTheme="minorEastAsia"/>
          <w:kern w:val="0"/>
          <w:szCs w:val="21"/>
          <w:highlight w:val="none"/>
        </w:rPr>
        <w:t>http://www.isccc.gov.cn/index.shtml</w:t>
      </w:r>
      <w:r>
        <w:rPr>
          <w:rFonts w:hint="eastAsia" w:cs="宋体" w:asciiTheme="minorEastAsia" w:hAnsiTheme="minorEastAsia"/>
          <w:kern w:val="0"/>
          <w:szCs w:val="21"/>
          <w:highlight w:val="none"/>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宋体" w:asciiTheme="minorEastAsia" w:hAnsiTheme="minorEastAsia"/>
          <w:kern w:val="0"/>
          <w:szCs w:val="21"/>
          <w:highlight w:val="none"/>
        </w:rPr>
        <w:t>②中国信息安全认证中心</w:t>
      </w:r>
      <w:r>
        <w:rPr>
          <w:rFonts w:hint="eastAsia" w:cs="仿宋_GB2312" w:asciiTheme="minorEastAsia" w:hAnsiTheme="minorEastAsia"/>
          <w:szCs w:val="21"/>
          <w:highlight w:val="none"/>
          <w:lang w:val="zh-CN"/>
        </w:rPr>
        <w:t>颁发的《中国国家信息安全产品认证证书》加盖投标人公章的原件扫描件（或图片）。</w:t>
      </w:r>
    </w:p>
    <w:p>
      <w:pPr>
        <w:wordWrap w:val="0"/>
        <w:spacing w:line="360" w:lineRule="auto"/>
        <w:ind w:firstLine="480" w:firstLineChars="200"/>
        <w:contextualSpacing/>
        <w:rPr>
          <w:rFonts w:cs="宋体" w:asciiTheme="minorEastAsia" w:hAnsiTheme="minorEastAsia"/>
          <w:kern w:val="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highlight w:val="none"/>
          <w:lang w:val="zh-CN"/>
        </w:rPr>
      </w:pPr>
      <w:r>
        <w:rPr>
          <w:rFonts w:hint="eastAsia" w:cs="仿宋_GB2312" w:asciiTheme="minorEastAsia" w:hAnsiTheme="minorEastAsia"/>
          <w:b/>
          <w:szCs w:val="21"/>
          <w:highlight w:val="none"/>
          <w:lang w:val="zh-CN"/>
        </w:rPr>
        <w:t>（4）投标无效情形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（6）评标标准</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60"/>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1" w:hRule="atLeast"/>
        </w:trPr>
        <w:tc>
          <w:tcPr>
            <w:tcW w:w="2944" w:type="dxa"/>
            <w:gridSpan w:val="2"/>
            <w:vAlign w:val="center"/>
          </w:tcPr>
          <w:p>
            <w:pPr>
              <w:spacing w:line="360" w:lineRule="auto"/>
              <w:jc w:val="center"/>
              <w:rPr>
                <w:rFonts w:asciiTheme="minorEastAsia" w:hAnsiTheme="minorEastAsia"/>
                <w:szCs w:val="21"/>
              </w:rPr>
            </w:pPr>
            <w:r>
              <w:rPr>
                <w:rFonts w:hint="eastAsia" w:asciiTheme="minorEastAsia" w:hAnsiTheme="minorEastAsia"/>
                <w:szCs w:val="21"/>
              </w:rPr>
              <w:t>分值构成</w:t>
            </w:r>
          </w:p>
          <w:p>
            <w:pPr>
              <w:snapToGrid w:val="0"/>
              <w:spacing w:beforeLines="50"/>
              <w:jc w:val="center"/>
              <w:rPr>
                <w:rFonts w:ascii="宋体" w:hAnsi="宋体" w:cs="宋体"/>
                <w:b/>
                <w:szCs w:val="21"/>
              </w:rPr>
            </w:pPr>
            <w:r>
              <w:rPr>
                <w:rFonts w:hint="eastAsia" w:asciiTheme="minorEastAsia" w:hAnsiTheme="minorEastAsia"/>
                <w:szCs w:val="21"/>
              </w:rPr>
              <w:t>(总分100分)</w:t>
            </w:r>
          </w:p>
        </w:tc>
        <w:tc>
          <w:tcPr>
            <w:tcW w:w="6095" w:type="dxa"/>
            <w:vAlign w:val="center"/>
          </w:tcPr>
          <w:p>
            <w:pPr>
              <w:spacing w:line="360" w:lineRule="auto"/>
              <w:ind w:firstLine="420" w:firstLineChars="200"/>
              <w:rPr>
                <w:rFonts w:asciiTheme="minorEastAsia" w:hAnsiTheme="minorEastAsia"/>
                <w:szCs w:val="21"/>
              </w:rPr>
            </w:pPr>
            <w:r>
              <w:rPr>
                <w:rFonts w:hint="eastAsia" w:asciiTheme="minorEastAsia" w:hAnsiTheme="minorEastAsia"/>
                <w:szCs w:val="21"/>
              </w:rPr>
              <w:t>价格分值：</w:t>
            </w:r>
            <w:r>
              <w:rPr>
                <w:rFonts w:hint="eastAsia" w:asciiTheme="minorEastAsia" w:hAnsiTheme="minorEastAsia"/>
                <w:color w:val="FF0000"/>
                <w:szCs w:val="21"/>
                <w:u w:val="single"/>
                <w:lang w:val="en-US" w:eastAsia="zh-CN"/>
              </w:rPr>
              <w:t>40</w:t>
            </w:r>
            <w:r>
              <w:rPr>
                <w:rFonts w:hint="eastAsia" w:asciiTheme="minorEastAsia" w:hAnsiTheme="minorEastAsia"/>
                <w:szCs w:val="21"/>
              </w:rPr>
              <w:t>分</w:t>
            </w:r>
          </w:p>
          <w:p>
            <w:pPr>
              <w:spacing w:line="360" w:lineRule="auto"/>
              <w:ind w:firstLine="420" w:firstLineChars="200"/>
              <w:rPr>
                <w:rFonts w:asciiTheme="minorEastAsia" w:hAnsiTheme="minorEastAsia"/>
                <w:szCs w:val="21"/>
              </w:rPr>
            </w:pPr>
            <w:r>
              <w:rPr>
                <w:rFonts w:hint="eastAsia" w:asciiTheme="minorEastAsia" w:hAnsiTheme="minorEastAsia"/>
                <w:szCs w:val="21"/>
              </w:rPr>
              <w:t>商务部分：</w:t>
            </w:r>
            <w:r>
              <w:rPr>
                <w:rFonts w:hint="eastAsia" w:asciiTheme="minorEastAsia" w:hAnsiTheme="minorEastAsia"/>
                <w:color w:val="FF0000"/>
                <w:szCs w:val="21"/>
                <w:u w:val="single"/>
                <w:lang w:val="en-US" w:eastAsia="zh-CN"/>
              </w:rPr>
              <w:t>19</w:t>
            </w:r>
            <w:r>
              <w:rPr>
                <w:rFonts w:hint="eastAsia" w:asciiTheme="minorEastAsia" w:hAnsiTheme="minorEastAsia"/>
                <w:szCs w:val="21"/>
              </w:rPr>
              <w:t>分</w:t>
            </w:r>
          </w:p>
          <w:p>
            <w:pPr>
              <w:spacing w:beforeLines="50"/>
              <w:ind w:firstLine="420" w:firstLineChars="200"/>
              <w:rPr>
                <w:rFonts w:asciiTheme="minorEastAsia" w:hAnsiTheme="minorEastAsia"/>
                <w:szCs w:val="21"/>
              </w:rPr>
            </w:pPr>
            <w:r>
              <w:rPr>
                <w:rFonts w:hint="eastAsia" w:asciiTheme="minorEastAsia" w:hAnsiTheme="minorEastAsia"/>
                <w:szCs w:val="21"/>
              </w:rPr>
              <w:t>技术部分：</w:t>
            </w:r>
            <w:r>
              <w:rPr>
                <w:rFonts w:hint="eastAsia" w:asciiTheme="minorEastAsia" w:hAnsiTheme="minorEastAsia"/>
                <w:color w:val="FF0000"/>
                <w:szCs w:val="21"/>
                <w:u w:val="single"/>
                <w:lang w:val="en-US" w:eastAsia="zh-CN"/>
              </w:rPr>
              <w:t>30</w:t>
            </w:r>
            <w:r>
              <w:rPr>
                <w:rFonts w:hint="eastAsia" w:asciiTheme="minorEastAsia" w:hAnsiTheme="minorEastAsia"/>
                <w:szCs w:val="21"/>
              </w:rPr>
              <w:t>分</w:t>
            </w:r>
          </w:p>
          <w:p>
            <w:pPr>
              <w:spacing w:beforeLines="50"/>
              <w:ind w:firstLine="420" w:firstLineChars="200"/>
              <w:rPr>
                <w:rFonts w:ascii="宋体" w:hAnsi="宋体" w:cs="宋体"/>
                <w:b/>
                <w:szCs w:val="21"/>
              </w:rPr>
            </w:pPr>
            <w:r>
              <w:rPr>
                <w:rFonts w:hint="eastAsia" w:asciiTheme="minorEastAsia" w:hAnsiTheme="minorEastAsia"/>
                <w:szCs w:val="21"/>
              </w:rPr>
              <w:t>服务部分：</w:t>
            </w:r>
            <w:r>
              <w:rPr>
                <w:rFonts w:hint="eastAsia" w:asciiTheme="minorEastAsia" w:hAnsiTheme="minorEastAsia"/>
                <w:color w:val="FF0000"/>
                <w:szCs w:val="21"/>
                <w:u w:val="single"/>
                <w:lang w:val="en-US" w:eastAsia="zh-CN"/>
              </w:rPr>
              <w:t>11</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1384"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评审项</w:t>
            </w:r>
          </w:p>
        </w:tc>
        <w:tc>
          <w:tcPr>
            <w:tcW w:w="1560"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评分因素</w:t>
            </w:r>
          </w:p>
        </w:tc>
        <w:tc>
          <w:tcPr>
            <w:tcW w:w="6095"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w:t>
            </w:r>
            <w:r>
              <w:rPr>
                <w:rFonts w:hint="eastAsia" w:ascii="宋体" w:hAnsi="宋体" w:cs="宋体"/>
                <w:b/>
                <w:szCs w:val="21"/>
              </w:rPr>
              <w:t>标</w:t>
            </w:r>
            <w:r>
              <w:rPr>
                <w:rFonts w:hint="eastAsia" w:ascii="宋体" w:hAnsi="宋体" w:eastAsia="宋体" w:cs="宋体"/>
                <w:b/>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4" w:hRule="atLeast"/>
        </w:trPr>
        <w:tc>
          <w:tcPr>
            <w:tcW w:w="1384" w:type="dxa"/>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报价部分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40</w:t>
            </w:r>
            <w:r>
              <w:rPr>
                <w:rFonts w:hint="eastAsia" w:ascii="宋体" w:hAnsi="宋体" w:eastAsia="宋体" w:cs="宋体"/>
                <w:szCs w:val="21"/>
              </w:rPr>
              <w:t>分）</w:t>
            </w:r>
          </w:p>
        </w:tc>
        <w:tc>
          <w:tcPr>
            <w:tcW w:w="1560" w:type="dxa"/>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报价</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40</w:t>
            </w:r>
            <w:r>
              <w:rPr>
                <w:rFonts w:hint="eastAsia" w:ascii="宋体" w:hAnsi="宋体" w:eastAsia="宋体" w:cs="宋体"/>
                <w:szCs w:val="21"/>
              </w:rPr>
              <w:t>分）</w:t>
            </w:r>
          </w:p>
        </w:tc>
        <w:tc>
          <w:tcPr>
            <w:tcW w:w="6095" w:type="dxa"/>
            <w:vAlign w:val="center"/>
          </w:tcPr>
          <w:p>
            <w:pPr>
              <w:spacing w:line="360" w:lineRule="auto"/>
              <w:rPr>
                <w:rFonts w:asciiTheme="minorEastAsia" w:hAnsiTheme="minorEastAsia"/>
                <w:szCs w:val="21"/>
              </w:rPr>
            </w:pPr>
            <w:r>
              <w:rPr>
                <w:rFonts w:hint="eastAsia" w:asciiTheme="minorEastAsia" w:hAnsiTheme="minorEastAsia"/>
                <w:szCs w:val="21"/>
              </w:rPr>
              <w:t>评标基准价：满足招标文件要求的有效投标报价中，最低的投标报价为评标基准价。</w:t>
            </w:r>
          </w:p>
          <w:p>
            <w:pPr>
              <w:widowControl/>
              <w:spacing w:beforeLines="50"/>
              <w:rPr>
                <w:rFonts w:hint="default" w:ascii="宋体" w:hAnsi="宋体" w:cs="宋体" w:eastAsiaTheme="minorEastAsia"/>
                <w:szCs w:val="21"/>
                <w:lang w:val="en-US" w:eastAsia="zh-CN"/>
              </w:rPr>
            </w:pPr>
            <w:r>
              <w:rPr>
                <w:rFonts w:hint="eastAsia" w:asciiTheme="minorEastAsia" w:hAnsiTheme="minorEastAsia"/>
                <w:szCs w:val="21"/>
              </w:rPr>
              <w:t>投标报价得分=（评标基准价/投标报价）×</w:t>
            </w:r>
            <w:r>
              <w:rPr>
                <w:rFonts w:hint="eastAsia" w:asciiTheme="minorEastAsia" w:hAnsiTheme="minorEastAsia"/>
                <w:szCs w:val="21"/>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restart"/>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商务部分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19</w:t>
            </w:r>
            <w:r>
              <w:rPr>
                <w:rFonts w:hint="eastAsia" w:ascii="宋体" w:hAnsi="宋体" w:eastAsia="宋体" w:cs="宋体"/>
                <w:szCs w:val="21"/>
              </w:rPr>
              <w:t>分）</w:t>
            </w:r>
          </w:p>
        </w:tc>
        <w:tc>
          <w:tcPr>
            <w:tcW w:w="1560" w:type="dxa"/>
            <w:vAlign w:val="center"/>
          </w:tcPr>
          <w:p>
            <w:pPr>
              <w:widowControl/>
              <w:snapToGrid w:val="0"/>
              <w:spacing w:beforeLines="50"/>
              <w:jc w:val="center"/>
              <w:rPr>
                <w:rFonts w:ascii="宋体" w:hAnsi="宋体" w:eastAsia="宋体" w:cs="Times New Roman"/>
                <w:szCs w:val="21"/>
              </w:rPr>
            </w:pPr>
            <w:r>
              <w:rPr>
                <w:rFonts w:ascii="宋体" w:hAnsi="宋体" w:eastAsia="宋体" w:cs="Times New Roman"/>
                <w:szCs w:val="21"/>
              </w:rPr>
              <w:t>业绩</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10</w:t>
            </w:r>
            <w:r>
              <w:rPr>
                <w:rFonts w:hint="eastAsia" w:ascii="宋体" w:hAnsi="宋体" w:eastAsia="宋体" w:cs="Times New Roman"/>
                <w:szCs w:val="21"/>
              </w:rPr>
              <w:t>分）</w:t>
            </w:r>
          </w:p>
        </w:tc>
        <w:tc>
          <w:tcPr>
            <w:tcW w:w="6095" w:type="dxa"/>
            <w:vAlign w:val="center"/>
          </w:tcPr>
          <w:p>
            <w:pPr>
              <w:widowControl/>
              <w:spacing w:beforeLines="50"/>
              <w:rPr>
                <w:rFonts w:hint="eastAsia" w:asciiTheme="minorEastAsia" w:hAnsiTheme="minorEastAsia"/>
                <w:szCs w:val="21"/>
                <w:lang w:val="zh-CN"/>
              </w:rPr>
            </w:pPr>
            <w:r>
              <w:rPr>
                <w:rFonts w:hint="eastAsia" w:asciiTheme="minorEastAsia" w:hAnsiTheme="minorEastAsia"/>
                <w:szCs w:val="21"/>
              </w:rPr>
              <w:t>提供投标人2016年以来类似采购项目业绩合同，每份2分，最多得10分（提供中标通知书及合同，缺一项不得分）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hint="eastAsia" w:ascii="宋体" w:hAnsi="宋体" w:eastAsia="宋体" w:cs="宋体"/>
                <w:szCs w:val="21"/>
              </w:rPr>
            </w:pPr>
          </w:p>
        </w:tc>
        <w:tc>
          <w:tcPr>
            <w:tcW w:w="1560" w:type="dxa"/>
            <w:vAlign w:val="center"/>
          </w:tcPr>
          <w:p>
            <w:pPr>
              <w:widowControl/>
              <w:snapToGrid w:val="0"/>
              <w:spacing w:beforeLines="50"/>
              <w:jc w:val="center"/>
              <w:rPr>
                <w:rFonts w:hint="eastAsia" w:ascii="宋体" w:hAnsi="宋体" w:eastAsia="宋体" w:cs="Times New Roman"/>
                <w:szCs w:val="21"/>
                <w:lang w:eastAsia="zh-CN"/>
              </w:rPr>
            </w:pPr>
            <w:r>
              <w:rPr>
                <w:rFonts w:hint="eastAsia" w:ascii="宋体" w:hAnsi="宋体" w:eastAsia="宋体" w:cs="Times New Roman"/>
                <w:szCs w:val="21"/>
                <w:lang w:eastAsia="zh-CN"/>
              </w:rPr>
              <w:t>信誉</w:t>
            </w:r>
          </w:p>
          <w:p>
            <w:pPr>
              <w:widowControl/>
              <w:snapToGrid w:val="0"/>
              <w:spacing w:beforeLines="50"/>
              <w:jc w:val="center"/>
              <w:rPr>
                <w:rFonts w:hint="eastAsia" w:ascii="宋体" w:hAnsi="宋体" w:eastAsia="宋体" w:cs="Times New Roman"/>
                <w:szCs w:val="21"/>
                <w:lang w:eastAsia="zh-CN"/>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3</w:t>
            </w:r>
            <w:r>
              <w:rPr>
                <w:rFonts w:hint="eastAsia" w:ascii="宋体" w:hAnsi="宋体" w:eastAsia="宋体" w:cs="Times New Roman"/>
                <w:szCs w:val="21"/>
              </w:rPr>
              <w:t>分）</w:t>
            </w:r>
          </w:p>
        </w:tc>
        <w:tc>
          <w:tcPr>
            <w:tcW w:w="6095" w:type="dxa"/>
            <w:vAlign w:val="center"/>
          </w:tcPr>
          <w:p>
            <w:pPr>
              <w:widowControl/>
              <w:spacing w:beforeLines="50"/>
              <w:rPr>
                <w:rFonts w:hint="eastAsia" w:asciiTheme="minorEastAsia" w:hAnsiTheme="minorEastAsia"/>
                <w:szCs w:val="21"/>
              </w:rPr>
            </w:pPr>
            <w:r>
              <w:rPr>
                <w:rFonts w:hint="eastAsia" w:asciiTheme="minorEastAsia" w:hAnsiTheme="minorEastAsia"/>
                <w:szCs w:val="21"/>
                <w:lang w:eastAsia="zh-CN"/>
              </w:rPr>
              <w:t>投标人</w:t>
            </w:r>
            <w:r>
              <w:rPr>
                <w:rFonts w:hint="eastAsia" w:asciiTheme="minorEastAsia" w:hAnsiTheme="minorEastAsia"/>
                <w:szCs w:val="21"/>
              </w:rPr>
              <w:t>提供2016年1月1日以来经社会信用评估机构出具的有效的企业信用报告，等级为AAA级的得3分；AA级的得2分；A级的得1分。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ascii="宋体" w:hAnsi="宋体" w:eastAsia="宋体" w:cs="宋体"/>
                <w:szCs w:val="21"/>
              </w:rPr>
            </w:pPr>
          </w:p>
        </w:tc>
        <w:tc>
          <w:tcPr>
            <w:tcW w:w="1560" w:type="dxa"/>
            <w:vAlign w:val="center"/>
          </w:tcPr>
          <w:p>
            <w:pPr>
              <w:snapToGrid w:val="0"/>
              <w:spacing w:beforeLines="50"/>
              <w:jc w:val="center"/>
              <w:rPr>
                <w:rFonts w:hint="eastAsia" w:ascii="宋体" w:hAnsi="宋体" w:eastAsia="宋体" w:cs="Times New Roman"/>
                <w:szCs w:val="21"/>
                <w:lang w:eastAsia="zh-CN"/>
              </w:rPr>
            </w:pPr>
            <w:r>
              <w:rPr>
                <w:rFonts w:hint="eastAsia" w:ascii="宋体" w:hAnsi="宋体" w:eastAsia="宋体" w:cs="Times New Roman"/>
                <w:szCs w:val="21"/>
                <w:lang w:eastAsia="zh-CN"/>
              </w:rPr>
              <w:t>企业实力</w:t>
            </w:r>
          </w:p>
          <w:p>
            <w:pPr>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6</w:t>
            </w:r>
            <w:r>
              <w:rPr>
                <w:rFonts w:hint="eastAsia" w:ascii="宋体" w:hAnsi="宋体" w:eastAsia="宋体" w:cs="Times New Roman"/>
                <w:szCs w:val="21"/>
              </w:rPr>
              <w:t>分）</w:t>
            </w:r>
          </w:p>
        </w:tc>
        <w:tc>
          <w:tcPr>
            <w:tcW w:w="6095" w:type="dxa"/>
            <w:vAlign w:val="center"/>
          </w:tcPr>
          <w:p>
            <w:pPr>
              <w:widowControl/>
              <w:spacing w:beforeLines="50"/>
              <w:rPr>
                <w:rFonts w:hint="eastAsia" w:asciiTheme="minorEastAsia" w:hAnsiTheme="minorEastAsia"/>
                <w:szCs w:val="21"/>
                <w:lang w:val="zh-CN"/>
              </w:rPr>
            </w:pPr>
            <w:r>
              <w:rPr>
                <w:rFonts w:hint="eastAsia" w:asciiTheme="minorEastAsia" w:hAnsiTheme="minorEastAsia"/>
                <w:szCs w:val="21"/>
              </w:rPr>
              <w:t>具有有效的ISO9001质量管理体系认证证书得2分、ISO14001环境管理体系认证证书得2分、18001职业健康安全管理体系认证证书得2分。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7" w:hRule="atLeast"/>
        </w:trPr>
        <w:tc>
          <w:tcPr>
            <w:tcW w:w="1384" w:type="dxa"/>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技术部分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30</w:t>
            </w:r>
            <w:r>
              <w:rPr>
                <w:rFonts w:hint="eastAsia" w:ascii="宋体" w:hAnsi="宋体" w:eastAsia="宋体" w:cs="宋体"/>
                <w:szCs w:val="21"/>
              </w:rPr>
              <w:t>分）</w:t>
            </w:r>
          </w:p>
        </w:tc>
        <w:tc>
          <w:tcPr>
            <w:tcW w:w="1560" w:type="dxa"/>
            <w:tcBorders>
              <w:right w:val="single" w:color="auto" w:sz="4" w:space="0"/>
            </w:tcBorders>
            <w:vAlign w:val="center"/>
          </w:tcPr>
          <w:p>
            <w:pPr>
              <w:widowControl/>
              <w:snapToGrid w:val="0"/>
              <w:spacing w:beforeLines="50"/>
              <w:jc w:val="center"/>
              <w:rPr>
                <w:rFonts w:ascii="宋体" w:hAnsi="宋体" w:eastAsia="宋体" w:cs="Times New Roman"/>
                <w:szCs w:val="21"/>
              </w:rPr>
            </w:pPr>
            <w:r>
              <w:rPr>
                <w:rFonts w:ascii="宋体" w:hAnsi="宋体" w:eastAsia="宋体" w:cs="Times New Roman"/>
                <w:szCs w:val="21"/>
              </w:rPr>
              <w:t>货物技术规格、参数与要求响应</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30</w:t>
            </w:r>
            <w:r>
              <w:rPr>
                <w:rFonts w:hint="eastAsia" w:ascii="宋体" w:hAnsi="宋体" w:eastAsia="宋体" w:cs="Times New Roman"/>
                <w:szCs w:val="21"/>
              </w:rPr>
              <w:t>分）</w:t>
            </w:r>
          </w:p>
        </w:tc>
        <w:tc>
          <w:tcPr>
            <w:tcW w:w="6095" w:type="dxa"/>
            <w:tcBorders>
              <w:right w:val="single" w:color="auto" w:sz="4" w:space="0"/>
            </w:tcBorders>
            <w:vAlign w:val="center"/>
          </w:tcPr>
          <w:p>
            <w:pPr>
              <w:pStyle w:val="38"/>
              <w:widowControl/>
              <w:ind w:firstLine="0" w:firstLineChars="0"/>
              <w:rPr>
                <w:rFonts w:hint="eastAsia" w:asciiTheme="minorEastAsia" w:hAnsiTheme="minorEastAsia" w:eastAsiaTheme="minorEastAsia" w:cstheme="minorBidi"/>
                <w:kern w:val="2"/>
                <w:sz w:val="21"/>
                <w:szCs w:val="21"/>
                <w:lang w:val="en-US" w:eastAsia="zh-CN" w:bidi="ar-SA"/>
              </w:rPr>
            </w:pPr>
            <w:r>
              <w:rPr>
                <w:rFonts w:hint="eastAsia" w:asciiTheme="minorEastAsia" w:hAnsiTheme="minorEastAsia" w:eastAsiaTheme="minorEastAsia" w:cstheme="minorBidi"/>
                <w:kern w:val="2"/>
                <w:sz w:val="21"/>
                <w:szCs w:val="21"/>
                <w:lang w:val="en-US" w:eastAsia="zh-CN" w:bidi="ar-SA"/>
              </w:rPr>
              <w:t>1.采购清单序号7“额定载质量”优于招标要求的，得10分；</w:t>
            </w:r>
          </w:p>
          <w:p>
            <w:pPr>
              <w:pStyle w:val="38"/>
              <w:widowControl/>
              <w:ind w:firstLine="0" w:firstLineChars="0"/>
              <w:rPr>
                <w:rFonts w:hint="eastAsia" w:asciiTheme="minorEastAsia" w:hAnsiTheme="minorEastAsia" w:eastAsiaTheme="minorEastAsia" w:cstheme="minorBidi"/>
                <w:kern w:val="2"/>
                <w:sz w:val="21"/>
                <w:szCs w:val="21"/>
                <w:lang w:val="en-US" w:eastAsia="zh-CN" w:bidi="ar-SA"/>
              </w:rPr>
            </w:pPr>
            <w:r>
              <w:rPr>
                <w:rFonts w:hint="eastAsia" w:asciiTheme="minorEastAsia" w:hAnsiTheme="minorEastAsia" w:eastAsiaTheme="minorEastAsia" w:cstheme="minorBidi"/>
                <w:kern w:val="2"/>
                <w:sz w:val="21"/>
                <w:szCs w:val="21"/>
                <w:lang w:val="en-US" w:eastAsia="zh-CN" w:bidi="ar-SA"/>
              </w:rPr>
              <w:t>2.采购清单序号9“续航里程”优于招标要求的，得10分；</w:t>
            </w:r>
          </w:p>
          <w:p>
            <w:pPr>
              <w:pStyle w:val="38"/>
              <w:widowControl/>
              <w:ind w:firstLine="0" w:firstLineChars="0"/>
              <w:rPr>
                <w:rFonts w:hint="eastAsia" w:asciiTheme="minorEastAsia" w:hAnsiTheme="minorEastAsia" w:eastAsiaTheme="minorEastAsia" w:cstheme="minorBidi"/>
                <w:kern w:val="2"/>
                <w:sz w:val="21"/>
                <w:szCs w:val="21"/>
                <w:lang w:val="en-US" w:eastAsia="zh-CN" w:bidi="ar-SA"/>
              </w:rPr>
            </w:pPr>
            <w:r>
              <w:rPr>
                <w:rFonts w:hint="eastAsia" w:asciiTheme="minorEastAsia" w:hAnsiTheme="minorEastAsia" w:eastAsiaTheme="minorEastAsia" w:cstheme="minorBidi"/>
                <w:kern w:val="2"/>
                <w:sz w:val="21"/>
                <w:szCs w:val="21"/>
                <w:lang w:val="en-US" w:eastAsia="zh-CN" w:bidi="ar-SA"/>
              </w:rPr>
              <w:t>3.采购清单序号19“电机最大功率”优于招标要求的，得10分；</w:t>
            </w:r>
          </w:p>
          <w:p>
            <w:pPr>
              <w:snapToGrid w:val="0"/>
              <w:spacing w:beforeLines="50"/>
              <w:rPr>
                <w:rFonts w:hint="eastAsia" w:asciiTheme="minorEastAsia" w:hAnsiTheme="minorEastAsia" w:eastAsiaTheme="minorEastAsia" w:cstheme="minorBidi"/>
                <w:kern w:val="2"/>
                <w:sz w:val="21"/>
                <w:szCs w:val="21"/>
                <w:lang w:val="en-US" w:eastAsia="zh-CN" w:bidi="ar-SA"/>
              </w:rPr>
            </w:pPr>
            <w:r>
              <w:rPr>
                <w:rFonts w:hint="eastAsia" w:asciiTheme="minorEastAsia" w:hAnsiTheme="minorEastAsia" w:eastAsiaTheme="minorEastAsia" w:cstheme="minorBidi"/>
                <w:kern w:val="2"/>
                <w:sz w:val="21"/>
                <w:szCs w:val="21"/>
                <w:lang w:val="en-US" w:eastAsia="zh-CN" w:bidi="ar-SA"/>
              </w:rPr>
              <w:t>以上正偏离须提供工信部公告参数页或网页查询参数截图证明。不提供证明不得分。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restart"/>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服务部分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11</w:t>
            </w:r>
            <w:r>
              <w:rPr>
                <w:rFonts w:hint="eastAsia" w:ascii="宋体" w:hAnsi="宋体" w:eastAsia="宋体" w:cs="宋体"/>
                <w:szCs w:val="21"/>
              </w:rPr>
              <w:t>分）</w:t>
            </w:r>
          </w:p>
        </w:tc>
        <w:tc>
          <w:tcPr>
            <w:tcW w:w="1560" w:type="dxa"/>
            <w:tcBorders>
              <w:top w:val="single" w:color="auto" w:sz="4" w:space="0"/>
              <w:left w:val="single" w:color="auto" w:sz="4" w:space="0"/>
              <w:right w:val="single" w:color="auto" w:sz="4" w:space="0"/>
            </w:tcBorders>
            <w:vAlign w:val="center"/>
          </w:tcPr>
          <w:p>
            <w:pPr>
              <w:snapToGrid w:val="0"/>
              <w:spacing w:beforeLines="50"/>
              <w:jc w:val="center"/>
              <w:rPr>
                <w:rFonts w:ascii="宋体" w:hAnsi="宋体" w:eastAsia="宋体" w:cs="宋体"/>
                <w:szCs w:val="21"/>
              </w:rPr>
            </w:pPr>
            <w:bookmarkStart w:id="5" w:name="_Hlk535157568"/>
            <w:r>
              <w:rPr>
                <w:rFonts w:hint="eastAsia" w:ascii="宋体" w:hAnsi="宋体" w:eastAsia="宋体" w:cs="宋体"/>
                <w:szCs w:val="21"/>
              </w:rPr>
              <w:t>售后服务</w:t>
            </w:r>
            <w:bookmarkEnd w:id="5"/>
          </w:p>
          <w:p>
            <w:pPr>
              <w:snapToGrid w:val="0"/>
              <w:spacing w:beforeLines="50"/>
              <w:jc w:val="center"/>
              <w:rPr>
                <w:rFonts w:ascii="宋体" w:hAnsi="宋体" w:eastAsia="宋体" w:cs="Times New Roman"/>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8</w:t>
            </w:r>
            <w:r>
              <w:rPr>
                <w:rFonts w:hint="eastAsia" w:ascii="宋体" w:hAnsi="宋体" w:eastAsia="宋体" w:cs="宋体"/>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pStyle w:val="38"/>
              <w:widowControl/>
              <w:ind w:firstLine="0" w:firstLineChars="0"/>
              <w:rPr>
                <w:rFonts w:hint="eastAsia" w:asciiTheme="minorEastAsia" w:hAnsiTheme="minorEastAsia" w:eastAsiaTheme="minorEastAsia" w:cstheme="minorBidi"/>
                <w:kern w:val="2"/>
                <w:sz w:val="21"/>
                <w:szCs w:val="21"/>
                <w:lang w:val="en-US" w:eastAsia="zh-CN" w:bidi="ar-SA"/>
              </w:rPr>
            </w:pPr>
            <w:r>
              <w:rPr>
                <w:rFonts w:hint="eastAsia" w:asciiTheme="minorEastAsia" w:hAnsiTheme="minorEastAsia" w:eastAsiaTheme="minorEastAsia" w:cstheme="minorBidi"/>
                <w:kern w:val="2"/>
                <w:sz w:val="21"/>
                <w:szCs w:val="21"/>
                <w:lang w:val="en-US" w:eastAsia="zh-CN" w:bidi="ar-SA"/>
              </w:rPr>
              <w:t xml:space="preserve">1.具有完善的培训计划2分；      </w:t>
            </w:r>
          </w:p>
          <w:p>
            <w:pPr>
              <w:snapToGrid w:val="0"/>
              <w:spacing w:beforeLines="50"/>
              <w:rPr>
                <w:rFonts w:hint="eastAsia" w:asciiTheme="minorEastAsia" w:hAnsiTheme="minorEastAsia" w:eastAsiaTheme="minorEastAsia" w:cstheme="minorBidi"/>
                <w:kern w:val="2"/>
                <w:sz w:val="21"/>
                <w:szCs w:val="21"/>
                <w:lang w:val="en-US" w:eastAsia="zh-CN" w:bidi="ar-SA"/>
              </w:rPr>
            </w:pPr>
            <w:r>
              <w:rPr>
                <w:rFonts w:hint="eastAsia" w:asciiTheme="minorEastAsia" w:hAnsiTheme="minorEastAsia" w:eastAsiaTheme="minorEastAsia" w:cstheme="minorBidi"/>
                <w:kern w:val="2"/>
                <w:sz w:val="21"/>
                <w:szCs w:val="21"/>
                <w:lang w:val="en-US" w:eastAsia="zh-CN" w:bidi="ar-SA"/>
              </w:rPr>
              <w:t>2.</w:t>
            </w:r>
            <w:r>
              <w:rPr>
                <w:rFonts w:hint="eastAsia" w:asciiTheme="minorEastAsia" w:hAnsiTheme="minorEastAsia"/>
                <w:szCs w:val="21"/>
                <w:lang w:eastAsia="zh-CN"/>
              </w:rPr>
              <w:t>投标人</w:t>
            </w:r>
            <w:r>
              <w:rPr>
                <w:rFonts w:hint="eastAsia" w:asciiTheme="minorEastAsia" w:hAnsiTheme="minorEastAsia" w:eastAsiaTheme="minorEastAsia" w:cstheme="minorBidi"/>
                <w:kern w:val="2"/>
                <w:sz w:val="21"/>
                <w:szCs w:val="21"/>
                <w:lang w:val="en-US" w:eastAsia="zh-CN" w:bidi="ar-SA"/>
              </w:rPr>
              <w:t>提供售后服务人员社保缴纳情况记录，每提供一人加2分，最多得6分。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tcBorders>
              <w:right w:val="single" w:color="auto" w:sz="4" w:space="0"/>
            </w:tcBorders>
          </w:tcPr>
          <w:p>
            <w:pPr>
              <w:snapToGrid w:val="0"/>
              <w:spacing w:beforeLines="50"/>
              <w:rPr>
                <w:rFonts w:ascii="宋体" w:hAnsi="宋体" w:eastAsia="宋体" w:cs="Times New Roman"/>
                <w:szCs w:val="21"/>
              </w:rPr>
            </w:pPr>
          </w:p>
        </w:tc>
        <w:tc>
          <w:tcPr>
            <w:tcW w:w="1560" w:type="dxa"/>
            <w:tcBorders>
              <w:left w:val="single" w:color="auto" w:sz="4" w:space="0"/>
              <w:right w:val="single" w:color="auto" w:sz="4" w:space="0"/>
            </w:tcBorders>
            <w:vAlign w:val="center"/>
          </w:tcPr>
          <w:p>
            <w:pPr>
              <w:snapToGrid w:val="0"/>
              <w:spacing w:beforeLines="50"/>
              <w:jc w:val="center"/>
              <w:rPr>
                <w:rFonts w:ascii="宋体" w:hAnsi="宋体" w:eastAsia="宋体" w:cs="Times New Roman"/>
                <w:szCs w:val="21"/>
              </w:rPr>
            </w:pPr>
            <w:r>
              <w:rPr>
                <w:rFonts w:hint="eastAsia" w:ascii="宋体" w:hAnsi="宋体" w:eastAsia="宋体" w:cs="Times New Roman"/>
                <w:szCs w:val="21"/>
              </w:rPr>
              <w:t>投标文件编制</w:t>
            </w:r>
          </w:p>
          <w:p>
            <w:pPr>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3</w:t>
            </w:r>
            <w:r>
              <w:rPr>
                <w:rFonts w:hint="eastAsia" w:ascii="宋体" w:hAnsi="宋体" w:eastAsia="宋体" w:cs="Times New Roman"/>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widowControl/>
              <w:spacing w:beforeLines="50"/>
              <w:rPr>
                <w:rFonts w:hint="eastAsia" w:asciiTheme="minorEastAsia" w:hAnsiTheme="minorEastAsia" w:eastAsiaTheme="minorEastAsia" w:cstheme="minorBidi"/>
                <w:kern w:val="2"/>
                <w:sz w:val="21"/>
                <w:szCs w:val="21"/>
                <w:lang w:val="en-US" w:eastAsia="zh-CN" w:bidi="ar-SA"/>
              </w:rPr>
            </w:pPr>
            <w:r>
              <w:rPr>
                <w:rFonts w:hint="eastAsia" w:asciiTheme="minorEastAsia" w:hAnsiTheme="minorEastAsia" w:eastAsiaTheme="minorEastAsia" w:cstheme="minorBidi"/>
                <w:kern w:val="2"/>
                <w:sz w:val="21"/>
                <w:szCs w:val="21"/>
                <w:lang w:val="en-US" w:eastAsia="zh-CN" w:bidi="ar-SA"/>
              </w:rPr>
              <w:t>投标文件的编制符合招标文件的规定，根据装订整齐印刷精美的情况3分；投标文件编制无目录和页码，排序混乱和缺篇少页的不得分。</w:t>
            </w:r>
          </w:p>
        </w:tc>
      </w:tr>
    </w:tbl>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hint="eastAsia" w:ascii="宋体" w:hAnsi="宋体"/>
                <w:szCs w:val="21"/>
                <w:u w:val="single"/>
              </w:rPr>
              <w:t xml:space="preserve"> </w:t>
            </w:r>
            <w:r>
              <w:rPr>
                <w:rFonts w:ascii="宋体" w:hAnsi="宋体"/>
                <w:szCs w:val="21"/>
                <w:u w:val="single"/>
              </w:rPr>
              <w:t>2</w:t>
            </w:r>
            <w:r>
              <w:rPr>
                <w:rFonts w:hint="eastAsia" w:ascii="宋体" w:hAnsi="宋体"/>
                <w:szCs w:val="21"/>
                <w:u w:val="single"/>
              </w:rPr>
              <w:t xml:space="preserve"> </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评标价格＝投标报价×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color w:val="FF0000"/>
          <w:szCs w:val="21"/>
          <w:lang w:val="en-GB"/>
        </w:rPr>
      </w:pPr>
      <w:r>
        <w:rPr>
          <w:rFonts w:hint="eastAsia" w:ascii="宋体" w:hAnsi="宋体"/>
          <w:bCs/>
          <w:color w:val="FF0000"/>
          <w:szCs w:val="21"/>
          <w:lang w:val="en-GB"/>
        </w:rPr>
        <w:t>备注：</w:t>
      </w:r>
    </w:p>
    <w:p>
      <w:pPr>
        <w:spacing w:line="360" w:lineRule="auto"/>
        <w:ind w:firstLine="420" w:firstLineChars="200"/>
        <w:rPr>
          <w:rFonts w:ascii="宋体" w:hAnsi="宋体"/>
          <w:bCs/>
          <w:color w:val="FF0000"/>
          <w:szCs w:val="21"/>
          <w:lang w:val="en-GB"/>
        </w:rPr>
      </w:pPr>
      <w:r>
        <w:rPr>
          <w:rFonts w:hint="eastAsia" w:ascii="宋体" w:hAnsi="宋体"/>
          <w:bCs/>
          <w:color w:val="FF0000"/>
          <w:szCs w:val="21"/>
          <w:lang w:val="en-GB"/>
        </w:rPr>
        <w:t>a、不接受联合体投标的项目，本表中第2项、第3项情形不适用。</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lang w:val="en-GB"/>
        </w:rPr>
        <w:t>b、小型</w:t>
      </w:r>
      <w:r>
        <w:rPr>
          <w:rFonts w:hint="eastAsia" w:ascii="宋体" w:hAnsi="宋体"/>
          <w:bCs/>
          <w:color w:val="FF0000"/>
          <w:szCs w:val="21"/>
          <w:highlight w:val="none"/>
          <w:lang w:val="en-GB"/>
        </w:rPr>
        <w:t>和微型企业产品包括货物及其提供的服务与工程。</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highlight w:val="none"/>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highlight w:val="none"/>
          <w:lang w:val="en-GB"/>
        </w:rPr>
        <w:t>d、残疾人福利性单位属于小型、微型企业的，不重复享受政策。</w:t>
      </w:r>
    </w:p>
    <w:p>
      <w:pPr>
        <w:spacing w:line="360" w:lineRule="auto"/>
        <w:ind w:firstLine="420" w:firstLineChars="200"/>
        <w:rPr>
          <w:rFonts w:ascii="宋体" w:hAnsi="宋体"/>
          <w:bCs/>
          <w:color w:val="FF0000"/>
          <w:szCs w:val="21"/>
          <w:highlight w:val="none"/>
          <w:lang w:val="en-GB"/>
        </w:rPr>
      </w:pPr>
      <w:r>
        <w:rPr>
          <w:rFonts w:ascii="宋体" w:hAnsi="宋体"/>
          <w:bCs/>
          <w:color w:val="FF0000"/>
          <w:szCs w:val="21"/>
          <w:highlight w:val="none"/>
          <w:lang w:val="en-GB"/>
        </w:rPr>
        <w:t>E</w:t>
      </w:r>
      <w:r>
        <w:rPr>
          <w:rFonts w:hint="eastAsia" w:ascii="宋体" w:hAnsi="宋体"/>
          <w:bCs/>
          <w:color w:val="FF0000"/>
          <w:szCs w:val="21"/>
          <w:highlight w:val="none"/>
          <w:lang w:val="en-GB"/>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（7）</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（8）</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highlight w:val="none"/>
        </w:rPr>
      </w:pPr>
      <w:r>
        <w:rPr>
          <w:rFonts w:hint="eastAsia" w:ascii="宋体" w:hAnsi="宋体" w:cs="微软雅黑"/>
          <w:b/>
          <w:bCs/>
          <w:szCs w:val="21"/>
        </w:rPr>
        <w:t>（此合同仅供</w:t>
      </w:r>
      <w:r>
        <w:rPr>
          <w:rFonts w:hint="eastAsia" w:ascii="宋体" w:hAnsi="宋体" w:cs="微软雅黑"/>
          <w:b/>
          <w:bCs/>
          <w:szCs w:val="21"/>
          <w:highlight w:val="none"/>
        </w:rPr>
        <w:t>参考。以最终采购人与中标人签定的合同条款为准进行公示，</w:t>
      </w: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最终签定合同的主要条款不能与招标文件有冲突）</w:t>
      </w:r>
    </w:p>
    <w:p>
      <w:pPr>
        <w:pStyle w:val="20"/>
        <w:spacing w:before="75" w:after="75"/>
        <w:rPr>
          <w:rFonts w:ascii="微软雅黑" w:hAnsi="微软雅黑" w:eastAsia="微软雅黑"/>
          <w:color w:val="000000"/>
          <w:sz w:val="27"/>
          <w:szCs w:val="27"/>
          <w:highlight w:val="none"/>
        </w:rPr>
      </w:pPr>
      <w:r>
        <w:rPr>
          <w:rFonts w:ascii="宋体" w:hAnsi="宋体" w:eastAsia="微软雅黑"/>
          <w:color w:val="000000"/>
          <w:highlight w:val="none"/>
          <w:u w:val="singl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w:t>
      </w:r>
      <w:r>
        <w:rPr>
          <w:rFonts w:asciiTheme="minorEastAsia" w:hAnsiTheme="minorEastAsia" w:eastAsiaTheme="minorEastAsia"/>
          <w:color w:val="000000"/>
          <w:sz w:val="21"/>
          <w:szCs w:val="21"/>
          <w:highlight w:val="none"/>
          <w:u w:val="single"/>
        </w:rPr>
        <w:t>（采购人全称）</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乙方：</w:t>
      </w:r>
      <w:r>
        <w:rPr>
          <w:rFonts w:asciiTheme="minorEastAsia" w:hAnsiTheme="minorEastAsia" w:eastAsiaTheme="minorEastAsia"/>
          <w:color w:val="000000"/>
          <w:sz w:val="21"/>
          <w:szCs w:val="21"/>
          <w:highlight w:val="none"/>
          <w:u w:val="single"/>
        </w:rPr>
        <w:t>（中标人全称）</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根据招标编号为</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的</w:t>
      </w:r>
      <w:r>
        <w:rPr>
          <w:rFonts w:asciiTheme="minorEastAsia" w:hAnsiTheme="minorEastAsia" w:eastAsiaTheme="minorEastAsia"/>
          <w:color w:val="000000"/>
          <w:sz w:val="21"/>
          <w:szCs w:val="21"/>
          <w:highlight w:val="none"/>
          <w:u w:val="single"/>
        </w:rPr>
        <w:t>（填写“项目名称”）</w:t>
      </w:r>
      <w:r>
        <w:rPr>
          <w:rFonts w:asciiTheme="minorEastAsia" w:hAnsiTheme="minorEastAsia" w:eastAsiaTheme="minorEastAsia"/>
          <w:color w:val="000000"/>
          <w:sz w:val="21"/>
          <w:szCs w:val="21"/>
          <w:highlight w:val="none"/>
        </w:rPr>
        <w:t>项目（以下简称：“本项目”）的招标结果，乙方为中标人。现经甲乙双方友好协商，就以下事项达成一致并签订本合同：</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1、下列合同文件是构成本合同不可分割的部分：</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1.2招标文件、乙方的投标文件；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1.3其他文件或材料：□无。□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2、合同标的</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3、合同总金额</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3.1合同总金额为人民币大写：</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元（￥</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4、合同标的交付时间、地点和条件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4.1交付时间：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4.2交付地点：</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4.3交付条件：</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5、合同标的应符合招标文件、乙方投标文件的规定或约定，具体如下：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6.1验收应按照招标文件、乙方投标文件的规定或约定进行，具体如下：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6.2本项目是否邀请其他投标人参与验收：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□不邀请。□邀请，具体如下：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7、合同款项的支付应按照招标文件的规定进行，具体如下：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（按照实际情况编制填写，可以是表格或文字描述，包括一次性支付或分期支付等）</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8、履约保证金</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□无。□有，具体如下：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9、合同有效期</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10、违约责任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11、知识产权</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12、解决争议的方法</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12.1甲、乙双方协商解决。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12.2若协商解决不成，则通过下列途径之一解决：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□提交仲裁委员会仲裁，具体如下：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□向人民法院提起诉讼，具体如下：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13、不可抗力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14、合同条款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（按照实际情况编制填写。招标文件已有规定的，双方均不得变更或调整；招标文件未作规定的，双方可通过友好协商进行约定）</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15、其他约定</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15.1合同文件与本合同具有同等法律效力。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15.2本合同未尽事宜，双方可另行补充。</w:t>
      </w:r>
    </w:p>
    <w:p>
      <w:pPr>
        <w:pStyle w:val="20"/>
        <w:spacing w:before="75" w:after="75" w:line="360" w:lineRule="auto"/>
        <w:ind w:firstLine="482"/>
        <w:rPr>
          <w:rFonts w:hint="eastAsia" w:asciiTheme="minorEastAsia" w:hAnsiTheme="minorEastAsia" w:eastAsiaTheme="minorEastAsia"/>
          <w:color w:val="000000"/>
          <w:sz w:val="21"/>
          <w:szCs w:val="21"/>
          <w:highlight w:val="none"/>
          <w:lang w:eastAsia="zh-CN"/>
        </w:rPr>
      </w:pPr>
      <w:r>
        <w:rPr>
          <w:rFonts w:asciiTheme="minorEastAsia" w:hAnsiTheme="minorEastAsia" w:eastAsiaTheme="minorEastAsia"/>
          <w:color w:val="000000"/>
          <w:sz w:val="21"/>
          <w:szCs w:val="21"/>
          <w:highlight w:val="none"/>
        </w:rPr>
        <w:t>15.3合同生效：自签订之日起生效</w:t>
      </w:r>
      <w:r>
        <w:rPr>
          <w:rFonts w:hint="eastAsia" w:asciiTheme="minorEastAsia" w:hAnsiTheme="minorEastAsia" w:eastAsiaTheme="minorEastAsia"/>
          <w:color w:val="000000"/>
          <w:sz w:val="21"/>
          <w:szCs w:val="21"/>
          <w:highlight w:val="none"/>
          <w:lang w:eastAsia="zh-CN"/>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15.4本合同一式</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份，经双方授权代表签字并盖章后生效。甲方、乙方各执</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份，送</w:t>
      </w:r>
      <w:r>
        <w:rPr>
          <w:rFonts w:asciiTheme="minorEastAsia" w:hAnsiTheme="minorEastAsia" w:eastAsiaTheme="minorEastAsia"/>
          <w:color w:val="000000"/>
          <w:sz w:val="21"/>
          <w:szCs w:val="21"/>
          <w:highlight w:val="none"/>
          <w:u w:val="single"/>
        </w:rPr>
        <w:t>（填写需要备案的监管部门的全称）</w:t>
      </w:r>
      <w:r>
        <w:rPr>
          <w:rFonts w:asciiTheme="minorEastAsia" w:hAnsiTheme="minorEastAsia" w:eastAsiaTheme="minorEastAsia"/>
          <w:color w:val="000000"/>
          <w:sz w:val="21"/>
          <w:szCs w:val="21"/>
          <w:highlight w:val="none"/>
        </w:rPr>
        <w:t>备案</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份，具有同等效力。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15.5其他：□无。□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                        乙方：</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住所：                        住所：</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单位负责人：                     单位负责人：</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联系方法：                      联系方法：</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开户银行：                      开户银行：</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账号：                        账号：</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签订地点：</w:t>
      </w:r>
      <w:r>
        <w:rPr>
          <w:rFonts w:asciiTheme="minorEastAsia" w:hAnsiTheme="minorEastAsia" w:eastAsiaTheme="minorEastAsia"/>
          <w:color w:val="000000"/>
          <w:sz w:val="21"/>
          <w:szCs w:val="21"/>
          <w:highlight w:val="none"/>
          <w:u w:val="singl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签订日期：</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月</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日</w:t>
      </w: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2"/>
          <w:szCs w:val="32"/>
        </w:rPr>
        <w:t>（如涉及本项目的提供）</w:t>
      </w:r>
    </w:p>
    <w:p>
      <w:pPr>
        <w:autoSpaceDE w:val="0"/>
        <w:autoSpaceDN w:val="0"/>
        <w:adjustRightInd w:val="0"/>
        <w:spacing w:line="700" w:lineRule="exact"/>
        <w:ind w:firstLine="551"/>
        <w:jc w:val="center"/>
        <w:rPr>
          <w:rFonts w:cs="黑体" w:asciiTheme="minorEastAsia" w:hAnsiTheme="minorEastAsia"/>
          <w:b/>
          <w:bCs/>
          <w:sz w:val="44"/>
          <w:szCs w:val="44"/>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0"/>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6" w:name="_Toc174185203"/>
      <w:bookmarkStart w:id="7" w:name="_Toc184023138"/>
      <w:bookmarkStart w:id="8" w:name="_Toc186274126"/>
      <w:r>
        <w:rPr>
          <w:rFonts w:hint="eastAsia" w:cs="黑体" w:asciiTheme="minorEastAsia" w:hAnsiTheme="minorEastAsia" w:eastAsiaTheme="minorEastAsia"/>
          <w:color w:val="auto"/>
          <w:kern w:val="2"/>
          <w:sz w:val="28"/>
          <w:szCs w:val="28"/>
          <w:lang w:val="zh-CN"/>
        </w:rPr>
        <w:t>一、投标人应答索引表</w:t>
      </w:r>
      <w:bookmarkEnd w:id="6"/>
      <w:bookmarkEnd w:id="7"/>
      <w:bookmarkEnd w:id="8"/>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asciiTheme="majorEastAsia" w:hAnsiTheme="majorEastAsia" w:eastAsiaTheme="majorEastAsia" w:cstheme="majorEastAsia"/>
                <w:bCs/>
                <w:sz w:val="21"/>
                <w:szCs w:val="21"/>
                <w:highlight w:val="none"/>
                <w:lang w:val="zh-CN"/>
              </w:rPr>
              <w:t>法定代表人（单位负责人）</w:t>
            </w:r>
            <w:r>
              <w:rPr>
                <w:rFonts w:asciiTheme="majorEastAsia" w:hAnsiTheme="majorEastAsia" w:eastAsiaTheme="majorEastAsia" w:cstheme="majorEastAsia"/>
                <w:bCs/>
                <w:sz w:val="21"/>
                <w:szCs w:val="21"/>
                <w:highlight w:val="none"/>
                <w:lang w:val="zh-CN"/>
              </w:rPr>
              <w:t>资</w:t>
            </w:r>
            <w:r>
              <w:rPr>
                <w:rFonts w:hint="eastAsia" w:asciiTheme="majorEastAsia" w:hAnsiTheme="majorEastAsia" w:eastAsiaTheme="majorEastAsia" w:cstheme="majorEastAsia"/>
                <w:bCs/>
                <w:sz w:val="21"/>
                <w:szCs w:val="21"/>
                <w:highlight w:val="none"/>
                <w:lang w:val="zh-CN"/>
              </w:rPr>
              <w:t>格</w:t>
            </w:r>
            <w:r>
              <w:rPr>
                <w:rFonts w:asciiTheme="majorEastAsia" w:hAnsiTheme="majorEastAsia" w:eastAsiaTheme="majorEastAsia" w:cstheme="majorEastAsia"/>
                <w:bCs/>
                <w:sz w:val="21"/>
                <w:szCs w:val="21"/>
                <w:highlight w:val="none"/>
                <w:lang w:val="zh-CN"/>
              </w:rPr>
              <w:t>证</w:t>
            </w:r>
            <w:r>
              <w:rPr>
                <w:rFonts w:hint="eastAsia" w:asciiTheme="majorEastAsia" w:hAnsiTheme="majorEastAsia" w:eastAsiaTheme="majorEastAsia" w:cstheme="majorEastAsia"/>
                <w:bCs/>
                <w:sz w:val="21"/>
                <w:szCs w:val="21"/>
                <w:highlight w:val="none"/>
                <w:lang w:val="zh-CN"/>
              </w:rPr>
              <w:t>明</w:t>
            </w:r>
            <w:r>
              <w:rPr>
                <w:rFonts w:asciiTheme="majorEastAsia" w:hAnsiTheme="majorEastAsia" w:eastAsiaTheme="majorEastAsia" w:cstheme="majorEastAsia"/>
                <w:bCs/>
                <w:sz w:val="21"/>
                <w:szCs w:val="21"/>
                <w:highlight w:val="none"/>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hAnsi="宋体"/>
                <w:kern w:val="0"/>
                <w:sz w:val="21"/>
                <w:szCs w:val="21"/>
                <w:highlight w:val="none"/>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asciiTheme="minorEastAsia" w:hAnsiTheme="minorEastAsia"/>
                <w:bCs/>
                <w:sz w:val="21"/>
                <w:szCs w:val="21"/>
                <w:highlight w:val="none"/>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asciiTheme="majorEastAsia" w:hAnsiTheme="majorEastAsia" w:eastAsiaTheme="majorEastAsia" w:cstheme="majorEastAsia"/>
                <w:bCs/>
                <w:sz w:val="21"/>
                <w:szCs w:val="21"/>
                <w:highlight w:val="none"/>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仿宋_GB2312" w:asciiTheme="minorEastAsia" w:hAnsiTheme="minorEastAsia"/>
                <w:sz w:val="21"/>
                <w:szCs w:val="21"/>
                <w:highlight w:val="none"/>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highlight w:val="none"/>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highlight w:val="none"/>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default" w:ascii="宋体" w:hAnsi="宋体" w:cs="微软雅黑" w:eastAsiaTheme="minorEastAsia"/>
                <w:szCs w:val="21"/>
                <w:highlight w:val="none"/>
                <w:lang w:val="en-US" w:eastAsia="zh-CN"/>
              </w:rPr>
            </w:pPr>
            <w:r>
              <w:rPr>
                <w:rFonts w:hint="eastAsia" w:ascii="宋体" w:hAnsi="宋体" w:cs="微软雅黑"/>
                <w:szCs w:val="21"/>
                <w:highlight w:val="none"/>
                <w:lang w:val="en-US" w:eastAsia="zh-CN"/>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highlight w:val="none"/>
              </w:rPr>
            </w:pPr>
            <w:r>
              <w:rPr>
                <w:rFonts w:cs="宋体" w:asciiTheme="minorEastAsia" w:hAnsiTheme="minorEastAsia"/>
                <w:kern w:val="0"/>
                <w:sz w:val="21"/>
                <w:szCs w:val="21"/>
                <w:highlight w:val="none"/>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宋体" w:asciiTheme="minorEastAsia" w:hAnsiTheme="minorEastAsia"/>
                <w:kern w:val="0"/>
                <w:sz w:val="21"/>
                <w:szCs w:val="21"/>
                <w:highlight w:val="none"/>
              </w:rPr>
              <w:t>认证机构颁发的认证证书</w:t>
            </w:r>
          </w:p>
        </w:tc>
        <w:tc>
          <w:tcPr>
            <w:tcW w:w="1559" w:type="dxa"/>
            <w:vAlign w:val="center"/>
          </w:tcPr>
          <w:p>
            <w:pPr>
              <w:pStyle w:val="13"/>
              <w:rPr>
                <w:sz w:val="21"/>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highlight w:val="none"/>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宋体" w:asciiTheme="minorEastAsia" w:hAnsiTheme="minorEastAsia"/>
                <w:kern w:val="0"/>
                <w:sz w:val="21"/>
                <w:szCs w:val="21"/>
                <w:highlight w:val="none"/>
              </w:rPr>
              <w:t>中国信息安全认证中心官网产品查询结果截图</w:t>
            </w:r>
          </w:p>
        </w:tc>
        <w:tc>
          <w:tcPr>
            <w:tcW w:w="1559" w:type="dxa"/>
            <w:vAlign w:val="center"/>
          </w:tcPr>
          <w:p>
            <w:pPr>
              <w:pStyle w:val="13"/>
              <w:rPr>
                <w:sz w:val="21"/>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highlight w:val="none"/>
                <w:lang w:val="en-US" w:eastAsia="zh-CN"/>
              </w:rPr>
            </w:pPr>
            <w:r>
              <w:rPr>
                <w:rFonts w:hint="eastAsia" w:ascii="宋体" w:hAnsi="宋体" w:cs="微软雅黑"/>
                <w:szCs w:val="21"/>
                <w:highlight w:val="none"/>
                <w:lang w:val="en-US" w:eastAsia="zh-CN"/>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highlight w:val="none"/>
              </w:rPr>
            </w:pPr>
            <w:r>
              <w:rPr>
                <w:rFonts w:hint="eastAsia" w:hAnsi="宋体" w:cs="微软雅黑"/>
                <w:bCs/>
                <w:kern w:val="0"/>
                <w:sz w:val="21"/>
                <w:szCs w:val="21"/>
                <w:highlight w:val="none"/>
              </w:rPr>
              <w:t>其它资料</w:t>
            </w:r>
          </w:p>
        </w:tc>
        <w:tc>
          <w:tcPr>
            <w:tcW w:w="1559" w:type="dxa"/>
            <w:vAlign w:val="center"/>
          </w:tcPr>
          <w:p>
            <w:pPr>
              <w:jc w:val="center"/>
              <w:rPr>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注：①本表序号8请按照本招标文件 “第六章资格审查与评标”资格审查表中序号3要求，根据所提供经审计财务报告、基本开户银行资信证明、银行资信证明、政府采购投标担保函情况填写其中一项即可。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③本表序号2</w:t>
      </w:r>
      <w:r>
        <w:rPr>
          <w:rFonts w:hint="eastAsia" w:ascii="楷体" w:hAnsi="楷体" w:eastAsia="楷体"/>
          <w:color w:val="000000"/>
          <w:sz w:val="24"/>
          <w:szCs w:val="24"/>
          <w:highlight w:val="none"/>
          <w:lang w:val="en-US" w:eastAsia="zh-CN"/>
        </w:rPr>
        <w:t>6</w:t>
      </w:r>
      <w:r>
        <w:rPr>
          <w:rFonts w:hint="eastAsia" w:ascii="楷体" w:hAnsi="楷体" w:eastAsia="楷体"/>
          <w:color w:val="000000"/>
          <w:sz w:val="24"/>
          <w:szCs w:val="24"/>
          <w:highlight w:val="none"/>
        </w:rPr>
        <w:t>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日期：</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年</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月</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日</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2、如招标公告明确项目交付日期以年为单位，本表应填写完成该项目的年限。</w:t>
      </w: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（项目名称、招标编号）招标文件的全部内容。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 w:val="21"/>
          <w:szCs w:val="21"/>
        </w:rPr>
        <w:t>已完全理解并接受招标文件的各项规定和要求及资金支付规定，对招标文件的合理性、合法性不再有异议。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(投标人名称)     </w:t>
      </w:r>
      <w:r>
        <w:rPr>
          <w:rFonts w:hint="eastAsia" w:asciiTheme="minorEastAsia" w:hAnsiTheme="minorEastAsia"/>
          <w:snapToGrid w:val="0"/>
          <w:kern w:val="0"/>
          <w:szCs w:val="21"/>
        </w:rPr>
        <w:t>作为投标人正式授权</w:t>
      </w: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代表我方全权处理有关本投标的一切事宜。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在此提交的投标文件，正本一份，副本</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二、本投标文件的有效期为投标截止时间起</w:t>
      </w:r>
      <w:r>
        <w:rPr>
          <w:rFonts w:hint="eastAsia" w:cs="Courier New" w:asciiTheme="minorEastAsia" w:hAnsiTheme="minorEastAsia"/>
          <w:szCs w:val="21"/>
          <w:u w:val="single"/>
        </w:rPr>
        <w:t xml:space="preserve">   </w:t>
      </w:r>
      <w:r>
        <w:rPr>
          <w:rFonts w:hint="eastAsia" w:cs="Courier New" w:asciiTheme="minorEastAsia" w:hAnsiTheme="minor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三、我方明白并同意，在规定的开标日之后，投标有效期之内撤销投标的，则贵方将不予退还投标保证金。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highlight w:val="none"/>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w:t>
      </w:r>
      <w:r>
        <w:rPr>
          <w:rFonts w:hint="eastAsia" w:asciiTheme="minorEastAsia" w:hAnsiTheme="minorEastAsia" w:eastAsiaTheme="minorEastAsia"/>
          <w:sz w:val="21"/>
          <w:szCs w:val="21"/>
          <w:highlight w:val="none"/>
        </w:rPr>
        <w:t>件中所作的所有承诺承担法律责任。</w:t>
      </w:r>
    </w:p>
    <w:p>
      <w:pPr>
        <w:pStyle w:val="13"/>
        <w:adjustRightInd w:val="0"/>
        <w:snapToGrid w:val="0"/>
        <w:spacing w:line="360" w:lineRule="auto"/>
        <w:rPr>
          <w:rFonts w:asciiTheme="minorEastAsia" w:hAnsiTheme="minorEastAsia" w:eastAsiaTheme="minorEastAsia"/>
          <w:sz w:val="21"/>
          <w:szCs w:val="21"/>
          <w:highlight w:val="none"/>
        </w:rPr>
      </w:pPr>
    </w:p>
    <w:p>
      <w:pPr>
        <w:pStyle w:val="13"/>
        <w:adjustRightInd w:val="0"/>
        <w:snapToGrid w:val="0"/>
        <w:spacing w:line="360" w:lineRule="auto"/>
        <w:rPr>
          <w:rFonts w:asciiTheme="minorEastAsia" w:hAnsiTheme="minorEastAsia" w:eastAsiaTheme="minorEastAsia"/>
          <w:sz w:val="21"/>
          <w:szCs w:val="21"/>
          <w:highlight w:val="none"/>
        </w:rPr>
      </w:pPr>
    </w:p>
    <w:p>
      <w:pPr>
        <w:pStyle w:val="13"/>
        <w:adjustRightInd w:val="0"/>
        <w:snapToGrid w:val="0"/>
        <w:spacing w:line="360" w:lineRule="auto"/>
        <w:rPr>
          <w:rFonts w:asciiTheme="minorEastAsia" w:hAnsiTheme="minorEastAsia" w:eastAsiaTheme="minorEastAsia"/>
          <w:sz w:val="21"/>
          <w:szCs w:val="21"/>
          <w:highlight w:val="none"/>
        </w:rPr>
      </w:pPr>
      <w:r>
        <w:rPr>
          <w:rFonts w:hint="eastAsia" w:asciiTheme="minorEastAsia" w:hAnsiTheme="minorEastAsia" w:eastAsiaTheme="minorEastAsia"/>
          <w:sz w:val="21"/>
          <w:szCs w:val="21"/>
          <w:highlight w:val="none"/>
        </w:rPr>
        <w:t>所有与本招标有关的一切正式往来请寄：</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地    址：</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邮政编码：</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电    话：</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传    真：</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u w:val="single"/>
        </w:rPr>
      </w:pPr>
      <w:r>
        <w:rPr>
          <w:rFonts w:hint="eastAsia" w:cs="宋体" w:asciiTheme="minorEastAsia" w:hAnsiTheme="minorEastAsia"/>
          <w:szCs w:val="21"/>
          <w:highlight w:val="none"/>
        </w:rPr>
        <w:t>投标人代表姓名：</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职    务：</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投标人法定代表人（单位负责人）或法定代表人（单位负责人）授权代表签字或盖章：</w:t>
      </w:r>
      <w:r>
        <w:rPr>
          <w:rFonts w:hint="eastAsia" w:cs="宋体" w:asciiTheme="minorEastAsia" w:hAnsiTheme="minorEastAsia"/>
          <w:szCs w:val="21"/>
          <w:highlight w:val="none"/>
          <w:u w:val="single"/>
        </w:rPr>
        <w:t xml:space="preserve">         </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投标人名称（盖章）：</w:t>
      </w:r>
      <w:r>
        <w:rPr>
          <w:rFonts w:hint="eastAsia" w:cs="宋体" w:asciiTheme="minorEastAsia" w:hAnsiTheme="minorEastAsia"/>
          <w:szCs w:val="21"/>
          <w:highlight w:val="none"/>
          <w:u w:val="single"/>
        </w:rPr>
        <w:t xml:space="preserve">                   </w:t>
      </w: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r>
        <w:rPr>
          <w:rFonts w:hint="eastAsia" w:cs="宋体" w:asciiTheme="minorEastAsia" w:hAnsiTheme="minorEastAsia"/>
          <w:szCs w:val="21"/>
          <w:highlight w:val="none"/>
        </w:rPr>
        <w:t>日期：    年    月    日</w:t>
      </w: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spacing w:line="480" w:lineRule="exact"/>
        <w:jc w:val="center"/>
        <w:rPr>
          <w:rFonts w:asciiTheme="majorEastAsia" w:hAnsiTheme="majorEastAsia" w:eastAsiaTheme="majorEastAsia"/>
          <w:b/>
          <w:bCs/>
          <w:color w:val="000000"/>
          <w:sz w:val="24"/>
          <w:szCs w:val="24"/>
          <w:highlight w:val="none"/>
        </w:rPr>
      </w:pPr>
      <w:r>
        <w:rPr>
          <w:rFonts w:hint="eastAsia" w:asciiTheme="majorEastAsia" w:hAnsiTheme="majorEastAsia" w:eastAsiaTheme="majorEastAsia"/>
          <w:b/>
          <w:bCs/>
          <w:color w:val="000000"/>
          <w:sz w:val="24"/>
          <w:szCs w:val="24"/>
          <w:highlight w:val="none"/>
        </w:rPr>
        <w:t>3.2 法定代表人（单位负责人）</w:t>
      </w:r>
      <w:r>
        <w:rPr>
          <w:rFonts w:asciiTheme="majorEastAsia" w:hAnsiTheme="majorEastAsia" w:eastAsiaTheme="majorEastAsia"/>
          <w:b/>
          <w:bCs/>
          <w:color w:val="000000"/>
          <w:sz w:val="24"/>
          <w:szCs w:val="24"/>
          <w:highlight w:val="none"/>
        </w:rPr>
        <w:t>资</w:t>
      </w:r>
      <w:r>
        <w:rPr>
          <w:rFonts w:hint="eastAsia" w:asciiTheme="majorEastAsia" w:hAnsiTheme="majorEastAsia" w:eastAsiaTheme="majorEastAsia"/>
          <w:b/>
          <w:bCs/>
          <w:color w:val="000000"/>
          <w:sz w:val="24"/>
          <w:szCs w:val="24"/>
          <w:highlight w:val="none"/>
        </w:rPr>
        <w:t>格</w:t>
      </w:r>
      <w:r>
        <w:rPr>
          <w:rFonts w:asciiTheme="majorEastAsia" w:hAnsiTheme="majorEastAsia" w:eastAsiaTheme="majorEastAsia"/>
          <w:b/>
          <w:bCs/>
          <w:color w:val="000000"/>
          <w:sz w:val="24"/>
          <w:szCs w:val="24"/>
          <w:highlight w:val="none"/>
        </w:rPr>
        <w:t>证</w:t>
      </w:r>
      <w:r>
        <w:rPr>
          <w:rFonts w:hint="eastAsia" w:asciiTheme="majorEastAsia" w:hAnsiTheme="majorEastAsia" w:eastAsiaTheme="majorEastAsia"/>
          <w:b/>
          <w:bCs/>
          <w:color w:val="000000"/>
          <w:sz w:val="24"/>
          <w:szCs w:val="24"/>
          <w:highlight w:val="none"/>
        </w:rPr>
        <w:t>明</w:t>
      </w:r>
      <w:r>
        <w:rPr>
          <w:rFonts w:asciiTheme="majorEastAsia" w:hAnsiTheme="majorEastAsia" w:eastAsiaTheme="majorEastAsia"/>
          <w:b/>
          <w:bCs/>
          <w:color w:val="000000"/>
          <w:sz w:val="24"/>
          <w:szCs w:val="24"/>
          <w:highlight w:val="none"/>
        </w:rPr>
        <w:t>书</w:t>
      </w:r>
    </w:p>
    <w:p>
      <w:pPr>
        <w:autoSpaceDE w:val="0"/>
        <w:autoSpaceDN w:val="0"/>
        <w:adjustRightInd w:val="0"/>
        <w:spacing w:line="480" w:lineRule="auto"/>
        <w:ind w:firstLine="616" w:firstLineChars="257"/>
        <w:rPr>
          <w:rFonts w:ascii="宋体" w:hAnsi="宋体"/>
          <w:color w:val="000000"/>
          <w:sz w:val="24"/>
          <w:szCs w:val="24"/>
          <w:highlight w:val="none"/>
        </w:rPr>
      </w:pPr>
    </w:p>
    <w:p>
      <w:pPr>
        <w:pStyle w:val="41"/>
        <w:spacing w:line="480" w:lineRule="auto"/>
        <w:ind w:firstLine="472" w:firstLineChars="225"/>
        <w:jc w:val="left"/>
        <w:rPr>
          <w:rFonts w:asciiTheme="minorEastAsia" w:hAnsiTheme="minorEastAsia"/>
          <w:color w:val="000000"/>
          <w:sz w:val="21"/>
          <w:szCs w:val="21"/>
          <w:highlight w:val="none"/>
        </w:rPr>
      </w:pPr>
      <w:r>
        <w:rPr>
          <w:rFonts w:asciiTheme="minorEastAsia" w:hAnsiTheme="minorEastAsia"/>
          <w:color w:val="000000"/>
          <w:sz w:val="21"/>
          <w:szCs w:val="21"/>
          <w:highlight w:val="none"/>
        </w:rPr>
        <w:t>单</w:t>
      </w:r>
      <w:r>
        <w:rPr>
          <w:rFonts w:hint="eastAsia" w:asciiTheme="minorEastAsia" w:hAnsiTheme="minorEastAsia"/>
          <w:color w:val="000000"/>
          <w:sz w:val="21"/>
          <w:szCs w:val="21"/>
          <w:highlight w:val="none"/>
        </w:rPr>
        <w:t>位名</w:t>
      </w:r>
      <w:r>
        <w:rPr>
          <w:rFonts w:asciiTheme="minorEastAsia" w:hAnsiTheme="minorEastAsia"/>
          <w:color w:val="000000"/>
          <w:sz w:val="21"/>
          <w:szCs w:val="21"/>
          <w:highlight w:val="none"/>
        </w:rPr>
        <w:t>称</w:t>
      </w:r>
      <w:r>
        <w:rPr>
          <w:rFonts w:hint="eastAsia" w:asciiTheme="minorEastAsia" w:hAnsiTheme="minorEastAsia"/>
          <w:color w:val="000000"/>
          <w:sz w:val="21"/>
          <w:szCs w:val="21"/>
          <w:highlight w:val="none"/>
        </w:rPr>
        <w:t>：</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地址：</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姓名：       性</w:t>
      </w:r>
      <w:r>
        <w:rPr>
          <w:rFonts w:asciiTheme="minorEastAsia" w:hAnsiTheme="minorEastAsia"/>
          <w:color w:val="000000"/>
          <w:sz w:val="21"/>
          <w:szCs w:val="21"/>
          <w:highlight w:val="none"/>
        </w:rPr>
        <w:t>别</w:t>
      </w:r>
      <w:r>
        <w:rPr>
          <w:rFonts w:hint="eastAsia" w:asciiTheme="minorEastAsia" w:hAnsiTheme="minorEastAsia"/>
          <w:color w:val="000000"/>
          <w:sz w:val="21"/>
          <w:szCs w:val="21"/>
          <w:highlight w:val="none"/>
        </w:rPr>
        <w:t>：     年</w:t>
      </w:r>
      <w:r>
        <w:rPr>
          <w:rFonts w:asciiTheme="minorEastAsia" w:hAnsiTheme="minorEastAsia"/>
          <w:color w:val="000000"/>
          <w:sz w:val="21"/>
          <w:szCs w:val="21"/>
          <w:highlight w:val="none"/>
        </w:rPr>
        <w:t>龄</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 xml:space="preserve">     职务</w:t>
      </w:r>
      <w:r>
        <w:rPr>
          <w:rFonts w:hint="eastAsia" w:asciiTheme="minorEastAsia" w:hAnsiTheme="minorEastAsia"/>
          <w:color w:val="000000"/>
          <w:sz w:val="21"/>
          <w:szCs w:val="21"/>
          <w:highlight w:val="none"/>
        </w:rPr>
        <w:t xml:space="preserve">：        </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本人系</w:t>
      </w:r>
      <w:r>
        <w:rPr>
          <w:rFonts w:hint="eastAsia" w:asciiTheme="minorEastAsia" w:hAnsiTheme="minorEastAsia"/>
          <w:color w:val="000000"/>
          <w:sz w:val="21"/>
          <w:szCs w:val="21"/>
          <w:highlight w:val="none"/>
          <w:u w:val="single"/>
        </w:rPr>
        <w:t xml:space="preserve">  </w:t>
      </w:r>
      <w:r>
        <w:rPr>
          <w:rFonts w:hint="eastAsia" w:asciiTheme="minorEastAsia" w:hAnsiTheme="minorEastAsia"/>
          <w:i/>
          <w:snapToGrid w:val="0"/>
          <w:sz w:val="21"/>
          <w:szCs w:val="21"/>
          <w:highlight w:val="none"/>
          <w:u w:val="single"/>
        </w:rPr>
        <w:t>投</w:t>
      </w:r>
      <w:r>
        <w:rPr>
          <w:rFonts w:asciiTheme="minorEastAsia" w:hAnsiTheme="minorEastAsia"/>
          <w:i/>
          <w:snapToGrid w:val="0"/>
          <w:sz w:val="21"/>
          <w:szCs w:val="21"/>
          <w:highlight w:val="none"/>
          <w:u w:val="single"/>
        </w:rPr>
        <w:t>标</w:t>
      </w:r>
      <w:r>
        <w:rPr>
          <w:rFonts w:hint="eastAsia" w:asciiTheme="minorEastAsia" w:hAnsiTheme="minorEastAsia"/>
          <w:i/>
          <w:snapToGrid w:val="0"/>
          <w:sz w:val="21"/>
          <w:szCs w:val="21"/>
          <w:highlight w:val="none"/>
          <w:u w:val="single"/>
        </w:rPr>
        <w:t>人名</w:t>
      </w:r>
      <w:r>
        <w:rPr>
          <w:rFonts w:asciiTheme="minorEastAsia" w:hAnsiTheme="minorEastAsia"/>
          <w:i/>
          <w:snapToGrid w:val="0"/>
          <w:sz w:val="21"/>
          <w:szCs w:val="21"/>
          <w:highlight w:val="none"/>
          <w:u w:val="single"/>
        </w:rPr>
        <w:t>称</w:t>
      </w:r>
      <w:r>
        <w:rPr>
          <w:rFonts w:hint="eastAsia" w:asciiTheme="minorEastAsia" w:hAnsiTheme="minorEastAsia"/>
          <w:i/>
          <w:snapToGrid w:val="0"/>
          <w:sz w:val="21"/>
          <w:szCs w:val="21"/>
          <w:highlight w:val="none"/>
          <w:u w:val="single"/>
        </w:rPr>
        <w:t xml:space="preserve">  </w:t>
      </w:r>
      <w:r>
        <w:rPr>
          <w:rFonts w:hint="eastAsia" w:asciiTheme="minorEastAsia" w:hAnsiTheme="minorEastAsia"/>
          <w:color w:val="000000"/>
          <w:sz w:val="21"/>
          <w:szCs w:val="21"/>
          <w:highlight w:val="none"/>
        </w:rPr>
        <w:t>的法定代表人（单位负责人）。就</w:t>
      </w:r>
      <w:r>
        <w:rPr>
          <w:rFonts w:asciiTheme="minorEastAsia" w:hAnsiTheme="minorEastAsia"/>
          <w:color w:val="000000"/>
          <w:sz w:val="21"/>
          <w:szCs w:val="21"/>
          <w:highlight w:val="none"/>
        </w:rPr>
        <w:t>参</w:t>
      </w:r>
      <w:r>
        <w:rPr>
          <w:rFonts w:hint="eastAsia" w:asciiTheme="minorEastAsia" w:hAnsiTheme="minorEastAsia"/>
          <w:color w:val="000000"/>
          <w:sz w:val="21"/>
          <w:szCs w:val="21"/>
          <w:highlight w:val="none"/>
        </w:rPr>
        <w:t>加贵方招</w:t>
      </w:r>
      <w:r>
        <w:rPr>
          <w:rFonts w:asciiTheme="minorEastAsia" w:hAnsiTheme="minorEastAsia"/>
          <w:color w:val="000000"/>
          <w:sz w:val="21"/>
          <w:szCs w:val="21"/>
          <w:highlight w:val="none"/>
        </w:rPr>
        <w:t>标编号为</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项目编号</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的</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w:t>
      </w:r>
      <w:r>
        <w:rPr>
          <w:rFonts w:hint="eastAsia" w:asciiTheme="minorEastAsia" w:hAnsiTheme="minorEastAsia"/>
          <w:i/>
          <w:color w:val="000000"/>
          <w:sz w:val="21"/>
          <w:szCs w:val="21"/>
          <w:highlight w:val="none"/>
          <w:u w:val="single"/>
        </w:rPr>
        <w:t>名</w:t>
      </w:r>
      <w:r>
        <w:rPr>
          <w:rFonts w:asciiTheme="minorEastAsia" w:hAnsiTheme="minorEastAsia"/>
          <w:i/>
          <w:color w:val="000000"/>
          <w:sz w:val="21"/>
          <w:szCs w:val="21"/>
          <w:highlight w:val="none"/>
          <w:u w:val="single"/>
        </w:rPr>
        <w:t>称</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公</w:t>
      </w:r>
      <w:r>
        <w:rPr>
          <w:rFonts w:asciiTheme="minorEastAsia" w:hAnsiTheme="minorEastAsia"/>
          <w:color w:val="000000"/>
          <w:sz w:val="21"/>
          <w:szCs w:val="21"/>
          <w:highlight w:val="none"/>
        </w:rPr>
        <w:t>开</w:t>
      </w:r>
      <w:r>
        <w:rPr>
          <w:rFonts w:hint="eastAsia" w:asciiTheme="minorEastAsia" w:hAnsiTheme="minorEastAsia"/>
          <w:color w:val="000000"/>
          <w:sz w:val="21"/>
          <w:szCs w:val="21"/>
          <w:highlight w:val="none"/>
        </w:rPr>
        <w:t>招</w:t>
      </w:r>
      <w:r>
        <w:rPr>
          <w:rFonts w:asciiTheme="minorEastAsia" w:hAnsiTheme="minorEastAsia"/>
          <w:color w:val="000000"/>
          <w:sz w:val="21"/>
          <w:szCs w:val="21"/>
          <w:highlight w:val="none"/>
        </w:rPr>
        <w:t>标项目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标报价</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署上</w:t>
      </w:r>
      <w:r>
        <w:rPr>
          <w:rFonts w:asciiTheme="minorEastAsia" w:hAnsiTheme="minorEastAsia"/>
          <w:color w:val="000000"/>
          <w:sz w:val="21"/>
          <w:szCs w:val="21"/>
          <w:highlight w:val="none"/>
        </w:rPr>
        <w:t>述项目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w:t>
      </w:r>
      <w:r>
        <w:rPr>
          <w:rFonts w:hint="eastAsia" w:asciiTheme="minorEastAsia" w:hAnsiTheme="minorEastAsia"/>
          <w:color w:val="000000"/>
          <w:sz w:val="21"/>
          <w:szCs w:val="21"/>
          <w:highlight w:val="none"/>
        </w:rPr>
        <w:t>文件及合同的</w:t>
      </w:r>
      <w:r>
        <w:rPr>
          <w:rFonts w:asciiTheme="minorEastAsia" w:hAnsiTheme="minorEastAsia"/>
          <w:color w:val="000000"/>
          <w:sz w:val="21"/>
          <w:szCs w:val="21"/>
          <w:highlight w:val="none"/>
        </w:rPr>
        <w:t>执</w:t>
      </w:r>
      <w:r>
        <w:rPr>
          <w:rFonts w:hint="eastAsia" w:asciiTheme="minorEastAsia" w:hAnsiTheme="minorEastAsia"/>
          <w:color w:val="000000"/>
          <w:sz w:val="21"/>
          <w:szCs w:val="21"/>
          <w:highlight w:val="none"/>
        </w:rPr>
        <w:t>行、完成、服</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和保修，</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署合同和</w:t>
      </w:r>
      <w:r>
        <w:rPr>
          <w:rFonts w:asciiTheme="minorEastAsia" w:hAnsiTheme="minorEastAsia"/>
          <w:color w:val="000000"/>
          <w:sz w:val="21"/>
          <w:szCs w:val="21"/>
          <w:highlight w:val="none"/>
        </w:rPr>
        <w:t>处</w:t>
      </w:r>
      <w:r>
        <w:rPr>
          <w:rFonts w:hint="eastAsia" w:asciiTheme="minorEastAsia" w:hAnsiTheme="minorEastAsia"/>
          <w:color w:val="000000"/>
          <w:sz w:val="21"/>
          <w:szCs w:val="21"/>
          <w:highlight w:val="none"/>
        </w:rPr>
        <w:t>理与之有</w:t>
      </w:r>
      <w:r>
        <w:rPr>
          <w:rFonts w:asciiTheme="minorEastAsia" w:hAnsiTheme="minorEastAsia"/>
          <w:color w:val="000000"/>
          <w:sz w:val="21"/>
          <w:szCs w:val="21"/>
          <w:highlight w:val="none"/>
        </w:rPr>
        <w:t>关的</w:t>
      </w:r>
      <w:r>
        <w:rPr>
          <w:rFonts w:hint="eastAsia" w:asciiTheme="minorEastAsia" w:hAnsiTheme="minorEastAsia"/>
          <w:color w:val="000000"/>
          <w:sz w:val="21"/>
          <w:szCs w:val="21"/>
          <w:highlight w:val="none"/>
        </w:rPr>
        <w:t>一切事</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特此</w:t>
      </w:r>
      <w:r>
        <w:rPr>
          <w:rFonts w:asciiTheme="minorEastAsia" w:hAnsiTheme="minorEastAsia"/>
          <w:color w:val="000000"/>
          <w:sz w:val="21"/>
          <w:szCs w:val="21"/>
          <w:highlight w:val="none"/>
        </w:rPr>
        <w:t>证</w:t>
      </w:r>
      <w:r>
        <w:rPr>
          <w:rFonts w:hint="eastAsia" w:asciiTheme="minorEastAsia" w:hAnsiTheme="minorEastAsia"/>
          <w:color w:val="000000"/>
          <w:sz w:val="21"/>
          <w:szCs w:val="21"/>
          <w:highlight w:val="none"/>
        </w:rPr>
        <w:t>明。</w:t>
      </w:r>
    </w:p>
    <w:p>
      <w:pPr>
        <w:pStyle w:val="41"/>
        <w:spacing w:line="480" w:lineRule="auto"/>
        <w:ind w:firstLine="472" w:firstLineChars="225"/>
        <w:jc w:val="left"/>
        <w:rPr>
          <w:rFonts w:asciiTheme="minorEastAsia" w:hAnsiTheme="minorEastAsia"/>
          <w:color w:val="000000"/>
          <w:sz w:val="21"/>
          <w:szCs w:val="21"/>
          <w:highlight w:val="none"/>
        </w:rPr>
      </w:pPr>
    </w:p>
    <w:p>
      <w:pPr>
        <w:pStyle w:val="41"/>
        <w:spacing w:line="480" w:lineRule="auto"/>
        <w:ind w:firstLine="472" w:firstLineChars="225"/>
        <w:jc w:val="left"/>
        <w:rPr>
          <w:rFonts w:asciiTheme="minorEastAsia" w:hAnsiTheme="minorEastAsia"/>
          <w:color w:val="000000"/>
          <w:sz w:val="21"/>
          <w:szCs w:val="21"/>
          <w:highlight w:val="none"/>
        </w:rPr>
      </w:pPr>
    </w:p>
    <w:p>
      <w:pPr>
        <w:pStyle w:val="41"/>
        <w:spacing w:line="480" w:lineRule="auto"/>
        <w:ind w:left="-538" w:leftChars="-256" w:firstLine="539" w:firstLineChars="257"/>
        <w:jc w:val="center"/>
        <w:rPr>
          <w:rFonts w:asciiTheme="minorEastAsia" w:hAnsiTheme="minorEastAsia"/>
          <w:bCs/>
          <w:color w:val="000000"/>
          <w:sz w:val="21"/>
          <w:szCs w:val="21"/>
          <w:highlight w:val="none"/>
        </w:rPr>
      </w:pPr>
      <w:r>
        <w:rPr>
          <w:rFonts w:hint="eastAsia" w:asciiTheme="minorEastAsia" w:hAnsiTheme="minorEastAsia"/>
          <w:bCs/>
          <w:color w:val="000000"/>
          <w:sz w:val="21"/>
          <w:szCs w:val="21"/>
          <w:highlight w:val="none"/>
        </w:rPr>
        <w:t>【此</w:t>
      </w:r>
      <w:r>
        <w:rPr>
          <w:rFonts w:asciiTheme="minorEastAsia" w:hAnsiTheme="minorEastAsia"/>
          <w:bCs/>
          <w:color w:val="000000"/>
          <w:sz w:val="21"/>
          <w:szCs w:val="21"/>
          <w:highlight w:val="none"/>
        </w:rPr>
        <w:t>处请</w:t>
      </w:r>
      <w:r>
        <w:rPr>
          <w:rFonts w:hint="eastAsia" w:asciiTheme="minorEastAsia" w:hAnsiTheme="minorEastAsia"/>
          <w:bCs/>
          <w:color w:val="000000"/>
          <w:sz w:val="21"/>
          <w:szCs w:val="21"/>
          <w:highlight w:val="none"/>
        </w:rPr>
        <w:t>粘</w:t>
      </w:r>
      <w:r>
        <w:rPr>
          <w:rFonts w:asciiTheme="minorEastAsia" w:hAnsiTheme="minorEastAsia"/>
          <w:bCs/>
          <w:color w:val="000000"/>
          <w:sz w:val="21"/>
          <w:szCs w:val="21"/>
          <w:highlight w:val="none"/>
        </w:rPr>
        <w:t>贴</w:t>
      </w:r>
      <w:r>
        <w:rPr>
          <w:rFonts w:hint="eastAsia" w:asciiTheme="minorEastAsia" w:hAnsiTheme="minorEastAsia"/>
          <w:bCs/>
          <w:color w:val="000000"/>
          <w:sz w:val="21"/>
          <w:szCs w:val="21"/>
          <w:highlight w:val="none"/>
        </w:rPr>
        <w:t>法定代表人（单位负责人）身份</w:t>
      </w:r>
      <w:r>
        <w:rPr>
          <w:rFonts w:asciiTheme="minorEastAsia" w:hAnsiTheme="minorEastAsia"/>
          <w:bCs/>
          <w:color w:val="000000"/>
          <w:sz w:val="21"/>
          <w:szCs w:val="21"/>
          <w:highlight w:val="none"/>
        </w:rPr>
        <w:t>证复</w:t>
      </w:r>
      <w:r>
        <w:rPr>
          <w:rFonts w:hint="eastAsia" w:asciiTheme="minorEastAsia" w:hAnsiTheme="minorEastAsia"/>
          <w:bCs/>
          <w:color w:val="000000"/>
          <w:sz w:val="21"/>
          <w:szCs w:val="21"/>
          <w:highlight w:val="none"/>
        </w:rPr>
        <w:t>印件，需清晰反映身份证有效期限】</w:t>
      </w:r>
    </w:p>
    <w:p>
      <w:pPr>
        <w:pStyle w:val="41"/>
        <w:spacing w:line="480" w:lineRule="auto"/>
        <w:ind w:left="-538" w:leftChars="-256" w:firstLine="539" w:firstLineChars="257"/>
        <w:jc w:val="center"/>
        <w:rPr>
          <w:rFonts w:asciiTheme="minorEastAsia" w:hAnsiTheme="minorEastAsia"/>
          <w:bCs/>
          <w:color w:val="000000"/>
          <w:sz w:val="21"/>
          <w:szCs w:val="21"/>
          <w:highlight w:val="none"/>
        </w:rPr>
      </w:pPr>
    </w:p>
    <w:p>
      <w:pPr>
        <w:autoSpaceDE w:val="0"/>
        <w:autoSpaceDN w:val="0"/>
        <w:adjustRightInd w:val="0"/>
        <w:spacing w:line="360" w:lineRule="auto"/>
        <w:ind w:right="-11"/>
        <w:rPr>
          <w:rFonts w:cs="宋体" w:asciiTheme="minorEastAsia" w:hAnsiTheme="minorEastAsia"/>
          <w:szCs w:val="21"/>
          <w:highlight w:val="none"/>
          <w:lang w:val="zh-CN"/>
        </w:rPr>
      </w:pPr>
    </w:p>
    <w:p>
      <w:pPr>
        <w:autoSpaceDE w:val="0"/>
        <w:autoSpaceDN w:val="0"/>
        <w:adjustRightInd w:val="0"/>
        <w:spacing w:line="360" w:lineRule="auto"/>
        <w:ind w:right="-11"/>
        <w:rPr>
          <w:rFonts w:cs="宋体" w:asciiTheme="minorEastAsia" w:hAnsiTheme="minorEastAsia"/>
          <w:szCs w:val="21"/>
          <w:highlight w:val="none"/>
          <w:lang w:val="zh-CN"/>
        </w:rPr>
      </w:pPr>
    </w:p>
    <w:p>
      <w:pPr>
        <w:autoSpaceDE w:val="0"/>
        <w:autoSpaceDN w:val="0"/>
        <w:adjustRightInd w:val="0"/>
        <w:spacing w:line="360" w:lineRule="auto"/>
        <w:ind w:right="-11"/>
        <w:rPr>
          <w:rFonts w:cs="宋体" w:asciiTheme="minorEastAsia" w:hAnsiTheme="minorEastAsia"/>
          <w:szCs w:val="21"/>
          <w:highlight w:val="none"/>
          <w:lang w:val="zh-CN"/>
        </w:rPr>
      </w:pPr>
    </w:p>
    <w:p>
      <w:pPr>
        <w:spacing w:line="480" w:lineRule="auto"/>
        <w:ind w:firstLine="3937" w:firstLineChars="1875"/>
        <w:rPr>
          <w:rFonts w:cs="Arial" w:asciiTheme="minorEastAsia" w:hAnsiTheme="minorEastAsia"/>
          <w:color w:val="000000"/>
          <w:szCs w:val="21"/>
          <w:highlight w:val="none"/>
          <w:u w:val="single"/>
        </w:rPr>
      </w:pPr>
      <w:r>
        <w:rPr>
          <w:rFonts w:hint="eastAsia" w:cs="Arial" w:asciiTheme="minorEastAsia" w:hAnsiTheme="minorEastAsia"/>
          <w:color w:val="000000"/>
          <w:szCs w:val="21"/>
          <w:highlight w:val="none"/>
        </w:rPr>
        <w:t>投标人名称（并加盖公章）：</w:t>
      </w:r>
    </w:p>
    <w:p>
      <w:pPr>
        <w:pStyle w:val="44"/>
        <w:spacing w:before="60" w:line="480" w:lineRule="auto"/>
        <w:ind w:firstLine="3937" w:firstLineChars="1875"/>
        <w:rPr>
          <w:rFonts w:cs="Arial" w:asciiTheme="minorEastAsia" w:hAnsiTheme="minorEastAsia" w:eastAsiaTheme="minorEastAsia"/>
          <w:color w:val="000000"/>
          <w:sz w:val="21"/>
          <w:szCs w:val="21"/>
          <w:highlight w:val="none"/>
        </w:rPr>
      </w:pPr>
      <w:r>
        <w:rPr>
          <w:rFonts w:hint="eastAsia" w:cs="Arial" w:asciiTheme="minorEastAsia" w:hAnsiTheme="minorEastAsia" w:eastAsiaTheme="minorEastAsia"/>
          <w:color w:val="000000"/>
          <w:sz w:val="21"/>
          <w:szCs w:val="21"/>
          <w:highlight w:val="none"/>
        </w:rPr>
        <w:t>签署日期：   年   月  日</w:t>
      </w:r>
    </w:p>
    <w:p>
      <w:pPr>
        <w:pStyle w:val="43"/>
        <w:spacing w:line="480" w:lineRule="auto"/>
        <w:rPr>
          <w:rFonts w:cs="Arial" w:asciiTheme="minorEastAsia" w:hAnsiTheme="minorEastAsia"/>
          <w:color w:val="000000"/>
          <w:sz w:val="21"/>
          <w:szCs w:val="21"/>
          <w:highlight w:val="none"/>
        </w:rPr>
      </w:pPr>
    </w:p>
    <w:p>
      <w:pPr>
        <w:rPr>
          <w:szCs w:val="21"/>
          <w:highlight w:val="none"/>
        </w:rPr>
      </w:pPr>
    </w:p>
    <w:p>
      <w:pPr>
        <w:spacing w:line="320" w:lineRule="exact"/>
        <w:ind w:firstLine="420" w:firstLineChars="200"/>
        <w:rPr>
          <w:rFonts w:asciiTheme="minorEastAsia" w:hAnsiTheme="minorEastAsia"/>
          <w:bCs/>
          <w:color w:val="000000"/>
          <w:kern w:val="12"/>
          <w:szCs w:val="21"/>
          <w:highlight w:val="none"/>
        </w:rPr>
      </w:pPr>
      <w:r>
        <w:rPr>
          <w:rFonts w:hint="eastAsia" w:asciiTheme="minorEastAsia" w:hAnsiTheme="minorEastAsia"/>
          <w:bCs/>
          <w:color w:val="000000"/>
          <w:kern w:val="12"/>
          <w:szCs w:val="21"/>
          <w:highlight w:val="none"/>
        </w:rPr>
        <w:t>说明：法定代表人（单位负责人）</w:t>
      </w:r>
      <w:r>
        <w:rPr>
          <w:rFonts w:asciiTheme="minorEastAsia" w:hAnsiTheme="minorEastAsia"/>
          <w:bCs/>
          <w:color w:val="000000"/>
          <w:kern w:val="12"/>
          <w:szCs w:val="21"/>
          <w:highlight w:val="none"/>
        </w:rPr>
        <w:t>参</w:t>
      </w:r>
      <w:r>
        <w:rPr>
          <w:rFonts w:hint="eastAsia" w:asciiTheme="minorEastAsia" w:hAnsiTheme="minorEastAsia"/>
          <w:bCs/>
          <w:color w:val="000000"/>
          <w:kern w:val="12"/>
          <w:szCs w:val="21"/>
          <w:highlight w:val="none"/>
        </w:rPr>
        <w:t>加本招</w:t>
      </w:r>
      <w:r>
        <w:rPr>
          <w:rFonts w:asciiTheme="minorEastAsia" w:hAnsiTheme="minorEastAsia"/>
          <w:bCs/>
          <w:color w:val="000000"/>
          <w:kern w:val="12"/>
          <w:szCs w:val="21"/>
          <w:highlight w:val="none"/>
        </w:rPr>
        <w:t>标项目</w:t>
      </w:r>
      <w:r>
        <w:rPr>
          <w:rFonts w:hint="eastAsia" w:asciiTheme="minorEastAsia" w:hAnsiTheme="minorEastAsia"/>
          <w:bCs/>
          <w:color w:val="000000"/>
          <w:kern w:val="12"/>
          <w:szCs w:val="21"/>
          <w:highlight w:val="none"/>
        </w:rPr>
        <w:t>投</w:t>
      </w:r>
      <w:r>
        <w:rPr>
          <w:rFonts w:asciiTheme="minorEastAsia" w:hAnsiTheme="minorEastAsia"/>
          <w:bCs/>
          <w:color w:val="000000"/>
          <w:kern w:val="12"/>
          <w:szCs w:val="21"/>
          <w:highlight w:val="none"/>
        </w:rPr>
        <w:t>标</w:t>
      </w:r>
      <w:r>
        <w:rPr>
          <w:rFonts w:hint="eastAsia" w:asciiTheme="minorEastAsia" w:hAnsiTheme="minorEastAsia"/>
          <w:bCs/>
          <w:color w:val="000000"/>
          <w:kern w:val="12"/>
          <w:szCs w:val="21"/>
          <w:highlight w:val="none"/>
        </w:rPr>
        <w:t>的，</w:t>
      </w:r>
      <w:r>
        <w:rPr>
          <w:rFonts w:asciiTheme="minorEastAsia" w:hAnsiTheme="minorEastAsia"/>
          <w:bCs/>
          <w:color w:val="000000"/>
          <w:kern w:val="12"/>
          <w:szCs w:val="21"/>
          <w:highlight w:val="none"/>
        </w:rPr>
        <w:t>仅须</w:t>
      </w:r>
      <w:r>
        <w:rPr>
          <w:rFonts w:hint="eastAsia" w:asciiTheme="minorEastAsia" w:hAnsiTheme="minorEastAsia"/>
          <w:bCs/>
          <w:color w:val="000000"/>
          <w:kern w:val="12"/>
          <w:szCs w:val="21"/>
          <w:highlight w:val="none"/>
        </w:rPr>
        <w:t>出具此</w:t>
      </w:r>
      <w:r>
        <w:rPr>
          <w:rFonts w:asciiTheme="minorEastAsia" w:hAnsiTheme="minorEastAsia"/>
          <w:bCs/>
          <w:color w:val="000000"/>
          <w:kern w:val="12"/>
          <w:szCs w:val="21"/>
          <w:highlight w:val="none"/>
        </w:rPr>
        <w:t>证</w:t>
      </w:r>
      <w:r>
        <w:rPr>
          <w:rFonts w:hint="eastAsia" w:asciiTheme="minorEastAsia" w:hAnsiTheme="minorEastAsia"/>
          <w:bCs/>
          <w:color w:val="000000"/>
          <w:kern w:val="12"/>
          <w:szCs w:val="21"/>
          <w:highlight w:val="none"/>
        </w:rPr>
        <w:t>明</w:t>
      </w:r>
      <w:r>
        <w:rPr>
          <w:rFonts w:asciiTheme="minorEastAsia" w:hAnsiTheme="minorEastAsia"/>
          <w:bCs/>
          <w:color w:val="000000"/>
          <w:kern w:val="12"/>
          <w:szCs w:val="21"/>
          <w:highlight w:val="none"/>
        </w:rPr>
        <w:t>书</w:t>
      </w:r>
      <w:r>
        <w:rPr>
          <w:rFonts w:hint="eastAsia" w:asciiTheme="minorEastAsia" w:hAnsiTheme="minorEastAsia"/>
          <w:bCs/>
          <w:color w:val="000000"/>
          <w:kern w:val="12"/>
          <w:szCs w:val="21"/>
          <w:highlight w:val="none"/>
        </w:rPr>
        <w:t>。</w:t>
      </w:r>
    </w:p>
    <w:p>
      <w:pPr>
        <w:spacing w:line="480" w:lineRule="exact"/>
        <w:jc w:val="center"/>
        <w:rPr>
          <w:rFonts w:ascii="宋体" w:hAnsi="宋体"/>
          <w:b/>
          <w:bCs/>
          <w:color w:val="000000"/>
          <w:sz w:val="36"/>
          <w:szCs w:val="36"/>
          <w:highlight w:val="none"/>
        </w:rPr>
      </w:pPr>
    </w:p>
    <w:p>
      <w:pPr>
        <w:spacing w:line="480" w:lineRule="exact"/>
        <w:jc w:val="center"/>
        <w:rPr>
          <w:rFonts w:ascii="宋体" w:hAnsi="宋体"/>
          <w:b/>
          <w:bCs/>
          <w:color w:val="000000"/>
          <w:sz w:val="24"/>
          <w:szCs w:val="24"/>
          <w:highlight w:val="none"/>
        </w:rPr>
      </w:pPr>
      <w:r>
        <w:rPr>
          <w:rFonts w:hint="eastAsia" w:ascii="宋体" w:hAnsi="宋体"/>
          <w:b/>
          <w:bCs/>
          <w:color w:val="000000"/>
          <w:sz w:val="24"/>
          <w:szCs w:val="24"/>
          <w:highlight w:val="none"/>
        </w:rPr>
        <w:t>3.3 法定代表人（单位负责人）授权书</w:t>
      </w:r>
    </w:p>
    <w:p>
      <w:pPr>
        <w:spacing w:line="480" w:lineRule="exact"/>
        <w:jc w:val="center"/>
        <w:rPr>
          <w:rFonts w:ascii="宋体" w:hAnsi="宋体"/>
          <w:b/>
          <w:bCs/>
          <w:color w:val="000000"/>
          <w:sz w:val="36"/>
          <w:szCs w:val="36"/>
          <w:highlight w:val="none"/>
        </w:rPr>
      </w:pPr>
    </w:p>
    <w:p>
      <w:pPr>
        <w:adjustRightInd w:val="0"/>
        <w:spacing w:line="360" w:lineRule="auto"/>
        <w:ind w:firstLine="441" w:firstLineChars="210"/>
        <w:contextualSpacing/>
        <w:rPr>
          <w:rFonts w:cs="Arial" w:asciiTheme="minorEastAsia" w:hAnsiTheme="minorEastAsia"/>
          <w:szCs w:val="21"/>
          <w:highlight w:val="none"/>
        </w:rPr>
      </w:pPr>
      <w:r>
        <w:rPr>
          <w:rFonts w:hint="eastAsia" w:asciiTheme="minorEastAsia" w:hAnsiTheme="minorEastAsia"/>
          <w:szCs w:val="21"/>
          <w:highlight w:val="none"/>
        </w:rPr>
        <w:t xml:space="preserve"> </w:t>
      </w:r>
      <w:r>
        <w:rPr>
          <w:rFonts w:hint="eastAsia" w:cs="Arial" w:asciiTheme="minorEastAsia" w:hAnsiTheme="minorEastAsia"/>
          <w:szCs w:val="21"/>
          <w:highlight w:val="none"/>
        </w:rPr>
        <w:t>本人</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法人姓名</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系</w:t>
      </w:r>
      <w:r>
        <w:rPr>
          <w:rFonts w:hint="eastAsia" w:cs="Arial" w:asciiTheme="minorEastAsia" w:hAnsiTheme="minorEastAsia"/>
          <w:szCs w:val="21"/>
          <w:highlight w:val="none"/>
          <w:u w:val="single"/>
        </w:rPr>
        <w:t>　</w:t>
      </w:r>
      <w:r>
        <w:rPr>
          <w:rFonts w:hint="eastAsia" w:asciiTheme="minorEastAsia" w:hAnsiTheme="minorEastAsia"/>
          <w:i/>
          <w:snapToGrid w:val="0"/>
          <w:szCs w:val="21"/>
          <w:highlight w:val="none"/>
          <w:u w:val="single"/>
        </w:rPr>
        <w:t xml:space="preserve">投标人名称  </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的法定代表人（单位负责人），现委托</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姓名，职务</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我方对被授权人的签名事项负全部责任。</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被授权人无转委托权，特此委托。</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投标人名称： </w:t>
      </w:r>
      <w:r>
        <w:rPr>
          <w:rFonts w:hint="eastAsia" w:asciiTheme="minorEastAsia" w:hAnsiTheme="minorEastAsia"/>
          <w:szCs w:val="21"/>
          <w:highlight w:val="none"/>
          <w:u w:val="single"/>
        </w:rPr>
        <w:t xml:space="preserve">       （全称）       </w:t>
      </w:r>
      <w:r>
        <w:rPr>
          <w:rFonts w:hint="eastAsia" w:asciiTheme="minorEastAsia" w:hAnsiTheme="minorEastAsia"/>
          <w:szCs w:val="21"/>
          <w:highlight w:val="none"/>
        </w:rPr>
        <w:t xml:space="preserve"> （盖单位公章）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法定代表人（单位负责人）授权代表：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法定代表人（单位负责人）身份证（正面）</w:t>
            </w:r>
          </w:p>
        </w:tc>
        <w:tc>
          <w:tcPr>
            <w:tcW w:w="4485" w:type="dxa"/>
            <w:gridSpan w:val="2"/>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highlight w:val="none"/>
              </w:rPr>
            </w:pPr>
            <w:bookmarkStart w:id="9" w:name="_资格证明文件"/>
            <w:bookmarkEnd w:id="9"/>
            <w:bookmarkStart w:id="10" w:name="_Toc364329026"/>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（正面）</w:t>
            </w:r>
            <w:bookmarkEnd w:id="10"/>
          </w:p>
        </w:tc>
        <w:tc>
          <w:tcPr>
            <w:tcW w:w="4492" w:type="dxa"/>
            <w:gridSpan w:val="2"/>
            <w:vAlign w:val="center"/>
          </w:tcPr>
          <w:p>
            <w:pPr>
              <w:jc w:val="center"/>
              <w:rPr>
                <w:rFonts w:asciiTheme="minorEastAsia" w:hAnsiTheme="minorEastAsia"/>
                <w:szCs w:val="21"/>
                <w:highlight w:val="none"/>
              </w:rPr>
            </w:pPr>
            <w:bookmarkStart w:id="11" w:name="_Toc364329027"/>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（反面）</w:t>
            </w:r>
            <w:bookmarkEnd w:id="11"/>
          </w:p>
        </w:tc>
      </w:tr>
    </w:tbl>
    <w:p>
      <w:pPr>
        <w:spacing w:line="320" w:lineRule="exact"/>
        <w:ind w:left="2" w:firstLine="357" w:firstLineChars="149"/>
        <w:rPr>
          <w:rFonts w:cs="Courier New" w:asciiTheme="minorEastAsia" w:hAnsiTheme="minorEastAsia"/>
          <w:sz w:val="24"/>
          <w:szCs w:val="24"/>
          <w:highlight w:val="none"/>
        </w:rPr>
      </w:pPr>
    </w:p>
    <w:p>
      <w:pPr>
        <w:widowControl/>
        <w:spacing w:before="100" w:beforeAutospacing="1" w:after="100" w:afterAutospacing="1" w:line="360" w:lineRule="auto"/>
        <w:jc w:val="center"/>
        <w:rPr>
          <w:rFonts w:ascii="宋体" w:hAnsi="宋体"/>
          <w:b/>
          <w:bCs/>
          <w:color w:val="000000"/>
          <w:sz w:val="24"/>
          <w:szCs w:val="24"/>
          <w:highlight w:val="none"/>
        </w:rPr>
      </w:pPr>
      <w:r>
        <w:rPr>
          <w:rFonts w:hint="eastAsia" w:ascii="宋体" w:hAnsi="宋体"/>
          <w:b/>
          <w:bCs/>
          <w:color w:val="000000"/>
          <w:sz w:val="24"/>
          <w:szCs w:val="24"/>
          <w:highlight w:val="none"/>
        </w:rPr>
        <w:t>3.4 没有重大违法记录的声明</w:t>
      </w:r>
    </w:p>
    <w:p>
      <w:pPr>
        <w:spacing w:beforeLines="50" w:afterLines="50"/>
        <w:jc w:val="center"/>
        <w:rPr>
          <w:rFonts w:ascii="宋体" w:hAnsi="宋体" w:cs="Arial"/>
          <w:color w:val="000000"/>
          <w:kern w:val="0"/>
          <w:sz w:val="28"/>
          <w:szCs w:val="28"/>
          <w:highlight w:val="none"/>
        </w:rPr>
      </w:pPr>
      <w:r>
        <w:rPr>
          <w:rFonts w:hint="eastAsia" w:ascii="宋体" w:hAnsi="宋体" w:cs="Arial"/>
          <w:color w:val="000000"/>
          <w:kern w:val="0"/>
          <w:sz w:val="28"/>
          <w:szCs w:val="28"/>
          <w:highlight w:val="none"/>
        </w:rPr>
        <w:t>声　   明</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特此声明。</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highlight w:val="none"/>
          <w:lang w:val="zh-CN"/>
        </w:rPr>
      </w:pPr>
    </w:p>
    <w:p>
      <w:pPr>
        <w:spacing w:beforeLines="50" w:afterLines="50" w:line="360" w:lineRule="auto"/>
        <w:ind w:right="420" w:firstLine="4800" w:firstLineChars="2286"/>
        <w:rPr>
          <w:rFonts w:cs="宋体" w:asciiTheme="minorEastAsia" w:hAnsiTheme="minorEastAsia"/>
          <w:szCs w:val="21"/>
          <w:highlight w:val="none"/>
          <w:lang w:val="zh-CN"/>
        </w:rPr>
      </w:pPr>
      <w:r>
        <w:rPr>
          <w:rFonts w:hint="eastAsia" w:cs="宋体" w:asciiTheme="minorEastAsia" w:hAnsiTheme="minorEastAsia"/>
          <w:szCs w:val="21"/>
          <w:highlight w:val="none"/>
          <w:lang w:val="zh-CN"/>
        </w:rPr>
        <w:t>单位名称（盖章）：</w:t>
      </w:r>
    </w:p>
    <w:p>
      <w:pPr>
        <w:spacing w:beforeLines="50" w:afterLines="50" w:line="360" w:lineRule="auto"/>
        <w:ind w:right="420" w:firstLine="4800" w:firstLineChars="2286"/>
        <w:rPr>
          <w:rFonts w:cs="宋体" w:asciiTheme="minorEastAsia" w:hAnsiTheme="minorEastAsia"/>
          <w:szCs w:val="21"/>
          <w:highlight w:val="none"/>
          <w:lang w:val="zh-CN"/>
        </w:rPr>
      </w:pPr>
      <w:r>
        <w:rPr>
          <w:rFonts w:hint="eastAsia" w:cs="宋体" w:asciiTheme="minorEastAsia" w:hAnsiTheme="minorEastAsia"/>
          <w:szCs w:val="21"/>
          <w:highlight w:val="none"/>
          <w:lang w:val="zh-CN"/>
        </w:rPr>
        <w:t xml:space="preserve">日    期：     </w:t>
      </w:r>
      <w:r>
        <w:rPr>
          <w:rFonts w:hint="eastAsia" w:cs="宋体" w:asciiTheme="minorEastAsia" w:hAnsiTheme="minorEastAsia"/>
          <w:szCs w:val="21"/>
          <w:highlight w:val="none"/>
        </w:rPr>
        <w:t>年    月    日</w:t>
      </w:r>
    </w:p>
    <w:p>
      <w:pPr>
        <w:spacing w:beforeLines="50" w:afterLines="50" w:line="360" w:lineRule="auto"/>
        <w:ind w:right="420" w:firstLine="5486" w:firstLineChars="2286"/>
        <w:rPr>
          <w:rFonts w:cs="宋体" w:asciiTheme="minorEastAsia" w:hAnsiTheme="minorEastAsia"/>
          <w:sz w:val="24"/>
          <w:szCs w:val="24"/>
          <w:highlight w:val="none"/>
          <w:lang w:val="zh-CN"/>
        </w:rPr>
      </w:pPr>
    </w:p>
    <w:p>
      <w:pPr>
        <w:spacing w:beforeLines="50" w:afterLines="50" w:line="360" w:lineRule="auto"/>
        <w:ind w:right="420" w:firstLine="5486" w:firstLineChars="2286"/>
        <w:rPr>
          <w:rFonts w:cs="宋体" w:asciiTheme="minorEastAsia" w:hAnsiTheme="minorEastAsia"/>
          <w:sz w:val="24"/>
          <w:szCs w:val="24"/>
          <w:highlight w:val="none"/>
          <w:lang w:val="zh-CN"/>
        </w:rPr>
      </w:pPr>
    </w:p>
    <w:p>
      <w:pPr>
        <w:spacing w:beforeLines="50" w:afterLines="50" w:line="360" w:lineRule="auto"/>
        <w:ind w:right="420" w:firstLine="5486" w:firstLineChars="2286"/>
        <w:rPr>
          <w:rFonts w:cs="宋体" w:asciiTheme="minorEastAsia" w:hAnsiTheme="minorEastAsia"/>
          <w:sz w:val="24"/>
          <w:szCs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3.5 投标保证金</w:t>
      </w: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许昌公共资源交易中心保证金缴纳回执</w:t>
      </w:r>
    </w:p>
    <w:p>
      <w:pPr>
        <w:autoSpaceDE w:val="0"/>
        <w:autoSpaceDN w:val="0"/>
        <w:adjustRightInd w:val="0"/>
        <w:spacing w:line="360" w:lineRule="auto"/>
        <w:jc w:val="center"/>
        <w:rPr>
          <w:rFonts w:ascii="宋体" w:cs="宋体"/>
          <w:szCs w:val="21"/>
          <w:highlight w:val="none"/>
          <w:lang w:val="zh-CN"/>
        </w:rPr>
      </w:pPr>
    </w:p>
    <w:p>
      <w:pPr>
        <w:autoSpaceDE w:val="0"/>
        <w:autoSpaceDN w:val="0"/>
        <w:adjustRightInd w:val="0"/>
        <w:spacing w:line="360" w:lineRule="auto"/>
        <w:jc w:val="center"/>
        <w:rPr>
          <w:rFonts w:ascii="宋体" w:cs="宋体"/>
          <w:szCs w:val="21"/>
          <w:highlight w:val="none"/>
          <w:lang w:val="zh-CN"/>
        </w:rPr>
      </w:pPr>
      <w:r>
        <w:rPr>
          <w:rFonts w:hint="eastAsia" w:ascii="宋体" w:cs="宋体"/>
          <w:szCs w:val="21"/>
          <w:highlight w:val="none"/>
          <w:lang w:val="zh-CN"/>
        </w:rPr>
        <w:t>（注：开标现场单独提供一份“许昌公共资源交易中心保证金缴纳回执”以备查询）</w:t>
      </w:r>
    </w:p>
    <w:p>
      <w:pPr>
        <w:autoSpaceDE w:val="0"/>
        <w:autoSpaceDN w:val="0"/>
        <w:adjustRightInd w:val="0"/>
        <w:spacing w:line="360" w:lineRule="auto"/>
        <w:ind w:right="-11"/>
        <w:rPr>
          <w:rFonts w:ascii="宋体" w:cs="宋体"/>
          <w:szCs w:val="21"/>
          <w:highlight w:val="none"/>
          <w:lang w:val="zh-CN"/>
        </w:rPr>
      </w:pPr>
    </w:p>
    <w:p>
      <w:pPr>
        <w:autoSpaceDE w:val="0"/>
        <w:autoSpaceDN w:val="0"/>
        <w:adjustRightInd w:val="0"/>
        <w:spacing w:line="360" w:lineRule="auto"/>
        <w:jc w:val="center"/>
        <w:rPr>
          <w:rFonts w:cs="宋体" w:asciiTheme="minorEastAsia" w:hAnsiTheme="minorEastAsia"/>
          <w:sz w:val="24"/>
          <w:szCs w:val="24"/>
          <w:highlight w:val="none"/>
          <w:lang w:val="zh-CN"/>
        </w:rPr>
      </w:pPr>
    </w:p>
    <w:p>
      <w:pPr>
        <w:autoSpaceDE w:val="0"/>
        <w:autoSpaceDN w:val="0"/>
        <w:adjustRightInd w:val="0"/>
        <w:spacing w:line="360" w:lineRule="auto"/>
        <w:jc w:val="center"/>
        <w:rPr>
          <w:rFonts w:cs="宋体" w:asciiTheme="minorEastAsia" w:hAnsiTheme="minorEastAsia"/>
          <w:sz w:val="24"/>
          <w:szCs w:val="24"/>
          <w:highlight w:val="none"/>
          <w:lang w:val="zh-CN"/>
        </w:rPr>
      </w:pPr>
    </w:p>
    <w:p>
      <w:pPr>
        <w:autoSpaceDE w:val="0"/>
        <w:autoSpaceDN w:val="0"/>
        <w:adjustRightInd w:val="0"/>
        <w:spacing w:line="360" w:lineRule="auto"/>
        <w:outlineLvl w:val="0"/>
        <w:rPr>
          <w:rFonts w:ascii="宋体" w:cs="宋体"/>
          <w:sz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rPr>
        <w:t>4.1 投</w:t>
      </w:r>
      <w:r>
        <w:rPr>
          <w:rFonts w:hint="eastAsia" w:ascii="宋体" w:hAnsi="宋体"/>
          <w:b/>
          <w:bCs/>
          <w:color w:val="000000"/>
          <w:sz w:val="24"/>
          <w:szCs w:val="24"/>
          <w:highlight w:val="none"/>
        </w:rPr>
        <w:t>标分项报价表（货物类项目）</w:t>
      </w:r>
    </w:p>
    <w:p>
      <w:pPr>
        <w:autoSpaceDE w:val="0"/>
        <w:autoSpaceDN w:val="0"/>
        <w:adjustRightInd w:val="0"/>
        <w:spacing w:line="360" w:lineRule="auto"/>
        <w:jc w:val="center"/>
        <w:outlineLvl w:val="0"/>
        <w:rPr>
          <w:rFonts w:ascii="宋体" w:hAnsi="宋体"/>
          <w:b/>
          <w:bCs/>
          <w:color w:val="000000"/>
          <w:sz w:val="24"/>
          <w:szCs w:val="24"/>
          <w:highlight w:val="none"/>
        </w:rPr>
      </w:pP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autoSpaceDE w:val="0"/>
        <w:autoSpaceDN w:val="0"/>
        <w:adjustRightInd w:val="0"/>
        <w:spacing w:line="360" w:lineRule="auto"/>
        <w:outlineLvl w:val="0"/>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280" w:lineRule="exact"/>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名</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技术</w:t>
            </w:r>
          </w:p>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单</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数</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产地及</w:t>
            </w:r>
          </w:p>
          <w:p>
            <w:pPr>
              <w:autoSpaceDE w:val="0"/>
              <w:autoSpaceDN w:val="0"/>
              <w:adjustRightInd w:val="0"/>
              <w:spacing w:line="360" w:lineRule="auto"/>
              <w:ind w:left="120" w:hanging="120"/>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highlight w:val="none"/>
              </w:rPr>
            </w:pPr>
            <w:r>
              <w:rPr>
                <w:rFonts w:hint="eastAsia" w:asciiTheme="minorEastAsia" w:hAnsiTheme="minorEastAsia"/>
                <w:szCs w:val="21"/>
                <w:highlight w:val="none"/>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highlight w:val="none"/>
              </w:rPr>
            </w:pPr>
            <w:r>
              <w:rPr>
                <w:rFonts w:hint="eastAsia" w:asciiTheme="minorEastAsia" w:hAnsiTheme="minorEastAsia"/>
                <w:szCs w:val="21"/>
                <w:highlight w:val="none"/>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highlight w:val="none"/>
              </w:rPr>
            </w:pPr>
            <w:r>
              <w:rPr>
                <w:rFonts w:hint="eastAsia" w:cs="宋体" w:asciiTheme="minorEastAsia" w:hAnsiTheme="minorEastAsia"/>
                <w:szCs w:val="21"/>
                <w:highlight w:val="none"/>
                <w:lang w:val="zh-CN"/>
              </w:rPr>
              <w:t>合</w:t>
            </w:r>
            <w:r>
              <w:rPr>
                <w:rFonts w:asciiTheme="minorEastAsia" w:hAnsiTheme="minorEastAsia"/>
                <w:szCs w:val="21"/>
                <w:highlight w:val="none"/>
              </w:rPr>
              <w:t xml:space="preserve">  </w:t>
            </w:r>
            <w:r>
              <w:rPr>
                <w:rFonts w:hint="eastAsia" w:cs="宋体" w:asciiTheme="minorEastAsia" w:hAnsiTheme="minorEastAsia"/>
                <w:szCs w:val="21"/>
                <w:highlight w:val="none"/>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highlight w:val="none"/>
                <w:lang w:val="zh-CN"/>
              </w:rPr>
            </w:pPr>
            <w:r>
              <w:rPr>
                <w:rFonts w:hint="eastAsia" w:cs="宋体" w:asciiTheme="minorEastAsia" w:hAnsiTheme="minorEastAsia"/>
                <w:szCs w:val="21"/>
                <w:highlight w:val="none"/>
                <w:lang w:val="zh-CN"/>
              </w:rPr>
              <w:t>大写：　　　　　　</w:t>
            </w:r>
            <w:r>
              <w:rPr>
                <w:rFonts w:asciiTheme="minorEastAsia" w:hAnsiTheme="minorEastAsia"/>
                <w:szCs w:val="21"/>
                <w:highlight w:val="none"/>
              </w:rPr>
              <w:t xml:space="preserve">              </w:t>
            </w:r>
            <w:r>
              <w:rPr>
                <w:rFonts w:hint="eastAsia" w:cs="宋体" w:asciiTheme="minorEastAsia" w:hAnsiTheme="minorEastAsia"/>
                <w:szCs w:val="21"/>
                <w:highlight w:val="none"/>
                <w:lang w:val="zh-CN"/>
              </w:rPr>
              <w:t>小写：</w:t>
            </w: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p>
    <w:p>
      <w:pPr>
        <w:autoSpaceDE w:val="0"/>
        <w:autoSpaceDN w:val="0"/>
        <w:adjustRightInd w:val="0"/>
        <w:spacing w:line="480" w:lineRule="auto"/>
        <w:rPr>
          <w:rFonts w:cs="宋体" w:asciiTheme="minorEastAsia" w:hAnsiTheme="minorEastAsia"/>
          <w:sz w:val="24"/>
          <w:szCs w:val="24"/>
          <w:highlight w:val="none"/>
          <w:lang w:val="zh-CN"/>
        </w:rPr>
      </w:pPr>
    </w:p>
    <w:p>
      <w:pPr>
        <w:spacing w:line="300" w:lineRule="exact"/>
        <w:rPr>
          <w:rFonts w:asciiTheme="minorEastAsia" w:hAnsiTheme="minorEastAsia"/>
          <w:color w:val="000000"/>
          <w:sz w:val="24"/>
          <w:szCs w:val="24"/>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4.2 技术规格偏离表（货物类项目）</w:t>
      </w: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autoSpaceDE w:val="0"/>
        <w:autoSpaceDN w:val="0"/>
        <w:adjustRightInd w:val="0"/>
        <w:spacing w:line="360" w:lineRule="auto"/>
        <w:outlineLvl w:val="0"/>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序号</w:t>
            </w:r>
          </w:p>
        </w:tc>
        <w:tc>
          <w:tcPr>
            <w:tcW w:w="1418"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货物服务</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名称</w:t>
            </w:r>
          </w:p>
        </w:tc>
        <w:tc>
          <w:tcPr>
            <w:tcW w:w="127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招标文件</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投标技术</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参数</w:t>
            </w:r>
          </w:p>
        </w:tc>
        <w:tc>
          <w:tcPr>
            <w:tcW w:w="15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w:t>
            </w:r>
          </w:p>
          <w:p>
            <w:pPr>
              <w:jc w:val="center"/>
              <w:rPr>
                <w:rFonts w:ascii="宋体" w:hAnsi="宋体" w:eastAsia="宋体" w:cs="宋体"/>
                <w:b/>
                <w:bCs/>
                <w:szCs w:val="21"/>
                <w:highlight w:val="none"/>
              </w:rPr>
            </w:pPr>
            <w:r>
              <w:rPr>
                <w:rFonts w:hint="eastAsia" w:ascii="宋体" w:hAnsi="宋体" w:eastAsia="宋体" w:cs="宋体"/>
                <w:b/>
                <w:bCs/>
                <w:szCs w:val="21"/>
                <w:highlight w:val="none"/>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偏离内容</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说明</w:t>
            </w: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bCs/>
                <w:szCs w:val="21"/>
                <w:highlight w:val="none"/>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szCs w:val="21"/>
                <w:highlight w:val="none"/>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r>
        <w:rPr>
          <w:rFonts w:cs="宋体" w:asciiTheme="minorEastAsia" w:hAnsiTheme="minorEastAsia"/>
          <w:szCs w:val="21"/>
          <w:highlight w:val="none"/>
          <w:lang w:val="zh-CN"/>
        </w:rPr>
        <w:t xml:space="preserve"> </w:t>
      </w:r>
    </w:p>
    <w:p>
      <w:pPr>
        <w:autoSpaceDE w:val="0"/>
        <w:autoSpaceDN w:val="0"/>
        <w:adjustRightInd w:val="0"/>
        <w:spacing w:line="480" w:lineRule="auto"/>
        <w:rPr>
          <w:rFonts w:cs="宋体" w:asciiTheme="minorEastAsia" w:hAnsiTheme="minorEastAsia"/>
          <w:szCs w:val="21"/>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4.3 技术方案（实施方案）</w:t>
      </w:r>
    </w:p>
    <w:p>
      <w:pPr>
        <w:snapToGrid w:val="0"/>
        <w:spacing w:line="360" w:lineRule="auto"/>
        <w:jc w:val="center"/>
        <w:rPr>
          <w:rFonts w:hAnsi="宋体" w:eastAsia="宋体"/>
          <w:b/>
          <w:snapToGrid w:val="0"/>
          <w:kern w:val="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（投标人根据招标文件要求自行编制）</w:t>
      </w: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4.4 业绩情况表</w:t>
      </w:r>
    </w:p>
    <w:p>
      <w:pPr>
        <w:autoSpaceDE w:val="0"/>
        <w:autoSpaceDN w:val="0"/>
        <w:adjustRightInd w:val="0"/>
        <w:spacing w:line="360" w:lineRule="auto"/>
        <w:jc w:val="center"/>
        <w:outlineLvl w:val="0"/>
        <w:rPr>
          <w:rFonts w:ascii="宋体" w:hAnsi="宋体"/>
          <w:b/>
          <w:bCs/>
          <w:color w:val="000000"/>
          <w:sz w:val="28"/>
          <w:szCs w:val="28"/>
          <w:highlight w:val="none"/>
        </w:rPr>
      </w:pP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snapToGrid w:val="0"/>
        <w:spacing w:line="360" w:lineRule="auto"/>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序号</w:t>
            </w:r>
          </w:p>
        </w:tc>
        <w:tc>
          <w:tcPr>
            <w:tcW w:w="1808"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客户单位名称</w:t>
            </w:r>
          </w:p>
        </w:tc>
        <w:tc>
          <w:tcPr>
            <w:tcW w:w="3579"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项目名称及主要内容</w:t>
            </w:r>
          </w:p>
        </w:tc>
        <w:tc>
          <w:tcPr>
            <w:tcW w:w="1440" w:type="dxa"/>
            <w:shd w:val="clear" w:color="auto" w:fill="F3F3F3"/>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合同金额</w:t>
            </w:r>
          </w:p>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（万元）</w:t>
            </w:r>
          </w:p>
        </w:tc>
        <w:tc>
          <w:tcPr>
            <w:tcW w:w="1706"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1</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2</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3</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4</w:t>
            </w:r>
          </w:p>
        </w:tc>
        <w:tc>
          <w:tcPr>
            <w:tcW w:w="1808" w:type="dxa"/>
            <w:vAlign w:val="center"/>
          </w:tcPr>
          <w:p>
            <w:pPr>
              <w:rPr>
                <w:rFonts w:ascii="宋体"/>
                <w:szCs w:val="21"/>
                <w:highlight w:val="none"/>
              </w:rPr>
            </w:pPr>
          </w:p>
        </w:tc>
        <w:tc>
          <w:tcPr>
            <w:tcW w:w="3579" w:type="dxa"/>
            <w:vAlign w:val="center"/>
          </w:tcPr>
          <w:p>
            <w:pPr>
              <w:rPr>
                <w:rFonts w:ascii="宋体"/>
                <w:szCs w:val="21"/>
                <w:highlight w:val="none"/>
              </w:rPr>
            </w:pPr>
          </w:p>
        </w:tc>
        <w:tc>
          <w:tcPr>
            <w:tcW w:w="1440" w:type="dxa"/>
            <w:vAlign w:val="center"/>
          </w:tcPr>
          <w:p>
            <w:pPr>
              <w:rPr>
                <w:rFonts w:ascii="宋体"/>
                <w:szCs w:val="21"/>
                <w:highlight w:val="none"/>
              </w:rPr>
            </w:pPr>
          </w:p>
        </w:tc>
        <w:tc>
          <w:tcPr>
            <w:tcW w:w="1706"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highlight w:val="none"/>
              </w:rPr>
            </w:pPr>
            <w:r>
              <w:rPr>
                <w:rFonts w:hint="eastAsia" w:ascii="宋体" w:hAnsi="宋体" w:eastAsia="宋体" w:cs="宋体"/>
                <w:sz w:val="21"/>
                <w:szCs w:val="21"/>
                <w:highlight w:val="none"/>
              </w:rPr>
              <w:t>……</w:t>
            </w:r>
          </w:p>
        </w:tc>
        <w:tc>
          <w:tcPr>
            <w:tcW w:w="1808" w:type="dxa"/>
            <w:vAlign w:val="center"/>
          </w:tcPr>
          <w:p>
            <w:pPr>
              <w:rPr>
                <w:rFonts w:ascii="宋体"/>
                <w:szCs w:val="21"/>
                <w:highlight w:val="none"/>
              </w:rPr>
            </w:pPr>
          </w:p>
        </w:tc>
        <w:tc>
          <w:tcPr>
            <w:tcW w:w="3579" w:type="dxa"/>
            <w:vAlign w:val="center"/>
          </w:tcPr>
          <w:p>
            <w:pPr>
              <w:rPr>
                <w:rFonts w:ascii="宋体"/>
                <w:szCs w:val="21"/>
                <w:highlight w:val="none"/>
              </w:rPr>
            </w:pPr>
          </w:p>
        </w:tc>
        <w:tc>
          <w:tcPr>
            <w:tcW w:w="1440" w:type="dxa"/>
            <w:vAlign w:val="center"/>
          </w:tcPr>
          <w:p>
            <w:pPr>
              <w:rPr>
                <w:rFonts w:ascii="宋体"/>
                <w:szCs w:val="21"/>
                <w:highlight w:val="none"/>
              </w:rPr>
            </w:pPr>
          </w:p>
        </w:tc>
        <w:tc>
          <w:tcPr>
            <w:tcW w:w="1706" w:type="dxa"/>
            <w:vAlign w:val="center"/>
          </w:tcPr>
          <w:p>
            <w:pPr>
              <w:rPr>
                <w:rFonts w:ascii="宋体"/>
                <w:szCs w:val="21"/>
                <w:highlight w:val="none"/>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r>
        <w:rPr>
          <w:rFonts w:cs="宋体" w:asciiTheme="minorEastAsia" w:hAnsiTheme="minorEastAsia"/>
          <w:szCs w:val="21"/>
          <w:highlight w:val="none"/>
          <w:lang w:val="zh-CN"/>
        </w:rPr>
        <w:t xml:space="preserve"> </w:t>
      </w:r>
    </w:p>
    <w:p>
      <w:pPr>
        <w:autoSpaceDE w:val="0"/>
        <w:autoSpaceDN w:val="0"/>
        <w:adjustRightInd w:val="0"/>
        <w:spacing w:line="480" w:lineRule="auto"/>
        <w:rPr>
          <w:rFonts w:cs="宋体" w:asciiTheme="minorEastAsia" w:hAnsiTheme="minorEastAsia"/>
          <w:sz w:val="24"/>
          <w:szCs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4.5 售后服务方案</w:t>
      </w: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4.6 中小企业声明函</w:t>
      </w:r>
    </w:p>
    <w:p>
      <w:pPr>
        <w:spacing w:line="360" w:lineRule="auto"/>
        <w:jc w:val="center"/>
        <w:rPr>
          <w:rFonts w:ascii="宋体" w:hAnsi="宋体"/>
          <w:b/>
          <w:bCs/>
          <w:color w:val="000000"/>
          <w:szCs w:val="21"/>
          <w:highlight w:val="none"/>
        </w:rPr>
      </w:pPr>
    </w:p>
    <w:p>
      <w:pPr>
        <w:widowControl/>
        <w:spacing w:before="100" w:beforeAutospacing="1" w:after="100" w:afterAutospacing="1" w:line="360" w:lineRule="auto"/>
        <w:ind w:firstLine="420"/>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highlight w:val="none"/>
        </w:rPr>
        <w:br w:type="textWrapping"/>
      </w:r>
      <w:r>
        <w:rPr>
          <w:rFonts w:hint="eastAsia" w:ascii="宋体" w:hAnsi="宋体" w:cs="Arial"/>
          <w:color w:val="000000"/>
          <w:kern w:val="0"/>
          <w:szCs w:val="21"/>
          <w:highlight w:val="none"/>
        </w:rPr>
        <w:t>　　根据《工业和信息化部、国家统计局、国家发展和改革委员会、财政部关于印发中小企业划型标准规定的通知》（工信部联企业[2011]300号）规定的划分标准，</w:t>
      </w:r>
      <w:r>
        <w:rPr>
          <w:rFonts w:hint="eastAsia"/>
          <w:color w:val="000000"/>
          <w:szCs w:val="21"/>
          <w:highlight w:val="none"/>
        </w:rPr>
        <w:t>按照《国家统计局关于印发统计上大中小微型企业划分办法的通知》（国统字</w:t>
      </w:r>
      <w:r>
        <w:rPr>
          <w:color w:val="000000"/>
          <w:szCs w:val="21"/>
          <w:highlight w:val="none"/>
        </w:rPr>
        <w:t>[2011] 75</w:t>
      </w:r>
      <w:r>
        <w:rPr>
          <w:rFonts w:hint="eastAsia"/>
          <w:color w:val="000000"/>
          <w:szCs w:val="21"/>
          <w:highlight w:val="none"/>
        </w:rPr>
        <w:t>号）规定，本公司所属行业为</w:t>
      </w:r>
      <w:r>
        <w:rPr>
          <w:color w:val="000000"/>
          <w:szCs w:val="21"/>
          <w:highlight w:val="none"/>
        </w:rPr>
        <w:t>______</w:t>
      </w:r>
      <w:r>
        <w:rPr>
          <w:rFonts w:hint="eastAsia"/>
          <w:color w:val="000000"/>
          <w:szCs w:val="21"/>
          <w:highlight w:val="none"/>
        </w:rPr>
        <w:t>，截至上一财年末，公司资产总额</w:t>
      </w:r>
      <w:r>
        <w:rPr>
          <w:color w:val="000000"/>
          <w:szCs w:val="21"/>
          <w:highlight w:val="none"/>
        </w:rPr>
        <w:t>______</w:t>
      </w:r>
      <w:r>
        <w:rPr>
          <w:rFonts w:hint="eastAsia"/>
          <w:color w:val="000000"/>
          <w:szCs w:val="21"/>
          <w:highlight w:val="none"/>
        </w:rPr>
        <w:t>万元，营业收入</w:t>
      </w:r>
      <w:r>
        <w:rPr>
          <w:color w:val="000000"/>
          <w:szCs w:val="21"/>
          <w:highlight w:val="none"/>
        </w:rPr>
        <w:t>______</w:t>
      </w:r>
      <w:r>
        <w:rPr>
          <w:rFonts w:hint="eastAsia"/>
          <w:color w:val="000000"/>
          <w:szCs w:val="21"/>
          <w:highlight w:val="none"/>
        </w:rPr>
        <w:t>万元，从业人员</w:t>
      </w:r>
      <w:r>
        <w:rPr>
          <w:color w:val="000000"/>
          <w:szCs w:val="21"/>
          <w:highlight w:val="none"/>
        </w:rPr>
        <w:t>______</w:t>
      </w:r>
      <w:r>
        <w:rPr>
          <w:rFonts w:hint="eastAsia"/>
          <w:color w:val="000000"/>
          <w:szCs w:val="21"/>
          <w:highlight w:val="none"/>
        </w:rPr>
        <w:t>人，</w:t>
      </w:r>
      <w:r>
        <w:rPr>
          <w:rFonts w:hint="eastAsia" w:ascii="宋体" w:hAnsi="宋体" w:cs="Arial"/>
          <w:color w:val="000000"/>
          <w:kern w:val="0"/>
          <w:szCs w:val="21"/>
          <w:highlight w:val="none"/>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r>
        <w:rPr>
          <w:rFonts w:hint="eastAsia" w:ascii="宋体" w:hAnsi="宋体" w:cs="Arial"/>
          <w:color w:val="000000"/>
          <w:kern w:val="0"/>
          <w:szCs w:val="21"/>
          <w:highlight w:val="none"/>
        </w:rPr>
        <w:t>企业名称（盖章）：　　　　　　　　　</w:t>
      </w:r>
      <w:r>
        <w:rPr>
          <w:rFonts w:hint="eastAsia" w:ascii="宋体" w:hAnsi="宋体" w:cs="Arial"/>
          <w:color w:val="000000"/>
          <w:kern w:val="0"/>
          <w:szCs w:val="21"/>
          <w:highlight w:val="none"/>
        </w:rPr>
        <w:br w:type="textWrapping"/>
      </w:r>
      <w:r>
        <w:rPr>
          <w:rFonts w:hint="eastAsia" w:ascii="宋体" w:hAnsi="宋体" w:cs="Arial"/>
          <w:color w:val="000000"/>
          <w:kern w:val="0"/>
          <w:szCs w:val="21"/>
          <w:highlight w:val="none"/>
        </w:rPr>
        <w:t xml:space="preserve">日　  期：      </w:t>
      </w:r>
      <w:r>
        <w:rPr>
          <w:rFonts w:hint="eastAsia" w:cs="宋体" w:asciiTheme="minorEastAsia" w:hAnsiTheme="minorEastAsia"/>
          <w:szCs w:val="21"/>
          <w:highlight w:val="none"/>
        </w:rPr>
        <w:t>年    月    日</w:t>
      </w:r>
    </w:p>
    <w:p>
      <w:pPr>
        <w:widowControl/>
        <w:spacing w:before="100" w:beforeAutospacing="1" w:after="100" w:afterAutospacing="1" w:line="360" w:lineRule="auto"/>
        <w:contextualSpacing/>
        <w:jc w:val="left"/>
        <w:rPr>
          <w:rFonts w:ascii="宋体" w:hAnsi="宋体"/>
          <w:color w:val="000000"/>
          <w:szCs w:val="21"/>
          <w:highlight w:val="none"/>
        </w:rPr>
      </w:pPr>
      <w:r>
        <w:rPr>
          <w:rFonts w:hint="eastAsia" w:ascii="宋体" w:hAnsi="宋体"/>
          <w:color w:val="000000"/>
          <w:szCs w:val="21"/>
          <w:highlight w:val="none"/>
        </w:rPr>
        <w:t>说明：</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highlight w:val="none"/>
        </w:rPr>
      </w:pPr>
      <w:bookmarkStart w:id="12" w:name="OLE_LINK14"/>
      <w:bookmarkStart w:id="13" w:name="OLE_LINK13"/>
      <w:r>
        <w:rPr>
          <w:rFonts w:hint="eastAsia" w:ascii="宋体" w:hAnsi="宋体"/>
          <w:b/>
          <w:bCs/>
          <w:color w:val="000000"/>
          <w:sz w:val="24"/>
          <w:szCs w:val="24"/>
          <w:highlight w:val="none"/>
        </w:rPr>
        <w:t>4.7 残疾人福利性单位声明函</w:t>
      </w:r>
    </w:p>
    <w:bookmarkEnd w:id="12"/>
    <w:bookmarkEnd w:id="13"/>
    <w:p>
      <w:pPr>
        <w:spacing w:line="360" w:lineRule="auto"/>
        <w:rPr>
          <w:rFonts w:ascii="宋体" w:hAnsi="宋体"/>
          <w:szCs w:val="21"/>
          <w:highlight w:val="none"/>
        </w:rPr>
      </w:pPr>
    </w:p>
    <w:p>
      <w:pPr>
        <w:spacing w:line="360" w:lineRule="auto"/>
        <w:ind w:firstLine="420" w:firstLineChars="200"/>
        <w:rPr>
          <w:rFonts w:ascii="宋体" w:hAnsi="宋体"/>
          <w:szCs w:val="21"/>
          <w:highlight w:val="none"/>
        </w:rPr>
      </w:pPr>
      <w:r>
        <w:rPr>
          <w:rFonts w:hint="eastAsia" w:ascii="宋体" w:hAnsi="宋体"/>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highlight w:val="none"/>
          <w:u w:val="single"/>
        </w:rPr>
        <w:t xml:space="preserve">        </w:t>
      </w:r>
      <w:r>
        <w:rPr>
          <w:rFonts w:hint="eastAsia" w:ascii="宋体" w:hAnsi="宋体"/>
          <w:szCs w:val="21"/>
          <w:highlight w:val="none"/>
        </w:rPr>
        <w:t>单位的</w:t>
      </w:r>
      <w:r>
        <w:rPr>
          <w:rFonts w:hint="eastAsia" w:ascii="宋体" w:hAnsi="宋体"/>
          <w:szCs w:val="21"/>
          <w:highlight w:val="none"/>
          <w:u w:val="single"/>
        </w:rPr>
        <w:t xml:space="preserve">           </w:t>
      </w:r>
      <w:r>
        <w:rPr>
          <w:rFonts w:hint="eastAsia" w:ascii="宋体" w:hAnsi="宋体"/>
          <w:szCs w:val="21"/>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highlight w:val="none"/>
        </w:rPr>
      </w:pPr>
      <w:r>
        <w:rPr>
          <w:rFonts w:hint="eastAsia" w:ascii="宋体" w:hAnsi="宋体"/>
          <w:szCs w:val="21"/>
          <w:highlight w:val="none"/>
        </w:rPr>
        <w:t>本单位对上述声明的真实性负责。如有虚假，将依法承担相应责任。</w:t>
      </w:r>
    </w:p>
    <w:p>
      <w:pPr>
        <w:spacing w:line="360" w:lineRule="auto"/>
        <w:rPr>
          <w:rFonts w:ascii="宋体" w:hAnsi="宋体"/>
          <w:szCs w:val="21"/>
          <w:highlight w:val="none"/>
        </w:rPr>
      </w:pPr>
    </w:p>
    <w:p>
      <w:pPr>
        <w:spacing w:line="360" w:lineRule="auto"/>
        <w:rPr>
          <w:rFonts w:ascii="宋体" w:hAnsi="宋体"/>
          <w:szCs w:val="21"/>
          <w:highlight w:val="none"/>
        </w:rPr>
      </w:pPr>
    </w:p>
    <w:p>
      <w:pPr>
        <w:spacing w:line="360" w:lineRule="auto"/>
        <w:rPr>
          <w:rFonts w:ascii="宋体" w:hAnsi="宋体"/>
          <w:szCs w:val="21"/>
          <w:highlight w:val="none"/>
        </w:rPr>
      </w:pPr>
      <w:r>
        <w:rPr>
          <w:rFonts w:hint="eastAsia" w:ascii="宋体" w:hAnsi="宋体"/>
          <w:szCs w:val="21"/>
          <w:highlight w:val="none"/>
        </w:rPr>
        <w:t xml:space="preserve">                                    单位名称（盖章）：</w:t>
      </w:r>
    </w:p>
    <w:p>
      <w:pPr>
        <w:spacing w:line="360" w:lineRule="auto"/>
        <w:rPr>
          <w:rFonts w:ascii="宋体" w:hAnsi="宋体"/>
          <w:szCs w:val="21"/>
          <w:highlight w:val="none"/>
        </w:rPr>
      </w:pPr>
      <w:r>
        <w:rPr>
          <w:rFonts w:hint="eastAsia" w:ascii="宋体" w:hAnsi="宋体"/>
          <w:szCs w:val="21"/>
          <w:highlight w:val="none"/>
        </w:rPr>
        <w:t xml:space="preserve">                                    日    期：      </w:t>
      </w:r>
      <w:r>
        <w:rPr>
          <w:rFonts w:hint="eastAsia" w:cs="宋体" w:asciiTheme="minorEastAsia" w:hAnsiTheme="minorEastAsia"/>
          <w:szCs w:val="21"/>
          <w:highlight w:val="none"/>
        </w:rPr>
        <w:t>年    月    日</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highlight w:val="none"/>
        </w:rPr>
      </w:pPr>
    </w:p>
    <w:p>
      <w:pPr>
        <w:spacing w:line="360" w:lineRule="auto"/>
        <w:jc w:val="center"/>
        <w:rPr>
          <w:rFonts w:ascii="宋体" w:hAnsi="宋体" w:cs="Arial"/>
          <w:color w:val="000000"/>
          <w:kern w:val="0"/>
          <w:szCs w:val="21"/>
          <w:highlight w:val="none"/>
        </w:rPr>
      </w:pPr>
      <w:r>
        <w:rPr>
          <w:rFonts w:hint="eastAsia" w:ascii="宋体" w:hAnsi="宋体" w:cs="Arial"/>
          <w:color w:val="000000"/>
          <w:kern w:val="0"/>
          <w:szCs w:val="21"/>
          <w:highlight w:val="none"/>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highlight w:val="none"/>
        </w:rPr>
      </w:pPr>
    </w:p>
    <w:p>
      <w:pPr>
        <w:widowControl/>
        <w:spacing w:before="100" w:beforeAutospacing="1" w:after="100" w:afterAutospacing="1" w:line="360" w:lineRule="auto"/>
        <w:jc w:val="center"/>
        <w:rPr>
          <w:rFonts w:ascii="宋体" w:hAnsi="宋体"/>
          <w:b/>
          <w:bCs/>
          <w:color w:val="000000"/>
          <w:sz w:val="36"/>
          <w:szCs w:val="36"/>
          <w:highlight w:val="none"/>
        </w:rPr>
      </w:pPr>
    </w:p>
    <w:p>
      <w:pPr>
        <w:rPr>
          <w:highlight w:val="none"/>
        </w:rPr>
      </w:pPr>
    </w:p>
    <w:p>
      <w:pPr>
        <w:rPr>
          <w:highlight w:val="none"/>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28"/>
          <w:szCs w:val="28"/>
          <w:highlight w:val="none"/>
          <w:lang w:val="zh-CN"/>
        </w:rPr>
      </w:pPr>
      <w:r>
        <w:rPr>
          <w:rFonts w:hint="eastAsia" w:cs="黑体" w:asciiTheme="minorEastAsia" w:hAnsiTheme="minorEastAsia"/>
          <w:b/>
          <w:bCs/>
          <w:sz w:val="28"/>
          <w:szCs w:val="28"/>
          <w:highlight w:val="none"/>
          <w:lang w:val="zh-CN"/>
        </w:rPr>
        <w:t>五、</w:t>
      </w:r>
      <w:r>
        <w:rPr>
          <w:rFonts w:cs="黑体" w:asciiTheme="minorEastAsia" w:hAnsiTheme="minorEastAsia"/>
          <w:b/>
          <w:bCs/>
          <w:sz w:val="28"/>
          <w:szCs w:val="28"/>
          <w:highlight w:val="none"/>
          <w:lang w:val="zh-CN"/>
        </w:rPr>
        <w:t>其他资料（若有）</w:t>
      </w:r>
    </w:p>
    <w:p>
      <w:pPr>
        <w:rPr>
          <w:highlight w:val="none"/>
        </w:rPr>
      </w:pPr>
    </w:p>
    <w:p>
      <w:pPr>
        <w:rPr>
          <w:highlight w:val="none"/>
        </w:rPr>
      </w:pPr>
    </w:p>
    <w:p>
      <w:pPr>
        <w:rPr>
          <w:highlight w:val="none"/>
        </w:rPr>
      </w:pPr>
    </w:p>
    <w:p>
      <w:pPr>
        <w:spacing w:line="360" w:lineRule="auto"/>
        <w:jc w:val="center"/>
        <w:rPr>
          <w:rFonts w:ascii="宋体" w:hAnsi="宋体"/>
          <w:b/>
          <w:bCs/>
          <w:color w:val="000000"/>
          <w:sz w:val="28"/>
          <w:szCs w:val="28"/>
          <w:highlight w:val="none"/>
        </w:rPr>
      </w:pPr>
      <w:r>
        <w:rPr>
          <w:rFonts w:ascii="宋体" w:hAnsi="宋体"/>
          <w:b/>
          <w:bCs/>
          <w:color w:val="000000"/>
          <w:sz w:val="28"/>
          <w:szCs w:val="28"/>
          <w:highlight w:val="none"/>
        </w:rPr>
        <w:t>除招标文件另有规定外，投标人认为需要提交的其他证明材料或资料加盖投标人的单位公章后应在此项下提交。</w:t>
      </w:r>
    </w:p>
    <w:p>
      <w:pPr>
        <w:spacing w:line="360" w:lineRule="auto"/>
        <w:jc w:val="center"/>
        <w:rPr>
          <w:rFonts w:ascii="宋体" w:hAnsi="宋体"/>
          <w:b/>
          <w:bCs/>
          <w:color w:val="000000"/>
          <w:sz w:val="28"/>
          <w:szCs w:val="28"/>
          <w:highlight w:val="none"/>
        </w:rPr>
      </w:pPr>
      <w:r>
        <w:rPr>
          <w:rFonts w:ascii="宋体" w:hAnsi="宋体"/>
          <w:b/>
          <w:bCs/>
          <w:color w:val="000000"/>
          <w:sz w:val="28"/>
          <w:szCs w:val="28"/>
          <w:highlight w:val="none"/>
        </w:rPr>
        <w:t> </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5" o:spid="_x0000_s1025"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17</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5"/>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4584B91"/>
    <w:multiLevelType w:val="singleLevel"/>
    <w:tmpl w:val="14584B91"/>
    <w:lvl w:ilvl="0" w:tentative="0">
      <w:start w:val="1"/>
      <w:numFmt w:val="chineseCounting"/>
      <w:suff w:val="nothing"/>
      <w:lvlText w:val="%1、"/>
      <w:lvlJc w:val="left"/>
      <w:rPr>
        <w:rFonts w:hint="eastAsia"/>
      </w:rPr>
    </w:lvl>
  </w:abstractNum>
  <w:abstractNum w:abstractNumId="4">
    <w:nsid w:val="18EA743F"/>
    <w:multiLevelType w:val="multilevel"/>
    <w:tmpl w:val="18EA743F"/>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D311DEE"/>
    <w:multiLevelType w:val="multilevel"/>
    <w:tmpl w:val="1D311DEE"/>
    <w:lvl w:ilvl="0" w:tentative="0">
      <w:start w:val="30"/>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9">
    <w:nsid w:val="35703775"/>
    <w:multiLevelType w:val="multilevel"/>
    <w:tmpl w:val="35703775"/>
    <w:lvl w:ilvl="0" w:tentative="0">
      <w:start w:val="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9A414E2"/>
    <w:multiLevelType w:val="multilevel"/>
    <w:tmpl w:val="39A414E2"/>
    <w:lvl w:ilvl="0" w:tentative="0">
      <w:start w:val="36"/>
      <w:numFmt w:val="decimal"/>
      <w:lvlText w:val="%1.1 "/>
      <w:lvlJc w:val="left"/>
      <w:pPr>
        <w:ind w:left="964" w:hanging="544"/>
      </w:pPr>
      <w:rPr>
        <w:rFonts w:hint="eastAsia"/>
      </w:rPr>
    </w:lvl>
    <w:lvl w:ilvl="1" w:tentative="0">
      <w:start w:val="1"/>
      <w:numFmt w:val="decimalEnclosedCircle"/>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F0A2C70"/>
    <w:multiLevelType w:val="multilevel"/>
    <w:tmpl w:val="3F0A2C70"/>
    <w:lvl w:ilvl="0" w:tentative="0">
      <w:start w:val="2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63B5F73"/>
    <w:multiLevelType w:val="multilevel"/>
    <w:tmpl w:val="563B5F73"/>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9F817C2"/>
    <w:multiLevelType w:val="singleLevel"/>
    <w:tmpl w:val="59F817C2"/>
    <w:lvl w:ilvl="0" w:tentative="0">
      <w:start w:val="2"/>
      <w:numFmt w:val="chineseCounting"/>
      <w:suff w:val="space"/>
      <w:lvlText w:val="第%1章"/>
      <w:lvlJc w:val="left"/>
    </w:lvl>
  </w:abstractNum>
  <w:abstractNum w:abstractNumId="14">
    <w:nsid w:val="59F817E8"/>
    <w:multiLevelType w:val="singleLevel"/>
    <w:tmpl w:val="59F817E8"/>
    <w:lvl w:ilvl="0" w:tentative="0">
      <w:start w:val="1"/>
      <w:numFmt w:val="chineseCounting"/>
      <w:pStyle w:val="50"/>
      <w:suff w:val="nothing"/>
      <w:lvlText w:val="%1、"/>
      <w:lvlJc w:val="left"/>
    </w:lvl>
  </w:abstractNum>
  <w:abstractNum w:abstractNumId="15">
    <w:nsid w:val="5DF719A4"/>
    <w:multiLevelType w:val="multilevel"/>
    <w:tmpl w:val="5DF719A4"/>
    <w:lvl w:ilvl="0" w:tentative="0">
      <w:start w:val="1"/>
      <w:numFmt w:val="decimal"/>
      <w:lvlText w:val="%1."/>
      <w:lvlJc w:val="left"/>
      <w:pPr>
        <w:ind w:left="420" w:hanging="420"/>
      </w:pPr>
      <w:rPr>
        <w:rFonts w:hint="default"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6">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72C53A37"/>
    <w:multiLevelType w:val="multilevel"/>
    <w:tmpl w:val="72C53A37"/>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4"/>
  </w:num>
  <w:num w:numId="4">
    <w:abstractNumId w:val="13"/>
  </w:num>
  <w:num w:numId="5">
    <w:abstractNumId w:val="3"/>
  </w:num>
  <w:num w:numId="6">
    <w:abstractNumId w:val="15"/>
  </w:num>
  <w:num w:numId="7">
    <w:abstractNumId w:val="8"/>
  </w:num>
  <w:num w:numId="8">
    <w:abstractNumId w:val="16"/>
  </w:num>
  <w:num w:numId="9">
    <w:abstractNumId w:val="9"/>
  </w:num>
  <w:num w:numId="10">
    <w:abstractNumId w:val="5"/>
  </w:num>
  <w:num w:numId="11">
    <w:abstractNumId w:val="6"/>
  </w:num>
  <w:num w:numId="12">
    <w:abstractNumId w:val="18"/>
  </w:num>
  <w:num w:numId="13">
    <w:abstractNumId w:val="11"/>
  </w:num>
  <w:num w:numId="14">
    <w:abstractNumId w:val="17"/>
  </w:num>
  <w:num w:numId="15">
    <w:abstractNumId w:val="4"/>
  </w:num>
  <w:num w:numId="16">
    <w:abstractNumId w:val="7"/>
  </w:num>
  <w:num w:numId="17">
    <w:abstractNumId w:val="12"/>
  </w:num>
  <w:num w:numId="18">
    <w:abstractNumId w:val="1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8527E"/>
    <w:rsid w:val="000038EC"/>
    <w:rsid w:val="000125D2"/>
    <w:rsid w:val="00013E96"/>
    <w:rsid w:val="00014754"/>
    <w:rsid w:val="000249DA"/>
    <w:rsid w:val="00025C44"/>
    <w:rsid w:val="00026B40"/>
    <w:rsid w:val="0003728F"/>
    <w:rsid w:val="00045650"/>
    <w:rsid w:val="00060E86"/>
    <w:rsid w:val="00067481"/>
    <w:rsid w:val="00067C9C"/>
    <w:rsid w:val="00081595"/>
    <w:rsid w:val="00097CA0"/>
    <w:rsid w:val="000B2B07"/>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7312"/>
    <w:rsid w:val="001D1685"/>
    <w:rsid w:val="001D2B18"/>
    <w:rsid w:val="001E1429"/>
    <w:rsid w:val="001E7708"/>
    <w:rsid w:val="00203E42"/>
    <w:rsid w:val="00204DF9"/>
    <w:rsid w:val="002175E7"/>
    <w:rsid w:val="0022188F"/>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21D34"/>
    <w:rsid w:val="0032405E"/>
    <w:rsid w:val="00331995"/>
    <w:rsid w:val="003342D8"/>
    <w:rsid w:val="0033506B"/>
    <w:rsid w:val="00342089"/>
    <w:rsid w:val="00352DF4"/>
    <w:rsid w:val="0035369D"/>
    <w:rsid w:val="00360545"/>
    <w:rsid w:val="0036152C"/>
    <w:rsid w:val="003639CB"/>
    <w:rsid w:val="0036447A"/>
    <w:rsid w:val="00371295"/>
    <w:rsid w:val="003726CA"/>
    <w:rsid w:val="00377AC4"/>
    <w:rsid w:val="00380522"/>
    <w:rsid w:val="00391A94"/>
    <w:rsid w:val="0039370D"/>
    <w:rsid w:val="003971D7"/>
    <w:rsid w:val="00397CD6"/>
    <w:rsid w:val="003A5CBF"/>
    <w:rsid w:val="003B0247"/>
    <w:rsid w:val="003B0702"/>
    <w:rsid w:val="003B11BC"/>
    <w:rsid w:val="003B2E92"/>
    <w:rsid w:val="003B5A23"/>
    <w:rsid w:val="003C2FDE"/>
    <w:rsid w:val="003D0F3B"/>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F5F"/>
    <w:rsid w:val="00431C09"/>
    <w:rsid w:val="0043273F"/>
    <w:rsid w:val="00432BA9"/>
    <w:rsid w:val="00435C50"/>
    <w:rsid w:val="00444404"/>
    <w:rsid w:val="004458B3"/>
    <w:rsid w:val="00450FD5"/>
    <w:rsid w:val="0045454F"/>
    <w:rsid w:val="004552DD"/>
    <w:rsid w:val="004555BF"/>
    <w:rsid w:val="00455D39"/>
    <w:rsid w:val="00456AAA"/>
    <w:rsid w:val="00466052"/>
    <w:rsid w:val="00471DCF"/>
    <w:rsid w:val="0047255E"/>
    <w:rsid w:val="00473A3B"/>
    <w:rsid w:val="00475D6F"/>
    <w:rsid w:val="004836C1"/>
    <w:rsid w:val="00490B4A"/>
    <w:rsid w:val="0049409E"/>
    <w:rsid w:val="004960A0"/>
    <w:rsid w:val="004A37B2"/>
    <w:rsid w:val="004B0A88"/>
    <w:rsid w:val="004B5C96"/>
    <w:rsid w:val="004C0D4D"/>
    <w:rsid w:val="004C0F8F"/>
    <w:rsid w:val="004C41D8"/>
    <w:rsid w:val="004C526D"/>
    <w:rsid w:val="004C5E01"/>
    <w:rsid w:val="004C7600"/>
    <w:rsid w:val="004D3D55"/>
    <w:rsid w:val="004D749D"/>
    <w:rsid w:val="004E671C"/>
    <w:rsid w:val="005001C4"/>
    <w:rsid w:val="00503567"/>
    <w:rsid w:val="00506310"/>
    <w:rsid w:val="00506E21"/>
    <w:rsid w:val="00510B29"/>
    <w:rsid w:val="00511187"/>
    <w:rsid w:val="00515CD7"/>
    <w:rsid w:val="005223E7"/>
    <w:rsid w:val="005242A0"/>
    <w:rsid w:val="005242FC"/>
    <w:rsid w:val="00543774"/>
    <w:rsid w:val="0054495A"/>
    <w:rsid w:val="00551D04"/>
    <w:rsid w:val="005637E2"/>
    <w:rsid w:val="00566E94"/>
    <w:rsid w:val="0057125E"/>
    <w:rsid w:val="005723F8"/>
    <w:rsid w:val="00580FBF"/>
    <w:rsid w:val="00583761"/>
    <w:rsid w:val="00583EAF"/>
    <w:rsid w:val="00584158"/>
    <w:rsid w:val="00585056"/>
    <w:rsid w:val="00585C8D"/>
    <w:rsid w:val="00586484"/>
    <w:rsid w:val="005930FB"/>
    <w:rsid w:val="005978CC"/>
    <w:rsid w:val="005A0F07"/>
    <w:rsid w:val="005B1360"/>
    <w:rsid w:val="005D0BBF"/>
    <w:rsid w:val="005D1822"/>
    <w:rsid w:val="005D209E"/>
    <w:rsid w:val="005D2AF1"/>
    <w:rsid w:val="005E0C2F"/>
    <w:rsid w:val="005E25D4"/>
    <w:rsid w:val="005E7603"/>
    <w:rsid w:val="005F34DE"/>
    <w:rsid w:val="005F6C34"/>
    <w:rsid w:val="006042BA"/>
    <w:rsid w:val="006121F2"/>
    <w:rsid w:val="006127ED"/>
    <w:rsid w:val="00615A1B"/>
    <w:rsid w:val="006203D4"/>
    <w:rsid w:val="006251F5"/>
    <w:rsid w:val="00625517"/>
    <w:rsid w:val="00636AAD"/>
    <w:rsid w:val="006433A7"/>
    <w:rsid w:val="0065716D"/>
    <w:rsid w:val="00662CA9"/>
    <w:rsid w:val="00671430"/>
    <w:rsid w:val="006754C2"/>
    <w:rsid w:val="0067638E"/>
    <w:rsid w:val="00691754"/>
    <w:rsid w:val="00691B6F"/>
    <w:rsid w:val="00694142"/>
    <w:rsid w:val="006A2213"/>
    <w:rsid w:val="006A5B8C"/>
    <w:rsid w:val="006B26D6"/>
    <w:rsid w:val="006B32D1"/>
    <w:rsid w:val="006B32F9"/>
    <w:rsid w:val="006B3DF8"/>
    <w:rsid w:val="006C1A4B"/>
    <w:rsid w:val="006C667F"/>
    <w:rsid w:val="006F1A4D"/>
    <w:rsid w:val="006F3204"/>
    <w:rsid w:val="007024F0"/>
    <w:rsid w:val="00703F21"/>
    <w:rsid w:val="00705ACE"/>
    <w:rsid w:val="00706B75"/>
    <w:rsid w:val="00724B2F"/>
    <w:rsid w:val="00740DAA"/>
    <w:rsid w:val="00752433"/>
    <w:rsid w:val="00756D00"/>
    <w:rsid w:val="00762E7D"/>
    <w:rsid w:val="0076566E"/>
    <w:rsid w:val="0077354D"/>
    <w:rsid w:val="00786F9A"/>
    <w:rsid w:val="00787606"/>
    <w:rsid w:val="00787A46"/>
    <w:rsid w:val="00792FB0"/>
    <w:rsid w:val="00796F1C"/>
    <w:rsid w:val="007A4155"/>
    <w:rsid w:val="007B6124"/>
    <w:rsid w:val="007B7A09"/>
    <w:rsid w:val="007E357B"/>
    <w:rsid w:val="007E740A"/>
    <w:rsid w:val="007F13CB"/>
    <w:rsid w:val="007F44E2"/>
    <w:rsid w:val="007F6DB4"/>
    <w:rsid w:val="0080116A"/>
    <w:rsid w:val="00806097"/>
    <w:rsid w:val="00806FD5"/>
    <w:rsid w:val="00810C37"/>
    <w:rsid w:val="00827965"/>
    <w:rsid w:val="00835185"/>
    <w:rsid w:val="008369F7"/>
    <w:rsid w:val="008377F7"/>
    <w:rsid w:val="00841C21"/>
    <w:rsid w:val="00845722"/>
    <w:rsid w:val="00845D07"/>
    <w:rsid w:val="008510DF"/>
    <w:rsid w:val="00855460"/>
    <w:rsid w:val="00861CAB"/>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7E3F"/>
    <w:rsid w:val="008F09BC"/>
    <w:rsid w:val="008F25FB"/>
    <w:rsid w:val="008F4C40"/>
    <w:rsid w:val="0091007A"/>
    <w:rsid w:val="00915BCF"/>
    <w:rsid w:val="00923CEE"/>
    <w:rsid w:val="00925A0C"/>
    <w:rsid w:val="009273FE"/>
    <w:rsid w:val="00927E5E"/>
    <w:rsid w:val="009311AA"/>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5651"/>
    <w:rsid w:val="009A5B5A"/>
    <w:rsid w:val="009A711C"/>
    <w:rsid w:val="009C12AB"/>
    <w:rsid w:val="009D396E"/>
    <w:rsid w:val="009D5249"/>
    <w:rsid w:val="009D595D"/>
    <w:rsid w:val="009D7666"/>
    <w:rsid w:val="009D7F16"/>
    <w:rsid w:val="009E431F"/>
    <w:rsid w:val="009E65C7"/>
    <w:rsid w:val="009E6953"/>
    <w:rsid w:val="009E72B5"/>
    <w:rsid w:val="009F1C7D"/>
    <w:rsid w:val="00A046FE"/>
    <w:rsid w:val="00A150CE"/>
    <w:rsid w:val="00A16ABE"/>
    <w:rsid w:val="00A21B54"/>
    <w:rsid w:val="00A22BFC"/>
    <w:rsid w:val="00A313F0"/>
    <w:rsid w:val="00A34147"/>
    <w:rsid w:val="00A36041"/>
    <w:rsid w:val="00A37065"/>
    <w:rsid w:val="00A43668"/>
    <w:rsid w:val="00A44311"/>
    <w:rsid w:val="00A45162"/>
    <w:rsid w:val="00A563C1"/>
    <w:rsid w:val="00A60BAA"/>
    <w:rsid w:val="00A6470C"/>
    <w:rsid w:val="00A660D7"/>
    <w:rsid w:val="00A66E23"/>
    <w:rsid w:val="00A719D3"/>
    <w:rsid w:val="00A75F45"/>
    <w:rsid w:val="00A82ECD"/>
    <w:rsid w:val="00A92F80"/>
    <w:rsid w:val="00A9585A"/>
    <w:rsid w:val="00A9655D"/>
    <w:rsid w:val="00AA263A"/>
    <w:rsid w:val="00AA3BA5"/>
    <w:rsid w:val="00AA7436"/>
    <w:rsid w:val="00AB31CF"/>
    <w:rsid w:val="00AB7E1C"/>
    <w:rsid w:val="00AC4AA2"/>
    <w:rsid w:val="00AE3C24"/>
    <w:rsid w:val="00AF05E5"/>
    <w:rsid w:val="00B02855"/>
    <w:rsid w:val="00B02ECE"/>
    <w:rsid w:val="00B05341"/>
    <w:rsid w:val="00B0661B"/>
    <w:rsid w:val="00B10C59"/>
    <w:rsid w:val="00B2218F"/>
    <w:rsid w:val="00B3245E"/>
    <w:rsid w:val="00B37BD7"/>
    <w:rsid w:val="00B446B6"/>
    <w:rsid w:val="00B44784"/>
    <w:rsid w:val="00B572BC"/>
    <w:rsid w:val="00B63A0C"/>
    <w:rsid w:val="00B65650"/>
    <w:rsid w:val="00B67286"/>
    <w:rsid w:val="00B73AC4"/>
    <w:rsid w:val="00B7664A"/>
    <w:rsid w:val="00B804AD"/>
    <w:rsid w:val="00B82355"/>
    <w:rsid w:val="00B8591E"/>
    <w:rsid w:val="00B869CF"/>
    <w:rsid w:val="00B96B7F"/>
    <w:rsid w:val="00BC03F2"/>
    <w:rsid w:val="00BC4E22"/>
    <w:rsid w:val="00BC5968"/>
    <w:rsid w:val="00BC73D5"/>
    <w:rsid w:val="00BC79A3"/>
    <w:rsid w:val="00BD18DF"/>
    <w:rsid w:val="00BD4367"/>
    <w:rsid w:val="00BE0FAD"/>
    <w:rsid w:val="00BE3287"/>
    <w:rsid w:val="00BF28D6"/>
    <w:rsid w:val="00C035E9"/>
    <w:rsid w:val="00C2008A"/>
    <w:rsid w:val="00C2135E"/>
    <w:rsid w:val="00C2328C"/>
    <w:rsid w:val="00C24FFF"/>
    <w:rsid w:val="00C264A3"/>
    <w:rsid w:val="00C31673"/>
    <w:rsid w:val="00C34246"/>
    <w:rsid w:val="00C34BFA"/>
    <w:rsid w:val="00C3795C"/>
    <w:rsid w:val="00C37B84"/>
    <w:rsid w:val="00C42F15"/>
    <w:rsid w:val="00C4372D"/>
    <w:rsid w:val="00C47C6B"/>
    <w:rsid w:val="00C47DAB"/>
    <w:rsid w:val="00C505B8"/>
    <w:rsid w:val="00C7135F"/>
    <w:rsid w:val="00C87FE2"/>
    <w:rsid w:val="00C901F9"/>
    <w:rsid w:val="00C94030"/>
    <w:rsid w:val="00CA1263"/>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4663"/>
    <w:rsid w:val="00D3745E"/>
    <w:rsid w:val="00D4115E"/>
    <w:rsid w:val="00D504B6"/>
    <w:rsid w:val="00D50F93"/>
    <w:rsid w:val="00D631A9"/>
    <w:rsid w:val="00D6584A"/>
    <w:rsid w:val="00D70BC8"/>
    <w:rsid w:val="00D7754C"/>
    <w:rsid w:val="00D916B7"/>
    <w:rsid w:val="00D91F02"/>
    <w:rsid w:val="00D93999"/>
    <w:rsid w:val="00D94533"/>
    <w:rsid w:val="00D96D5A"/>
    <w:rsid w:val="00DA2E14"/>
    <w:rsid w:val="00DA506C"/>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5B90"/>
    <w:rsid w:val="00DF1B6D"/>
    <w:rsid w:val="00DF7176"/>
    <w:rsid w:val="00DF768C"/>
    <w:rsid w:val="00E04628"/>
    <w:rsid w:val="00E10512"/>
    <w:rsid w:val="00E20DC4"/>
    <w:rsid w:val="00E2238C"/>
    <w:rsid w:val="00E24ED0"/>
    <w:rsid w:val="00E25C54"/>
    <w:rsid w:val="00E32F7E"/>
    <w:rsid w:val="00E337C5"/>
    <w:rsid w:val="00E34DE5"/>
    <w:rsid w:val="00E441DC"/>
    <w:rsid w:val="00E46C37"/>
    <w:rsid w:val="00E51EC5"/>
    <w:rsid w:val="00E53D23"/>
    <w:rsid w:val="00E541ED"/>
    <w:rsid w:val="00E553BD"/>
    <w:rsid w:val="00E720F9"/>
    <w:rsid w:val="00E8521A"/>
    <w:rsid w:val="00E85AA3"/>
    <w:rsid w:val="00E85D65"/>
    <w:rsid w:val="00E86E90"/>
    <w:rsid w:val="00E968DE"/>
    <w:rsid w:val="00E97DE2"/>
    <w:rsid w:val="00EA7B33"/>
    <w:rsid w:val="00EB1668"/>
    <w:rsid w:val="00EB1BC1"/>
    <w:rsid w:val="00EC6530"/>
    <w:rsid w:val="00ED1FC0"/>
    <w:rsid w:val="00ED4CC0"/>
    <w:rsid w:val="00ED6D93"/>
    <w:rsid w:val="00EE37CF"/>
    <w:rsid w:val="00EE44B0"/>
    <w:rsid w:val="00EE5656"/>
    <w:rsid w:val="00EE71B5"/>
    <w:rsid w:val="00EF5686"/>
    <w:rsid w:val="00EF7FF8"/>
    <w:rsid w:val="00F00D41"/>
    <w:rsid w:val="00F06AA0"/>
    <w:rsid w:val="00F10C3E"/>
    <w:rsid w:val="00F164C3"/>
    <w:rsid w:val="00F17FA0"/>
    <w:rsid w:val="00F21BC6"/>
    <w:rsid w:val="00F24438"/>
    <w:rsid w:val="00F2455D"/>
    <w:rsid w:val="00F251A2"/>
    <w:rsid w:val="00F42638"/>
    <w:rsid w:val="00F54AB0"/>
    <w:rsid w:val="00F7295C"/>
    <w:rsid w:val="00F77444"/>
    <w:rsid w:val="00F82204"/>
    <w:rsid w:val="00F87C6A"/>
    <w:rsid w:val="00F91BB8"/>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F1177"/>
    <w:rsid w:val="00FF1CC3"/>
    <w:rsid w:val="00FF4CB4"/>
    <w:rsid w:val="00FF5143"/>
    <w:rsid w:val="00FF5683"/>
    <w:rsid w:val="057B354B"/>
    <w:rsid w:val="08487491"/>
    <w:rsid w:val="0FEE7E50"/>
    <w:rsid w:val="10E64FA4"/>
    <w:rsid w:val="13464CFF"/>
    <w:rsid w:val="14605633"/>
    <w:rsid w:val="1EC1311C"/>
    <w:rsid w:val="23BE10D0"/>
    <w:rsid w:val="25A870B0"/>
    <w:rsid w:val="260473D1"/>
    <w:rsid w:val="277B48C8"/>
    <w:rsid w:val="279B317D"/>
    <w:rsid w:val="2F581873"/>
    <w:rsid w:val="33BC3DF7"/>
    <w:rsid w:val="43DF7AEB"/>
    <w:rsid w:val="44761038"/>
    <w:rsid w:val="4A31529B"/>
    <w:rsid w:val="5AE6128C"/>
    <w:rsid w:val="62A650B0"/>
    <w:rsid w:val="642B11B3"/>
    <w:rsid w:val="757D07F4"/>
    <w:rsid w:val="75D31975"/>
    <w:rsid w:val="76644DDA"/>
    <w:rsid w:val="78735A1C"/>
    <w:rsid w:val="7D0A6E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47"/>
    <w:qFormat/>
    <w:uiPriority w:val="0"/>
    <w:rPr>
      <w:rFonts w:ascii="Times New Roman" w:hAnsi="Times New Roman" w:eastAsia="宋体" w:cs="Times New Roman"/>
      <w:color w:val="FF0000"/>
      <w:sz w:val="24"/>
      <w:szCs w:val="24"/>
    </w:rPr>
  </w:style>
  <w:style w:type="paragraph" w:styleId="9">
    <w:name w:val="Body Text"/>
    <w:basedOn w:val="1"/>
    <w:link w:val="51"/>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sz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2"/>
    <w:qFormat/>
    <w:uiPriority w:val="0"/>
    <w:rPr>
      <w:rFonts w:eastAsia="宋体"/>
      <w:sz w:val="24"/>
    </w:rPr>
  </w:style>
  <w:style w:type="paragraph" w:styleId="14">
    <w:name w:val="Date"/>
    <w:basedOn w:val="1"/>
    <w:next w:val="1"/>
    <w:link w:val="33"/>
    <w:unhideWhenUsed/>
    <w:qFormat/>
    <w:uiPriority w:val="99"/>
    <w:pPr>
      <w:ind w:left="100" w:leftChars="2500"/>
    </w:pPr>
  </w:style>
  <w:style w:type="paragraph" w:styleId="15">
    <w:name w:val="Balloon Text"/>
    <w:basedOn w:val="1"/>
    <w:link w:val="57"/>
    <w:semiHidden/>
    <w:unhideWhenUsed/>
    <w:qFormat/>
    <w:uiPriority w:val="99"/>
    <w:rPr>
      <w:sz w:val="18"/>
      <w:szCs w:val="18"/>
    </w:rPr>
  </w:style>
  <w:style w:type="paragraph" w:styleId="16">
    <w:name w:val="footer"/>
    <w:basedOn w:val="1"/>
    <w:link w:val="34"/>
    <w:unhideWhenUsed/>
    <w:qFormat/>
    <w:uiPriority w:val="99"/>
    <w:pPr>
      <w:tabs>
        <w:tab w:val="center" w:pos="4153"/>
        <w:tab w:val="right" w:pos="8306"/>
      </w:tabs>
      <w:snapToGrid w:val="0"/>
      <w:jc w:val="left"/>
    </w:pPr>
    <w:rPr>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5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52"/>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style>
  <w:style w:type="character" w:styleId="27">
    <w:name w:val="Hyperlink"/>
    <w:basedOn w:val="23"/>
    <w:unhideWhenUsed/>
    <w:qFormat/>
    <w:uiPriority w:val="99"/>
    <w:rPr>
      <w:color w:val="000000"/>
      <w:u w:val="non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kern w:val="0"/>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kern w:val="0"/>
      <w:sz w:val="28"/>
      <w:szCs w:val="28"/>
    </w:rPr>
  </w:style>
  <w:style w:type="character" w:customStyle="1" w:styleId="32">
    <w:name w:val="纯文本 Char"/>
    <w:basedOn w:val="23"/>
    <w:link w:val="13"/>
    <w:qFormat/>
    <w:uiPriority w:val="0"/>
    <w:rPr>
      <w:rFonts w:eastAsia="宋体"/>
      <w:sz w:val="24"/>
    </w:rPr>
  </w:style>
  <w:style w:type="character" w:customStyle="1" w:styleId="33">
    <w:name w:val="日期 Char"/>
    <w:basedOn w:val="23"/>
    <w:link w:val="14"/>
    <w:qFormat/>
    <w:uiPriority w:val="99"/>
  </w:style>
  <w:style w:type="character" w:customStyle="1" w:styleId="34">
    <w:name w:val="页脚 Char"/>
    <w:basedOn w:val="23"/>
    <w:link w:val="16"/>
    <w:qFormat/>
    <w:uiPriority w:val="99"/>
    <w:rPr>
      <w:sz w:val="18"/>
      <w:szCs w:val="18"/>
    </w:rPr>
  </w:style>
  <w:style w:type="character" w:customStyle="1" w:styleId="35">
    <w:name w:val="页眉 Char"/>
    <w:basedOn w:val="23"/>
    <w:link w:val="17"/>
    <w:qFormat/>
    <w:uiPriority w:val="99"/>
    <w:rPr>
      <w:sz w:val="18"/>
      <w:szCs w:val="18"/>
    </w:rPr>
  </w:style>
  <w:style w:type="character" w:customStyle="1" w:styleId="36">
    <w:name w:val="纯文本 Char1"/>
    <w:qFormat/>
    <w:uiPriority w:val="0"/>
    <w:rPr>
      <w:rFonts w:eastAsia="宋体"/>
      <w:sz w:val="24"/>
    </w:rPr>
  </w:style>
  <w:style w:type="paragraph" w:customStyle="1" w:styleId="37">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38">
    <w:name w:val="列出段落1"/>
    <w:basedOn w:val="1"/>
    <w:qFormat/>
    <w:uiPriority w:val="34"/>
    <w:pPr>
      <w:ind w:firstLine="420" w:firstLineChars="200"/>
    </w:pPr>
  </w:style>
  <w:style w:type="paragraph" w:styleId="39">
    <w:name w:val="List Paragraph"/>
    <w:basedOn w:val="1"/>
    <w:unhideWhenUsed/>
    <w:qFormat/>
    <w:uiPriority w:val="99"/>
    <w:pPr>
      <w:ind w:firstLine="420" w:firstLineChars="200"/>
    </w:pPr>
  </w:style>
  <w:style w:type="character" w:customStyle="1" w:styleId="40">
    <w:name w:val="正文文本缩进 Char Char"/>
    <w:link w:val="41"/>
    <w:qFormat/>
    <w:uiPriority w:val="0"/>
    <w:rPr>
      <w:rFonts w:ascii="宋体"/>
      <w:sz w:val="24"/>
    </w:rPr>
  </w:style>
  <w:style w:type="paragraph" w:customStyle="1" w:styleId="41">
    <w:name w:val="正文文本缩进1"/>
    <w:basedOn w:val="1"/>
    <w:link w:val="40"/>
    <w:qFormat/>
    <w:uiPriority w:val="0"/>
    <w:pPr>
      <w:spacing w:line="360" w:lineRule="auto"/>
      <w:ind w:firstLine="480" w:firstLineChars="200"/>
    </w:pPr>
    <w:rPr>
      <w:rFonts w:ascii="宋体"/>
      <w:sz w:val="24"/>
    </w:rPr>
  </w:style>
  <w:style w:type="character" w:customStyle="1" w:styleId="42">
    <w:name w:val="日期 Char Char"/>
    <w:link w:val="43"/>
    <w:qFormat/>
    <w:uiPriority w:val="0"/>
    <w:rPr>
      <w:sz w:val="24"/>
    </w:rPr>
  </w:style>
  <w:style w:type="paragraph" w:customStyle="1" w:styleId="43">
    <w:name w:val="日期1"/>
    <w:basedOn w:val="1"/>
    <w:next w:val="1"/>
    <w:link w:val="42"/>
    <w:qFormat/>
    <w:uiPriority w:val="0"/>
    <w:rPr>
      <w:sz w:val="24"/>
    </w:rPr>
  </w:style>
  <w:style w:type="paragraph" w:customStyle="1" w:styleId="44">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5">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6">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7">
    <w:name w:val="正文文本 3 Char"/>
    <w:basedOn w:val="23"/>
    <w:link w:val="8"/>
    <w:qFormat/>
    <w:uiPriority w:val="0"/>
    <w:rPr>
      <w:rFonts w:ascii="Times New Roman" w:hAnsi="Times New Roman" w:eastAsia="宋体" w:cs="Times New Roman"/>
      <w:color w:val="FF0000"/>
      <w:sz w:val="24"/>
      <w:szCs w:val="24"/>
    </w:rPr>
  </w:style>
  <w:style w:type="character" w:customStyle="1" w:styleId="48">
    <w:name w:val="edittexttarea"/>
    <w:basedOn w:val="23"/>
    <w:qFormat/>
    <w:uiPriority w:val="0"/>
  </w:style>
  <w:style w:type="paragraph" w:customStyle="1" w:styleId="49">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0">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1">
    <w:name w:val="正文文本 Char"/>
    <w:basedOn w:val="23"/>
    <w:link w:val="9"/>
    <w:semiHidden/>
    <w:qFormat/>
    <w:uiPriority w:val="99"/>
  </w:style>
  <w:style w:type="character" w:customStyle="1" w:styleId="52">
    <w:name w:val="正文首行缩进 Char"/>
    <w:basedOn w:val="51"/>
    <w:link w:val="21"/>
    <w:qFormat/>
    <w:uiPriority w:val="0"/>
    <w:rPr>
      <w:rFonts w:ascii="宋体" w:hAnsi="Times New Roman" w:eastAsia="宋体" w:cs="Times New Roman"/>
      <w:kern w:val="0"/>
      <w:sz w:val="34"/>
      <w:szCs w:val="20"/>
    </w:rPr>
  </w:style>
  <w:style w:type="character" w:customStyle="1" w:styleId="53">
    <w:name w:val="HTML 预设格式 Char"/>
    <w:basedOn w:val="23"/>
    <w:link w:val="19"/>
    <w:semiHidden/>
    <w:qFormat/>
    <w:uiPriority w:val="99"/>
    <w:rPr>
      <w:rFonts w:ascii="宋体" w:hAnsi="宋体" w:eastAsia="宋体" w:cs="宋体"/>
      <w:kern w:val="0"/>
      <w:sz w:val="24"/>
      <w:szCs w:val="24"/>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style>
  <w:style w:type="character" w:styleId="56">
    <w:name w:val="Placeholder Text"/>
    <w:basedOn w:val="23"/>
    <w:semiHidden/>
    <w:qFormat/>
    <w:uiPriority w:val="99"/>
    <w:rPr>
      <w:color w:val="808080"/>
    </w:rPr>
  </w:style>
  <w:style w:type="character" w:customStyle="1" w:styleId="57">
    <w:name w:val="批注框文本 Char"/>
    <w:basedOn w:val="23"/>
    <w:link w:val="15"/>
    <w:semiHidden/>
    <w:qFormat/>
    <w:uiPriority w:val="99"/>
    <w:rPr>
      <w:sz w:val="18"/>
      <w:szCs w:val="18"/>
    </w:rPr>
  </w:style>
  <w:style w:type="character" w:customStyle="1" w:styleId="58">
    <w:name w:val="blue"/>
    <w:basedOn w:val="23"/>
    <w:qFormat/>
    <w:uiPriority w:val="0"/>
    <w:rPr>
      <w:color w:val="0371C6"/>
      <w:sz w:val="21"/>
      <w:szCs w:val="21"/>
    </w:rPr>
  </w:style>
  <w:style w:type="character" w:customStyle="1" w:styleId="59">
    <w:name w:val="green"/>
    <w:basedOn w:val="23"/>
    <w:qFormat/>
    <w:uiPriority w:val="0"/>
    <w:rPr>
      <w:color w:val="66AE00"/>
      <w:sz w:val="18"/>
      <w:szCs w:val="18"/>
    </w:rPr>
  </w:style>
  <w:style w:type="character" w:customStyle="1" w:styleId="60">
    <w:name w:val="green1"/>
    <w:basedOn w:val="23"/>
    <w:qFormat/>
    <w:uiPriority w:val="0"/>
    <w:rPr>
      <w:color w:val="66AE00"/>
      <w:sz w:val="18"/>
      <w:szCs w:val="18"/>
    </w:rPr>
  </w:style>
  <w:style w:type="character" w:customStyle="1" w:styleId="61">
    <w:name w:val="red"/>
    <w:basedOn w:val="23"/>
    <w:qFormat/>
    <w:uiPriority w:val="0"/>
    <w:rPr>
      <w:color w:val="FF0000"/>
      <w:sz w:val="18"/>
      <w:szCs w:val="18"/>
    </w:rPr>
  </w:style>
  <w:style w:type="character" w:customStyle="1" w:styleId="62">
    <w:name w:val="red1"/>
    <w:basedOn w:val="23"/>
    <w:qFormat/>
    <w:uiPriority w:val="0"/>
    <w:rPr>
      <w:color w:val="FF0000"/>
      <w:sz w:val="18"/>
      <w:szCs w:val="18"/>
    </w:rPr>
  </w:style>
  <w:style w:type="character" w:customStyle="1" w:styleId="63">
    <w:name w:val="red2"/>
    <w:basedOn w:val="23"/>
    <w:qFormat/>
    <w:uiPriority w:val="0"/>
    <w:rPr>
      <w:color w:val="CC0000"/>
    </w:rPr>
  </w:style>
  <w:style w:type="character" w:customStyle="1" w:styleId="64">
    <w:name w:val="red3"/>
    <w:basedOn w:val="23"/>
    <w:qFormat/>
    <w:uiPriority w:val="0"/>
    <w:rPr>
      <w:color w:val="FF0000"/>
    </w:rPr>
  </w:style>
  <w:style w:type="character" w:customStyle="1" w:styleId="65">
    <w:name w:val="hover25"/>
    <w:basedOn w:val="23"/>
    <w:qFormat/>
    <w:uiPriority w:val="0"/>
  </w:style>
  <w:style w:type="character" w:customStyle="1" w:styleId="66">
    <w:name w:val="gb-jt"/>
    <w:basedOn w:val="23"/>
    <w:qFormat/>
    <w:uiPriority w:val="0"/>
  </w:style>
  <w:style w:type="character" w:customStyle="1" w:styleId="67">
    <w:name w:val="right"/>
    <w:basedOn w:val="23"/>
    <w:qFormat/>
    <w:uiPriority w:val="0"/>
    <w:rPr>
      <w:color w:val="999999"/>
      <w:sz w:val="18"/>
      <w:szCs w:val="18"/>
    </w:rPr>
  </w:style>
  <w:style w:type="character" w:customStyle="1" w:styleId="68">
    <w:name w:val="hover24"/>
    <w:basedOn w:val="23"/>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CE1233-BF9C-49C7-BB80-2A68CE5197EF}">
  <ds:schemaRefs/>
</ds:datastoreItem>
</file>

<file path=docProps/app.xml><?xml version="1.0" encoding="utf-8"?>
<Properties xmlns="http://schemas.openxmlformats.org/officeDocument/2006/extended-properties" xmlns:vt="http://schemas.openxmlformats.org/officeDocument/2006/docPropsVTypes">
  <Template>Normal</Template>
  <Pages>68</Pages>
  <Words>5599</Words>
  <Characters>31916</Characters>
  <Lines>265</Lines>
  <Paragraphs>74</Paragraphs>
  <TotalTime>3</TotalTime>
  <ScaleCrop>false</ScaleCrop>
  <LinksUpToDate>false</LinksUpToDate>
  <CharactersWithSpaces>37441</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2019-03-07T06:11:00Z</dcterms:created>
  <dc:creator>许昌市公共资源交易中心:孟莉</dc:creator>
  <cp:lastModifiedBy>许昌市公共资源交易中心:杨丹丹（备用2）</cp:lastModifiedBy>
  <cp:lastPrinted>2019-04-28T07:36:00Z</cp:lastPrinted>
  <dcterms:modified xsi:type="dcterms:W3CDTF">2019-05-16T02:08:23Z</dcterms:modified>
  <cp:revision>545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