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exact"/>
        <w:ind w:right="210"/>
        <w:jc w:val="center"/>
        <w:outlineLvl w:val="0"/>
        <w:rPr>
          <w:rFonts w:hint="eastAsia" w:ascii="宋体" w:hAnsi="宋体" w:cs="宋体"/>
          <w:b/>
          <w:sz w:val="36"/>
          <w:szCs w:val="36"/>
        </w:rPr>
      </w:pPr>
      <w:r>
        <w:rPr>
          <w:rFonts w:hint="eastAsia" w:ascii="宋体" w:hAnsi="宋体" w:cs="宋体"/>
          <w:b/>
          <w:sz w:val="36"/>
          <w:szCs w:val="36"/>
          <w:lang w:eastAsia="zh-CN"/>
        </w:rPr>
        <w:t>服务</w:t>
      </w:r>
      <w:r>
        <w:rPr>
          <w:rFonts w:hint="eastAsia" w:ascii="宋体" w:hAnsi="宋体" w:cs="宋体"/>
          <w:b/>
          <w:sz w:val="36"/>
          <w:szCs w:val="36"/>
        </w:rPr>
        <w:t>标准及要求</w:t>
      </w:r>
    </w:p>
    <w:p>
      <w:pPr>
        <w:numPr>
          <w:numId w:val="0"/>
        </w:numPr>
        <w:rPr>
          <w:rFonts w:hint="eastAsia" w:ascii="仿宋" w:hAnsi="仿宋" w:eastAsia="仿宋" w:cs="Arial"/>
          <w:b/>
          <w:bCs/>
          <w:kern w:val="0"/>
          <w:sz w:val="28"/>
          <w:szCs w:val="28"/>
          <w:shd w:val="clear" w:color="auto" w:fill="FFFFFF"/>
        </w:rPr>
      </w:pPr>
      <w:bookmarkStart w:id="1" w:name="_GoBack"/>
      <w:bookmarkEnd w:id="1"/>
    </w:p>
    <w:p>
      <w:pPr>
        <w:numPr>
          <w:numId w:val="0"/>
        </w:numPr>
        <w:rPr>
          <w:rFonts w:hint="eastAsia" w:ascii="仿宋" w:hAnsi="仿宋" w:eastAsia="仿宋" w:cs="Arial"/>
          <w:b/>
          <w:bCs/>
          <w:kern w:val="0"/>
          <w:sz w:val="28"/>
          <w:szCs w:val="28"/>
          <w:shd w:val="clear" w:color="auto" w:fill="FFFFFF"/>
        </w:rPr>
      </w:pPr>
      <w:r>
        <w:rPr>
          <w:rFonts w:hint="eastAsia" w:ascii="仿宋" w:hAnsi="仿宋" w:eastAsia="仿宋" w:cs="Arial"/>
          <w:b/>
          <w:bCs/>
          <w:kern w:val="0"/>
          <w:sz w:val="28"/>
          <w:szCs w:val="28"/>
          <w:shd w:val="clear" w:color="auto" w:fill="FFFFFF"/>
          <w:lang w:eastAsia="zh-CN"/>
        </w:rPr>
        <w:t>一、服务</w:t>
      </w:r>
      <w:r>
        <w:rPr>
          <w:rFonts w:hint="eastAsia" w:ascii="仿宋" w:hAnsi="仿宋" w:eastAsia="仿宋" w:cs="Arial"/>
          <w:b/>
          <w:bCs/>
          <w:kern w:val="0"/>
          <w:sz w:val="28"/>
          <w:szCs w:val="28"/>
          <w:shd w:val="clear" w:color="auto" w:fill="FFFFFF"/>
        </w:rPr>
        <w:t>需求：</w:t>
      </w:r>
    </w:p>
    <w:p>
      <w:pPr>
        <w:numPr>
          <w:ilvl w:val="0"/>
          <w:numId w:val="0"/>
        </w:numPr>
        <w:ind w:firstLine="640" w:firstLineChars="200"/>
        <w:rPr>
          <w:rFonts w:hint="eastAsia" w:ascii="楷体" w:hAnsi="楷体" w:eastAsia="楷体" w:cs="楷体"/>
          <w:bCs/>
          <w:sz w:val="32"/>
          <w:szCs w:val="32"/>
        </w:rPr>
      </w:pPr>
      <w:r>
        <w:rPr>
          <w:rFonts w:hint="eastAsia" w:ascii="楷体" w:hAnsi="楷体" w:eastAsia="楷体" w:cs="楷体"/>
          <w:bCs/>
          <w:sz w:val="32"/>
          <w:szCs w:val="32"/>
        </w:rPr>
        <w:t>（一）抽检批次</w:t>
      </w:r>
    </w:p>
    <w:p>
      <w:pPr>
        <w:ind w:firstLine="645"/>
        <w:rPr>
          <w:rFonts w:hint="eastAsia" w:ascii="仿宋_GB2312" w:hAnsi="仿宋" w:eastAsia="仿宋_GB2312" w:cs="仿宋"/>
          <w:color w:val="000000"/>
          <w:sz w:val="32"/>
          <w:szCs w:val="32"/>
          <w:lang w:bidi="ar"/>
        </w:rPr>
      </w:pPr>
      <w:r>
        <w:rPr>
          <w:rFonts w:hint="eastAsia" w:ascii="仿宋_GB2312" w:hAnsi="仿宋" w:eastAsia="仿宋_GB2312" w:cs="仿宋"/>
          <w:sz w:val="32"/>
          <w:szCs w:val="32"/>
        </w:rPr>
        <w:t>为全力创建国家食品安全示范城市，</w:t>
      </w:r>
      <w:r>
        <w:rPr>
          <w:rFonts w:hint="eastAsia" w:ascii="仿宋_GB2312" w:hAnsi="仿宋" w:eastAsia="仿宋_GB2312" w:cs="仿宋"/>
          <w:color w:val="000000"/>
          <w:sz w:val="32"/>
          <w:szCs w:val="32"/>
        </w:rPr>
        <w:t>2019</w:t>
      </w:r>
      <w:r>
        <w:rPr>
          <w:rFonts w:hint="eastAsia" w:ascii="仿宋_GB2312" w:hAnsi="仿宋" w:eastAsia="仿宋_GB2312" w:cs="仿宋"/>
          <w:color w:val="000000"/>
          <w:sz w:val="32"/>
          <w:szCs w:val="32"/>
          <w:lang w:eastAsia="zh-CN"/>
        </w:rPr>
        <w:t>和</w:t>
      </w:r>
      <w:r>
        <w:rPr>
          <w:rFonts w:hint="eastAsia" w:ascii="仿宋_GB2312" w:hAnsi="仿宋" w:eastAsia="仿宋_GB2312" w:cs="仿宋"/>
          <w:color w:val="000000"/>
          <w:sz w:val="32"/>
          <w:szCs w:val="32"/>
          <w:lang w:val="en-US" w:eastAsia="zh-CN"/>
        </w:rPr>
        <w:t>2020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eastAsia="zh-CN"/>
        </w:rPr>
        <w:t>度</w:t>
      </w:r>
      <w:r>
        <w:rPr>
          <w:rFonts w:hint="eastAsia" w:ascii="仿宋_GB2312" w:hAnsi="仿宋" w:eastAsia="仿宋_GB2312" w:cs="仿宋"/>
          <w:color w:val="000000"/>
          <w:sz w:val="32"/>
          <w:szCs w:val="32"/>
        </w:rPr>
        <w:t>长葛市食品安全抽检工作计划按照全市人口</w:t>
      </w:r>
      <w:r>
        <w:rPr>
          <w:rFonts w:hint="eastAsia" w:ascii="仿宋_GB2312" w:hAnsi="仿宋" w:eastAsia="仿宋_GB2312" w:cs="仿宋"/>
          <w:color w:val="000000"/>
          <w:sz w:val="32"/>
          <w:szCs w:val="32"/>
          <w:lang w:bidi="ar"/>
        </w:rPr>
        <w:t>3批次/千人</w:t>
      </w:r>
      <w:r>
        <w:rPr>
          <w:rFonts w:hint="eastAsia" w:ascii="仿宋_GB2312" w:hAnsi="仿宋" w:eastAsia="仿宋_GB2312" w:cs="仿宋"/>
          <w:color w:val="000000"/>
          <w:sz w:val="32"/>
          <w:szCs w:val="32"/>
          <w:lang w:bidi="ar"/>
        </w:rPr>
        <w:sym w:font="Wingdings 2" w:char="00B4"/>
      </w:r>
      <w:r>
        <w:rPr>
          <w:rFonts w:hint="eastAsia" w:ascii="仿宋_GB2312" w:hAnsi="仿宋" w:eastAsia="仿宋_GB2312" w:cs="仿宋"/>
          <w:color w:val="000000"/>
          <w:sz w:val="32"/>
          <w:szCs w:val="32"/>
          <w:lang w:bidi="ar"/>
        </w:rPr>
        <w:t>年的比例实施，计划</w:t>
      </w:r>
      <w:r>
        <w:rPr>
          <w:rFonts w:hint="eastAsia" w:ascii="仿宋_GB2312" w:hAnsi="仿宋" w:eastAsia="仿宋_GB2312" w:cs="仿宋"/>
          <w:color w:val="000000"/>
          <w:sz w:val="32"/>
          <w:szCs w:val="32"/>
        </w:rPr>
        <w:t>抽检预包装食品、餐饮食品、食用农产品等32大类食品类别，</w:t>
      </w:r>
      <w:r>
        <w:rPr>
          <w:rFonts w:hint="eastAsia" w:ascii="仿宋_GB2312" w:hAnsi="仿宋" w:eastAsia="仿宋_GB2312" w:cs="仿宋"/>
          <w:color w:val="000000"/>
          <w:sz w:val="32"/>
          <w:szCs w:val="32"/>
          <w:lang w:bidi="ar"/>
        </w:rPr>
        <w:t>全市共计划抽检2500批次（详见附件1），食用农产品</w:t>
      </w:r>
      <w:r>
        <w:rPr>
          <w:rFonts w:hint="eastAsia" w:ascii="仿宋_GB2312" w:hAnsi="仿宋" w:eastAsia="仿宋_GB2312" w:cs="仿宋"/>
          <w:color w:val="000000"/>
          <w:sz w:val="32"/>
          <w:szCs w:val="32"/>
        </w:rPr>
        <w:t>农兽药残留项目不少于</w:t>
      </w:r>
      <w:r>
        <w:rPr>
          <w:rFonts w:hint="eastAsia" w:ascii="仿宋_GB2312" w:hAnsi="仿宋" w:eastAsia="仿宋_GB2312" w:cs="仿宋"/>
          <w:color w:val="000000"/>
          <w:sz w:val="32"/>
          <w:szCs w:val="32"/>
          <w:lang w:bidi="ar"/>
        </w:rPr>
        <w:t>1.5批次/千人</w:t>
      </w:r>
      <w:r>
        <w:rPr>
          <w:rFonts w:hint="eastAsia" w:ascii="仿宋_GB2312" w:hAnsi="仿宋" w:eastAsia="仿宋_GB2312" w:cs="仿宋"/>
          <w:color w:val="000000"/>
          <w:sz w:val="32"/>
          <w:szCs w:val="32"/>
          <w:lang w:bidi="ar"/>
        </w:rPr>
        <w:sym w:font="Wingdings 2" w:char="00B4"/>
      </w:r>
      <w:r>
        <w:rPr>
          <w:rFonts w:hint="eastAsia" w:ascii="仿宋_GB2312" w:hAnsi="仿宋" w:eastAsia="仿宋_GB2312" w:cs="仿宋"/>
          <w:color w:val="000000"/>
          <w:sz w:val="32"/>
          <w:szCs w:val="32"/>
          <w:lang w:bidi="ar"/>
        </w:rPr>
        <w:t>年，全市共计划抽检1064批次。</w:t>
      </w:r>
      <w:r>
        <w:rPr>
          <w:rFonts w:hint="eastAsia" w:ascii="仿宋_GB2312" w:hAnsi="仿宋" w:eastAsia="仿宋_GB2312" w:cs="仿宋"/>
          <w:color w:val="000000"/>
          <w:sz w:val="32"/>
          <w:szCs w:val="32"/>
        </w:rPr>
        <w:t>其中食品生产环节450批（含评价性抽检100批次），食品流通环节486批（含评价性抽检86批次），食用农产品1064批（含评价性抽检14批次），餐饮服务环节500批（含评价性抽检100批次）。</w:t>
      </w:r>
    </w:p>
    <w:p>
      <w:pPr>
        <w:ind w:firstLine="640" w:firstLineChars="200"/>
        <w:rPr>
          <w:rFonts w:hint="eastAsia" w:ascii="楷体_GB2312" w:hAnsi="仿宋" w:eastAsia="楷体_GB2312"/>
          <w:bCs/>
          <w:sz w:val="32"/>
          <w:szCs w:val="32"/>
        </w:rPr>
      </w:pPr>
      <w:r>
        <w:rPr>
          <w:rFonts w:hint="eastAsia" w:ascii="楷体_GB2312" w:hAnsi="楷体" w:eastAsia="楷体_GB2312" w:cs="楷体"/>
          <w:bCs/>
          <w:sz w:val="32"/>
          <w:szCs w:val="32"/>
        </w:rPr>
        <w:t>（二）抽检对象</w:t>
      </w:r>
    </w:p>
    <w:p>
      <w:pPr>
        <w:ind w:firstLine="640" w:firstLineChars="200"/>
        <w:rPr>
          <w:rFonts w:hint="eastAsia" w:ascii="仿宋_GB2312" w:hAnsi="仿宋" w:eastAsia="仿宋_GB2312" w:cs="仿宋"/>
          <w:color w:val="000000"/>
          <w:kern w:val="0"/>
          <w:sz w:val="32"/>
          <w:szCs w:val="32"/>
        </w:rPr>
      </w:pPr>
      <w:r>
        <w:rPr>
          <w:rFonts w:hint="eastAsia" w:ascii="仿宋_GB2312" w:hAnsi="仿宋" w:eastAsia="仿宋_GB2312" w:cs="仿宋"/>
          <w:sz w:val="32"/>
          <w:szCs w:val="32"/>
        </w:rPr>
        <w:t>全市范围内各类食品经营单位（含流通、餐饮）</w:t>
      </w:r>
      <w:r>
        <w:rPr>
          <w:rFonts w:hint="eastAsia" w:ascii="仿宋_GB2312" w:hAnsi="仿宋" w:eastAsia="仿宋_GB2312" w:cs="仿宋"/>
          <w:color w:val="000000"/>
          <w:kern w:val="0"/>
          <w:sz w:val="32"/>
          <w:szCs w:val="32"/>
        </w:rPr>
        <w:t>和全部获得食品生产许可证的生产企业</w:t>
      </w:r>
      <w:r>
        <w:rPr>
          <w:rFonts w:hint="eastAsia" w:ascii="仿宋_GB2312" w:hAnsi="仿宋" w:eastAsia="仿宋_GB2312" w:cs="仿宋"/>
          <w:sz w:val="32"/>
          <w:szCs w:val="32"/>
        </w:rPr>
        <w:t>及</w:t>
      </w:r>
      <w:r>
        <w:rPr>
          <w:rFonts w:hint="eastAsia" w:ascii="仿宋_GB2312" w:hAnsi="仿宋" w:eastAsia="仿宋_GB2312" w:cs="仿宋"/>
          <w:color w:val="000000"/>
          <w:kern w:val="0"/>
          <w:sz w:val="32"/>
          <w:szCs w:val="32"/>
        </w:rPr>
        <w:t>食品生产加工小作坊，重点跟踪以往及本年度抽检不合格企业、品种和项目。把小作坊、小摊贩、</w:t>
      </w:r>
    </w:p>
    <w:p>
      <w:pPr>
        <w:rPr>
          <w:rFonts w:hint="eastAsia" w:ascii="仿宋_GB2312" w:hAnsi="仿宋" w:eastAsia="仿宋_GB2312" w:cs="仿宋"/>
          <w:sz w:val="32"/>
          <w:szCs w:val="32"/>
        </w:rPr>
      </w:pPr>
      <w:r>
        <w:rPr>
          <w:rFonts w:hint="eastAsia" w:ascii="仿宋_GB2312" w:hAnsi="仿宋" w:eastAsia="仿宋_GB2312" w:cs="仿宋"/>
          <w:color w:val="000000"/>
          <w:kern w:val="0"/>
          <w:sz w:val="32"/>
          <w:szCs w:val="32"/>
        </w:rPr>
        <w:t>小食品店“三小”作为重点抽检对象，细化抽样品种和检验项目。</w:t>
      </w:r>
    </w:p>
    <w:p>
      <w:pPr>
        <w:ind w:firstLine="645"/>
        <w:rPr>
          <w:rFonts w:hint="eastAsia" w:ascii="楷体_GB2312" w:hAnsi="楷体" w:eastAsia="楷体_GB2312" w:cs="楷体"/>
          <w:bCs/>
          <w:sz w:val="32"/>
          <w:szCs w:val="32"/>
        </w:rPr>
      </w:pPr>
      <w:r>
        <w:rPr>
          <w:rFonts w:hint="eastAsia" w:ascii="楷体_GB2312" w:hAnsi="楷体" w:eastAsia="楷体_GB2312" w:cs="楷体"/>
          <w:bCs/>
          <w:sz w:val="32"/>
          <w:szCs w:val="32"/>
        </w:rPr>
        <w:t>（三）抽检时间和频次</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原则上，要全年均衡完成抽检任务。季节性生产销售的食品或存在季节性质量安全风险的食品在相应季节增加采样量。节令性食品在节前开展抽检工作。增加对以往检出不合格产品企业的抽检频次。</w:t>
      </w:r>
      <w:r>
        <w:rPr>
          <w:rFonts w:hint="eastAsia" w:ascii="仿宋_GB2312" w:hAnsi="仿宋" w:eastAsia="仿宋_GB2312" w:cs="仿宋"/>
          <w:color w:val="000000"/>
          <w:kern w:val="0"/>
          <w:sz w:val="32"/>
          <w:szCs w:val="32"/>
        </w:rPr>
        <w:t>对于上一年度检出不合格食品的企业，至少增加2批次；对于连续2次检出不合格产品的，属地监管部门要对相关企业进行重点监管。</w:t>
      </w:r>
    </w:p>
    <w:p>
      <w:pPr>
        <w:ind w:firstLine="480" w:firstLineChars="150"/>
        <w:rPr>
          <w:rFonts w:hint="eastAsia" w:ascii="楷体_GB2312" w:hAnsi="楷体" w:eastAsia="楷体_GB2312" w:cs="楷体"/>
          <w:bCs/>
          <w:sz w:val="32"/>
          <w:szCs w:val="32"/>
        </w:rPr>
      </w:pPr>
      <w:r>
        <w:rPr>
          <w:rFonts w:hint="eastAsia" w:ascii="楷体_GB2312" w:hAnsi="楷体" w:eastAsia="楷体_GB2312" w:cs="楷体"/>
          <w:bCs/>
          <w:sz w:val="32"/>
          <w:szCs w:val="32"/>
        </w:rPr>
        <w:t>（四）抽检区域、环节和场所</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仿宋"/>
          <w:color w:val="000000"/>
          <w:kern w:val="0"/>
          <w:sz w:val="32"/>
          <w:szCs w:val="32"/>
        </w:rPr>
        <w:t>抽样地点应覆盖本行政区域内市区、镇和行政村。不断加强食品集中交易市场、食品问题多发区以及中小学校园及周边等重点区域的抽检工作。生产环节抽样要覆盖全部在产获证食品生产企业及类别，重点加强对小作坊的抽检力度。流通环节采样应涵盖批发市场、农贸市场、商场、超市、小食杂店等不同业态。餐饮环节采样重点为学校和托幼机构食堂以及中央厨房、集体用餐配送单位、旅游景区餐饮服务单位等，对上年度抽样发现不合格的区域、场所列为今年重点抽样区域。</w:t>
      </w:r>
    </w:p>
    <w:p>
      <w:pPr>
        <w:ind w:firstLine="645"/>
        <w:rPr>
          <w:rFonts w:hint="eastAsia" w:ascii="楷体_GB2312" w:hAnsi="楷体" w:eastAsia="楷体_GB2312" w:cs="楷体"/>
          <w:bCs/>
          <w:color w:val="FF0000"/>
          <w:sz w:val="32"/>
          <w:szCs w:val="32"/>
        </w:rPr>
      </w:pPr>
      <w:r>
        <w:rPr>
          <w:rFonts w:hint="eastAsia" w:ascii="楷体_GB2312" w:hAnsi="楷体" w:eastAsia="楷体_GB2312" w:cs="楷体"/>
          <w:bCs/>
          <w:sz w:val="32"/>
          <w:szCs w:val="32"/>
        </w:rPr>
        <w:t>（五）食用农产品抽检任务</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食用农产品抽检品种和检验项目按省局提供的参考表（详见附件3）进行抽检，每月将抽检结果及时填报至“国家食品安全抽检监测信息系统”食用农产品直报模块。根据本辖区实际统筹安排抽检计划，保证农兽药残留项目的抽检批次，做好食用农产品抽检工作。</w:t>
      </w:r>
    </w:p>
    <w:p>
      <w:pPr>
        <w:ind w:firstLine="640" w:firstLineChars="200"/>
        <w:rPr>
          <w:rFonts w:hint="eastAsia" w:ascii="仿宋_GB2312" w:hAnsi="仿宋" w:eastAsia="仿宋_GB2312" w:cs="仿宋"/>
          <w:color w:val="000000"/>
          <w:kern w:val="0"/>
          <w:sz w:val="32"/>
          <w:szCs w:val="32"/>
        </w:rPr>
      </w:pPr>
      <w:r>
        <w:rPr>
          <w:rFonts w:hint="eastAsia" w:ascii="仿宋_GB2312" w:hAnsi="仿宋" w:eastAsia="仿宋_GB2312" w:cs="仿宋"/>
          <w:bCs/>
          <w:color w:val="000000"/>
          <w:kern w:val="0"/>
          <w:sz w:val="32"/>
          <w:szCs w:val="32"/>
        </w:rPr>
        <w:t>1.抽检对象。</w:t>
      </w:r>
      <w:r>
        <w:rPr>
          <w:rFonts w:hint="eastAsia" w:ascii="仿宋_GB2312" w:hAnsi="仿宋" w:eastAsia="仿宋_GB2312" w:cs="仿宋"/>
          <w:color w:val="000000"/>
          <w:kern w:val="0"/>
          <w:sz w:val="32"/>
          <w:szCs w:val="32"/>
        </w:rPr>
        <w:t>抽检品种要覆盖本行政区域内生产销售的蔬菜、水果、畜禽肉、水产品、鲜蛋等食用农产品。严格完成省局食用农产品的指令性任务，必检品种、必检项目完成率100%。</w:t>
      </w:r>
    </w:p>
    <w:p>
      <w:pPr>
        <w:rPr>
          <w:rFonts w:hint="eastAsia" w:ascii="仿宋" w:hAnsi="仿宋" w:eastAsia="仿宋" w:cs="Arial"/>
          <w:kern w:val="0"/>
          <w:sz w:val="28"/>
          <w:szCs w:val="28"/>
          <w:shd w:val="clear" w:color="auto" w:fill="FFFFFF"/>
          <w:lang w:val="zh-CN"/>
        </w:rPr>
      </w:pPr>
      <w:r>
        <w:rPr>
          <w:rFonts w:hint="eastAsia" w:ascii="仿宋_GB2312" w:hAnsi="仿宋" w:eastAsia="仿宋_GB2312" w:cs="仿宋"/>
          <w:color w:val="000000"/>
          <w:kern w:val="0"/>
          <w:sz w:val="32"/>
          <w:szCs w:val="32"/>
        </w:rPr>
        <w:t xml:space="preserve">  </w:t>
      </w:r>
      <w:r>
        <w:rPr>
          <w:rFonts w:hint="eastAsia" w:ascii="仿宋_GB2312" w:hAnsi="仿宋" w:eastAsia="仿宋_GB2312" w:cs="仿宋"/>
          <w:b/>
          <w:bCs/>
          <w:color w:val="000000"/>
          <w:kern w:val="0"/>
          <w:sz w:val="32"/>
          <w:szCs w:val="32"/>
        </w:rPr>
        <w:t xml:space="preserve"> </w:t>
      </w:r>
      <w:r>
        <w:rPr>
          <w:rFonts w:hint="eastAsia" w:ascii="仿宋_GB2312" w:hAnsi="仿宋" w:eastAsia="仿宋_GB2312" w:cs="仿宋"/>
          <w:bCs/>
          <w:color w:val="000000"/>
          <w:kern w:val="0"/>
          <w:sz w:val="32"/>
          <w:szCs w:val="32"/>
        </w:rPr>
        <w:t xml:space="preserve"> 2.抽检时间和频次。</w:t>
      </w:r>
      <w:r>
        <w:rPr>
          <w:rFonts w:hint="eastAsia" w:ascii="仿宋_GB2312" w:hAnsi="仿宋" w:eastAsia="仿宋_GB2312" w:cs="仿宋"/>
          <w:color w:val="000000"/>
          <w:kern w:val="0"/>
          <w:sz w:val="32"/>
          <w:szCs w:val="32"/>
        </w:rPr>
        <w:t>每周抽检蔬菜、水果、畜禽肉、水产品、鲜蛋等食用农产品，全年不少于1064批次。</w:t>
      </w:r>
    </w:p>
    <w:p>
      <w:pPr>
        <w:rPr>
          <w:rFonts w:hint="eastAsia" w:ascii="黑体" w:hAnsi="黑体" w:eastAsia="黑体" w:cs="黑体"/>
          <w:b/>
          <w:sz w:val="32"/>
          <w:szCs w:val="32"/>
        </w:rPr>
      </w:pPr>
      <w:r>
        <w:rPr>
          <w:rFonts w:hint="eastAsia" w:ascii="方正小标宋_GBK" w:hAnsi="宋体" w:eastAsia="方正小标宋_GBK" w:cs="宋体"/>
          <w:sz w:val="32"/>
          <w:szCs w:val="32"/>
        </w:rPr>
        <w:t>附件1</w:t>
      </w:r>
      <w:r>
        <w:rPr>
          <w:rFonts w:hint="eastAsia" w:ascii="宋体" w:hAnsi="宋体" w:cs="宋体"/>
          <w:sz w:val="32"/>
          <w:szCs w:val="32"/>
        </w:rPr>
        <w:t xml:space="preserve">        </w:t>
      </w:r>
      <w:r>
        <w:rPr>
          <w:rFonts w:hint="eastAsia" w:ascii="宋体" w:hAnsi="宋体" w:cs="宋体"/>
          <w:b/>
          <w:sz w:val="32"/>
          <w:szCs w:val="32"/>
        </w:rPr>
        <w:t xml:space="preserve"> </w:t>
      </w:r>
      <w:r>
        <w:rPr>
          <w:rFonts w:hint="eastAsia" w:ascii="黑体" w:hAnsi="黑体" w:eastAsia="黑体" w:cs="黑体"/>
          <w:b/>
          <w:sz w:val="32"/>
          <w:szCs w:val="32"/>
        </w:rPr>
        <w:t>2019年各监管所承担食品安全</w:t>
      </w:r>
    </w:p>
    <w:p>
      <w:pPr>
        <w:jc w:val="center"/>
        <w:rPr>
          <w:rFonts w:hint="eastAsia" w:ascii="黑体" w:hAnsi="黑体" w:eastAsia="黑体" w:cs="黑体"/>
          <w:b/>
          <w:sz w:val="32"/>
          <w:szCs w:val="32"/>
        </w:rPr>
      </w:pPr>
      <w:r>
        <w:rPr>
          <w:rFonts w:hint="eastAsia" w:ascii="黑体" w:hAnsi="黑体" w:eastAsia="黑体" w:cs="黑体"/>
          <w:b/>
          <w:sz w:val="32"/>
          <w:szCs w:val="32"/>
        </w:rPr>
        <w:t>抽检任务分解计划表</w:t>
      </w:r>
    </w:p>
    <w:p>
      <w:pPr>
        <w:jc w:val="center"/>
        <w:rPr>
          <w:rFonts w:hint="eastAsia" w:ascii="黑体" w:hAnsi="黑体" w:eastAsia="黑体" w:cs="黑体"/>
          <w:sz w:val="32"/>
          <w:szCs w:val="32"/>
        </w:rPr>
      </w:pPr>
    </w:p>
    <w:tbl>
      <w:tblPr>
        <w:tblStyle w:val="3"/>
        <w:tblW w:w="9073" w:type="dxa"/>
        <w:tblInd w:w="-93" w:type="dxa"/>
        <w:tblLayout w:type="fixed"/>
        <w:tblCellMar>
          <w:top w:w="0" w:type="dxa"/>
          <w:left w:w="15" w:type="dxa"/>
          <w:bottom w:w="0" w:type="dxa"/>
          <w:right w:w="15" w:type="dxa"/>
        </w:tblCellMar>
      </w:tblPr>
      <w:tblGrid>
        <w:gridCol w:w="2040"/>
        <w:gridCol w:w="1470"/>
        <w:gridCol w:w="1813"/>
        <w:gridCol w:w="1860"/>
        <w:gridCol w:w="1890"/>
      </w:tblGrid>
      <w:tr>
        <w:tblPrEx>
          <w:tblLayout w:type="fixed"/>
          <w:tblCellMar>
            <w:top w:w="0" w:type="dxa"/>
            <w:left w:w="15" w:type="dxa"/>
            <w:bottom w:w="0" w:type="dxa"/>
            <w:right w:w="15" w:type="dxa"/>
          </w:tblCellMar>
        </w:tblPrEx>
        <w:trPr>
          <w:trHeight w:val="690" w:hRule="atLeast"/>
        </w:trPr>
        <w:tc>
          <w:tcPr>
            <w:tcW w:w="204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b/>
                <w:bCs/>
                <w:color w:val="000000"/>
                <w:sz w:val="20"/>
              </w:rPr>
              <w:t>辖区</w:t>
            </w:r>
          </w:p>
        </w:tc>
        <w:tc>
          <w:tcPr>
            <w:tcW w:w="147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食品生产环节（含小作坊）</w:t>
            </w:r>
          </w:p>
        </w:tc>
        <w:tc>
          <w:tcPr>
            <w:tcW w:w="1813"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食品流通环节</w:t>
            </w:r>
          </w:p>
          <w:p>
            <w:pPr>
              <w:autoSpaceDN w:val="0"/>
              <w:jc w:val="center"/>
              <w:textAlignment w:val="center"/>
              <w:rPr>
                <w:rFonts w:ascii="宋体" w:hAnsi="宋体"/>
                <w:b/>
                <w:color w:val="000000"/>
                <w:sz w:val="20"/>
              </w:rPr>
            </w:pPr>
            <w:r>
              <w:rPr>
                <w:rFonts w:hint="eastAsia" w:ascii="宋体" w:hAnsi="宋体"/>
                <w:b/>
                <w:color w:val="000000"/>
                <w:sz w:val="20"/>
              </w:rPr>
              <w:t>（含小经营店）</w:t>
            </w:r>
          </w:p>
        </w:tc>
        <w:tc>
          <w:tcPr>
            <w:tcW w:w="186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食用农产品</w:t>
            </w:r>
          </w:p>
        </w:tc>
        <w:tc>
          <w:tcPr>
            <w:tcW w:w="1890" w:type="dxa"/>
            <w:tcBorders>
              <w:top w:val="single" w:color="auto" w:sz="4" w:space="0"/>
              <w:left w:val="single" w:color="000000" w:sz="4" w:space="0"/>
              <w:bottom w:val="single" w:color="000000" w:sz="4" w:space="0"/>
              <w:right w:val="single" w:color="000000" w:sz="4" w:space="0"/>
            </w:tcBorders>
            <w:noWrap w:val="0"/>
            <w:vAlign w:val="center"/>
          </w:tcPr>
          <w:p>
            <w:pPr>
              <w:autoSpaceDN w:val="0"/>
              <w:textAlignment w:val="center"/>
              <w:rPr>
                <w:rFonts w:hint="eastAsia" w:ascii="宋体" w:hAnsi="宋体"/>
                <w:b/>
                <w:color w:val="000000"/>
                <w:sz w:val="20"/>
              </w:rPr>
            </w:pPr>
            <w:r>
              <w:rPr>
                <w:rFonts w:ascii="宋体" w:hAnsi="宋体"/>
                <w:b/>
                <w:color w:val="000000"/>
                <w:sz w:val="20"/>
              </w:rPr>
              <w:t xml:space="preserve">   餐饮服务环节</w:t>
            </w:r>
          </w:p>
          <w:p>
            <w:pPr>
              <w:autoSpaceDN w:val="0"/>
              <w:ind w:firstLine="197" w:firstLineChars="98"/>
              <w:textAlignment w:val="center"/>
              <w:rPr>
                <w:rFonts w:hint="eastAsia" w:ascii="宋体" w:hAnsi="宋体"/>
                <w:b/>
                <w:color w:val="000000"/>
                <w:sz w:val="20"/>
              </w:rPr>
            </w:pPr>
            <w:r>
              <w:rPr>
                <w:rFonts w:hint="eastAsia" w:ascii="宋体" w:hAnsi="宋体"/>
                <w:b/>
                <w:color w:val="000000"/>
                <w:sz w:val="20"/>
              </w:rPr>
              <w:t>（含小餐饮店）</w:t>
            </w:r>
          </w:p>
        </w:tc>
      </w:tr>
      <w:tr>
        <w:tblPrEx>
          <w:tblLayout w:type="fixed"/>
          <w:tblCellMar>
            <w:top w:w="0" w:type="dxa"/>
            <w:left w:w="15" w:type="dxa"/>
            <w:bottom w:w="0" w:type="dxa"/>
            <w:right w:w="15" w:type="dxa"/>
          </w:tblCellMar>
        </w:tblPrEx>
        <w:trPr>
          <w:trHeight w:val="495" w:hRule="atLeast"/>
        </w:trPr>
        <w:tc>
          <w:tcPr>
            <w:tcW w:w="2040" w:type="dxa"/>
            <w:tcBorders>
              <w:top w:val="single" w:color="000000" w:sz="4" w:space="0"/>
              <w:left w:val="single" w:color="auto"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南席</w:t>
            </w:r>
          </w:p>
        </w:tc>
        <w:tc>
          <w:tcPr>
            <w:tcW w:w="147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14</w:t>
            </w:r>
          </w:p>
        </w:tc>
        <w:tc>
          <w:tcPr>
            <w:tcW w:w="1813"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25</w:t>
            </w:r>
          </w:p>
        </w:tc>
        <w:tc>
          <w:tcPr>
            <w:tcW w:w="186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41</w:t>
            </w:r>
          </w:p>
        </w:tc>
        <w:tc>
          <w:tcPr>
            <w:tcW w:w="189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25</w:t>
            </w:r>
          </w:p>
        </w:tc>
      </w:tr>
      <w:tr>
        <w:tblPrEx>
          <w:tblLayout w:type="fixed"/>
          <w:tblCellMar>
            <w:top w:w="0" w:type="dxa"/>
            <w:left w:w="15" w:type="dxa"/>
            <w:bottom w:w="0" w:type="dxa"/>
            <w:right w:w="15" w:type="dxa"/>
          </w:tblCellMar>
        </w:tblPrEx>
        <w:trPr>
          <w:trHeight w:val="495" w:hRule="atLeast"/>
        </w:trPr>
        <w:tc>
          <w:tcPr>
            <w:tcW w:w="204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古桥</w:t>
            </w:r>
          </w:p>
        </w:tc>
        <w:tc>
          <w:tcPr>
            <w:tcW w:w="147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8</w:t>
            </w:r>
          </w:p>
        </w:tc>
        <w:tc>
          <w:tcPr>
            <w:tcW w:w="1813"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25</w:t>
            </w:r>
          </w:p>
        </w:tc>
        <w:tc>
          <w:tcPr>
            <w:tcW w:w="186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41</w:t>
            </w:r>
          </w:p>
        </w:tc>
        <w:tc>
          <w:tcPr>
            <w:tcW w:w="189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25</w:t>
            </w:r>
          </w:p>
        </w:tc>
      </w:tr>
      <w:tr>
        <w:tblPrEx>
          <w:tblLayout w:type="fixed"/>
          <w:tblCellMar>
            <w:top w:w="0" w:type="dxa"/>
            <w:left w:w="15" w:type="dxa"/>
            <w:bottom w:w="0" w:type="dxa"/>
            <w:right w:w="15" w:type="dxa"/>
          </w:tblCellMar>
        </w:tblPrEx>
        <w:trPr>
          <w:trHeight w:val="495" w:hRule="atLeast"/>
        </w:trPr>
        <w:tc>
          <w:tcPr>
            <w:tcW w:w="204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董村</w:t>
            </w:r>
          </w:p>
        </w:tc>
        <w:tc>
          <w:tcPr>
            <w:tcW w:w="147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7</w:t>
            </w:r>
          </w:p>
        </w:tc>
        <w:tc>
          <w:tcPr>
            <w:tcW w:w="1813"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25</w:t>
            </w:r>
          </w:p>
        </w:tc>
        <w:tc>
          <w:tcPr>
            <w:tcW w:w="186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41</w:t>
            </w:r>
          </w:p>
        </w:tc>
        <w:tc>
          <w:tcPr>
            <w:tcW w:w="189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26</w:t>
            </w:r>
          </w:p>
        </w:tc>
      </w:tr>
      <w:tr>
        <w:tblPrEx>
          <w:tblLayout w:type="fixed"/>
          <w:tblCellMar>
            <w:top w:w="0" w:type="dxa"/>
            <w:left w:w="15" w:type="dxa"/>
            <w:bottom w:w="0" w:type="dxa"/>
            <w:right w:w="15" w:type="dxa"/>
          </w:tblCellMar>
        </w:tblPrEx>
        <w:trPr>
          <w:trHeight w:val="495" w:hRule="atLeast"/>
        </w:trPr>
        <w:tc>
          <w:tcPr>
            <w:tcW w:w="2040" w:type="dxa"/>
            <w:tcBorders>
              <w:top w:val="single" w:color="auto"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石象</w:t>
            </w:r>
          </w:p>
        </w:tc>
        <w:tc>
          <w:tcPr>
            <w:tcW w:w="147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20</w:t>
            </w:r>
          </w:p>
        </w:tc>
        <w:tc>
          <w:tcPr>
            <w:tcW w:w="1813"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25</w:t>
            </w:r>
          </w:p>
        </w:tc>
        <w:tc>
          <w:tcPr>
            <w:tcW w:w="186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41</w:t>
            </w:r>
          </w:p>
        </w:tc>
        <w:tc>
          <w:tcPr>
            <w:tcW w:w="189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25</w:t>
            </w:r>
          </w:p>
        </w:tc>
      </w:tr>
      <w:tr>
        <w:tblPrEx>
          <w:tblLayout w:type="fixed"/>
          <w:tblCellMar>
            <w:top w:w="0" w:type="dxa"/>
            <w:left w:w="15" w:type="dxa"/>
            <w:bottom w:w="0" w:type="dxa"/>
            <w:right w:w="15" w:type="dxa"/>
          </w:tblCellMar>
        </w:tblPrEx>
        <w:trPr>
          <w:trHeight w:val="495" w:hRule="atLeast"/>
        </w:trPr>
        <w:tc>
          <w:tcPr>
            <w:tcW w:w="204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大周</w:t>
            </w:r>
          </w:p>
        </w:tc>
        <w:tc>
          <w:tcPr>
            <w:tcW w:w="147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30</w:t>
            </w:r>
          </w:p>
        </w:tc>
        <w:tc>
          <w:tcPr>
            <w:tcW w:w="1813"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35</w:t>
            </w:r>
          </w:p>
        </w:tc>
        <w:tc>
          <w:tcPr>
            <w:tcW w:w="186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51</w:t>
            </w:r>
          </w:p>
        </w:tc>
        <w:tc>
          <w:tcPr>
            <w:tcW w:w="189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38</w:t>
            </w:r>
          </w:p>
        </w:tc>
      </w:tr>
      <w:tr>
        <w:tblPrEx>
          <w:tblLayout w:type="fixed"/>
          <w:tblCellMar>
            <w:top w:w="0" w:type="dxa"/>
            <w:left w:w="15" w:type="dxa"/>
            <w:bottom w:w="0" w:type="dxa"/>
            <w:right w:w="15" w:type="dxa"/>
          </w:tblCellMar>
        </w:tblPrEx>
        <w:trPr>
          <w:trHeight w:val="495" w:hRule="atLeast"/>
        </w:trPr>
        <w:tc>
          <w:tcPr>
            <w:tcW w:w="2040" w:type="dxa"/>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石固</w:t>
            </w:r>
          </w:p>
        </w:tc>
        <w:tc>
          <w:tcPr>
            <w:tcW w:w="147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26</w:t>
            </w:r>
          </w:p>
        </w:tc>
        <w:tc>
          <w:tcPr>
            <w:tcW w:w="1813"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25</w:t>
            </w:r>
          </w:p>
        </w:tc>
        <w:tc>
          <w:tcPr>
            <w:tcW w:w="186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41</w:t>
            </w:r>
          </w:p>
        </w:tc>
        <w:tc>
          <w:tcPr>
            <w:tcW w:w="189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27</w:t>
            </w:r>
          </w:p>
        </w:tc>
      </w:tr>
      <w:tr>
        <w:tblPrEx>
          <w:tblLayout w:type="fixed"/>
          <w:tblCellMar>
            <w:top w:w="0" w:type="dxa"/>
            <w:left w:w="15" w:type="dxa"/>
            <w:bottom w:w="0" w:type="dxa"/>
            <w:right w:w="15" w:type="dxa"/>
          </w:tblCellMar>
        </w:tblPrEx>
        <w:trPr>
          <w:trHeight w:val="495" w:hRule="atLeast"/>
        </w:trPr>
        <w:tc>
          <w:tcPr>
            <w:tcW w:w="20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坡胡</w:t>
            </w:r>
          </w:p>
        </w:tc>
        <w:tc>
          <w:tcPr>
            <w:tcW w:w="147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34</w:t>
            </w:r>
          </w:p>
        </w:tc>
        <w:tc>
          <w:tcPr>
            <w:tcW w:w="1813"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30</w:t>
            </w:r>
          </w:p>
        </w:tc>
        <w:tc>
          <w:tcPr>
            <w:tcW w:w="186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46</w:t>
            </w:r>
          </w:p>
        </w:tc>
        <w:tc>
          <w:tcPr>
            <w:tcW w:w="189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30</w:t>
            </w:r>
          </w:p>
        </w:tc>
      </w:tr>
      <w:tr>
        <w:tblPrEx>
          <w:tblLayout w:type="fixed"/>
          <w:tblCellMar>
            <w:top w:w="0" w:type="dxa"/>
            <w:left w:w="15" w:type="dxa"/>
            <w:bottom w:w="0" w:type="dxa"/>
            <w:right w:w="15" w:type="dxa"/>
          </w:tblCellMar>
        </w:tblPrEx>
        <w:trPr>
          <w:trHeight w:val="495" w:hRule="atLeast"/>
        </w:trPr>
        <w:tc>
          <w:tcPr>
            <w:tcW w:w="204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后河</w:t>
            </w:r>
          </w:p>
        </w:tc>
        <w:tc>
          <w:tcPr>
            <w:tcW w:w="147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32</w:t>
            </w:r>
          </w:p>
        </w:tc>
        <w:tc>
          <w:tcPr>
            <w:tcW w:w="1813"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25</w:t>
            </w:r>
          </w:p>
        </w:tc>
        <w:tc>
          <w:tcPr>
            <w:tcW w:w="186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41</w:t>
            </w:r>
          </w:p>
        </w:tc>
        <w:tc>
          <w:tcPr>
            <w:tcW w:w="189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28</w:t>
            </w:r>
          </w:p>
        </w:tc>
      </w:tr>
      <w:tr>
        <w:tblPrEx>
          <w:tblLayout w:type="fixed"/>
          <w:tblCellMar>
            <w:top w:w="0" w:type="dxa"/>
            <w:left w:w="15" w:type="dxa"/>
            <w:bottom w:w="0" w:type="dxa"/>
            <w:right w:w="15" w:type="dxa"/>
          </w:tblCellMar>
        </w:tblPrEx>
        <w:trPr>
          <w:trHeight w:val="495" w:hRule="atLeast"/>
        </w:trPr>
        <w:tc>
          <w:tcPr>
            <w:tcW w:w="204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佛耳湖</w:t>
            </w:r>
          </w:p>
        </w:tc>
        <w:tc>
          <w:tcPr>
            <w:tcW w:w="147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69</w:t>
            </w:r>
          </w:p>
        </w:tc>
        <w:tc>
          <w:tcPr>
            <w:tcW w:w="1813"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25</w:t>
            </w:r>
          </w:p>
        </w:tc>
        <w:tc>
          <w:tcPr>
            <w:tcW w:w="186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41</w:t>
            </w:r>
          </w:p>
        </w:tc>
        <w:tc>
          <w:tcPr>
            <w:tcW w:w="189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26</w:t>
            </w:r>
          </w:p>
        </w:tc>
      </w:tr>
      <w:tr>
        <w:tblPrEx>
          <w:tblLayout w:type="fixed"/>
          <w:tblCellMar>
            <w:top w:w="0" w:type="dxa"/>
            <w:left w:w="15" w:type="dxa"/>
            <w:bottom w:w="0" w:type="dxa"/>
            <w:right w:w="15" w:type="dxa"/>
          </w:tblCellMar>
        </w:tblPrEx>
        <w:trPr>
          <w:trHeight w:val="495" w:hRule="atLeast"/>
        </w:trPr>
        <w:tc>
          <w:tcPr>
            <w:tcW w:w="20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和尚桥</w:t>
            </w:r>
          </w:p>
        </w:tc>
        <w:tc>
          <w:tcPr>
            <w:tcW w:w="14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28</w:t>
            </w:r>
          </w:p>
        </w:tc>
        <w:tc>
          <w:tcPr>
            <w:tcW w:w="1813"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25</w:t>
            </w:r>
          </w:p>
        </w:tc>
        <w:tc>
          <w:tcPr>
            <w:tcW w:w="18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41</w:t>
            </w:r>
          </w:p>
        </w:tc>
        <w:tc>
          <w:tcPr>
            <w:tcW w:w="189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28</w:t>
            </w:r>
          </w:p>
        </w:tc>
      </w:tr>
      <w:tr>
        <w:tblPrEx>
          <w:tblLayout w:type="fixed"/>
          <w:tblCellMar>
            <w:top w:w="0" w:type="dxa"/>
            <w:left w:w="15" w:type="dxa"/>
            <w:bottom w:w="0" w:type="dxa"/>
            <w:right w:w="15" w:type="dxa"/>
          </w:tblCellMar>
        </w:tblPrEx>
        <w:trPr>
          <w:trHeight w:val="495" w:hRule="atLeast"/>
        </w:trPr>
        <w:tc>
          <w:tcPr>
            <w:tcW w:w="20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增福</w:t>
            </w:r>
          </w:p>
        </w:tc>
        <w:tc>
          <w:tcPr>
            <w:tcW w:w="14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10</w:t>
            </w:r>
          </w:p>
        </w:tc>
        <w:tc>
          <w:tcPr>
            <w:tcW w:w="1813"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22</w:t>
            </w:r>
          </w:p>
        </w:tc>
        <w:tc>
          <w:tcPr>
            <w:tcW w:w="18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36</w:t>
            </w:r>
          </w:p>
        </w:tc>
        <w:tc>
          <w:tcPr>
            <w:tcW w:w="189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20</w:t>
            </w:r>
          </w:p>
        </w:tc>
      </w:tr>
      <w:tr>
        <w:tblPrEx>
          <w:tblLayout w:type="fixed"/>
          <w:tblCellMar>
            <w:top w:w="0" w:type="dxa"/>
            <w:left w:w="15" w:type="dxa"/>
            <w:bottom w:w="0" w:type="dxa"/>
            <w:right w:w="15" w:type="dxa"/>
          </w:tblCellMar>
        </w:tblPrEx>
        <w:trPr>
          <w:trHeight w:val="495" w:hRule="atLeast"/>
        </w:trPr>
        <w:tc>
          <w:tcPr>
            <w:tcW w:w="20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老城</w:t>
            </w:r>
          </w:p>
        </w:tc>
        <w:tc>
          <w:tcPr>
            <w:tcW w:w="14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80</w:t>
            </w:r>
          </w:p>
        </w:tc>
        <w:tc>
          <w:tcPr>
            <w:tcW w:w="1813"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34</w:t>
            </w:r>
          </w:p>
        </w:tc>
        <w:tc>
          <w:tcPr>
            <w:tcW w:w="18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51</w:t>
            </w:r>
          </w:p>
        </w:tc>
        <w:tc>
          <w:tcPr>
            <w:tcW w:w="189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39</w:t>
            </w:r>
          </w:p>
        </w:tc>
      </w:tr>
      <w:tr>
        <w:tblPrEx>
          <w:tblLayout w:type="fixed"/>
          <w:tblCellMar>
            <w:top w:w="0" w:type="dxa"/>
            <w:left w:w="15" w:type="dxa"/>
            <w:bottom w:w="0" w:type="dxa"/>
            <w:right w:w="15" w:type="dxa"/>
          </w:tblCellMar>
        </w:tblPrEx>
        <w:trPr>
          <w:trHeight w:val="495" w:hRule="atLeast"/>
        </w:trPr>
        <w:tc>
          <w:tcPr>
            <w:tcW w:w="20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直属中心所</w:t>
            </w:r>
          </w:p>
        </w:tc>
        <w:tc>
          <w:tcPr>
            <w:tcW w:w="14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92</w:t>
            </w:r>
          </w:p>
        </w:tc>
        <w:tc>
          <w:tcPr>
            <w:tcW w:w="1813"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165</w:t>
            </w:r>
          </w:p>
        </w:tc>
        <w:tc>
          <w:tcPr>
            <w:tcW w:w="18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552</w:t>
            </w:r>
          </w:p>
        </w:tc>
        <w:tc>
          <w:tcPr>
            <w:tcW w:w="189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163</w:t>
            </w:r>
          </w:p>
        </w:tc>
      </w:tr>
      <w:tr>
        <w:tblPrEx>
          <w:tblLayout w:type="fixed"/>
          <w:tblCellMar>
            <w:top w:w="0" w:type="dxa"/>
            <w:left w:w="15" w:type="dxa"/>
            <w:bottom w:w="0" w:type="dxa"/>
            <w:right w:w="15" w:type="dxa"/>
          </w:tblCellMar>
        </w:tblPrEx>
        <w:trPr>
          <w:trHeight w:val="600" w:hRule="atLeast"/>
        </w:trPr>
        <w:tc>
          <w:tcPr>
            <w:tcW w:w="20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t>合计</w:t>
            </w:r>
          </w:p>
        </w:tc>
        <w:tc>
          <w:tcPr>
            <w:tcW w:w="14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fldChar w:fldCharType="begin"/>
            </w:r>
            <w:r>
              <w:rPr>
                <w:rFonts w:ascii="宋体" w:hAnsi="宋体"/>
                <w:b/>
                <w:color w:val="000000"/>
                <w:sz w:val="20"/>
              </w:rPr>
              <w:instrText xml:space="preserve"> = sum(B2:B14) \* MERGEFORMAT </w:instrText>
            </w:r>
            <w:r>
              <w:rPr>
                <w:rFonts w:ascii="宋体" w:hAnsi="宋体"/>
                <w:b/>
                <w:color w:val="000000"/>
                <w:sz w:val="20"/>
              </w:rPr>
              <w:fldChar w:fldCharType="separate"/>
            </w:r>
            <w:r>
              <w:rPr>
                <w:rFonts w:ascii="宋体" w:hAnsi="宋体"/>
                <w:b/>
                <w:color w:val="000000"/>
                <w:sz w:val="20"/>
              </w:rPr>
              <w:t>450</w:t>
            </w:r>
            <w:r>
              <w:rPr>
                <w:rFonts w:ascii="宋体" w:hAnsi="宋体"/>
                <w:b/>
                <w:color w:val="000000"/>
                <w:sz w:val="20"/>
              </w:rPr>
              <w:fldChar w:fldCharType="end"/>
            </w:r>
          </w:p>
        </w:tc>
        <w:tc>
          <w:tcPr>
            <w:tcW w:w="1813"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fldChar w:fldCharType="begin"/>
            </w:r>
            <w:r>
              <w:rPr>
                <w:rFonts w:ascii="宋体" w:hAnsi="宋体"/>
                <w:b/>
                <w:color w:val="000000"/>
                <w:sz w:val="20"/>
              </w:rPr>
              <w:instrText xml:space="preserve"> = sum(C2:C14) \* MERGEFORMAT </w:instrText>
            </w:r>
            <w:r>
              <w:rPr>
                <w:rFonts w:ascii="宋体" w:hAnsi="宋体"/>
                <w:b/>
                <w:color w:val="000000"/>
                <w:sz w:val="20"/>
              </w:rPr>
              <w:fldChar w:fldCharType="separate"/>
            </w:r>
            <w:r>
              <w:rPr>
                <w:rFonts w:ascii="宋体" w:hAnsi="宋体"/>
                <w:b/>
                <w:color w:val="000000"/>
                <w:sz w:val="20"/>
              </w:rPr>
              <w:t>486</w:t>
            </w:r>
            <w:r>
              <w:rPr>
                <w:rFonts w:ascii="宋体" w:hAnsi="宋体"/>
                <w:b/>
                <w:color w:val="000000"/>
                <w:sz w:val="20"/>
              </w:rPr>
              <w:fldChar w:fldCharType="end"/>
            </w:r>
          </w:p>
        </w:tc>
        <w:tc>
          <w:tcPr>
            <w:tcW w:w="18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fldChar w:fldCharType="begin"/>
            </w:r>
            <w:r>
              <w:rPr>
                <w:rFonts w:ascii="宋体" w:hAnsi="宋体"/>
                <w:b/>
                <w:color w:val="000000"/>
                <w:sz w:val="20"/>
              </w:rPr>
              <w:instrText xml:space="preserve"> = sum(D2:D14) \* MERGEFORMAT </w:instrText>
            </w:r>
            <w:r>
              <w:rPr>
                <w:rFonts w:ascii="宋体" w:hAnsi="宋体"/>
                <w:b/>
                <w:color w:val="000000"/>
                <w:sz w:val="20"/>
              </w:rPr>
              <w:fldChar w:fldCharType="separate"/>
            </w:r>
            <w:r>
              <w:rPr>
                <w:rFonts w:ascii="宋体" w:hAnsi="宋体"/>
                <w:b/>
                <w:color w:val="000000"/>
                <w:sz w:val="20"/>
              </w:rPr>
              <w:t>1064</w:t>
            </w:r>
            <w:r>
              <w:rPr>
                <w:rFonts w:ascii="宋体" w:hAnsi="宋体"/>
                <w:b/>
                <w:color w:val="000000"/>
                <w:sz w:val="20"/>
              </w:rPr>
              <w:fldChar w:fldCharType="end"/>
            </w:r>
          </w:p>
        </w:tc>
        <w:tc>
          <w:tcPr>
            <w:tcW w:w="189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0"/>
              </w:rPr>
            </w:pPr>
            <w:r>
              <w:rPr>
                <w:rFonts w:ascii="宋体" w:hAnsi="宋体"/>
                <w:b/>
                <w:color w:val="000000"/>
                <w:sz w:val="20"/>
              </w:rPr>
              <w:fldChar w:fldCharType="begin"/>
            </w:r>
            <w:r>
              <w:rPr>
                <w:rFonts w:ascii="宋体" w:hAnsi="宋体"/>
                <w:b/>
                <w:color w:val="000000"/>
                <w:sz w:val="20"/>
              </w:rPr>
              <w:instrText xml:space="preserve"> = sum(E2:E14) \* MERGEFORMAT </w:instrText>
            </w:r>
            <w:r>
              <w:rPr>
                <w:rFonts w:ascii="宋体" w:hAnsi="宋体"/>
                <w:b/>
                <w:color w:val="000000"/>
                <w:sz w:val="20"/>
              </w:rPr>
              <w:fldChar w:fldCharType="separate"/>
            </w:r>
            <w:r>
              <w:rPr>
                <w:rFonts w:ascii="宋体" w:hAnsi="宋体"/>
                <w:b/>
                <w:color w:val="000000"/>
                <w:sz w:val="20"/>
              </w:rPr>
              <w:t>500</w:t>
            </w:r>
            <w:r>
              <w:rPr>
                <w:rFonts w:ascii="宋体" w:hAnsi="宋体"/>
                <w:b/>
                <w:color w:val="000000"/>
                <w:sz w:val="20"/>
              </w:rPr>
              <w:fldChar w:fldCharType="end"/>
            </w:r>
          </w:p>
        </w:tc>
      </w:tr>
      <w:tr>
        <w:tblPrEx>
          <w:tblLayout w:type="fixed"/>
          <w:tblCellMar>
            <w:top w:w="0" w:type="dxa"/>
            <w:left w:w="15" w:type="dxa"/>
            <w:bottom w:w="0" w:type="dxa"/>
            <w:right w:w="15" w:type="dxa"/>
          </w:tblCellMar>
        </w:tblPrEx>
        <w:trPr>
          <w:trHeight w:val="312" w:hRule="atLeast"/>
        </w:trPr>
        <w:tc>
          <w:tcPr>
            <w:tcW w:w="9073" w:type="dxa"/>
            <w:gridSpan w:val="5"/>
            <w:vMerge w:val="restart"/>
            <w:tcBorders>
              <w:top w:val="single" w:color="auto" w:sz="4" w:space="0"/>
              <w:left w:val="single" w:color="auto" w:sz="4" w:space="0"/>
              <w:right w:val="single" w:color="auto" w:sz="4" w:space="0"/>
            </w:tcBorders>
            <w:noWrap w:val="0"/>
            <w:vAlign w:val="center"/>
          </w:tcPr>
          <w:p>
            <w:pPr>
              <w:autoSpaceDN w:val="0"/>
              <w:jc w:val="left"/>
              <w:textAlignment w:val="center"/>
              <w:rPr>
                <w:rFonts w:ascii="宋体" w:hAnsi="宋体"/>
                <w:b/>
                <w:color w:val="000000"/>
                <w:sz w:val="20"/>
              </w:rPr>
            </w:pPr>
            <w:r>
              <w:rPr>
                <w:rFonts w:ascii="宋体" w:hAnsi="宋体"/>
                <w:b/>
                <w:color w:val="000000"/>
                <w:sz w:val="20"/>
              </w:rPr>
              <w:t>另：本年度抽检任务共</w:t>
            </w:r>
            <w:r>
              <w:rPr>
                <w:rFonts w:hint="eastAsia" w:ascii="宋体" w:hAnsi="宋体"/>
                <w:b/>
                <w:color w:val="000000"/>
                <w:sz w:val="20"/>
              </w:rPr>
              <w:t>2500</w:t>
            </w:r>
            <w:r>
              <w:rPr>
                <w:rFonts w:ascii="宋体" w:hAnsi="宋体"/>
                <w:b/>
                <w:color w:val="000000"/>
                <w:sz w:val="20"/>
              </w:rPr>
              <w:t>批次（含</w:t>
            </w:r>
            <w:r>
              <w:rPr>
                <w:rFonts w:hint="eastAsia" w:ascii="宋体" w:hAnsi="宋体"/>
                <w:b/>
                <w:color w:val="000000"/>
                <w:sz w:val="20"/>
              </w:rPr>
              <w:t>评价性抽检300</w:t>
            </w:r>
            <w:r>
              <w:rPr>
                <w:rFonts w:ascii="宋体" w:hAnsi="宋体"/>
                <w:b/>
                <w:color w:val="000000"/>
                <w:sz w:val="20"/>
              </w:rPr>
              <w:t>批次）。</w:t>
            </w:r>
          </w:p>
        </w:tc>
      </w:tr>
      <w:tr>
        <w:tblPrEx>
          <w:tblLayout w:type="fixed"/>
          <w:tblCellMar>
            <w:top w:w="0" w:type="dxa"/>
            <w:left w:w="15" w:type="dxa"/>
            <w:bottom w:w="0" w:type="dxa"/>
            <w:right w:w="15" w:type="dxa"/>
          </w:tblCellMar>
        </w:tblPrEx>
        <w:trPr>
          <w:trHeight w:val="312" w:hRule="atLeast"/>
        </w:trPr>
        <w:tc>
          <w:tcPr>
            <w:tcW w:w="9073" w:type="dxa"/>
            <w:gridSpan w:val="5"/>
            <w:vMerge w:val="continue"/>
            <w:tcBorders>
              <w:left w:val="single" w:color="auto" w:sz="4" w:space="0"/>
              <w:right w:val="single" w:color="auto" w:sz="4" w:space="0"/>
            </w:tcBorders>
            <w:noWrap w:val="0"/>
            <w:vAlign w:val="center"/>
          </w:tcPr>
          <w:p>
            <w:pPr>
              <w:autoSpaceDN w:val="0"/>
              <w:rPr>
                <w:rFonts w:ascii="宋体" w:hAnsi="宋体"/>
                <w:sz w:val="24"/>
              </w:rPr>
            </w:pPr>
          </w:p>
        </w:tc>
      </w:tr>
      <w:tr>
        <w:tblPrEx>
          <w:tblLayout w:type="fixed"/>
          <w:tblCellMar>
            <w:top w:w="0" w:type="dxa"/>
            <w:left w:w="15" w:type="dxa"/>
            <w:bottom w:w="0" w:type="dxa"/>
            <w:right w:w="15" w:type="dxa"/>
          </w:tblCellMar>
        </w:tblPrEx>
        <w:trPr>
          <w:trHeight w:val="312" w:hRule="atLeast"/>
        </w:trPr>
        <w:tc>
          <w:tcPr>
            <w:tcW w:w="9073" w:type="dxa"/>
            <w:gridSpan w:val="5"/>
            <w:vMerge w:val="continue"/>
            <w:tcBorders>
              <w:left w:val="single" w:color="auto" w:sz="4" w:space="0"/>
              <w:right w:val="single" w:color="auto" w:sz="4" w:space="0"/>
            </w:tcBorders>
            <w:noWrap w:val="0"/>
            <w:vAlign w:val="center"/>
          </w:tcPr>
          <w:p>
            <w:pPr>
              <w:autoSpaceDN w:val="0"/>
              <w:rPr>
                <w:rFonts w:ascii="宋体" w:hAnsi="宋体"/>
                <w:sz w:val="24"/>
              </w:rPr>
            </w:pPr>
          </w:p>
        </w:tc>
      </w:tr>
      <w:tr>
        <w:tblPrEx>
          <w:tblLayout w:type="fixed"/>
          <w:tblCellMar>
            <w:top w:w="0" w:type="dxa"/>
            <w:left w:w="15" w:type="dxa"/>
            <w:bottom w:w="0" w:type="dxa"/>
            <w:right w:w="15" w:type="dxa"/>
          </w:tblCellMar>
        </w:tblPrEx>
        <w:trPr>
          <w:trHeight w:val="312" w:hRule="atLeast"/>
        </w:trPr>
        <w:tc>
          <w:tcPr>
            <w:tcW w:w="9073" w:type="dxa"/>
            <w:gridSpan w:val="5"/>
            <w:vMerge w:val="continue"/>
            <w:tcBorders>
              <w:left w:val="single" w:color="auto" w:sz="4" w:space="0"/>
              <w:bottom w:val="single" w:color="auto" w:sz="4" w:space="0"/>
              <w:right w:val="single" w:color="auto" w:sz="4" w:space="0"/>
            </w:tcBorders>
            <w:noWrap w:val="0"/>
            <w:vAlign w:val="center"/>
          </w:tcPr>
          <w:p>
            <w:pPr>
              <w:autoSpaceDN w:val="0"/>
              <w:rPr>
                <w:rFonts w:ascii="宋体" w:hAnsi="宋体"/>
                <w:sz w:val="24"/>
              </w:rPr>
            </w:pPr>
          </w:p>
        </w:tc>
      </w:tr>
    </w:tbl>
    <w:p>
      <w:pPr>
        <w:widowControl/>
        <w:jc w:val="left"/>
        <w:rPr>
          <w:rFonts w:hint="eastAsia" w:ascii="方正小标宋_GBK" w:hAnsi="宋体" w:eastAsia="方正小标宋_GBK" w:cs="宋体"/>
          <w:spacing w:val="0"/>
          <w:kern w:val="2"/>
          <w:sz w:val="32"/>
          <w:szCs w:val="32"/>
          <w:u w:val="none"/>
          <w:lang w:val="en-US" w:eastAsia="zh-CN" w:bidi="ar-SA"/>
        </w:rPr>
      </w:pPr>
      <w:r>
        <w:rPr>
          <w:rFonts w:hint="eastAsia" w:ascii="方正小标宋_GBK" w:hAnsi="宋体" w:eastAsia="方正小标宋_GBK" w:cs="宋体"/>
          <w:spacing w:val="0"/>
          <w:kern w:val="2"/>
          <w:sz w:val="32"/>
          <w:szCs w:val="32"/>
          <w:u w:val="none"/>
          <w:lang w:val="en-US" w:eastAsia="zh-CN" w:bidi="ar-SA"/>
        </w:rPr>
        <w:t>附件2：长葛市2019年食品抽检品种及检验项目参考表（另附）</w:t>
      </w:r>
    </w:p>
    <w:p>
      <w:pPr>
        <w:widowControl/>
        <w:jc w:val="left"/>
        <w:rPr>
          <w:rFonts w:hint="eastAsia" w:ascii="方正小标宋_GBK" w:hAnsi="宋体" w:eastAsia="方正小标宋_GBK" w:cs="宋体"/>
          <w:spacing w:val="0"/>
          <w:kern w:val="2"/>
          <w:sz w:val="32"/>
          <w:szCs w:val="32"/>
          <w:u w:val="none"/>
          <w:lang w:val="en-US" w:eastAsia="zh-CN" w:bidi="ar-SA"/>
        </w:rPr>
      </w:pPr>
      <w:r>
        <w:rPr>
          <w:rFonts w:hint="eastAsia" w:ascii="方正小标宋_GBK" w:hAnsi="宋体" w:eastAsia="方正小标宋_GBK" w:cs="宋体"/>
          <w:spacing w:val="0"/>
          <w:kern w:val="2"/>
          <w:sz w:val="32"/>
          <w:szCs w:val="32"/>
          <w:u w:val="none"/>
          <w:lang w:val="en-US" w:eastAsia="zh-CN" w:bidi="ar-SA"/>
        </w:rPr>
        <w:t>附件3</w:t>
      </w:r>
      <w:bookmarkStart w:id="0" w:name="bookmark0"/>
      <w:r>
        <w:rPr>
          <w:rFonts w:hint="eastAsia" w:ascii="方正小标宋_GBK" w:hAnsi="宋体" w:eastAsia="方正小标宋_GBK" w:cs="宋体"/>
          <w:spacing w:val="0"/>
          <w:kern w:val="2"/>
          <w:sz w:val="32"/>
          <w:szCs w:val="32"/>
          <w:u w:val="none"/>
          <w:lang w:val="en-US" w:eastAsia="zh-CN" w:bidi="ar-SA"/>
        </w:rPr>
        <w:t>：长葛市2019年食用农产品抽检品种和项目参考表</w:t>
      </w:r>
      <w:bookmarkEnd w:id="0"/>
      <w:r>
        <w:rPr>
          <w:rFonts w:hint="eastAsia" w:ascii="方正小标宋_GBK" w:hAnsi="宋体" w:eastAsia="方正小标宋_GBK" w:cs="宋体"/>
          <w:spacing w:val="0"/>
          <w:kern w:val="2"/>
          <w:sz w:val="32"/>
          <w:szCs w:val="32"/>
          <w:u w:val="none"/>
          <w:lang w:val="en-US" w:eastAsia="zh-CN" w:bidi="ar-SA"/>
        </w:rPr>
        <w:t>（另附）</w:t>
      </w:r>
    </w:p>
    <w:p>
      <w:pPr>
        <w:widowControl/>
        <w:jc w:val="left"/>
        <w:rPr>
          <w:rFonts w:hint="eastAsia" w:ascii="仿宋" w:hAnsi="仿宋" w:eastAsia="仿宋" w:cs="Arial"/>
          <w:b/>
          <w:bCs/>
          <w:kern w:val="0"/>
          <w:sz w:val="28"/>
          <w:szCs w:val="28"/>
          <w:shd w:val="clear" w:color="auto" w:fill="FFFFFF"/>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长葛市2019年食品安全抽检计划表</w:t>
      </w:r>
      <w:r>
        <w:rPr>
          <w:rFonts w:hint="eastAsia" w:ascii="方正小标宋_GBK" w:hAnsi="宋体" w:eastAsia="方正小标宋_GBK" w:cs="宋体"/>
          <w:spacing w:val="0"/>
          <w:kern w:val="2"/>
          <w:sz w:val="32"/>
          <w:szCs w:val="32"/>
          <w:u w:val="none"/>
          <w:lang w:val="en-US" w:eastAsia="zh-CN" w:bidi="ar-SA"/>
        </w:rPr>
        <w:t>（另附）</w:t>
      </w:r>
    </w:p>
    <w:p>
      <w:pPr>
        <w:widowControl/>
        <w:numPr>
          <w:ilvl w:val="0"/>
          <w:numId w:val="0"/>
        </w:numPr>
        <w:shd w:val="clear" w:color="auto" w:fill="FFFFFF"/>
        <w:spacing w:line="360" w:lineRule="atLeast"/>
        <w:jc w:val="left"/>
        <w:rPr>
          <w:rFonts w:hint="default" w:ascii="仿宋" w:hAnsi="仿宋" w:eastAsia="仿宋" w:cs="Arial"/>
          <w:b/>
          <w:bCs/>
          <w:kern w:val="0"/>
          <w:sz w:val="28"/>
          <w:szCs w:val="28"/>
          <w:shd w:val="clear" w:color="auto" w:fill="FFFFFF"/>
          <w:lang w:val="en-US" w:eastAsia="zh-CN"/>
        </w:rPr>
      </w:pPr>
      <w:r>
        <w:rPr>
          <w:rFonts w:hint="eastAsia" w:ascii="仿宋" w:hAnsi="仿宋" w:eastAsia="仿宋" w:cs="Arial"/>
          <w:b/>
          <w:bCs/>
          <w:kern w:val="0"/>
          <w:sz w:val="28"/>
          <w:szCs w:val="28"/>
          <w:shd w:val="clear" w:color="auto" w:fill="FFFFFF"/>
          <w:lang w:eastAsia="zh-CN"/>
        </w:rPr>
        <w:t>备注：</w:t>
      </w:r>
      <w:r>
        <w:rPr>
          <w:rFonts w:hint="eastAsia" w:ascii="仿宋" w:hAnsi="仿宋" w:eastAsia="仿宋" w:cs="Arial"/>
          <w:b/>
          <w:bCs/>
          <w:kern w:val="0"/>
          <w:sz w:val="28"/>
          <w:szCs w:val="28"/>
          <w:shd w:val="clear" w:color="auto" w:fill="FFFFFF"/>
          <w:lang w:val="en-US" w:eastAsia="zh-CN"/>
        </w:rPr>
        <w:t>2020年抽检项目与2019年相同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6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智远工程管理有限公司:康栋</cp:lastModifiedBy>
  <dcterms:modified xsi:type="dcterms:W3CDTF">2019-06-06T04:07:16Z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